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1C6A2D">
      <w:pPr>
        <w:pStyle w:val="22"/>
        <w:kinsoku w:val="0"/>
        <w:overflowPunct w:val="0"/>
        <w:rPr>
          <w:color w:val="4472C4"/>
        </w:rPr>
      </w:pPr>
      <w:bookmarkStart w:id="0" w:name="_Toc183682338"/>
      <w:bookmarkStart w:id="1" w:name="_Toc217446030"/>
      <w:r>
        <w:rPr>
          <w:rFonts w:hint="eastAsia"/>
          <w:color w:val="4472C4"/>
          <w:lang w:eastAsia="zh-CN"/>
        </w:rPr>
        <w:drawing>
          <wp:anchor distT="0" distB="0" distL="114300" distR="114300" simplePos="0" relativeHeight="251662336" behindDoc="1" locked="0" layoutInCell="1" allowOverlap="1">
            <wp:simplePos x="0" y="0"/>
            <wp:positionH relativeFrom="column">
              <wp:posOffset>-1005840</wp:posOffset>
            </wp:positionH>
            <wp:positionV relativeFrom="paragraph">
              <wp:posOffset>-945515</wp:posOffset>
            </wp:positionV>
            <wp:extent cx="7686040" cy="10854690"/>
            <wp:effectExtent l="0" t="0" r="10160" b="3810"/>
            <wp:wrapNone/>
            <wp:docPr id="5" name="图片 5" descr="2-2-3辅助图形3白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2-3辅助图形3白底"/>
                    <pic:cNvPicPr>
                      <a:picLocks noChangeAspect="1"/>
                    </pic:cNvPicPr>
                  </pic:nvPicPr>
                  <pic:blipFill>
                    <a:blip r:embed="rId17"/>
                    <a:stretch>
                      <a:fillRect/>
                    </a:stretch>
                  </pic:blipFill>
                  <pic:spPr>
                    <a:xfrm>
                      <a:off x="0" y="0"/>
                      <a:ext cx="7686040" cy="10854690"/>
                    </a:xfrm>
                    <a:prstGeom prst="rect">
                      <a:avLst/>
                    </a:prstGeom>
                  </pic:spPr>
                </pic:pic>
              </a:graphicData>
            </a:graphic>
          </wp:anchor>
        </w:drawing>
      </w:r>
    </w:p>
    <w:p w14:paraId="520B3865">
      <w:pPr>
        <w:tabs>
          <w:tab w:val="left" w:pos="1710"/>
        </w:tabs>
      </w:pPr>
    </w:p>
    <w:p w14:paraId="108AB8C7">
      <w:pPr>
        <w:tabs>
          <w:tab w:val="left" w:pos="1710"/>
        </w:tabs>
      </w:pPr>
    </w:p>
    <w:p w14:paraId="2658D768">
      <w:pPr>
        <w:tabs>
          <w:tab w:val="left" w:pos="1710"/>
        </w:tabs>
      </w:pPr>
    </w:p>
    <w:p w14:paraId="7DD2E9F2">
      <w:pPr>
        <w:tabs>
          <w:tab w:val="left" w:pos="1710"/>
        </w:tabs>
      </w:pPr>
    </w:p>
    <w:p w14:paraId="0FEDE1ED">
      <w:pPr>
        <w:tabs>
          <w:tab w:val="left" w:pos="1710"/>
        </w:tabs>
      </w:pPr>
      <w:r>
        <w:rPr>
          <w:rFonts w:hint="eastAsia" w:eastAsia="宋体"/>
          <w:lang w:eastAsia="zh-CN"/>
        </w:rPr>
        <w:drawing>
          <wp:anchor distT="0" distB="0" distL="114300" distR="114300" simplePos="0" relativeHeight="251661312" behindDoc="0" locked="0" layoutInCell="1" allowOverlap="1">
            <wp:simplePos x="0" y="0"/>
            <wp:positionH relativeFrom="column">
              <wp:posOffset>534035</wp:posOffset>
            </wp:positionH>
            <wp:positionV relativeFrom="paragraph">
              <wp:posOffset>34290</wp:posOffset>
            </wp:positionV>
            <wp:extent cx="4654550" cy="584200"/>
            <wp:effectExtent l="0" t="0" r="12700" b="6350"/>
            <wp:wrapNone/>
            <wp:docPr id="7" name="图片 7" descr="1-2-1LOGO中英文全称横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2-1LOGO中英文全称横式"/>
                    <pic:cNvPicPr>
                      <a:picLocks noChangeAspect="1"/>
                    </pic:cNvPicPr>
                  </pic:nvPicPr>
                  <pic:blipFill>
                    <a:blip r:embed="rId18"/>
                    <a:stretch>
                      <a:fillRect/>
                    </a:stretch>
                  </pic:blipFill>
                  <pic:spPr>
                    <a:xfrm>
                      <a:off x="0" y="0"/>
                      <a:ext cx="4654550" cy="584200"/>
                    </a:xfrm>
                    <a:prstGeom prst="rect">
                      <a:avLst/>
                    </a:prstGeom>
                  </pic:spPr>
                </pic:pic>
              </a:graphicData>
            </a:graphic>
          </wp:anchor>
        </w:drawing>
      </w:r>
    </w:p>
    <w:p w14:paraId="1B003C51">
      <w:pPr>
        <w:tabs>
          <w:tab w:val="left" w:pos="1710"/>
        </w:tabs>
      </w:pPr>
    </w:p>
    <w:p w14:paraId="4361BFD2">
      <w:pPr>
        <w:tabs>
          <w:tab w:val="left" w:pos="1710"/>
        </w:tabs>
      </w:pPr>
    </w:p>
    <w:p w14:paraId="7546FB67">
      <w:pPr>
        <w:tabs>
          <w:tab w:val="left" w:pos="1710"/>
        </w:tabs>
      </w:pPr>
    </w:p>
    <w:p w14:paraId="23590435">
      <w:pPr>
        <w:tabs>
          <w:tab w:val="left" w:pos="1710"/>
        </w:tabs>
      </w:pPr>
    </w:p>
    <w:p w14:paraId="6629107B">
      <w:pPr>
        <w:tabs>
          <w:tab w:val="left" w:pos="1710"/>
        </w:tabs>
      </w:pPr>
    </w:p>
    <w:p w14:paraId="7096B151">
      <w:pPr>
        <w:tabs>
          <w:tab w:val="left" w:pos="1710"/>
        </w:tabs>
      </w:pPr>
    </w:p>
    <w:p w14:paraId="02B8E730">
      <w:pPr>
        <w:tabs>
          <w:tab w:val="left" w:pos="1710"/>
        </w:tabs>
      </w:pPr>
    </w:p>
    <w:p w14:paraId="5DDC704C">
      <w:pPr>
        <w:tabs>
          <w:tab w:val="left" w:pos="1710"/>
        </w:tabs>
      </w:pPr>
    </w:p>
    <w:p w14:paraId="37C0E993">
      <w:pPr>
        <w:tabs>
          <w:tab w:val="left" w:pos="1710"/>
        </w:tabs>
      </w:pPr>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3"/>
        <w:gridCol w:w="4404"/>
      </w:tblGrid>
      <w:tr w14:paraId="28CB1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6457" w:type="dxa"/>
            <w:gridSpan w:val="2"/>
            <w:tcBorders>
              <w:top w:val="nil"/>
              <w:left w:val="nil"/>
              <w:right w:val="nil"/>
            </w:tcBorders>
            <w:noWrap w:val="0"/>
            <w:vAlign w:val="top"/>
          </w:tcPr>
          <w:p w14:paraId="47309876">
            <w:pPr>
              <w:snapToGrid w:val="0"/>
              <w:spacing w:line="240" w:lineRule="atLeast"/>
              <w:jc w:val="center"/>
              <w:rPr>
                <w:b/>
                <w:sz w:val="60"/>
                <w:szCs w:val="60"/>
              </w:rPr>
            </w:pPr>
            <w:r>
              <w:rPr>
                <w:rFonts w:hint="eastAsia"/>
                <w:b/>
                <w:sz w:val="60"/>
                <w:szCs w:val="60"/>
              </w:rPr>
              <w:t>招标</w:t>
            </w:r>
            <w:r>
              <w:rPr>
                <w:b/>
                <w:sz w:val="60"/>
                <w:szCs w:val="60"/>
              </w:rPr>
              <w:t>文件</w:t>
            </w:r>
          </w:p>
        </w:tc>
      </w:tr>
      <w:tr w14:paraId="11A3A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noWrap w:val="0"/>
            <w:vAlign w:val="center"/>
          </w:tcPr>
          <w:p w14:paraId="69C7E078">
            <w:pPr>
              <w:rPr>
                <w:b/>
                <w:color w:val="auto"/>
                <w:sz w:val="32"/>
                <w:szCs w:val="32"/>
              </w:rPr>
            </w:pPr>
            <w:r>
              <w:rPr>
                <w:b/>
                <w:color w:val="auto"/>
                <w:sz w:val="32"/>
                <w:szCs w:val="32"/>
              </w:rPr>
              <w:t>项目名称：</w:t>
            </w:r>
          </w:p>
        </w:tc>
        <w:tc>
          <w:tcPr>
            <w:tcW w:w="4404" w:type="dxa"/>
            <w:noWrap w:val="0"/>
            <w:vAlign w:val="center"/>
          </w:tcPr>
          <w:p w14:paraId="0794A5D7">
            <w:pPr>
              <w:rPr>
                <w:b/>
                <w:color w:val="auto"/>
                <w:sz w:val="32"/>
                <w:szCs w:val="32"/>
              </w:rPr>
            </w:pPr>
            <w:r>
              <w:rPr>
                <w:rFonts w:hint="eastAsia"/>
                <w:b/>
                <w:color w:val="auto"/>
                <w:sz w:val="32"/>
                <w:szCs w:val="32"/>
              </w:rPr>
              <w:t>采购制剂生产用辅料米酒</w:t>
            </w:r>
          </w:p>
        </w:tc>
      </w:tr>
      <w:tr w14:paraId="00375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noWrap w:val="0"/>
            <w:vAlign w:val="center"/>
          </w:tcPr>
          <w:p w14:paraId="6112CAC4">
            <w:pPr>
              <w:rPr>
                <w:b/>
                <w:color w:val="auto"/>
                <w:sz w:val="32"/>
                <w:szCs w:val="32"/>
              </w:rPr>
            </w:pPr>
            <w:r>
              <w:rPr>
                <w:b/>
                <w:color w:val="auto"/>
                <w:sz w:val="32"/>
                <w:szCs w:val="32"/>
              </w:rPr>
              <w:t>项目编号：</w:t>
            </w:r>
          </w:p>
        </w:tc>
        <w:tc>
          <w:tcPr>
            <w:tcW w:w="4404" w:type="dxa"/>
            <w:noWrap w:val="0"/>
            <w:vAlign w:val="center"/>
          </w:tcPr>
          <w:p w14:paraId="51DCDB7A">
            <w:pPr>
              <w:rPr>
                <w:rFonts w:hint="eastAsia" w:eastAsia="宋体"/>
                <w:b/>
                <w:color w:val="auto"/>
                <w:sz w:val="32"/>
                <w:szCs w:val="32"/>
                <w:lang w:eastAsia="zh-CN"/>
              </w:rPr>
            </w:pPr>
            <w:r>
              <w:rPr>
                <w:rFonts w:hint="eastAsia"/>
                <w:b/>
                <w:color w:val="auto"/>
                <w:sz w:val="32"/>
                <w:szCs w:val="32"/>
                <w:lang w:eastAsia="zh-CN"/>
              </w:rPr>
              <w:t>YLZC2026-G1-990215-JDZB</w:t>
            </w:r>
          </w:p>
        </w:tc>
      </w:tr>
      <w:tr w14:paraId="62E1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2053" w:type="dxa"/>
            <w:noWrap w:val="0"/>
            <w:vAlign w:val="center"/>
          </w:tcPr>
          <w:p w14:paraId="76E4E463">
            <w:pPr>
              <w:rPr>
                <w:b/>
                <w:color w:val="auto"/>
                <w:sz w:val="32"/>
                <w:szCs w:val="32"/>
              </w:rPr>
            </w:pPr>
            <w:r>
              <w:rPr>
                <w:b/>
                <w:color w:val="auto"/>
                <w:sz w:val="32"/>
                <w:szCs w:val="32"/>
              </w:rPr>
              <w:t>联系电话：</w:t>
            </w:r>
          </w:p>
        </w:tc>
        <w:tc>
          <w:tcPr>
            <w:tcW w:w="4404" w:type="dxa"/>
            <w:noWrap w:val="0"/>
            <w:vAlign w:val="center"/>
          </w:tcPr>
          <w:p w14:paraId="018683FC">
            <w:pPr>
              <w:rPr>
                <w:b/>
                <w:color w:val="auto"/>
                <w:sz w:val="32"/>
                <w:szCs w:val="32"/>
              </w:rPr>
            </w:pPr>
            <w:r>
              <w:rPr>
                <w:rFonts w:hint="eastAsia"/>
                <w:b/>
                <w:color w:val="auto"/>
                <w:sz w:val="32"/>
                <w:szCs w:val="32"/>
              </w:rPr>
              <w:t>18176601009</w:t>
            </w:r>
          </w:p>
        </w:tc>
      </w:tr>
    </w:tbl>
    <w:p w14:paraId="4E3654C9">
      <w:pPr>
        <w:tabs>
          <w:tab w:val="left" w:pos="1710"/>
        </w:tabs>
      </w:pPr>
    </w:p>
    <w:p w14:paraId="7D5CBD10"/>
    <w:p w14:paraId="0A04569D"/>
    <w:p w14:paraId="087EC08C">
      <w:pPr>
        <w:widowControl/>
        <w:jc w:val="left"/>
        <w:rPr>
          <w:rFonts w:hint="eastAsia" w:ascii="宋体" w:hAnsi="宋体" w:cs="宋体"/>
          <w:kern w:val="0"/>
          <w:sz w:val="24"/>
        </w:rPr>
      </w:pPr>
    </w:p>
    <w:p w14:paraId="166DDBD8"/>
    <w:p w14:paraId="4312E085"/>
    <w:p w14:paraId="5C7AED42"/>
    <w:p w14:paraId="77E932FB"/>
    <w:p w14:paraId="4FA05E6B"/>
    <w:p w14:paraId="15508254"/>
    <w:p w14:paraId="53908E5C"/>
    <w:p w14:paraId="1F924E4F"/>
    <w:p w14:paraId="6BA8A424"/>
    <w:p w14:paraId="33D545C8"/>
    <w:p w14:paraId="44115DF1"/>
    <w:tbl>
      <w:tblPr>
        <w:tblStyle w:val="53"/>
        <w:tblW w:w="0" w:type="auto"/>
        <w:jc w:val="center"/>
        <w:tblLayout w:type="fixed"/>
        <w:tblCellMar>
          <w:top w:w="0" w:type="dxa"/>
          <w:left w:w="108" w:type="dxa"/>
          <w:bottom w:w="0" w:type="dxa"/>
          <w:right w:w="108" w:type="dxa"/>
        </w:tblCellMar>
      </w:tblPr>
      <w:tblGrid>
        <w:gridCol w:w="2707"/>
        <w:gridCol w:w="6"/>
        <w:gridCol w:w="5571"/>
      </w:tblGrid>
      <w:tr w14:paraId="38D754C8">
        <w:tblPrEx>
          <w:tblCellMar>
            <w:top w:w="0" w:type="dxa"/>
            <w:left w:w="108" w:type="dxa"/>
            <w:bottom w:w="0" w:type="dxa"/>
            <w:right w:w="108" w:type="dxa"/>
          </w:tblCellMar>
        </w:tblPrEx>
        <w:trPr>
          <w:trHeight w:val="703" w:hRule="atLeast"/>
          <w:jc w:val="center"/>
        </w:trPr>
        <w:tc>
          <w:tcPr>
            <w:tcW w:w="2707" w:type="dxa"/>
            <w:noWrap w:val="0"/>
            <w:vAlign w:val="center"/>
          </w:tcPr>
          <w:p w14:paraId="74875133">
            <w:pPr>
              <w:autoSpaceDE w:val="0"/>
              <w:autoSpaceDN w:val="0"/>
              <w:adjustRightInd w:val="0"/>
              <w:jc w:val="right"/>
              <w:rPr>
                <w:b/>
                <w:color w:val="auto"/>
                <w:sz w:val="32"/>
                <w:szCs w:val="32"/>
              </w:rPr>
            </w:pPr>
            <w:r>
              <w:rPr>
                <w:b/>
                <w:color w:val="auto"/>
                <w:sz w:val="32"/>
                <w:szCs w:val="32"/>
              </w:rPr>
              <w:t xml:space="preserve">  采购人：</w:t>
            </w:r>
          </w:p>
        </w:tc>
        <w:tc>
          <w:tcPr>
            <w:tcW w:w="5577" w:type="dxa"/>
            <w:gridSpan w:val="2"/>
            <w:noWrap w:val="0"/>
            <w:vAlign w:val="center"/>
          </w:tcPr>
          <w:p w14:paraId="0FD93F01">
            <w:pPr>
              <w:autoSpaceDE w:val="0"/>
              <w:autoSpaceDN w:val="0"/>
              <w:adjustRightInd w:val="0"/>
              <w:jc w:val="left"/>
              <w:rPr>
                <w:b/>
                <w:color w:val="auto"/>
                <w:sz w:val="32"/>
                <w:szCs w:val="32"/>
              </w:rPr>
            </w:pPr>
            <w:r>
              <w:rPr>
                <w:rFonts w:hint="eastAsia"/>
                <w:b/>
                <w:color w:val="auto"/>
                <w:sz w:val="32"/>
                <w:szCs w:val="32"/>
              </w:rPr>
              <w:t>玉林市中西医结合骨科医院</w:t>
            </w:r>
          </w:p>
        </w:tc>
      </w:tr>
      <w:tr w14:paraId="05992319">
        <w:tblPrEx>
          <w:tblCellMar>
            <w:top w:w="0" w:type="dxa"/>
            <w:left w:w="108" w:type="dxa"/>
            <w:bottom w:w="0" w:type="dxa"/>
            <w:right w:w="108" w:type="dxa"/>
          </w:tblCellMar>
        </w:tblPrEx>
        <w:trPr>
          <w:trHeight w:val="703" w:hRule="atLeast"/>
          <w:jc w:val="center"/>
        </w:trPr>
        <w:tc>
          <w:tcPr>
            <w:tcW w:w="2713" w:type="dxa"/>
            <w:gridSpan w:val="2"/>
            <w:noWrap w:val="0"/>
            <w:vAlign w:val="top"/>
          </w:tcPr>
          <w:p w14:paraId="193F86D0">
            <w:pPr>
              <w:autoSpaceDE w:val="0"/>
              <w:autoSpaceDN w:val="0"/>
              <w:adjustRightInd w:val="0"/>
              <w:jc w:val="right"/>
              <w:rPr>
                <w:b/>
                <w:color w:val="auto"/>
                <w:sz w:val="32"/>
                <w:szCs w:val="32"/>
              </w:rPr>
            </w:pPr>
            <w:r>
              <w:rPr>
                <w:b/>
                <w:color w:val="auto"/>
                <w:sz w:val="32"/>
                <w:szCs w:val="32"/>
              </w:rPr>
              <w:t>采购代理机构：</w:t>
            </w:r>
          </w:p>
        </w:tc>
        <w:tc>
          <w:tcPr>
            <w:tcW w:w="5571" w:type="dxa"/>
            <w:noWrap w:val="0"/>
            <w:vAlign w:val="top"/>
          </w:tcPr>
          <w:p w14:paraId="366377A4">
            <w:pPr>
              <w:autoSpaceDE w:val="0"/>
              <w:autoSpaceDN w:val="0"/>
              <w:adjustRightInd w:val="0"/>
              <w:rPr>
                <w:b/>
                <w:color w:val="auto"/>
                <w:sz w:val="32"/>
                <w:szCs w:val="32"/>
                <w:u w:val="single"/>
              </w:rPr>
            </w:pPr>
            <w:r>
              <w:rPr>
                <w:b/>
                <w:color w:val="auto"/>
                <w:sz w:val="32"/>
                <w:szCs w:val="32"/>
              </w:rPr>
              <w:t>广西机电设备招标有限公司</w:t>
            </w:r>
          </w:p>
        </w:tc>
      </w:tr>
    </w:tbl>
    <w:p w14:paraId="77C59285">
      <w:pPr>
        <w:rPr>
          <w:color w:val="4472C4"/>
        </w:rPr>
      </w:pPr>
    </w:p>
    <w:p w14:paraId="58FEDD00">
      <w:pPr>
        <w:ind w:firstLine="321" w:firstLineChars="100"/>
        <w:jc w:val="center"/>
        <w:rPr>
          <w:b/>
          <w:color w:val="4472C4"/>
          <w:sz w:val="32"/>
          <w:szCs w:val="32"/>
        </w:rPr>
        <w:sectPr>
          <w:headerReference r:id="rId4" w:type="first"/>
          <w:footerReference r:id="rId6" w:type="first"/>
          <w:headerReference r:id="rId3" w:type="default"/>
          <w:footerReference r:id="rId5" w:type="default"/>
          <w:pgSz w:w="11906" w:h="16838"/>
          <w:pgMar w:top="1418" w:right="1418" w:bottom="1246" w:left="1418" w:header="851" w:footer="992" w:gutter="0"/>
          <w:pgBorders>
            <w:top w:val="none" w:sz="0" w:space="0"/>
            <w:left w:val="none" w:sz="0" w:space="0"/>
            <w:bottom w:val="none" w:sz="0" w:space="0"/>
            <w:right w:val="none" w:sz="0" w:space="0"/>
          </w:pgBorders>
          <w:pgNumType w:start="0"/>
          <w:cols w:space="720" w:num="1"/>
          <w:titlePg/>
          <w:docGrid w:linePitch="312" w:charSpace="0"/>
        </w:sectPr>
      </w:pPr>
      <w:r>
        <w:rPr>
          <w:b/>
          <w:color w:val="auto"/>
          <w:sz w:val="32"/>
          <w:szCs w:val="32"/>
        </w:rPr>
        <w:t>202</w:t>
      </w:r>
      <w:r>
        <w:rPr>
          <w:rFonts w:hint="eastAsia"/>
          <w:b/>
          <w:color w:val="auto"/>
          <w:sz w:val="32"/>
          <w:szCs w:val="32"/>
          <w:lang w:val="en-US" w:eastAsia="zh-CN"/>
        </w:rPr>
        <w:t>6</w:t>
      </w:r>
      <w:r>
        <w:rPr>
          <w:b/>
          <w:color w:val="auto"/>
          <w:sz w:val="32"/>
          <w:szCs w:val="32"/>
        </w:rPr>
        <w:t>年</w:t>
      </w:r>
      <w:r>
        <w:rPr>
          <w:rFonts w:hint="eastAsia"/>
          <w:b/>
          <w:color w:val="auto"/>
          <w:sz w:val="32"/>
          <w:szCs w:val="32"/>
          <w:lang w:val="en-US" w:eastAsia="zh-CN"/>
        </w:rPr>
        <w:t>9</w:t>
      </w:r>
      <w:r>
        <w:rPr>
          <w:b/>
          <w:color w:val="auto"/>
          <w:sz w:val="32"/>
          <w:szCs w:val="32"/>
        </w:rPr>
        <w:t>月</w:t>
      </w:r>
    </w:p>
    <w:p w14:paraId="5DC41224">
      <w:pPr>
        <w:spacing w:line="360" w:lineRule="auto"/>
        <w:rPr>
          <w:b/>
          <w:sz w:val="24"/>
        </w:rPr>
      </w:pPr>
    </w:p>
    <w:p w14:paraId="20600D61">
      <w:pPr>
        <w:pStyle w:val="28"/>
        <w:snapToGrid w:val="0"/>
        <w:spacing w:before="120" w:after="120" w:line="320" w:lineRule="exact"/>
        <w:jc w:val="center"/>
        <w:outlineLvl w:val="0"/>
        <w:rPr>
          <w:rFonts w:ascii="Times New Roman" w:hAnsi="Times New Roman" w:cs="Times New Roman"/>
          <w:sz w:val="32"/>
          <w:szCs w:val="32"/>
        </w:rPr>
      </w:pPr>
      <w:bookmarkStart w:id="2" w:name="_Toc10015"/>
      <w:bookmarkStart w:id="3" w:name="_Toc5658"/>
      <w:bookmarkStart w:id="4" w:name="_Toc6931"/>
      <w:bookmarkStart w:id="5" w:name="_Toc178"/>
      <w:r>
        <w:rPr>
          <w:rFonts w:ascii="Times New Roman" w:hAnsi="Times New Roman" w:cs="Times New Roman"/>
          <w:sz w:val="32"/>
          <w:szCs w:val="32"/>
        </w:rPr>
        <w:t>目    录</w:t>
      </w:r>
      <w:bookmarkEnd w:id="2"/>
      <w:bookmarkEnd w:id="3"/>
      <w:bookmarkEnd w:id="4"/>
      <w:bookmarkEnd w:id="5"/>
    </w:p>
    <w:p w14:paraId="4191B16B">
      <w:pPr>
        <w:pStyle w:val="36"/>
        <w:tabs>
          <w:tab w:val="right" w:leader="dot" w:pos="9354"/>
          <w:tab w:val="clear" w:pos="8398"/>
        </w:tabs>
      </w:pPr>
      <w:r>
        <w:rPr>
          <w:rFonts w:ascii="Times New Roman" w:hAnsi="Times New Roman"/>
        </w:rPr>
        <w:fldChar w:fldCharType="begin"/>
      </w:r>
      <w:r>
        <w:rPr>
          <w:rStyle w:val="59"/>
          <w:rFonts w:ascii="Times New Roman" w:hAnsi="Times New Roman"/>
          <w:color w:val="auto"/>
        </w:rPr>
        <w:instrText xml:space="preserve"> TOC \o "1-1" \h \z \u </w:instrText>
      </w:r>
      <w:r>
        <w:rPr>
          <w:rFonts w:ascii="Times New Roman" w:hAnsi="Times New Roman"/>
        </w:rPr>
        <w:fldChar w:fldCharType="separate"/>
      </w:r>
    </w:p>
    <w:p w14:paraId="1B5DE820">
      <w:pPr>
        <w:pStyle w:val="36"/>
        <w:tabs>
          <w:tab w:val="right" w:leader="dot" w:pos="9354"/>
          <w:tab w:val="clear" w:pos="8398"/>
        </w:tabs>
      </w:pPr>
      <w:r>
        <w:rPr>
          <w:rFonts w:ascii="Times New Roman" w:hAnsi="Times New Roman"/>
        </w:rPr>
        <w:fldChar w:fldCharType="begin"/>
      </w:r>
      <w:r>
        <w:rPr>
          <w:rFonts w:ascii="Times New Roman" w:hAnsi="Times New Roman"/>
        </w:rPr>
        <w:instrText xml:space="preserve"> HYPERLINK \l _Toc25736 </w:instrText>
      </w:r>
      <w:r>
        <w:rPr>
          <w:rFonts w:ascii="Times New Roman" w:hAnsi="Times New Roman"/>
        </w:rPr>
        <w:fldChar w:fldCharType="separate"/>
      </w:r>
      <w:r>
        <w:rPr>
          <w:rFonts w:ascii="Times New Roman" w:hAnsi="Times New Roman" w:cs="Times New Roman"/>
          <w:szCs w:val="32"/>
        </w:rPr>
        <w:t>第</w:t>
      </w:r>
      <w:r>
        <w:rPr>
          <w:rFonts w:hint="eastAsia" w:ascii="Times New Roman" w:hAnsi="Times New Roman" w:cs="Times New Roman"/>
          <w:szCs w:val="32"/>
        </w:rPr>
        <w:t>一</w:t>
      </w:r>
      <w:r>
        <w:rPr>
          <w:rFonts w:ascii="Times New Roman" w:hAnsi="Times New Roman" w:cs="Times New Roman"/>
          <w:szCs w:val="32"/>
        </w:rPr>
        <w:t xml:space="preserve">章  </w:t>
      </w:r>
      <w:r>
        <w:rPr>
          <w:rFonts w:hint="eastAsia" w:ascii="Times New Roman" w:hAnsi="Times New Roman" w:cs="Times New Roman"/>
          <w:szCs w:val="32"/>
        </w:rPr>
        <w:t>招标公告</w:t>
      </w:r>
      <w:r>
        <w:tab/>
      </w:r>
      <w:r>
        <w:fldChar w:fldCharType="begin"/>
      </w:r>
      <w:r>
        <w:instrText xml:space="preserve"> PAGEREF _Toc25736 \h </w:instrText>
      </w:r>
      <w:r>
        <w:fldChar w:fldCharType="separate"/>
      </w:r>
      <w:r>
        <w:t>1</w:t>
      </w:r>
      <w:r>
        <w:fldChar w:fldCharType="end"/>
      </w:r>
      <w:r>
        <w:rPr>
          <w:rFonts w:ascii="Times New Roman" w:hAnsi="Times New Roman"/>
        </w:rPr>
        <w:fldChar w:fldCharType="end"/>
      </w:r>
    </w:p>
    <w:p w14:paraId="725E5DF1">
      <w:pPr>
        <w:pStyle w:val="36"/>
        <w:tabs>
          <w:tab w:val="right" w:leader="dot" w:pos="9354"/>
          <w:tab w:val="clear" w:pos="8398"/>
        </w:tabs>
      </w:pPr>
      <w:r>
        <w:rPr>
          <w:rFonts w:ascii="Times New Roman" w:hAnsi="Times New Roman"/>
        </w:rPr>
        <w:fldChar w:fldCharType="begin"/>
      </w:r>
      <w:r>
        <w:rPr>
          <w:rFonts w:ascii="Times New Roman" w:hAnsi="Times New Roman"/>
        </w:rPr>
        <w:instrText xml:space="preserve"> HYPERLINK \l _Toc31691 </w:instrText>
      </w:r>
      <w:r>
        <w:rPr>
          <w:rFonts w:ascii="Times New Roman" w:hAnsi="Times New Roman"/>
        </w:rPr>
        <w:fldChar w:fldCharType="separate"/>
      </w:r>
      <w:r>
        <w:rPr>
          <w:rFonts w:ascii="Times New Roman" w:hAnsi="Times New Roman" w:cs="Times New Roman"/>
          <w:szCs w:val="32"/>
        </w:rPr>
        <w:t>第二章  采购需求</w:t>
      </w:r>
      <w:r>
        <w:tab/>
      </w:r>
      <w:r>
        <w:fldChar w:fldCharType="begin"/>
      </w:r>
      <w:r>
        <w:instrText xml:space="preserve"> PAGEREF _Toc31691 \h </w:instrText>
      </w:r>
      <w:r>
        <w:fldChar w:fldCharType="separate"/>
      </w:r>
      <w:r>
        <w:t>4</w:t>
      </w:r>
      <w:r>
        <w:fldChar w:fldCharType="end"/>
      </w:r>
      <w:r>
        <w:rPr>
          <w:rFonts w:ascii="Times New Roman" w:hAnsi="Times New Roman"/>
        </w:rPr>
        <w:fldChar w:fldCharType="end"/>
      </w:r>
    </w:p>
    <w:p w14:paraId="5ED6B5C5">
      <w:pPr>
        <w:pStyle w:val="36"/>
        <w:tabs>
          <w:tab w:val="right" w:leader="dot" w:pos="9354"/>
          <w:tab w:val="clear" w:pos="8398"/>
        </w:tabs>
      </w:pPr>
      <w:r>
        <w:rPr>
          <w:rFonts w:ascii="Times New Roman" w:hAnsi="Times New Roman"/>
        </w:rPr>
        <w:fldChar w:fldCharType="begin"/>
      </w:r>
      <w:r>
        <w:rPr>
          <w:rFonts w:ascii="Times New Roman" w:hAnsi="Times New Roman"/>
        </w:rPr>
        <w:instrText xml:space="preserve"> HYPERLINK \l _Toc7437 </w:instrText>
      </w:r>
      <w:r>
        <w:rPr>
          <w:rFonts w:ascii="Times New Roman" w:hAnsi="Times New Roman"/>
        </w:rPr>
        <w:fldChar w:fldCharType="separate"/>
      </w:r>
      <w:r>
        <w:rPr>
          <w:rFonts w:ascii="Times New Roman" w:hAnsi="Times New Roman" w:cs="Times New Roman"/>
          <w:szCs w:val="32"/>
        </w:rPr>
        <w:t xml:space="preserve">第三章  </w:t>
      </w:r>
      <w:r>
        <w:rPr>
          <w:rFonts w:hint="eastAsia" w:ascii="Times New Roman" w:hAnsi="Times New Roman" w:cs="Times New Roman"/>
          <w:szCs w:val="32"/>
        </w:rPr>
        <w:t>投标人</w:t>
      </w:r>
      <w:r>
        <w:rPr>
          <w:rFonts w:ascii="Times New Roman" w:hAnsi="Times New Roman" w:cs="Times New Roman"/>
          <w:szCs w:val="32"/>
        </w:rPr>
        <w:t>须知</w:t>
      </w:r>
      <w:r>
        <w:tab/>
      </w:r>
      <w:r>
        <w:fldChar w:fldCharType="begin"/>
      </w:r>
      <w:r>
        <w:instrText xml:space="preserve"> PAGEREF _Toc7437 \h </w:instrText>
      </w:r>
      <w:r>
        <w:fldChar w:fldCharType="separate"/>
      </w:r>
      <w:r>
        <w:t>18</w:t>
      </w:r>
      <w:r>
        <w:fldChar w:fldCharType="end"/>
      </w:r>
      <w:r>
        <w:rPr>
          <w:rFonts w:ascii="Times New Roman" w:hAnsi="Times New Roman"/>
        </w:rPr>
        <w:fldChar w:fldCharType="end"/>
      </w:r>
    </w:p>
    <w:p w14:paraId="67C90AA9">
      <w:pPr>
        <w:pStyle w:val="36"/>
        <w:tabs>
          <w:tab w:val="right" w:leader="dot" w:pos="9354"/>
          <w:tab w:val="clear" w:pos="8398"/>
        </w:tabs>
      </w:pPr>
      <w:r>
        <w:rPr>
          <w:rFonts w:ascii="Times New Roman" w:hAnsi="Times New Roman"/>
        </w:rPr>
        <w:fldChar w:fldCharType="begin"/>
      </w:r>
      <w:r>
        <w:rPr>
          <w:rFonts w:ascii="Times New Roman" w:hAnsi="Times New Roman"/>
        </w:rPr>
        <w:instrText xml:space="preserve"> HYPERLINK \l _Toc30739 </w:instrText>
      </w:r>
      <w:r>
        <w:rPr>
          <w:rFonts w:ascii="Times New Roman" w:hAnsi="Times New Roman"/>
        </w:rPr>
        <w:fldChar w:fldCharType="separate"/>
      </w:r>
      <w:r>
        <w:rPr>
          <w:rFonts w:ascii="Times New Roman" w:hAnsi="Times New Roman" w:cs="Times New Roman"/>
          <w:szCs w:val="32"/>
        </w:rPr>
        <w:t>第四章  评审方法及标准</w:t>
      </w:r>
      <w:r>
        <w:tab/>
      </w:r>
      <w:r>
        <w:fldChar w:fldCharType="begin"/>
      </w:r>
      <w:r>
        <w:instrText xml:space="preserve"> PAGEREF _Toc30739 \h </w:instrText>
      </w:r>
      <w:r>
        <w:fldChar w:fldCharType="separate"/>
      </w:r>
      <w:r>
        <w:t>39</w:t>
      </w:r>
      <w:r>
        <w:fldChar w:fldCharType="end"/>
      </w:r>
      <w:r>
        <w:rPr>
          <w:rFonts w:ascii="Times New Roman" w:hAnsi="Times New Roman"/>
        </w:rPr>
        <w:fldChar w:fldCharType="end"/>
      </w:r>
    </w:p>
    <w:p w14:paraId="1D607374">
      <w:pPr>
        <w:pStyle w:val="36"/>
        <w:tabs>
          <w:tab w:val="right" w:leader="dot" w:pos="9354"/>
          <w:tab w:val="clear" w:pos="8398"/>
        </w:tabs>
      </w:pPr>
      <w:r>
        <w:rPr>
          <w:rFonts w:ascii="Times New Roman" w:hAnsi="Times New Roman"/>
        </w:rPr>
        <w:fldChar w:fldCharType="begin"/>
      </w:r>
      <w:r>
        <w:rPr>
          <w:rFonts w:ascii="Times New Roman" w:hAnsi="Times New Roman"/>
        </w:rPr>
        <w:instrText xml:space="preserve"> HYPERLINK \l _Toc3791 </w:instrText>
      </w:r>
      <w:r>
        <w:rPr>
          <w:rFonts w:ascii="Times New Roman" w:hAnsi="Times New Roman"/>
        </w:rPr>
        <w:fldChar w:fldCharType="separate"/>
      </w:r>
      <w:r>
        <w:rPr>
          <w:rFonts w:ascii="Times New Roman" w:hAnsi="Times New Roman" w:cs="Times New Roman"/>
          <w:szCs w:val="32"/>
        </w:rPr>
        <w:t>第五章  合同主要条款格式</w:t>
      </w:r>
      <w:r>
        <w:tab/>
      </w:r>
      <w:r>
        <w:fldChar w:fldCharType="begin"/>
      </w:r>
      <w:r>
        <w:instrText xml:space="preserve"> PAGEREF _Toc3791 \h </w:instrText>
      </w:r>
      <w:r>
        <w:fldChar w:fldCharType="separate"/>
      </w:r>
      <w:r>
        <w:t>46</w:t>
      </w:r>
      <w:r>
        <w:fldChar w:fldCharType="end"/>
      </w:r>
      <w:r>
        <w:rPr>
          <w:rFonts w:ascii="Times New Roman" w:hAnsi="Times New Roman"/>
        </w:rPr>
        <w:fldChar w:fldCharType="end"/>
      </w:r>
    </w:p>
    <w:p w14:paraId="22677C03">
      <w:pPr>
        <w:pStyle w:val="36"/>
        <w:tabs>
          <w:tab w:val="right" w:leader="dot" w:pos="9354"/>
          <w:tab w:val="clear" w:pos="8398"/>
        </w:tabs>
      </w:pPr>
      <w:r>
        <w:rPr>
          <w:rFonts w:ascii="Times New Roman" w:hAnsi="Times New Roman"/>
        </w:rPr>
        <w:fldChar w:fldCharType="begin"/>
      </w:r>
      <w:r>
        <w:rPr>
          <w:rFonts w:ascii="Times New Roman" w:hAnsi="Times New Roman"/>
        </w:rPr>
        <w:instrText xml:space="preserve"> HYPERLINK \l _Toc26273 </w:instrText>
      </w:r>
      <w:r>
        <w:rPr>
          <w:rFonts w:ascii="Times New Roman" w:hAnsi="Times New Roman"/>
        </w:rPr>
        <w:fldChar w:fldCharType="separate"/>
      </w:r>
      <w:r>
        <w:rPr>
          <w:rFonts w:ascii="Times New Roman" w:hAnsi="Times New Roman" w:cs="Times New Roman"/>
          <w:szCs w:val="32"/>
        </w:rPr>
        <w:t>第六章  投标文件格式</w:t>
      </w:r>
      <w:r>
        <w:tab/>
      </w:r>
      <w:r>
        <w:fldChar w:fldCharType="begin"/>
      </w:r>
      <w:r>
        <w:instrText xml:space="preserve"> PAGEREF _Toc26273 \h </w:instrText>
      </w:r>
      <w:r>
        <w:fldChar w:fldCharType="separate"/>
      </w:r>
      <w:r>
        <w:t>53</w:t>
      </w:r>
      <w:r>
        <w:fldChar w:fldCharType="end"/>
      </w:r>
      <w:r>
        <w:rPr>
          <w:rFonts w:ascii="Times New Roman" w:hAnsi="Times New Roman"/>
        </w:rPr>
        <w:fldChar w:fldCharType="end"/>
      </w:r>
    </w:p>
    <w:p w14:paraId="12F4C80E">
      <w:pPr>
        <w:pStyle w:val="36"/>
        <w:ind w:firstLine="241"/>
        <w:rPr>
          <w:rFonts w:ascii="Times New Roman" w:hAnsi="Times New Roman"/>
        </w:rPr>
      </w:pPr>
      <w:r>
        <w:rPr>
          <w:rFonts w:ascii="Times New Roman" w:hAnsi="Times New Roman"/>
        </w:rPr>
        <w:fldChar w:fldCharType="end"/>
      </w:r>
    </w:p>
    <w:p w14:paraId="0B71CEC9">
      <w:pPr>
        <w:spacing w:before="120" w:beforeLines="50" w:line="480" w:lineRule="exact"/>
        <w:rPr>
          <w:sz w:val="28"/>
          <w:szCs w:val="28"/>
        </w:rPr>
      </w:pPr>
    </w:p>
    <w:p w14:paraId="515F8FA7">
      <w:pPr>
        <w:spacing w:before="120" w:beforeLines="50" w:line="480" w:lineRule="exact"/>
        <w:rPr>
          <w:sz w:val="30"/>
        </w:rPr>
        <w:sectPr>
          <w:headerReference r:id="rId7" w:type="first"/>
          <w:footerReference r:id="rId8" w:type="first"/>
          <w:pgSz w:w="11906" w:h="16838"/>
          <w:pgMar w:top="1418" w:right="1134" w:bottom="1247" w:left="1418" w:header="851" w:footer="992" w:gutter="0"/>
          <w:pgBorders>
            <w:top w:val="none" w:sz="0" w:space="0"/>
            <w:left w:val="none" w:sz="0" w:space="0"/>
            <w:bottom w:val="none" w:sz="0" w:space="0"/>
            <w:right w:val="none" w:sz="0" w:space="0"/>
          </w:pgBorders>
          <w:pgNumType w:start="0"/>
          <w:cols w:space="720" w:num="1"/>
          <w:docGrid w:linePitch="312" w:charSpace="0"/>
        </w:sectPr>
      </w:pPr>
    </w:p>
    <w:p w14:paraId="6EC1AA30">
      <w:pPr>
        <w:pStyle w:val="28"/>
        <w:snapToGrid w:val="0"/>
        <w:spacing w:before="120" w:after="120" w:line="320" w:lineRule="exact"/>
        <w:jc w:val="center"/>
        <w:outlineLvl w:val="0"/>
        <w:rPr>
          <w:rFonts w:ascii="Times New Roman" w:hAnsi="Times New Roman" w:cs="Times New Roman"/>
          <w:sz w:val="32"/>
          <w:szCs w:val="32"/>
        </w:rPr>
      </w:pPr>
      <w:bookmarkStart w:id="6" w:name="_Toc25736"/>
      <w:bookmarkStart w:id="7" w:name="_Toc254970630"/>
      <w:bookmarkStart w:id="8" w:name="_Toc254970489"/>
      <w:r>
        <w:rPr>
          <w:rFonts w:ascii="Times New Roman" w:hAnsi="Times New Roman" w:cs="Times New Roman"/>
          <w:sz w:val="32"/>
          <w:szCs w:val="32"/>
        </w:rPr>
        <w:t>第</w:t>
      </w:r>
      <w:r>
        <w:rPr>
          <w:rFonts w:hint="eastAsia" w:ascii="Times New Roman" w:hAnsi="Times New Roman" w:cs="Times New Roman"/>
          <w:sz w:val="32"/>
          <w:szCs w:val="32"/>
        </w:rPr>
        <w:t>一</w:t>
      </w:r>
      <w:r>
        <w:rPr>
          <w:rFonts w:ascii="Times New Roman" w:hAnsi="Times New Roman" w:cs="Times New Roman"/>
          <w:sz w:val="32"/>
          <w:szCs w:val="32"/>
        </w:rPr>
        <w:t xml:space="preserve">章  </w:t>
      </w:r>
      <w:r>
        <w:rPr>
          <w:rFonts w:hint="eastAsia" w:ascii="Times New Roman" w:hAnsi="Times New Roman" w:cs="Times New Roman"/>
          <w:sz w:val="32"/>
          <w:szCs w:val="32"/>
        </w:rPr>
        <w:t>招标公告</w:t>
      </w:r>
      <w:bookmarkEnd w:id="6"/>
    </w:p>
    <w:p w14:paraId="3BE8AD5B">
      <w:pPr>
        <w:spacing w:line="400" w:lineRule="exact"/>
        <w:jc w:val="center"/>
        <w:rPr>
          <w:color w:val="4472C4"/>
          <w:kern w:val="0"/>
          <w:sz w:val="24"/>
        </w:rPr>
      </w:pPr>
      <w:r>
        <w:rPr>
          <w:rFonts w:hint="eastAsia"/>
          <w:kern w:val="0"/>
          <w:sz w:val="24"/>
        </w:rPr>
        <w:t>广西机电设备招标有限公司关于采购制剂生产用辅料米酒的公开招标公告</w:t>
      </w:r>
    </w:p>
    <w:p w14:paraId="5171B6F2">
      <w:pPr>
        <w:spacing w:line="312" w:lineRule="auto"/>
        <w:jc w:val="left"/>
        <w:rPr>
          <w:kern w:val="0"/>
          <w:szCs w:val="21"/>
        </w:rPr>
      </w:pPr>
    </w:p>
    <w:p w14:paraId="162BB86F">
      <w:pPr>
        <w:spacing w:line="312" w:lineRule="auto"/>
        <w:ind w:firstLine="420" w:firstLineChars="200"/>
        <w:jc w:val="left"/>
        <w:rPr>
          <w:b/>
          <w:bCs/>
          <w:kern w:val="0"/>
          <w:sz w:val="22"/>
          <w:szCs w:val="22"/>
        </w:rPr>
      </w:pPr>
      <w:bookmarkStart w:id="9" w:name="_Hlk132795121"/>
      <w:r>
        <w:rPr>
          <w:rFonts w:hint="eastAsia"/>
          <w:szCs w:val="21"/>
        </w:rPr>
        <w:t>项目概况：</w:t>
      </w:r>
      <w:r>
        <w:rPr>
          <w:rFonts w:hint="eastAsia" w:ascii="宋体" w:hAnsi="宋体" w:eastAsia="宋体" w:cs="宋体"/>
          <w:color w:val="auto"/>
          <w:szCs w:val="21"/>
        </w:rPr>
        <w:t>采购制剂生产用辅料米酒</w:t>
      </w:r>
      <w:r>
        <w:rPr>
          <w:rFonts w:hint="eastAsia" w:ascii="宋体" w:hAnsi="宋体" w:eastAsia="宋体" w:cs="宋体"/>
          <w:color w:val="auto"/>
          <w:szCs w:val="21"/>
          <w:lang w:val="en-US" w:eastAsia="zh-CN"/>
        </w:rPr>
        <w:t>招标项目</w:t>
      </w:r>
      <w:r>
        <w:rPr>
          <w:rFonts w:hint="eastAsia" w:ascii="宋体" w:hAnsi="宋体" w:eastAsia="宋体" w:cs="宋体"/>
          <w:color w:val="auto"/>
          <w:szCs w:val="21"/>
        </w:rPr>
        <w:t>的潜在投标人应在广西政府采购云平台（https://www.gcy.zfcg.gxzf.gov.cn/）获取招标文</w:t>
      </w:r>
      <w:r>
        <w:rPr>
          <w:rFonts w:hint="eastAsia" w:ascii="宋体" w:hAnsi="宋体" w:eastAsia="宋体" w:cs="宋体"/>
          <w:color w:val="auto"/>
          <w:szCs w:val="21"/>
          <w:highlight w:val="none"/>
        </w:rPr>
        <w:t>件，并于</w:t>
      </w:r>
      <w:r>
        <w:rPr>
          <w:rFonts w:hint="eastAsia" w:ascii="宋体" w:hAnsi="宋体" w:eastAsia="宋体" w:cs="宋体"/>
          <w:color w:val="auto"/>
          <w:szCs w:val="21"/>
          <w:highlight w:val="none"/>
          <w:lang w:val="en-US" w:eastAsia="zh-CN"/>
        </w:rPr>
        <w:t>2026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10</w:t>
      </w:r>
      <w:r>
        <w:rPr>
          <w:rFonts w:hint="eastAsia" w:ascii="宋体" w:hAnsi="宋体" w:eastAsia="宋体" w:cs="宋体"/>
          <w:color w:val="auto"/>
          <w:szCs w:val="21"/>
          <w:highlight w:val="none"/>
        </w:rPr>
        <w:t>月</w:t>
      </w:r>
      <w:r>
        <w:rPr>
          <w:rFonts w:hint="eastAsia" w:ascii="宋体" w:hAnsi="宋体" w:cs="宋体"/>
          <w:color w:val="auto"/>
          <w:szCs w:val="21"/>
          <w:highlight w:val="none"/>
          <w:lang w:val="en-US" w:eastAsia="zh-CN"/>
        </w:rPr>
        <w:t>12</w:t>
      </w:r>
      <w:r>
        <w:rPr>
          <w:rFonts w:hint="eastAsia" w:ascii="宋体" w:hAnsi="宋体" w:eastAsia="宋体" w:cs="宋体"/>
          <w:color w:val="auto"/>
          <w:szCs w:val="21"/>
          <w:highlight w:val="none"/>
        </w:rPr>
        <w:t>日 09:</w:t>
      </w:r>
      <w:r>
        <w:rPr>
          <w:rFonts w:hint="eastAsia" w:ascii="宋体" w:hAnsi="宋体" w:eastAsia="宋体" w:cs="宋体"/>
          <w:color w:val="auto"/>
          <w:szCs w:val="21"/>
          <w:highlight w:val="none"/>
          <w:lang w:val="en-US" w:eastAsia="zh-CN"/>
        </w:rPr>
        <w:t>0</w:t>
      </w:r>
      <w:r>
        <w:rPr>
          <w:rFonts w:hint="eastAsia" w:ascii="宋体" w:hAnsi="宋体" w:eastAsia="宋体" w:cs="宋体"/>
          <w:color w:val="auto"/>
          <w:szCs w:val="21"/>
          <w:highlight w:val="none"/>
        </w:rPr>
        <w:t>0（北</w:t>
      </w:r>
      <w:r>
        <w:rPr>
          <w:rFonts w:hint="eastAsia" w:ascii="宋体" w:hAnsi="宋体" w:eastAsia="宋体" w:cs="宋体"/>
          <w:color w:val="auto"/>
          <w:szCs w:val="21"/>
        </w:rPr>
        <w:t>京时间）前递交投标文件</w:t>
      </w:r>
      <w:r>
        <w:rPr>
          <w:rFonts w:hint="eastAsia"/>
          <w:szCs w:val="21"/>
        </w:rPr>
        <w:t>。</w:t>
      </w:r>
    </w:p>
    <w:bookmarkEnd w:id="9"/>
    <w:p w14:paraId="0DE7C428">
      <w:pPr>
        <w:spacing w:line="312" w:lineRule="auto"/>
        <w:ind w:firstLine="442" w:firstLineChars="200"/>
        <w:jc w:val="left"/>
        <w:rPr>
          <w:b/>
          <w:bCs/>
          <w:kern w:val="0"/>
          <w:sz w:val="22"/>
          <w:szCs w:val="22"/>
        </w:rPr>
      </w:pPr>
      <w:r>
        <w:rPr>
          <w:rFonts w:hint="eastAsia"/>
          <w:b/>
          <w:bCs/>
          <w:kern w:val="0"/>
          <w:sz w:val="22"/>
          <w:szCs w:val="22"/>
        </w:rPr>
        <w:t>一、项目基本情况</w:t>
      </w:r>
    </w:p>
    <w:p w14:paraId="32419ADC">
      <w:pPr>
        <w:spacing w:line="312" w:lineRule="auto"/>
        <w:ind w:firstLine="420" w:firstLineChars="200"/>
        <w:jc w:val="left"/>
        <w:rPr>
          <w:rFonts w:hint="eastAsia" w:eastAsia="宋体"/>
          <w:color w:val="auto"/>
          <w:kern w:val="0"/>
          <w:szCs w:val="21"/>
          <w:lang w:eastAsia="zh-CN"/>
        </w:rPr>
      </w:pPr>
      <w:r>
        <w:rPr>
          <w:kern w:val="0"/>
          <w:szCs w:val="21"/>
        </w:rPr>
        <w:t>项目编</w:t>
      </w:r>
      <w:r>
        <w:rPr>
          <w:color w:val="auto"/>
          <w:kern w:val="0"/>
          <w:szCs w:val="21"/>
        </w:rPr>
        <w:t>号：</w:t>
      </w:r>
      <w:r>
        <w:rPr>
          <w:rFonts w:hint="eastAsia"/>
          <w:color w:val="auto"/>
          <w:kern w:val="0"/>
          <w:szCs w:val="21"/>
          <w:lang w:eastAsia="zh-CN"/>
        </w:rPr>
        <w:t>YLZC2026-G1-990215-JDZB</w:t>
      </w:r>
    </w:p>
    <w:p w14:paraId="0084E93F">
      <w:pPr>
        <w:spacing w:line="312" w:lineRule="auto"/>
        <w:ind w:firstLine="420" w:firstLineChars="200"/>
        <w:jc w:val="left"/>
        <w:rPr>
          <w:color w:val="auto"/>
          <w:kern w:val="0"/>
          <w:szCs w:val="21"/>
        </w:rPr>
      </w:pPr>
      <w:r>
        <w:rPr>
          <w:color w:val="auto"/>
          <w:kern w:val="0"/>
          <w:szCs w:val="21"/>
        </w:rPr>
        <w:t>项目名称：</w:t>
      </w:r>
      <w:r>
        <w:rPr>
          <w:rFonts w:hint="eastAsia"/>
          <w:color w:val="auto"/>
          <w:kern w:val="0"/>
          <w:szCs w:val="21"/>
        </w:rPr>
        <w:t>采购制剂生产用辅料米酒</w:t>
      </w:r>
    </w:p>
    <w:p w14:paraId="2C754ACC">
      <w:pPr>
        <w:spacing w:line="312" w:lineRule="auto"/>
        <w:ind w:firstLine="420" w:firstLineChars="200"/>
        <w:jc w:val="left"/>
        <w:rPr>
          <w:rFonts w:hint="default" w:eastAsia="宋体"/>
          <w:color w:val="auto"/>
          <w:kern w:val="0"/>
          <w:szCs w:val="21"/>
          <w:lang w:val="en-US" w:eastAsia="zh-CN"/>
        </w:rPr>
      </w:pPr>
      <w:bookmarkStart w:id="10" w:name="_Hlk132796123"/>
      <w:r>
        <w:rPr>
          <w:color w:val="auto"/>
          <w:kern w:val="0"/>
          <w:szCs w:val="21"/>
        </w:rPr>
        <w:t>预算</w:t>
      </w:r>
      <w:r>
        <w:rPr>
          <w:rFonts w:hint="eastAsia"/>
          <w:color w:val="auto"/>
          <w:kern w:val="0"/>
          <w:szCs w:val="21"/>
        </w:rPr>
        <w:t>总</w:t>
      </w:r>
      <w:r>
        <w:rPr>
          <w:color w:val="auto"/>
          <w:kern w:val="0"/>
          <w:szCs w:val="21"/>
        </w:rPr>
        <w:t>金额</w:t>
      </w:r>
      <w:r>
        <w:rPr>
          <w:rFonts w:hint="eastAsia"/>
          <w:color w:val="auto"/>
          <w:kern w:val="0"/>
          <w:szCs w:val="21"/>
        </w:rPr>
        <w:t>（元）</w:t>
      </w:r>
      <w:r>
        <w:rPr>
          <w:color w:val="auto"/>
          <w:kern w:val="0"/>
          <w:szCs w:val="21"/>
        </w:rPr>
        <w:t xml:space="preserve">： </w:t>
      </w:r>
      <w:r>
        <w:rPr>
          <w:rFonts w:hint="eastAsia"/>
          <w:color w:val="auto"/>
          <w:kern w:val="0"/>
          <w:szCs w:val="21"/>
          <w:lang w:val="en-US" w:eastAsia="zh-CN"/>
        </w:rPr>
        <w:t>3000000</w:t>
      </w:r>
    </w:p>
    <w:bookmarkEnd w:id="10"/>
    <w:p w14:paraId="0BB22A1C">
      <w:pPr>
        <w:spacing w:line="312" w:lineRule="auto"/>
        <w:ind w:firstLine="420" w:firstLineChars="200"/>
        <w:jc w:val="left"/>
        <w:rPr>
          <w:color w:val="auto"/>
          <w:kern w:val="0"/>
          <w:szCs w:val="21"/>
        </w:rPr>
      </w:pPr>
      <w:r>
        <w:rPr>
          <w:rFonts w:hint="eastAsia"/>
          <w:color w:val="auto"/>
          <w:kern w:val="0"/>
          <w:szCs w:val="21"/>
        </w:rPr>
        <w:t>采购需求</w:t>
      </w:r>
      <w:r>
        <w:rPr>
          <w:color w:val="auto"/>
          <w:kern w:val="0"/>
          <w:szCs w:val="21"/>
        </w:rPr>
        <w:t>：</w:t>
      </w:r>
    </w:p>
    <w:p w14:paraId="796E9798">
      <w:pPr>
        <w:spacing w:line="312" w:lineRule="auto"/>
        <w:ind w:firstLine="735" w:firstLineChars="350"/>
        <w:jc w:val="left"/>
        <w:rPr>
          <w:color w:val="auto"/>
          <w:kern w:val="0"/>
          <w:szCs w:val="21"/>
        </w:rPr>
      </w:pPr>
      <w:bookmarkStart w:id="11" w:name="_Hlk77608065"/>
      <w:r>
        <w:rPr>
          <w:rFonts w:hint="eastAsia"/>
          <w:color w:val="auto"/>
          <w:kern w:val="0"/>
          <w:szCs w:val="21"/>
        </w:rPr>
        <w:t>标项名称：采购制剂生产用辅料米酒</w:t>
      </w:r>
    </w:p>
    <w:p w14:paraId="2284F520">
      <w:pPr>
        <w:spacing w:line="312" w:lineRule="auto"/>
        <w:ind w:firstLine="735" w:firstLineChars="350"/>
        <w:jc w:val="left"/>
        <w:rPr>
          <w:rFonts w:hint="eastAsia" w:eastAsia="宋体"/>
          <w:color w:val="auto"/>
          <w:kern w:val="0"/>
          <w:szCs w:val="21"/>
          <w:lang w:val="en-US" w:eastAsia="zh-CN"/>
        </w:rPr>
      </w:pPr>
      <w:r>
        <w:rPr>
          <w:rFonts w:hint="eastAsia"/>
          <w:color w:val="auto"/>
          <w:kern w:val="0"/>
          <w:szCs w:val="21"/>
        </w:rPr>
        <w:t>数量：</w:t>
      </w:r>
      <w:r>
        <w:rPr>
          <w:rFonts w:hint="eastAsia"/>
          <w:color w:val="auto"/>
          <w:kern w:val="0"/>
          <w:szCs w:val="21"/>
          <w:lang w:val="en-US" w:eastAsia="zh-CN"/>
        </w:rPr>
        <w:t>1</w:t>
      </w:r>
    </w:p>
    <w:p w14:paraId="15BF77D1">
      <w:pPr>
        <w:spacing w:line="312" w:lineRule="auto"/>
        <w:ind w:firstLine="735" w:firstLineChars="350"/>
        <w:jc w:val="left"/>
        <w:rPr>
          <w:color w:val="auto"/>
          <w:kern w:val="0"/>
          <w:szCs w:val="21"/>
        </w:rPr>
      </w:pPr>
      <w:r>
        <w:rPr>
          <w:rFonts w:hint="eastAsia"/>
          <w:color w:val="auto"/>
          <w:kern w:val="0"/>
          <w:szCs w:val="21"/>
        </w:rPr>
        <w:t>预算金额（元）：</w:t>
      </w:r>
      <w:r>
        <w:rPr>
          <w:rFonts w:hint="eastAsia"/>
          <w:color w:val="auto"/>
          <w:kern w:val="0"/>
          <w:szCs w:val="21"/>
          <w:lang w:val="en-US" w:eastAsia="zh-CN"/>
        </w:rPr>
        <w:t>3000000</w:t>
      </w:r>
    </w:p>
    <w:p w14:paraId="435B8D74">
      <w:pPr>
        <w:spacing w:line="312" w:lineRule="auto"/>
        <w:ind w:firstLine="735" w:firstLineChars="350"/>
        <w:jc w:val="left"/>
        <w:rPr>
          <w:rFonts w:hint="default" w:eastAsia="宋体"/>
          <w:color w:val="auto"/>
          <w:kern w:val="0"/>
          <w:szCs w:val="21"/>
          <w:lang w:val="en-US" w:eastAsia="zh-CN"/>
        </w:rPr>
      </w:pPr>
      <w:r>
        <w:rPr>
          <w:rFonts w:hint="eastAsia"/>
          <w:color w:val="auto"/>
          <w:kern w:val="0"/>
          <w:szCs w:val="21"/>
        </w:rPr>
        <w:t>简要规格描述或项目基本概况介绍、用途：采购制剂生产用辅料米酒</w:t>
      </w:r>
      <w:r>
        <w:rPr>
          <w:rFonts w:hint="eastAsia"/>
          <w:color w:val="auto"/>
          <w:kern w:val="0"/>
          <w:szCs w:val="21"/>
          <w:lang w:val="en-US" w:eastAsia="zh-CN"/>
        </w:rPr>
        <w:t>1项，</w:t>
      </w:r>
      <w:r>
        <w:rPr>
          <w:rFonts w:hint="eastAsia" w:ascii="宋体" w:hAnsi="宋体" w:eastAsia="宋体" w:cs="宋体"/>
          <w:color w:val="auto"/>
          <w:kern w:val="0"/>
          <w:szCs w:val="21"/>
          <w:lang w:val="en-US" w:eastAsia="zh-CN"/>
        </w:rPr>
        <w:t>详见招标文件</w:t>
      </w:r>
    </w:p>
    <w:p w14:paraId="66569383">
      <w:pPr>
        <w:spacing w:line="312" w:lineRule="auto"/>
        <w:ind w:firstLine="735" w:firstLineChars="350"/>
        <w:jc w:val="left"/>
        <w:rPr>
          <w:color w:val="auto"/>
          <w:kern w:val="0"/>
          <w:szCs w:val="21"/>
        </w:rPr>
      </w:pPr>
      <w:bookmarkStart w:id="12" w:name="_Hlk132796150"/>
      <w:r>
        <w:rPr>
          <w:color w:val="auto"/>
          <w:kern w:val="0"/>
          <w:szCs w:val="21"/>
        </w:rPr>
        <w:t>最高限价</w:t>
      </w:r>
      <w:r>
        <w:rPr>
          <w:rFonts w:hint="eastAsia"/>
          <w:color w:val="auto"/>
          <w:kern w:val="0"/>
          <w:szCs w:val="21"/>
        </w:rPr>
        <w:t>（如有）</w:t>
      </w:r>
      <w:r>
        <w:rPr>
          <w:color w:val="auto"/>
          <w:kern w:val="0"/>
          <w:szCs w:val="21"/>
        </w:rPr>
        <w:t>：</w:t>
      </w:r>
      <w:bookmarkEnd w:id="12"/>
      <w:r>
        <w:rPr>
          <w:color w:val="auto"/>
          <w:kern w:val="0"/>
          <w:szCs w:val="21"/>
        </w:rPr>
        <w:t xml:space="preserve"> </w:t>
      </w:r>
      <w:r>
        <w:rPr>
          <w:rFonts w:hint="eastAsia"/>
          <w:color w:val="auto"/>
          <w:kern w:val="0"/>
          <w:szCs w:val="21"/>
          <w:lang w:val="en-US" w:eastAsia="zh-CN"/>
        </w:rPr>
        <w:t>3000000</w:t>
      </w:r>
    </w:p>
    <w:p w14:paraId="04CCE096">
      <w:pPr>
        <w:spacing w:line="312" w:lineRule="auto"/>
        <w:ind w:firstLine="735" w:firstLineChars="350"/>
        <w:jc w:val="left"/>
        <w:rPr>
          <w:color w:val="auto"/>
          <w:kern w:val="0"/>
          <w:szCs w:val="21"/>
          <w:highlight w:val="none"/>
        </w:rPr>
      </w:pPr>
      <w:r>
        <w:rPr>
          <w:rFonts w:hint="eastAsia"/>
          <w:color w:val="auto"/>
          <w:kern w:val="0"/>
          <w:szCs w:val="21"/>
        </w:rPr>
        <w:t>合同履约期</w:t>
      </w:r>
      <w:r>
        <w:rPr>
          <w:rFonts w:hint="eastAsia"/>
          <w:color w:val="auto"/>
          <w:kern w:val="0"/>
          <w:szCs w:val="21"/>
          <w:highlight w:val="none"/>
        </w:rPr>
        <w:t>限：自合同签订之日起两年</w:t>
      </w:r>
    </w:p>
    <w:p w14:paraId="3E39CB6C">
      <w:pPr>
        <w:spacing w:line="312" w:lineRule="auto"/>
        <w:ind w:firstLine="735" w:firstLineChars="350"/>
        <w:jc w:val="left"/>
        <w:rPr>
          <w:color w:val="auto"/>
          <w:kern w:val="0"/>
          <w:szCs w:val="21"/>
          <w:highlight w:val="none"/>
        </w:rPr>
      </w:pPr>
      <w:r>
        <w:rPr>
          <w:color w:val="auto"/>
          <w:kern w:val="0"/>
          <w:szCs w:val="21"/>
          <w:highlight w:val="none"/>
        </w:rPr>
        <w:t>本项目</w:t>
      </w:r>
      <w:r>
        <w:rPr>
          <w:rFonts w:hint="eastAsia"/>
          <w:color w:val="auto"/>
          <w:kern w:val="0"/>
          <w:szCs w:val="21"/>
          <w:highlight w:val="none"/>
        </w:rPr>
        <w:t>（</w:t>
      </w:r>
      <w:r>
        <w:rPr>
          <w:rFonts w:hint="eastAsia"/>
          <w:color w:val="auto"/>
          <w:szCs w:val="21"/>
          <w:highlight w:val="none"/>
        </w:rPr>
        <w:t>否</w:t>
      </w:r>
      <w:r>
        <w:rPr>
          <w:rFonts w:hint="eastAsia"/>
          <w:color w:val="auto"/>
          <w:kern w:val="0"/>
          <w:szCs w:val="21"/>
          <w:highlight w:val="none"/>
        </w:rPr>
        <w:t>）接受</w:t>
      </w:r>
      <w:r>
        <w:rPr>
          <w:color w:val="auto"/>
          <w:kern w:val="0"/>
          <w:szCs w:val="21"/>
          <w:highlight w:val="none"/>
        </w:rPr>
        <w:t>联合体投标。</w:t>
      </w:r>
    </w:p>
    <w:p w14:paraId="491CF50F">
      <w:pPr>
        <w:spacing w:line="312" w:lineRule="auto"/>
        <w:ind w:firstLine="735" w:firstLineChars="350"/>
        <w:jc w:val="left"/>
        <w:rPr>
          <w:color w:val="auto"/>
          <w:kern w:val="0"/>
          <w:szCs w:val="21"/>
          <w:highlight w:val="none"/>
        </w:rPr>
      </w:pPr>
      <w:r>
        <w:rPr>
          <w:rFonts w:hint="eastAsia"/>
          <w:color w:val="auto"/>
          <w:kern w:val="0"/>
          <w:szCs w:val="21"/>
          <w:highlight w:val="none"/>
        </w:rPr>
        <w:t>备注：</w:t>
      </w:r>
    </w:p>
    <w:bookmarkEnd w:id="11"/>
    <w:p w14:paraId="03EFA029">
      <w:pPr>
        <w:spacing w:line="312" w:lineRule="auto"/>
        <w:ind w:firstLine="442" w:firstLineChars="200"/>
        <w:jc w:val="left"/>
        <w:rPr>
          <w:b/>
          <w:bCs/>
          <w:color w:val="auto"/>
          <w:kern w:val="0"/>
          <w:sz w:val="22"/>
          <w:szCs w:val="22"/>
        </w:rPr>
      </w:pPr>
      <w:r>
        <w:rPr>
          <w:rFonts w:hint="eastAsia"/>
          <w:b/>
          <w:bCs/>
          <w:color w:val="auto"/>
          <w:kern w:val="0"/>
          <w:sz w:val="22"/>
          <w:szCs w:val="22"/>
        </w:rPr>
        <w:t>二、申请人的资格要求</w:t>
      </w:r>
    </w:p>
    <w:p w14:paraId="29B05E1A">
      <w:pPr>
        <w:spacing w:line="312" w:lineRule="auto"/>
        <w:ind w:firstLine="420" w:firstLineChars="200"/>
        <w:jc w:val="left"/>
        <w:rPr>
          <w:color w:val="auto"/>
          <w:szCs w:val="21"/>
        </w:rPr>
      </w:pPr>
      <w:r>
        <w:rPr>
          <w:color w:val="auto"/>
          <w:kern w:val="0"/>
          <w:szCs w:val="21"/>
        </w:rPr>
        <w:t>1</w:t>
      </w:r>
      <w:r>
        <w:rPr>
          <w:rFonts w:hint="eastAsia"/>
          <w:color w:val="auto"/>
          <w:kern w:val="0"/>
          <w:szCs w:val="21"/>
        </w:rPr>
        <w:t>.满足</w:t>
      </w:r>
      <w:r>
        <w:rPr>
          <w:color w:val="auto"/>
          <w:kern w:val="0"/>
          <w:szCs w:val="21"/>
        </w:rPr>
        <w:t>《中华人民共和国政府采购法》第二十二条规定；</w:t>
      </w:r>
      <w:r>
        <w:rPr>
          <w:color w:val="auto"/>
          <w:szCs w:val="21"/>
        </w:rPr>
        <w:t xml:space="preserve"> </w:t>
      </w:r>
    </w:p>
    <w:p w14:paraId="330B4DED">
      <w:pPr>
        <w:spacing w:line="312" w:lineRule="auto"/>
        <w:ind w:firstLine="420" w:firstLineChars="200"/>
        <w:jc w:val="left"/>
        <w:rPr>
          <w:rFonts w:hint="eastAsia" w:eastAsia="宋体"/>
          <w:strike/>
          <w:color w:val="auto"/>
          <w:kern w:val="0"/>
          <w:szCs w:val="21"/>
          <w:lang w:eastAsia="zh-CN"/>
        </w:rPr>
      </w:pPr>
      <w:r>
        <w:rPr>
          <w:rFonts w:hint="eastAsia"/>
          <w:color w:val="auto"/>
          <w:szCs w:val="21"/>
        </w:rPr>
        <w:t>2.落实政府采购政策需满足的资格要求：</w:t>
      </w:r>
      <w:bookmarkStart w:id="13" w:name="_Hlk132732708"/>
      <w:r>
        <w:rPr>
          <w:rFonts w:hint="eastAsia"/>
          <w:color w:val="auto"/>
          <w:szCs w:val="21"/>
        </w:rPr>
        <w:t>本项目供应商所提供产品制造商均为中小微企业或残疾人福利企业或监狱企业</w:t>
      </w:r>
      <w:r>
        <w:rPr>
          <w:rFonts w:hint="eastAsia"/>
          <w:color w:val="auto"/>
          <w:szCs w:val="21"/>
          <w:lang w:eastAsia="zh-CN"/>
        </w:rPr>
        <w:t>。</w:t>
      </w:r>
    </w:p>
    <w:bookmarkEnd w:id="13"/>
    <w:p w14:paraId="2949B981">
      <w:pPr>
        <w:spacing w:line="312" w:lineRule="auto"/>
        <w:ind w:firstLine="420" w:firstLineChars="200"/>
        <w:jc w:val="left"/>
        <w:rPr>
          <w:color w:val="auto"/>
          <w:kern w:val="0"/>
          <w:szCs w:val="21"/>
        </w:rPr>
      </w:pPr>
      <w:r>
        <w:rPr>
          <w:color w:val="auto"/>
          <w:kern w:val="0"/>
          <w:szCs w:val="21"/>
        </w:rPr>
        <w:t>3</w:t>
      </w:r>
      <w:r>
        <w:rPr>
          <w:rFonts w:hint="eastAsia"/>
          <w:color w:val="auto"/>
          <w:kern w:val="0"/>
          <w:szCs w:val="21"/>
        </w:rPr>
        <w:t>.本项目的</w:t>
      </w:r>
      <w:r>
        <w:rPr>
          <w:color w:val="auto"/>
          <w:kern w:val="0"/>
          <w:szCs w:val="21"/>
        </w:rPr>
        <w:t>特定资格</w:t>
      </w:r>
      <w:r>
        <w:rPr>
          <w:rFonts w:hint="eastAsia"/>
          <w:color w:val="auto"/>
          <w:kern w:val="0"/>
          <w:szCs w:val="21"/>
        </w:rPr>
        <w:t>要求</w:t>
      </w:r>
      <w:r>
        <w:rPr>
          <w:color w:val="auto"/>
          <w:kern w:val="0"/>
          <w:szCs w:val="21"/>
        </w:rPr>
        <w:t>：</w:t>
      </w:r>
      <w:r>
        <w:rPr>
          <w:rFonts w:hint="eastAsia"/>
          <w:color w:val="auto"/>
          <w:kern w:val="0"/>
          <w:szCs w:val="21"/>
          <w:highlight w:val="none"/>
          <w:lang w:val="en-US" w:eastAsia="zh-CN"/>
        </w:rPr>
        <w:t>分标1</w:t>
      </w:r>
    </w:p>
    <w:p w14:paraId="21BBF962">
      <w:pPr>
        <w:spacing w:line="312" w:lineRule="auto"/>
        <w:ind w:firstLine="420" w:firstLineChars="200"/>
        <w:jc w:val="left"/>
        <w:rPr>
          <w:kern w:val="0"/>
          <w:szCs w:val="21"/>
        </w:rPr>
      </w:pPr>
      <w:r>
        <w:rPr>
          <w:kern w:val="0"/>
          <w:szCs w:val="21"/>
        </w:rPr>
        <w:t>（1）资质要求：</w:t>
      </w:r>
    </w:p>
    <w:p w14:paraId="4F1C1A2F">
      <w:pPr>
        <w:spacing w:line="312" w:lineRule="auto"/>
        <w:ind w:firstLine="420" w:firstLineChars="200"/>
        <w:jc w:val="left"/>
        <w:rPr>
          <w:rFonts w:hint="eastAsia"/>
          <w:color w:val="auto"/>
          <w:kern w:val="0"/>
          <w:szCs w:val="21"/>
        </w:rPr>
      </w:pPr>
      <w:r>
        <w:rPr>
          <w:rFonts w:hint="eastAsia"/>
          <w:kern w:val="0"/>
          <w:szCs w:val="21"/>
        </w:rPr>
        <w:t>1.米酒生产企业：须持有合法有效的营业执照、《食品生产许可证（酒类）》或《</w:t>
      </w:r>
      <w:r>
        <w:rPr>
          <w:rFonts w:hint="eastAsia"/>
          <w:kern w:val="0"/>
          <w:szCs w:val="21"/>
          <w:lang w:val="en-US" w:eastAsia="zh-CN"/>
        </w:rPr>
        <w:t>食</w:t>
      </w:r>
      <w:r>
        <w:rPr>
          <w:rFonts w:hint="eastAsia"/>
          <w:kern w:val="0"/>
          <w:szCs w:val="21"/>
        </w:rPr>
        <w:t>品小作坊登记证》（白</w:t>
      </w:r>
      <w:r>
        <w:rPr>
          <w:rFonts w:hint="eastAsia"/>
          <w:color w:val="auto"/>
          <w:kern w:val="0"/>
          <w:szCs w:val="21"/>
        </w:rPr>
        <w:t>酒）</w:t>
      </w:r>
      <w:r>
        <w:rPr>
          <w:rFonts w:hint="eastAsia"/>
          <w:color w:val="auto"/>
          <w:kern w:val="0"/>
          <w:szCs w:val="21"/>
          <w:lang w:eastAsia="zh-CN"/>
        </w:rPr>
        <w:t>、</w:t>
      </w:r>
      <w:r>
        <w:rPr>
          <w:rFonts w:hint="eastAsia"/>
          <w:color w:val="auto"/>
          <w:kern w:val="0"/>
          <w:szCs w:val="21"/>
          <w:lang w:val="en-US" w:eastAsia="zh-CN"/>
        </w:rPr>
        <w:t>投标截止时间前3个月内任意1份米酒合格检验报告单</w:t>
      </w:r>
      <w:r>
        <w:rPr>
          <w:rFonts w:hint="eastAsia"/>
          <w:color w:val="auto"/>
          <w:kern w:val="0"/>
          <w:szCs w:val="21"/>
        </w:rPr>
        <w:t>；</w:t>
      </w:r>
    </w:p>
    <w:p w14:paraId="10FB895D">
      <w:pPr>
        <w:spacing w:line="312" w:lineRule="auto"/>
        <w:ind w:firstLine="420" w:firstLineChars="200"/>
        <w:jc w:val="left"/>
        <w:rPr>
          <w:rFonts w:hint="default"/>
          <w:color w:val="auto"/>
          <w:kern w:val="0"/>
          <w:szCs w:val="21"/>
          <w:lang w:val="en-US"/>
        </w:rPr>
      </w:pPr>
      <w:r>
        <w:rPr>
          <w:rFonts w:hint="eastAsia"/>
          <w:color w:val="auto"/>
          <w:kern w:val="0"/>
          <w:szCs w:val="21"/>
        </w:rPr>
        <w:t>2.米酒经营企业：须持有合法有效的营业执照、《食品经营许可证》（酒类），</w:t>
      </w:r>
      <w:r>
        <w:rPr>
          <w:rFonts w:hint="eastAsia"/>
          <w:color w:val="auto"/>
          <w:kern w:val="0"/>
          <w:szCs w:val="21"/>
          <w:lang w:val="en-US" w:eastAsia="zh-CN"/>
        </w:rPr>
        <w:t>米酒生产企业合法有效的营业执照、</w:t>
      </w:r>
      <w:r>
        <w:rPr>
          <w:rFonts w:hint="eastAsia"/>
          <w:color w:val="auto"/>
          <w:kern w:val="0"/>
          <w:szCs w:val="21"/>
        </w:rPr>
        <w:t>《食品生产许可证（酒类）》或《</w:t>
      </w:r>
      <w:r>
        <w:rPr>
          <w:rFonts w:hint="eastAsia"/>
          <w:color w:val="auto"/>
          <w:kern w:val="0"/>
          <w:szCs w:val="21"/>
          <w:lang w:val="en-US" w:eastAsia="zh-CN"/>
        </w:rPr>
        <w:t>食</w:t>
      </w:r>
      <w:r>
        <w:rPr>
          <w:rFonts w:hint="eastAsia"/>
          <w:color w:val="auto"/>
          <w:kern w:val="0"/>
          <w:szCs w:val="21"/>
        </w:rPr>
        <w:t>品小作坊登记证》（白酒）</w:t>
      </w:r>
      <w:r>
        <w:rPr>
          <w:rFonts w:hint="eastAsia"/>
          <w:color w:val="auto"/>
          <w:kern w:val="0"/>
          <w:szCs w:val="21"/>
          <w:lang w:eastAsia="zh-CN"/>
        </w:rPr>
        <w:t>、</w:t>
      </w:r>
      <w:r>
        <w:rPr>
          <w:rFonts w:hint="eastAsia"/>
          <w:color w:val="auto"/>
          <w:kern w:val="0"/>
          <w:szCs w:val="21"/>
          <w:lang w:val="en-US" w:eastAsia="zh-CN"/>
        </w:rPr>
        <w:t>投标截止时间前3个月内任意1份米酒合格检验报告单。</w:t>
      </w:r>
    </w:p>
    <w:p w14:paraId="58CFA1AC">
      <w:pPr>
        <w:spacing w:line="312" w:lineRule="auto"/>
        <w:ind w:firstLine="420" w:firstLineChars="200"/>
        <w:jc w:val="left"/>
        <w:rPr>
          <w:color w:val="4472C4"/>
          <w:kern w:val="0"/>
          <w:szCs w:val="21"/>
        </w:rPr>
      </w:pPr>
      <w:r>
        <w:rPr>
          <w:kern w:val="0"/>
          <w:szCs w:val="21"/>
        </w:rPr>
        <w:t>（2）业绩要求：无。</w:t>
      </w:r>
      <w:bookmarkStart w:id="14" w:name="_Hlk77608117"/>
    </w:p>
    <w:bookmarkEnd w:id="14"/>
    <w:p w14:paraId="6B54F674">
      <w:pPr>
        <w:spacing w:line="312" w:lineRule="auto"/>
        <w:ind w:firstLine="420" w:firstLineChars="200"/>
        <w:jc w:val="left"/>
        <w:rPr>
          <w:kern w:val="0"/>
          <w:szCs w:val="21"/>
          <w:highlight w:val="none"/>
        </w:rPr>
      </w:pPr>
      <w:r>
        <w:rPr>
          <w:rFonts w:hint="eastAsia"/>
          <w:kern w:val="0"/>
          <w:szCs w:val="21"/>
        </w:rPr>
        <w:t>（</w:t>
      </w:r>
      <w:r>
        <w:rPr>
          <w:kern w:val="0"/>
          <w:szCs w:val="21"/>
        </w:rPr>
        <w:t>3</w:t>
      </w:r>
      <w:r>
        <w:rPr>
          <w:rFonts w:hint="eastAsia"/>
          <w:kern w:val="0"/>
          <w:szCs w:val="21"/>
        </w:rPr>
        <w:t>）</w:t>
      </w:r>
      <w:r>
        <w:rPr>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kern w:val="0"/>
          <w:szCs w:val="21"/>
        </w:rPr>
        <w:t>本</w:t>
      </w:r>
      <w:r>
        <w:rPr>
          <w:kern w:val="0"/>
          <w:szCs w:val="21"/>
        </w:rPr>
        <w:t>项目的</w:t>
      </w:r>
      <w:r>
        <w:rPr>
          <w:kern w:val="0"/>
          <w:szCs w:val="21"/>
          <w:highlight w:val="none"/>
        </w:rPr>
        <w:t>采购活动</w:t>
      </w:r>
      <w:r>
        <w:rPr>
          <w:rFonts w:hint="eastAsia"/>
          <w:kern w:val="0"/>
          <w:szCs w:val="21"/>
          <w:highlight w:val="none"/>
        </w:rPr>
        <w:t>。</w:t>
      </w:r>
    </w:p>
    <w:p w14:paraId="3CCF5E95">
      <w:pPr>
        <w:spacing w:line="312" w:lineRule="auto"/>
        <w:ind w:firstLine="420" w:firstLineChars="200"/>
        <w:jc w:val="left"/>
        <w:rPr>
          <w:kern w:val="0"/>
          <w:szCs w:val="21"/>
          <w:highlight w:val="none"/>
        </w:rPr>
      </w:pPr>
      <w:r>
        <w:rPr>
          <w:rFonts w:hint="eastAsia"/>
          <w:kern w:val="0"/>
          <w:szCs w:val="21"/>
          <w:highlight w:val="none"/>
        </w:rPr>
        <w:t>（</w:t>
      </w:r>
      <w:r>
        <w:rPr>
          <w:kern w:val="0"/>
          <w:szCs w:val="21"/>
          <w:highlight w:val="none"/>
        </w:rPr>
        <w:t>4</w:t>
      </w:r>
      <w:r>
        <w:rPr>
          <w:rFonts w:hint="eastAsia"/>
          <w:kern w:val="0"/>
          <w:szCs w:val="21"/>
          <w:highlight w:val="none"/>
        </w:rPr>
        <w:t>）</w:t>
      </w:r>
      <w:r>
        <w:rPr>
          <w:kern w:val="0"/>
          <w:szCs w:val="21"/>
          <w:highlight w:val="none"/>
        </w:rPr>
        <w:t>未被列入失信被执行人、重大税收违法失信主体、政府采购严重违法失信行为记录名单。</w:t>
      </w:r>
    </w:p>
    <w:p w14:paraId="564A9306">
      <w:pPr>
        <w:spacing w:line="312" w:lineRule="auto"/>
        <w:ind w:firstLine="420" w:firstLineChars="200"/>
        <w:jc w:val="left"/>
        <w:rPr>
          <w:color w:val="auto"/>
          <w:kern w:val="0"/>
          <w:szCs w:val="21"/>
          <w:highlight w:val="none"/>
        </w:rPr>
      </w:pPr>
      <w:r>
        <w:rPr>
          <w:rFonts w:hint="eastAsia"/>
          <w:kern w:val="0"/>
          <w:szCs w:val="21"/>
          <w:highlight w:val="none"/>
        </w:rPr>
        <w:t>（5）本</w:t>
      </w:r>
      <w:r>
        <w:rPr>
          <w:rFonts w:hint="eastAsia"/>
          <w:color w:val="auto"/>
          <w:kern w:val="0"/>
          <w:szCs w:val="21"/>
          <w:highlight w:val="none"/>
        </w:rPr>
        <w:t>项目允许分公司参与投标。</w:t>
      </w:r>
    </w:p>
    <w:p w14:paraId="296E6A37">
      <w:pPr>
        <w:spacing w:line="312" w:lineRule="auto"/>
        <w:ind w:firstLine="420" w:firstLineChars="200"/>
        <w:jc w:val="left"/>
        <w:rPr>
          <w:color w:val="auto"/>
          <w:kern w:val="0"/>
          <w:szCs w:val="21"/>
          <w:highlight w:val="none"/>
        </w:rPr>
      </w:pPr>
      <w:bookmarkStart w:id="15" w:name="_Hlk132732817"/>
      <w:r>
        <w:rPr>
          <w:rFonts w:hint="eastAsia"/>
          <w:color w:val="auto"/>
          <w:szCs w:val="21"/>
          <w:highlight w:val="none"/>
        </w:rPr>
        <w:t>（</w:t>
      </w:r>
      <w:r>
        <w:rPr>
          <w:color w:val="auto"/>
          <w:szCs w:val="21"/>
          <w:highlight w:val="none"/>
        </w:rPr>
        <w:t>6</w:t>
      </w:r>
      <w:r>
        <w:rPr>
          <w:rFonts w:hint="eastAsia"/>
          <w:color w:val="auto"/>
          <w:szCs w:val="21"/>
          <w:highlight w:val="none"/>
        </w:rPr>
        <w:t>）</w:t>
      </w:r>
      <w:r>
        <w:rPr>
          <w:rFonts w:hint="eastAsia"/>
          <w:color w:val="auto"/>
          <w:kern w:val="0"/>
          <w:szCs w:val="21"/>
          <w:highlight w:val="none"/>
        </w:rPr>
        <w:t>本项目不允许分包。</w:t>
      </w:r>
    </w:p>
    <w:p w14:paraId="1024CFF7">
      <w:pPr>
        <w:spacing w:line="312" w:lineRule="auto"/>
        <w:ind w:firstLine="420" w:firstLineChars="200"/>
        <w:jc w:val="left"/>
        <w:rPr>
          <w:szCs w:val="21"/>
          <w:highlight w:val="none"/>
        </w:rPr>
      </w:pPr>
      <w:r>
        <w:rPr>
          <w:rFonts w:hint="eastAsia"/>
          <w:color w:val="auto"/>
          <w:kern w:val="0"/>
          <w:szCs w:val="21"/>
          <w:highlight w:val="none"/>
        </w:rPr>
        <w:t>（</w:t>
      </w:r>
      <w:r>
        <w:rPr>
          <w:color w:val="auto"/>
          <w:kern w:val="0"/>
          <w:szCs w:val="21"/>
          <w:highlight w:val="none"/>
        </w:rPr>
        <w:t>7</w:t>
      </w:r>
      <w:r>
        <w:rPr>
          <w:rFonts w:hint="eastAsia"/>
          <w:color w:val="auto"/>
          <w:kern w:val="0"/>
          <w:szCs w:val="21"/>
          <w:highlight w:val="none"/>
        </w:rPr>
        <w:t>）</w:t>
      </w:r>
      <w:r>
        <w:rPr>
          <w:color w:val="auto"/>
          <w:kern w:val="0"/>
          <w:szCs w:val="21"/>
          <w:highlight w:val="none"/>
        </w:rPr>
        <w:t>本项目不接受联合</w:t>
      </w:r>
      <w:r>
        <w:rPr>
          <w:kern w:val="0"/>
          <w:szCs w:val="21"/>
          <w:highlight w:val="none"/>
        </w:rPr>
        <w:t>体投标。</w:t>
      </w:r>
    </w:p>
    <w:bookmarkEnd w:id="15"/>
    <w:p w14:paraId="64CC77AF">
      <w:pPr>
        <w:spacing w:line="312" w:lineRule="auto"/>
        <w:ind w:firstLine="420" w:firstLineChars="200"/>
        <w:jc w:val="left"/>
        <w:rPr>
          <w:kern w:val="0"/>
          <w:szCs w:val="21"/>
        </w:rPr>
      </w:pPr>
      <w:r>
        <w:rPr>
          <w:rFonts w:hint="eastAsia"/>
          <w:kern w:val="0"/>
          <w:szCs w:val="21"/>
          <w:highlight w:val="none"/>
        </w:rPr>
        <w:t>（</w:t>
      </w:r>
      <w:r>
        <w:rPr>
          <w:kern w:val="0"/>
          <w:szCs w:val="21"/>
          <w:highlight w:val="none"/>
        </w:rPr>
        <w:t>8</w:t>
      </w:r>
      <w:r>
        <w:rPr>
          <w:rFonts w:hint="eastAsia"/>
          <w:kern w:val="0"/>
          <w:szCs w:val="21"/>
          <w:highlight w:val="none"/>
        </w:rPr>
        <w:t>）</w:t>
      </w:r>
      <w:r>
        <w:rPr>
          <w:kern w:val="0"/>
          <w:szCs w:val="21"/>
          <w:highlight w:val="none"/>
        </w:rPr>
        <w:t>按照招标公告规定获得招标文</w:t>
      </w:r>
      <w:r>
        <w:rPr>
          <w:kern w:val="0"/>
          <w:szCs w:val="21"/>
        </w:rPr>
        <w:t>件。</w:t>
      </w:r>
      <w:r>
        <w:rPr>
          <w:rFonts w:hint="eastAsia"/>
          <w:kern w:val="0"/>
          <w:szCs w:val="21"/>
        </w:rPr>
        <w:t>招标文件有规定时按要求提交投标保证金。</w:t>
      </w:r>
    </w:p>
    <w:p w14:paraId="366B822C">
      <w:pPr>
        <w:spacing w:line="312" w:lineRule="auto"/>
        <w:ind w:firstLine="442" w:firstLineChars="200"/>
        <w:jc w:val="left"/>
        <w:rPr>
          <w:b/>
          <w:bCs/>
          <w:kern w:val="0"/>
          <w:sz w:val="22"/>
          <w:szCs w:val="22"/>
          <w:highlight w:val="none"/>
        </w:rPr>
      </w:pPr>
      <w:r>
        <w:rPr>
          <w:rFonts w:hint="eastAsia"/>
          <w:b/>
          <w:bCs/>
          <w:kern w:val="0"/>
          <w:sz w:val="22"/>
          <w:szCs w:val="22"/>
          <w:highlight w:val="none"/>
        </w:rPr>
        <w:t>三、获取招标文件</w:t>
      </w:r>
    </w:p>
    <w:p w14:paraId="6A14E108">
      <w:pPr>
        <w:spacing w:line="312" w:lineRule="auto"/>
        <w:ind w:firstLine="420" w:firstLineChars="200"/>
        <w:jc w:val="left"/>
        <w:rPr>
          <w:highlight w:val="none"/>
        </w:rPr>
      </w:pPr>
      <w:bookmarkStart w:id="16" w:name="_Hlk19048251"/>
      <w:r>
        <w:rPr>
          <w:rFonts w:hint="eastAsia" w:ascii="宋体" w:hAnsi="宋体" w:eastAsia="宋体" w:cs="宋体"/>
          <w:highlight w:val="none"/>
        </w:rPr>
        <w:t>时</w:t>
      </w:r>
      <w:r>
        <w:rPr>
          <w:rFonts w:hint="eastAsia" w:ascii="宋体" w:hAnsi="宋体" w:eastAsia="宋体" w:cs="宋体"/>
          <w:color w:val="auto"/>
          <w:highlight w:val="none"/>
        </w:rPr>
        <w:t>间：</w:t>
      </w:r>
      <w:r>
        <w:rPr>
          <w:rFonts w:hint="eastAsia" w:ascii="宋体" w:hAnsi="宋体" w:eastAsia="宋体" w:cs="宋体"/>
          <w:color w:val="auto"/>
          <w:highlight w:val="none"/>
          <w:u w:val="none"/>
        </w:rPr>
        <w:t>20</w:t>
      </w:r>
      <w:r>
        <w:rPr>
          <w:rFonts w:hint="eastAsia" w:ascii="宋体" w:hAnsi="宋体" w:eastAsia="宋体" w:cs="宋体"/>
          <w:color w:val="auto"/>
          <w:highlight w:val="none"/>
          <w:u w:val="none"/>
          <w:lang w:val="en-US" w:eastAsia="zh-CN"/>
        </w:rPr>
        <w:t>26</w:t>
      </w:r>
      <w:r>
        <w:rPr>
          <w:rFonts w:hint="eastAsia" w:ascii="宋体" w:hAnsi="宋体" w:eastAsia="宋体" w:cs="宋体"/>
          <w:color w:val="auto"/>
          <w:highlight w:val="none"/>
          <w:u w:val="none"/>
        </w:rPr>
        <w:t>年</w:t>
      </w:r>
      <w:r>
        <w:rPr>
          <w:rFonts w:hint="eastAsia" w:ascii="宋体" w:hAnsi="宋体" w:cs="宋体"/>
          <w:color w:val="auto"/>
          <w:highlight w:val="none"/>
          <w:u w:val="none"/>
          <w:lang w:val="en-US" w:eastAsia="zh-CN"/>
        </w:rPr>
        <w:t>9</w:t>
      </w:r>
      <w:r>
        <w:rPr>
          <w:rFonts w:hint="eastAsia" w:ascii="宋体" w:hAnsi="宋体" w:eastAsia="宋体" w:cs="宋体"/>
          <w:color w:val="auto"/>
          <w:highlight w:val="none"/>
          <w:u w:val="none"/>
        </w:rPr>
        <w:t>月</w:t>
      </w:r>
      <w:r>
        <w:rPr>
          <w:rFonts w:hint="eastAsia" w:ascii="宋体" w:hAnsi="宋体" w:cs="宋体"/>
          <w:color w:val="auto"/>
          <w:highlight w:val="none"/>
          <w:u w:val="none"/>
          <w:lang w:val="en-US" w:eastAsia="zh-CN"/>
        </w:rPr>
        <w:t>15</w:t>
      </w:r>
      <w:r>
        <w:rPr>
          <w:rFonts w:hint="eastAsia" w:ascii="宋体" w:hAnsi="宋体" w:eastAsia="宋体" w:cs="宋体"/>
          <w:color w:val="auto"/>
          <w:highlight w:val="none"/>
          <w:u w:val="none"/>
        </w:rPr>
        <w:t>日起至20</w:t>
      </w:r>
      <w:r>
        <w:rPr>
          <w:rFonts w:hint="eastAsia" w:ascii="宋体" w:hAnsi="宋体" w:eastAsia="宋体" w:cs="宋体"/>
          <w:color w:val="auto"/>
          <w:highlight w:val="none"/>
          <w:u w:val="none"/>
          <w:lang w:val="en-US" w:eastAsia="zh-CN"/>
        </w:rPr>
        <w:t>26</w:t>
      </w:r>
      <w:r>
        <w:rPr>
          <w:rFonts w:hint="eastAsia" w:ascii="宋体" w:hAnsi="宋体" w:eastAsia="宋体" w:cs="宋体"/>
          <w:color w:val="auto"/>
          <w:highlight w:val="none"/>
          <w:u w:val="none"/>
        </w:rPr>
        <w:t>年</w:t>
      </w:r>
      <w:r>
        <w:rPr>
          <w:rFonts w:hint="eastAsia" w:ascii="宋体" w:hAnsi="宋体" w:cs="宋体"/>
          <w:color w:val="auto"/>
          <w:highlight w:val="none"/>
          <w:u w:val="none"/>
          <w:lang w:val="en-US" w:eastAsia="zh-CN"/>
        </w:rPr>
        <w:t>9</w:t>
      </w:r>
      <w:r>
        <w:rPr>
          <w:rFonts w:hint="eastAsia" w:ascii="宋体" w:hAnsi="宋体" w:eastAsia="宋体" w:cs="宋体"/>
          <w:color w:val="auto"/>
          <w:highlight w:val="none"/>
          <w:u w:val="none"/>
        </w:rPr>
        <w:t>月</w:t>
      </w:r>
      <w:r>
        <w:rPr>
          <w:rFonts w:hint="eastAsia" w:ascii="宋体" w:hAnsi="宋体" w:cs="宋体"/>
          <w:color w:val="auto"/>
          <w:highlight w:val="none"/>
          <w:u w:val="none"/>
          <w:lang w:val="en-US" w:eastAsia="zh-CN"/>
        </w:rPr>
        <w:t>24</w:t>
      </w:r>
      <w:r>
        <w:rPr>
          <w:rFonts w:hint="eastAsia" w:ascii="宋体" w:hAnsi="宋体" w:eastAsia="宋体" w:cs="宋体"/>
          <w:color w:val="auto"/>
          <w:highlight w:val="none"/>
          <w:u w:val="none"/>
        </w:rPr>
        <w:t>日</w:t>
      </w:r>
      <w:r>
        <w:rPr>
          <w:rFonts w:hint="eastAsia" w:ascii="宋体" w:hAnsi="宋体" w:eastAsia="宋体" w:cs="宋体"/>
          <w:color w:val="auto"/>
          <w:highlight w:val="none"/>
        </w:rPr>
        <w:t>，每天上午</w:t>
      </w:r>
      <w:bookmarkStart w:id="17" w:name="_Hlk132878196"/>
      <w:r>
        <w:rPr>
          <w:rFonts w:hint="eastAsia" w:ascii="宋体" w:hAnsi="宋体" w:eastAsia="宋体" w:cs="宋体"/>
          <w:color w:val="auto"/>
          <w:highlight w:val="none"/>
          <w:u w:val="none"/>
          <w:lang w:val="en-US" w:eastAsia="zh-CN"/>
        </w:rPr>
        <w:t>08：00：00</w:t>
      </w:r>
      <w:r>
        <w:rPr>
          <w:rFonts w:hint="eastAsia" w:ascii="宋体" w:hAnsi="宋体" w:eastAsia="宋体" w:cs="宋体"/>
          <w:color w:val="auto"/>
          <w:highlight w:val="none"/>
          <w:u w:val="none"/>
        </w:rPr>
        <w:t>至</w:t>
      </w:r>
      <w:r>
        <w:rPr>
          <w:rFonts w:hint="eastAsia" w:ascii="宋体" w:hAnsi="宋体" w:eastAsia="宋体" w:cs="宋体"/>
          <w:color w:val="auto"/>
          <w:highlight w:val="none"/>
          <w:u w:val="none"/>
          <w:lang w:val="en-US" w:eastAsia="zh-CN"/>
        </w:rPr>
        <w:t>12：00：00</w:t>
      </w:r>
      <w:r>
        <w:rPr>
          <w:rFonts w:hint="eastAsia" w:ascii="宋体" w:hAnsi="宋体" w:eastAsia="宋体" w:cs="宋体"/>
          <w:color w:val="auto"/>
          <w:highlight w:val="none"/>
          <w:u w:val="none"/>
        </w:rPr>
        <w:t>，下午</w:t>
      </w:r>
      <w:r>
        <w:rPr>
          <w:rFonts w:hint="eastAsia" w:ascii="宋体" w:hAnsi="宋体" w:eastAsia="宋体" w:cs="宋体"/>
          <w:color w:val="auto"/>
          <w:highlight w:val="none"/>
          <w:u w:val="none"/>
          <w:lang w:val="en-US" w:eastAsia="zh-CN"/>
        </w:rPr>
        <w:t>15：00：00</w:t>
      </w:r>
      <w:r>
        <w:rPr>
          <w:rFonts w:hint="eastAsia" w:ascii="宋体" w:hAnsi="宋体" w:eastAsia="宋体" w:cs="宋体"/>
          <w:color w:val="auto"/>
          <w:highlight w:val="none"/>
          <w:u w:val="none"/>
        </w:rPr>
        <w:t>至</w:t>
      </w:r>
      <w:bookmarkEnd w:id="17"/>
      <w:r>
        <w:rPr>
          <w:rFonts w:hint="eastAsia" w:ascii="宋体" w:hAnsi="宋体" w:eastAsia="宋体" w:cs="宋体"/>
          <w:color w:val="auto"/>
          <w:highlight w:val="none"/>
          <w:u w:val="none"/>
          <w:lang w:val="en-US" w:eastAsia="zh-CN"/>
        </w:rPr>
        <w:t>18：00：00</w:t>
      </w:r>
      <w:r>
        <w:rPr>
          <w:rFonts w:hint="eastAsia" w:ascii="宋体" w:hAnsi="宋体" w:eastAsia="宋体" w:cs="宋体"/>
          <w:color w:val="auto"/>
          <w:highlight w:val="none"/>
        </w:rPr>
        <w:t>（北京时间，法</w:t>
      </w:r>
      <w:r>
        <w:rPr>
          <w:rFonts w:hint="eastAsia" w:ascii="宋体" w:hAnsi="宋体" w:eastAsia="宋体" w:cs="宋体"/>
          <w:highlight w:val="none"/>
        </w:rPr>
        <w:t>定节假日除外）</w:t>
      </w:r>
      <w:r>
        <w:rPr>
          <w:rFonts w:hint="eastAsia"/>
          <w:highlight w:val="none"/>
        </w:rPr>
        <w:t>。</w:t>
      </w:r>
    </w:p>
    <w:p w14:paraId="2D816E03">
      <w:pPr>
        <w:spacing w:line="312" w:lineRule="auto"/>
        <w:ind w:firstLine="420" w:firstLineChars="200"/>
        <w:jc w:val="left"/>
        <w:rPr>
          <w:color w:val="4472C4"/>
          <w:szCs w:val="21"/>
          <w:highlight w:val="none"/>
        </w:rPr>
      </w:pPr>
      <w:r>
        <w:rPr>
          <w:rFonts w:hint="eastAsia"/>
          <w:highlight w:val="none"/>
        </w:rPr>
        <w:t>地点（网址）：</w:t>
      </w:r>
      <w:bookmarkStart w:id="18" w:name="_Hlk132878204"/>
      <w:bookmarkStart w:id="19" w:name="_Hlk132880625"/>
      <w:bookmarkStart w:id="20" w:name="_Hlk160186293"/>
      <w:r>
        <w:rPr>
          <w:rFonts w:hint="eastAsia" w:ascii="宋体" w:hAnsi="宋体" w:eastAsia="宋体" w:cs="宋体"/>
          <w:color w:val="auto"/>
          <w:kern w:val="0"/>
          <w:szCs w:val="21"/>
          <w:highlight w:val="none"/>
        </w:rPr>
        <w:t>广西政府采购云平台</w:t>
      </w:r>
      <w:bookmarkEnd w:id="18"/>
      <w:bookmarkEnd w:id="19"/>
      <w:r>
        <w:rPr>
          <w:rFonts w:hint="eastAsia" w:ascii="宋体" w:hAnsi="宋体" w:eastAsia="宋体" w:cs="宋体"/>
          <w:color w:val="auto"/>
          <w:szCs w:val="21"/>
          <w:highlight w:val="none"/>
        </w:rPr>
        <w:t>（</w:t>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"https://www.gcy.zfcg.gxzf.gov.cn/" </w:instrText>
      </w:r>
      <w:r>
        <w:rPr>
          <w:rFonts w:hint="eastAsia" w:ascii="宋体" w:hAnsi="宋体" w:eastAsia="宋体" w:cs="宋体"/>
          <w:color w:val="auto"/>
          <w:szCs w:val="21"/>
          <w:highlight w:val="none"/>
        </w:rPr>
        <w:fldChar w:fldCharType="separate"/>
      </w:r>
      <w:r>
        <w:rPr>
          <w:rStyle w:val="59"/>
          <w:rFonts w:hint="eastAsia" w:ascii="宋体" w:hAnsi="宋体" w:eastAsia="宋体" w:cs="宋体"/>
          <w:color w:val="auto"/>
          <w:szCs w:val="21"/>
          <w:highlight w:val="none"/>
          <w:u w:val="none"/>
        </w:rPr>
        <w:t>https://www.gcy.zfcg.gxzf.gov.cn/</w:t>
      </w:r>
      <w:r>
        <w:rPr>
          <w:rFonts w:hint="eastAsia" w:ascii="宋体" w:hAnsi="宋体" w:eastAsia="宋体" w:cs="宋体"/>
          <w:color w:val="auto"/>
          <w:szCs w:val="21"/>
          <w:highlight w:val="none"/>
        </w:rPr>
        <w:fldChar w:fldCharType="end"/>
      </w:r>
      <w:r>
        <w:rPr>
          <w:rFonts w:hint="eastAsia" w:ascii="宋体" w:hAnsi="宋体" w:eastAsia="宋体" w:cs="宋体"/>
          <w:color w:val="auto"/>
          <w:szCs w:val="21"/>
          <w:highlight w:val="none"/>
        </w:rPr>
        <w:t>）</w:t>
      </w:r>
    </w:p>
    <w:bookmarkEnd w:id="20"/>
    <w:p w14:paraId="7A323940">
      <w:pPr>
        <w:spacing w:line="312" w:lineRule="auto"/>
        <w:ind w:firstLine="420" w:firstLineChars="200"/>
        <w:jc w:val="left"/>
        <w:rPr>
          <w:color w:val="4472C4"/>
          <w:szCs w:val="21"/>
        </w:rPr>
      </w:pPr>
      <w:r>
        <w:rPr>
          <w:rFonts w:hint="eastAsia"/>
          <w:szCs w:val="21"/>
          <w:highlight w:val="none"/>
        </w:rPr>
        <w:t>方式：</w:t>
      </w:r>
      <w:bookmarkStart w:id="21" w:name="_Hlk132878211"/>
      <w:bookmarkStart w:id="22" w:name="_Hlk132732941"/>
      <w:r>
        <w:rPr>
          <w:rFonts w:hint="eastAsia" w:ascii="宋体" w:hAnsi="宋体" w:eastAsia="宋体" w:cs="宋体"/>
          <w:color w:val="auto"/>
          <w:szCs w:val="21"/>
          <w:highlight w:val="none"/>
        </w:rPr>
        <w:t>供应商登录广西政府采购云平台在线申请获取</w:t>
      </w:r>
      <w:r>
        <w:rPr>
          <w:rFonts w:hint="eastAsia" w:ascii="宋体" w:hAnsi="宋体" w:eastAsia="宋体" w:cs="宋体"/>
          <w:color w:val="auto"/>
          <w:szCs w:val="21"/>
        </w:rPr>
        <w:t>采购文件（进入“项目采购”应用，在获取采购文件菜单中选择项目，申请获取采购文件）</w:t>
      </w:r>
      <w:bookmarkEnd w:id="21"/>
    </w:p>
    <w:bookmarkEnd w:id="22"/>
    <w:p w14:paraId="3DD11E27">
      <w:pPr>
        <w:spacing w:line="312" w:lineRule="auto"/>
        <w:ind w:firstLine="420" w:firstLineChars="200"/>
        <w:jc w:val="left"/>
        <w:rPr>
          <w:color w:val="4472C4"/>
        </w:rPr>
      </w:pPr>
      <w:r>
        <w:rPr>
          <w:rFonts w:hint="eastAsia"/>
        </w:rPr>
        <w:t>售价（元</w:t>
      </w:r>
      <w:r>
        <w:rPr>
          <w:rFonts w:hint="eastAsia"/>
          <w:color w:val="auto"/>
        </w:rPr>
        <w:t>）：</w:t>
      </w:r>
      <w:r>
        <w:rPr>
          <w:color w:val="auto"/>
        </w:rPr>
        <w:t>0</w:t>
      </w:r>
    </w:p>
    <w:bookmarkEnd w:id="16"/>
    <w:p w14:paraId="6BDD6341">
      <w:pPr>
        <w:spacing w:line="312" w:lineRule="auto"/>
        <w:ind w:firstLine="442" w:firstLineChars="200"/>
        <w:jc w:val="left"/>
        <w:rPr>
          <w:b/>
          <w:bCs/>
          <w:kern w:val="0"/>
          <w:sz w:val="22"/>
          <w:szCs w:val="22"/>
        </w:rPr>
      </w:pPr>
      <w:r>
        <w:rPr>
          <w:rFonts w:hint="eastAsia"/>
          <w:b/>
          <w:bCs/>
          <w:kern w:val="0"/>
          <w:sz w:val="22"/>
          <w:szCs w:val="22"/>
        </w:rPr>
        <w:t>四、提交投标文件截止时间、开标时间和地点</w:t>
      </w:r>
    </w:p>
    <w:p w14:paraId="0E71AC7D">
      <w:pPr>
        <w:spacing w:line="312" w:lineRule="auto"/>
        <w:ind w:firstLine="420" w:firstLineChars="200"/>
        <w:jc w:val="left"/>
        <w:rPr>
          <w:kern w:val="0"/>
          <w:szCs w:val="21"/>
          <w:highlight w:val="none"/>
        </w:rPr>
      </w:pPr>
      <w:r>
        <w:rPr>
          <w:rFonts w:hint="eastAsia"/>
          <w:kern w:val="0"/>
          <w:szCs w:val="21"/>
        </w:rPr>
        <w:t>提交投标</w:t>
      </w:r>
      <w:r>
        <w:rPr>
          <w:rFonts w:hint="eastAsia"/>
          <w:kern w:val="0"/>
          <w:szCs w:val="21"/>
          <w:highlight w:val="none"/>
        </w:rPr>
        <w:t>文件截止时间：</w:t>
      </w:r>
      <w:r>
        <w:rPr>
          <w:rFonts w:hint="eastAsia" w:ascii="宋体" w:hAnsi="宋体" w:eastAsia="宋体" w:cs="宋体"/>
          <w:color w:val="auto"/>
          <w:kern w:val="0"/>
          <w:szCs w:val="21"/>
          <w:highlight w:val="none"/>
          <w:u w:val="none"/>
        </w:rPr>
        <w:t>20</w:t>
      </w:r>
      <w:r>
        <w:rPr>
          <w:rFonts w:hint="eastAsia" w:ascii="宋体" w:hAnsi="宋体" w:eastAsia="宋体" w:cs="宋体"/>
          <w:color w:val="auto"/>
          <w:kern w:val="0"/>
          <w:szCs w:val="21"/>
          <w:highlight w:val="none"/>
          <w:u w:val="none"/>
          <w:lang w:val="en-US" w:eastAsia="zh-CN"/>
        </w:rPr>
        <w:t>26</w:t>
      </w:r>
      <w:r>
        <w:rPr>
          <w:rFonts w:hint="eastAsia" w:ascii="宋体" w:hAnsi="宋体" w:eastAsia="宋体" w:cs="宋体"/>
          <w:color w:val="auto"/>
          <w:kern w:val="0"/>
          <w:szCs w:val="21"/>
          <w:highlight w:val="none"/>
          <w:u w:val="none"/>
        </w:rPr>
        <w:t>年</w:t>
      </w:r>
      <w:r>
        <w:rPr>
          <w:rFonts w:hint="eastAsia" w:ascii="宋体" w:hAnsi="宋体" w:cs="宋体"/>
          <w:color w:val="auto"/>
          <w:kern w:val="0"/>
          <w:szCs w:val="21"/>
          <w:highlight w:val="none"/>
          <w:u w:val="none"/>
          <w:lang w:val="en-US" w:eastAsia="zh-CN"/>
        </w:rPr>
        <w:t>10</w:t>
      </w:r>
      <w:r>
        <w:rPr>
          <w:rFonts w:hint="eastAsia" w:ascii="宋体" w:hAnsi="宋体" w:eastAsia="宋体" w:cs="宋体"/>
          <w:color w:val="auto"/>
          <w:kern w:val="0"/>
          <w:szCs w:val="21"/>
          <w:highlight w:val="none"/>
          <w:u w:val="none"/>
        </w:rPr>
        <w:t>月</w:t>
      </w:r>
      <w:r>
        <w:rPr>
          <w:rFonts w:hint="eastAsia" w:ascii="宋体" w:hAnsi="宋体" w:cs="宋体"/>
          <w:color w:val="auto"/>
          <w:kern w:val="0"/>
          <w:szCs w:val="21"/>
          <w:highlight w:val="none"/>
          <w:u w:val="none"/>
          <w:lang w:val="en-US" w:eastAsia="zh-CN"/>
        </w:rPr>
        <w:t>12</w:t>
      </w:r>
      <w:r>
        <w:rPr>
          <w:rFonts w:hint="eastAsia" w:ascii="宋体" w:hAnsi="宋体" w:eastAsia="宋体" w:cs="宋体"/>
          <w:color w:val="auto"/>
          <w:kern w:val="0"/>
          <w:szCs w:val="21"/>
          <w:highlight w:val="none"/>
          <w:u w:val="none"/>
        </w:rPr>
        <w:t>日</w:t>
      </w:r>
      <w:r>
        <w:rPr>
          <w:rFonts w:hint="eastAsia" w:ascii="宋体" w:hAnsi="宋体" w:eastAsia="宋体" w:cs="宋体"/>
          <w:color w:val="auto"/>
          <w:highlight w:val="none"/>
          <w:u w:val="none"/>
          <w:lang w:val="en-US" w:eastAsia="zh-CN"/>
        </w:rPr>
        <w:t>09：00</w:t>
      </w:r>
      <w:r>
        <w:rPr>
          <w:rFonts w:hint="eastAsia"/>
          <w:kern w:val="0"/>
          <w:szCs w:val="21"/>
          <w:highlight w:val="none"/>
        </w:rPr>
        <w:t>（北京时间）</w:t>
      </w:r>
    </w:p>
    <w:p w14:paraId="25B57A24">
      <w:pPr>
        <w:spacing w:line="312" w:lineRule="auto"/>
        <w:ind w:firstLine="420" w:firstLineChars="200"/>
        <w:jc w:val="left"/>
        <w:rPr>
          <w:color w:val="FF0000"/>
          <w:kern w:val="0"/>
          <w:szCs w:val="21"/>
          <w:highlight w:val="none"/>
        </w:rPr>
      </w:pPr>
      <w:r>
        <w:rPr>
          <w:rFonts w:hint="eastAsia"/>
          <w:kern w:val="0"/>
          <w:szCs w:val="21"/>
          <w:highlight w:val="none"/>
        </w:rPr>
        <w:t>投标地点（网址）：</w:t>
      </w:r>
      <w:bookmarkStart w:id="23" w:name="_Hlk88997081"/>
      <w:r>
        <w:rPr>
          <w:rFonts w:hint="eastAsia" w:ascii="宋体" w:hAnsi="宋体" w:eastAsia="宋体" w:cs="宋体"/>
          <w:color w:val="auto"/>
          <w:szCs w:val="21"/>
          <w:highlight w:val="none"/>
        </w:rPr>
        <w:t>广西政府采购云平台（https://www.gcy.zfcg.gxzf.gov.cn/）</w:t>
      </w:r>
      <w:r>
        <w:rPr>
          <w:rFonts w:hint="eastAsia"/>
          <w:color w:val="4472C4"/>
          <w:szCs w:val="21"/>
          <w:highlight w:val="none"/>
        </w:rPr>
        <w:t>。</w:t>
      </w:r>
      <w:r>
        <w:rPr>
          <w:rFonts w:hint="eastAsia"/>
          <w:color w:val="FF0000"/>
          <w:szCs w:val="21"/>
          <w:highlight w:val="none"/>
        </w:rPr>
        <w:t xml:space="preserve"> </w:t>
      </w:r>
    </w:p>
    <w:bookmarkEnd w:id="23"/>
    <w:p w14:paraId="112E9ED6">
      <w:pPr>
        <w:spacing w:line="312" w:lineRule="auto"/>
        <w:ind w:firstLine="420" w:firstLineChars="200"/>
        <w:jc w:val="left"/>
        <w:rPr>
          <w:color w:val="FF0000"/>
          <w:kern w:val="0"/>
          <w:szCs w:val="21"/>
          <w:highlight w:val="none"/>
        </w:rPr>
      </w:pPr>
      <w:r>
        <w:rPr>
          <w:rFonts w:hint="eastAsia"/>
          <w:kern w:val="0"/>
          <w:szCs w:val="21"/>
          <w:highlight w:val="none"/>
        </w:rPr>
        <w:t>开标时间：</w:t>
      </w:r>
      <w:r>
        <w:rPr>
          <w:rFonts w:hint="eastAsia" w:ascii="宋体" w:hAnsi="宋体" w:eastAsia="宋体" w:cs="宋体"/>
          <w:color w:val="auto"/>
          <w:kern w:val="0"/>
          <w:szCs w:val="21"/>
          <w:highlight w:val="none"/>
          <w:u w:val="none"/>
        </w:rPr>
        <w:t>20</w:t>
      </w:r>
      <w:r>
        <w:rPr>
          <w:rFonts w:hint="eastAsia" w:ascii="宋体" w:hAnsi="宋体" w:eastAsia="宋体" w:cs="宋体"/>
          <w:color w:val="auto"/>
          <w:kern w:val="0"/>
          <w:szCs w:val="21"/>
          <w:highlight w:val="none"/>
          <w:u w:val="none"/>
          <w:lang w:val="en-US" w:eastAsia="zh-CN"/>
        </w:rPr>
        <w:t>26</w:t>
      </w:r>
      <w:r>
        <w:rPr>
          <w:rFonts w:hint="eastAsia" w:ascii="宋体" w:hAnsi="宋体" w:eastAsia="宋体" w:cs="宋体"/>
          <w:color w:val="auto"/>
          <w:kern w:val="0"/>
          <w:szCs w:val="21"/>
          <w:highlight w:val="none"/>
          <w:u w:val="none"/>
        </w:rPr>
        <w:t>年</w:t>
      </w:r>
      <w:r>
        <w:rPr>
          <w:rFonts w:hint="eastAsia" w:ascii="宋体" w:hAnsi="宋体" w:cs="宋体"/>
          <w:color w:val="auto"/>
          <w:kern w:val="0"/>
          <w:szCs w:val="21"/>
          <w:highlight w:val="none"/>
          <w:u w:val="none"/>
          <w:lang w:val="en-US" w:eastAsia="zh-CN"/>
        </w:rPr>
        <w:t>10</w:t>
      </w:r>
      <w:r>
        <w:rPr>
          <w:rFonts w:hint="eastAsia" w:ascii="宋体" w:hAnsi="宋体" w:eastAsia="宋体" w:cs="宋体"/>
          <w:color w:val="auto"/>
          <w:kern w:val="0"/>
          <w:szCs w:val="21"/>
          <w:highlight w:val="none"/>
          <w:u w:val="none"/>
        </w:rPr>
        <w:t>月</w:t>
      </w:r>
      <w:r>
        <w:rPr>
          <w:rFonts w:hint="eastAsia" w:ascii="宋体" w:hAnsi="宋体" w:cs="宋体"/>
          <w:color w:val="auto"/>
          <w:kern w:val="0"/>
          <w:szCs w:val="21"/>
          <w:highlight w:val="none"/>
          <w:u w:val="none"/>
          <w:lang w:val="en-US" w:eastAsia="zh-CN"/>
        </w:rPr>
        <w:t>12</w:t>
      </w:r>
      <w:r>
        <w:rPr>
          <w:rFonts w:hint="eastAsia" w:ascii="宋体" w:hAnsi="宋体" w:eastAsia="宋体" w:cs="宋体"/>
          <w:color w:val="auto"/>
          <w:kern w:val="0"/>
          <w:szCs w:val="21"/>
          <w:highlight w:val="none"/>
          <w:u w:val="none"/>
        </w:rPr>
        <w:t>日</w:t>
      </w:r>
      <w:r>
        <w:rPr>
          <w:rFonts w:hint="eastAsia" w:ascii="宋体" w:hAnsi="宋体" w:eastAsia="宋体" w:cs="宋体"/>
          <w:color w:val="auto"/>
          <w:highlight w:val="none"/>
          <w:u w:val="none"/>
          <w:lang w:val="en-US" w:eastAsia="zh-CN"/>
        </w:rPr>
        <w:t>09：00</w:t>
      </w:r>
      <w:r>
        <w:rPr>
          <w:color w:val="4472C4"/>
          <w:kern w:val="0"/>
          <w:szCs w:val="21"/>
          <w:highlight w:val="none"/>
          <w:u w:val="single"/>
        </w:rPr>
        <w:t xml:space="preserve">   </w:t>
      </w:r>
    </w:p>
    <w:p w14:paraId="6034E219">
      <w:pPr>
        <w:spacing w:line="312" w:lineRule="auto"/>
        <w:ind w:firstLine="420" w:firstLineChars="200"/>
        <w:jc w:val="left"/>
        <w:rPr>
          <w:color w:val="FF0000"/>
          <w:szCs w:val="21"/>
          <w:highlight w:val="none"/>
        </w:rPr>
      </w:pPr>
      <w:r>
        <w:rPr>
          <w:rFonts w:hint="eastAsia"/>
          <w:kern w:val="0"/>
          <w:szCs w:val="21"/>
          <w:highlight w:val="none"/>
        </w:rPr>
        <w:t>开标地点：</w:t>
      </w:r>
      <w:bookmarkStart w:id="24" w:name="_Hlk88997106"/>
      <w:r>
        <w:rPr>
          <w:rFonts w:hint="eastAsia" w:ascii="宋体" w:hAnsi="宋体" w:eastAsia="宋体" w:cs="宋体"/>
          <w:color w:val="auto"/>
          <w:szCs w:val="21"/>
          <w:highlight w:val="none"/>
        </w:rPr>
        <w:t>广西政府采购云平台（https://www.gcy.zfcg.gxzf.gov.cn/）</w:t>
      </w:r>
      <w:r>
        <w:rPr>
          <w:rFonts w:hint="eastAsia"/>
          <w:color w:val="4472C4"/>
          <w:szCs w:val="21"/>
          <w:highlight w:val="none"/>
        </w:rPr>
        <w:t>。</w:t>
      </w:r>
      <w:bookmarkEnd w:id="24"/>
    </w:p>
    <w:p w14:paraId="33D4E9E1">
      <w:pPr>
        <w:spacing w:line="312" w:lineRule="auto"/>
        <w:ind w:firstLine="442" w:firstLineChars="200"/>
        <w:jc w:val="left"/>
        <w:rPr>
          <w:b/>
          <w:bCs/>
          <w:kern w:val="0"/>
          <w:sz w:val="22"/>
          <w:szCs w:val="22"/>
          <w:highlight w:val="none"/>
        </w:rPr>
      </w:pPr>
      <w:r>
        <w:rPr>
          <w:rFonts w:hint="eastAsia"/>
          <w:b/>
          <w:bCs/>
          <w:kern w:val="0"/>
          <w:sz w:val="22"/>
          <w:szCs w:val="22"/>
          <w:highlight w:val="none"/>
        </w:rPr>
        <w:t>五、公告期限</w:t>
      </w:r>
    </w:p>
    <w:p w14:paraId="20C8726F">
      <w:pPr>
        <w:spacing w:line="312" w:lineRule="auto"/>
        <w:ind w:firstLine="420" w:firstLineChars="200"/>
        <w:jc w:val="left"/>
        <w:rPr>
          <w:kern w:val="0"/>
          <w:szCs w:val="21"/>
        </w:rPr>
      </w:pPr>
      <w:r>
        <w:rPr>
          <w:rFonts w:hint="eastAsia"/>
          <w:kern w:val="0"/>
          <w:szCs w:val="21"/>
        </w:rPr>
        <w:t>自本公告发布之日起5个工作日。</w:t>
      </w:r>
    </w:p>
    <w:p w14:paraId="30D39E15">
      <w:pPr>
        <w:spacing w:line="312" w:lineRule="auto"/>
        <w:ind w:firstLine="442" w:firstLineChars="200"/>
        <w:jc w:val="left"/>
        <w:rPr>
          <w:b/>
          <w:bCs/>
          <w:kern w:val="0"/>
          <w:sz w:val="22"/>
          <w:szCs w:val="22"/>
        </w:rPr>
      </w:pPr>
      <w:r>
        <w:rPr>
          <w:rFonts w:hint="eastAsia"/>
          <w:b/>
          <w:bCs/>
          <w:kern w:val="0"/>
          <w:sz w:val="22"/>
          <w:szCs w:val="22"/>
        </w:rPr>
        <w:t>六、其他补充事宜</w:t>
      </w:r>
    </w:p>
    <w:p w14:paraId="3CEE3149">
      <w:pPr>
        <w:spacing w:line="312" w:lineRule="auto"/>
        <w:ind w:firstLine="420" w:firstLineChars="200"/>
        <w:jc w:val="left"/>
        <w:rPr>
          <w:rFonts w:hint="eastAsia" w:ascii="宋体" w:hAnsi="宋体" w:eastAsia="宋体" w:cs="宋体"/>
          <w:color w:val="000000"/>
          <w:kern w:val="0"/>
          <w:szCs w:val="21"/>
          <w:highlight w:val="none"/>
        </w:rPr>
      </w:pPr>
      <w:bookmarkStart w:id="25" w:name="_Hlk88997182"/>
      <w:bookmarkStart w:id="26" w:name="_Hlk160186592"/>
      <w:r>
        <w:rPr>
          <w:rFonts w:hint="eastAsia" w:ascii="宋体" w:hAnsi="宋体" w:eastAsia="宋体" w:cs="宋体"/>
          <w:kern w:val="0"/>
          <w:szCs w:val="21"/>
          <w:highlight w:val="none"/>
        </w:rPr>
        <w:t>1.公告发布媒体：广西壮族自治区政府采购网、中国政府采购网、广西玉林市政府门户网站、全国公共资源交易平台（广西•玉林）</w:t>
      </w:r>
    </w:p>
    <w:p w14:paraId="3CFCC884">
      <w:pPr>
        <w:spacing w:line="312"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2.</w:t>
      </w:r>
      <w:r>
        <w:rPr>
          <w:rFonts w:hint="eastAsia" w:ascii="宋体" w:hAnsi="宋体" w:eastAsia="宋体" w:cs="宋体"/>
          <w:highlight w:val="none"/>
        </w:rPr>
        <w:t xml:space="preserve"> </w:t>
      </w:r>
      <w:r>
        <w:rPr>
          <w:rFonts w:hint="eastAsia" w:ascii="宋体" w:hAnsi="宋体" w:eastAsia="宋体" w:cs="宋体"/>
          <w:kern w:val="0"/>
          <w:szCs w:val="21"/>
          <w:highlight w:val="none"/>
        </w:rPr>
        <w:t>需落实的政府采购政策：政府采购促进中小企业、监狱企业发展、促进残疾人就业、节能环保</w:t>
      </w:r>
      <w:r>
        <w:rPr>
          <w:rFonts w:hint="eastAsia" w:ascii="宋体" w:hAnsi="宋体" w:eastAsia="宋体" w:cs="宋体"/>
          <w:kern w:val="0"/>
          <w:szCs w:val="21"/>
          <w:highlight w:val="none"/>
          <w:lang w:eastAsia="zh-CN"/>
        </w:rPr>
        <w:t>、对本国产品的支持</w:t>
      </w:r>
      <w:r>
        <w:rPr>
          <w:rFonts w:hint="eastAsia" w:ascii="宋体" w:hAnsi="宋体" w:eastAsia="宋体" w:cs="宋体"/>
          <w:kern w:val="0"/>
          <w:szCs w:val="21"/>
          <w:highlight w:val="none"/>
        </w:rPr>
        <w:t>等有关政策，具体详见招标文件。</w:t>
      </w:r>
    </w:p>
    <w:p w14:paraId="423E2637">
      <w:pPr>
        <w:spacing w:line="312"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highlight w:val="none"/>
        </w:rPr>
        <w:t>3.本项目采用远程异地评审，评标主会场地址：玉林市公共资源交易中心；评标副会场地址：贺州市公共资源交易中心（贺州市太白西路161号贺州市政务服务中心东侧附属楼，楼顶标识“公共资源交易”）</w:t>
      </w:r>
      <w:r>
        <w:rPr>
          <w:rFonts w:hint="eastAsia" w:ascii="宋体" w:hAnsi="宋体" w:eastAsia="宋体" w:cs="宋体"/>
          <w:kern w:val="0"/>
          <w:szCs w:val="21"/>
          <w:highlight w:val="none"/>
        </w:rPr>
        <w:t>。</w:t>
      </w:r>
    </w:p>
    <w:p w14:paraId="3030CF7A">
      <w:pPr>
        <w:spacing w:line="312" w:lineRule="auto"/>
        <w:ind w:firstLine="420" w:firstLineChars="200"/>
        <w:rPr>
          <w:rFonts w:hint="eastAsia" w:ascii="宋体" w:hAnsi="宋体" w:eastAsia="宋体" w:cs="宋体"/>
          <w:kern w:val="0"/>
          <w:szCs w:val="21"/>
          <w:highlight w:val="none"/>
        </w:rPr>
      </w:pPr>
      <w:r>
        <w:rPr>
          <w:rFonts w:hint="eastAsia" w:ascii="宋体" w:hAnsi="宋体" w:eastAsia="宋体" w:cs="宋体"/>
          <w:kern w:val="0"/>
          <w:szCs w:val="21"/>
          <w:highlight w:val="none"/>
        </w:rPr>
        <w:t>4.注意事项：</w:t>
      </w:r>
    </w:p>
    <w:p w14:paraId="7C82A8D9">
      <w:pPr>
        <w:spacing w:line="276" w:lineRule="auto"/>
        <w:ind w:firstLine="420" w:firstLineChars="200"/>
        <w:rPr>
          <w:rFonts w:hint="eastAsia" w:ascii="宋体" w:hAnsi="宋体" w:eastAsia="宋体" w:cs="宋体"/>
          <w:szCs w:val="21"/>
          <w:highlight w:val="none"/>
        </w:rPr>
      </w:pPr>
      <w:r>
        <w:rPr>
          <w:rFonts w:hint="eastAsia" w:ascii="宋体" w:hAnsi="宋体" w:eastAsia="宋体" w:cs="宋体"/>
          <w:kern w:val="0"/>
          <w:szCs w:val="21"/>
          <w:highlight w:val="none"/>
        </w:rPr>
        <w:t>（1）</w:t>
      </w:r>
      <w:r>
        <w:rPr>
          <w:rFonts w:hint="eastAsia" w:ascii="宋体" w:hAnsi="宋体" w:eastAsia="宋体" w:cs="宋体"/>
          <w:szCs w:val="21"/>
          <w:highlight w:val="none"/>
        </w:rPr>
        <w:t>未进行网上注册并办理数字证书（CA认证）的供应商将无法参与本项目政府采购活动，潜在供应商应当在投标截止时间前，完成广西政府采购云平台上的CA数字证书办理及投标文件的提交。完成CA数字证书办理预计7日左右，建议各供应商抓紧时间办理。</w:t>
      </w:r>
    </w:p>
    <w:p w14:paraId="4629DC50">
      <w:pPr>
        <w:spacing w:line="276" w:lineRule="auto"/>
        <w:ind w:firstLine="420" w:firstLineChars="200"/>
        <w:rPr>
          <w:rFonts w:hint="eastAsia" w:ascii="宋体" w:hAnsi="宋体" w:eastAsia="宋体" w:cs="宋体"/>
          <w:kern w:val="0"/>
          <w:szCs w:val="21"/>
          <w:highlight w:val="none"/>
        </w:rPr>
      </w:pPr>
      <w:r>
        <w:rPr>
          <w:rFonts w:hint="eastAsia" w:ascii="宋体" w:hAnsi="宋体" w:eastAsia="宋体" w:cs="宋体"/>
          <w:szCs w:val="21"/>
          <w:highlight w:val="none"/>
        </w:rPr>
        <w:t>（2）为确保网上操作合法、有效和安全，请供应商确保在电子投标过程中能够对相关数据电文进行加密和使用电子签章，妥善保管CA数字证书并使用有效的CA数字证书参与整个招标活动。</w:t>
      </w:r>
    </w:p>
    <w:p w14:paraId="39EAA7E9">
      <w:pPr>
        <w:spacing w:line="312"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（3）若对项目采购电子交易系统操作有疑问，可登录广西政府采购云平台（https://www.gcy.zfcg.gxzf.gov.cn/），点击右侧咨询小采或帮助文档或拨打客服热线95763</w:t>
      </w:r>
    </w:p>
    <w:p w14:paraId="56573A6A">
      <w:pPr>
        <w:spacing w:line="276" w:lineRule="auto"/>
        <w:ind w:firstLine="420" w:firstLineChars="200"/>
        <w:rPr>
          <w:rFonts w:hint="eastAsia" w:ascii="宋体" w:hAnsi="宋体" w:cs="宋体"/>
          <w:kern w:val="0"/>
          <w:szCs w:val="21"/>
        </w:rPr>
      </w:pP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.监督部门：玉林市财政局 电话：0775-2697961</w:t>
      </w:r>
      <w:r>
        <w:rPr>
          <w:rFonts w:ascii="宋体" w:hAnsi="宋体" w:cs="宋体"/>
          <w:kern w:val="0"/>
          <w:szCs w:val="21"/>
        </w:rPr>
        <w:t xml:space="preserve"> </w:t>
      </w:r>
    </w:p>
    <w:bookmarkEnd w:id="25"/>
    <w:bookmarkEnd w:id="26"/>
    <w:p w14:paraId="251E1252">
      <w:pPr>
        <w:spacing w:line="312" w:lineRule="auto"/>
        <w:ind w:firstLine="442" w:firstLineChars="200"/>
        <w:jc w:val="left"/>
        <w:rPr>
          <w:b/>
          <w:bCs/>
          <w:kern w:val="0"/>
          <w:sz w:val="22"/>
          <w:szCs w:val="22"/>
        </w:rPr>
      </w:pPr>
      <w:r>
        <w:rPr>
          <w:rFonts w:hint="eastAsia"/>
          <w:b/>
          <w:bCs/>
          <w:kern w:val="0"/>
          <w:sz w:val="22"/>
          <w:szCs w:val="22"/>
        </w:rPr>
        <w:t>七、对本次招标提出询问，请按以下方式联系</w:t>
      </w:r>
    </w:p>
    <w:p w14:paraId="7EC7A022">
      <w:pPr>
        <w:spacing w:line="312" w:lineRule="auto"/>
        <w:ind w:firstLine="420" w:firstLineChars="200"/>
        <w:jc w:val="left"/>
        <w:rPr>
          <w:rFonts w:hint="eastAsia" w:ascii="宋体" w:hAnsi="宋体" w:eastAsia="宋体" w:cs="宋体"/>
          <w:kern w:val="0"/>
          <w:szCs w:val="21"/>
          <w:highlight w:val="none"/>
        </w:rPr>
      </w:pPr>
      <w:bookmarkStart w:id="27" w:name="_Hlk19048373"/>
      <w:r>
        <w:rPr>
          <w:rFonts w:hint="eastAsia" w:ascii="宋体" w:hAnsi="宋体" w:eastAsia="宋体" w:cs="宋体"/>
          <w:kern w:val="0"/>
          <w:szCs w:val="21"/>
          <w:highlight w:val="none"/>
        </w:rPr>
        <w:t>1.采购人信息</w:t>
      </w:r>
    </w:p>
    <w:p w14:paraId="5C5BBC6C">
      <w:pPr>
        <w:spacing w:line="312" w:lineRule="auto"/>
        <w:ind w:firstLine="420" w:firstLineChars="200"/>
        <w:jc w:val="left"/>
        <w:rPr>
          <w:rFonts w:hint="eastAsia" w:ascii="宋体" w:hAnsi="宋体" w:eastAsia="宋体" w:cs="宋体"/>
          <w:color w:val="auto"/>
          <w:kern w:val="0"/>
          <w:szCs w:val="21"/>
          <w:highlight w:val="none"/>
          <w:u w:val="none"/>
        </w:rPr>
      </w:pPr>
      <w:r>
        <w:rPr>
          <w:rFonts w:hint="eastAsia" w:ascii="宋体" w:hAnsi="宋体" w:eastAsia="宋体" w:cs="宋体"/>
          <w:kern w:val="0"/>
          <w:szCs w:val="21"/>
          <w:highlight w:val="none"/>
          <w:u w:val="none"/>
        </w:rPr>
        <w:t>名</w:t>
      </w:r>
      <w:r>
        <w:rPr>
          <w:rFonts w:hint="eastAsia" w:ascii="宋体" w:hAnsi="宋体" w:eastAsia="宋体" w:cs="宋体"/>
          <w:color w:val="auto"/>
          <w:kern w:val="0"/>
          <w:szCs w:val="21"/>
          <w:highlight w:val="none"/>
          <w:u w:val="none"/>
        </w:rPr>
        <w:t>称：玉林市中西医结合骨科医院</w:t>
      </w:r>
    </w:p>
    <w:p w14:paraId="3CE403A0">
      <w:pPr>
        <w:spacing w:line="312" w:lineRule="auto"/>
        <w:ind w:firstLine="420" w:firstLineChars="200"/>
        <w:jc w:val="left"/>
        <w:rPr>
          <w:rFonts w:hint="eastAsia" w:ascii="宋体" w:hAnsi="宋体" w:eastAsia="宋体" w:cs="宋体"/>
          <w:color w:val="auto"/>
          <w:kern w:val="0"/>
          <w:szCs w:val="21"/>
          <w:highlight w:val="none"/>
          <w:u w:val="none"/>
        </w:rPr>
      </w:pPr>
      <w:r>
        <w:rPr>
          <w:rFonts w:hint="eastAsia" w:ascii="宋体" w:hAnsi="宋体" w:eastAsia="宋体" w:cs="宋体"/>
          <w:color w:val="auto"/>
          <w:kern w:val="0"/>
          <w:szCs w:val="21"/>
          <w:highlight w:val="none"/>
          <w:u w:val="none"/>
        </w:rPr>
        <w:t>地址：广西玉林市玉州区文体北路70号</w:t>
      </w:r>
    </w:p>
    <w:p w14:paraId="210E2311">
      <w:pPr>
        <w:spacing w:line="312" w:lineRule="auto"/>
        <w:ind w:firstLine="420" w:firstLineChars="200"/>
        <w:jc w:val="left"/>
        <w:rPr>
          <w:rFonts w:hint="default" w:ascii="宋体" w:hAnsi="宋体" w:eastAsia="宋体" w:cs="宋体"/>
          <w:color w:val="auto"/>
          <w:kern w:val="0"/>
          <w:szCs w:val="21"/>
          <w:highlight w:val="none"/>
          <w:u w:val="none"/>
          <w:lang w:val="en-US" w:eastAsia="zh-CN"/>
        </w:rPr>
      </w:pPr>
      <w:r>
        <w:rPr>
          <w:rFonts w:hint="eastAsia" w:ascii="宋体" w:hAnsi="宋体" w:eastAsia="宋体" w:cs="宋体"/>
          <w:color w:val="auto"/>
          <w:kern w:val="0"/>
          <w:szCs w:val="21"/>
          <w:highlight w:val="none"/>
          <w:u w:val="none"/>
        </w:rPr>
        <w:t>项目联系人：</w:t>
      </w:r>
      <w:r>
        <w:rPr>
          <w:rFonts w:hint="eastAsia" w:ascii="宋体" w:hAnsi="宋体" w:eastAsia="宋体" w:cs="宋体"/>
          <w:color w:val="auto"/>
          <w:kern w:val="0"/>
          <w:szCs w:val="21"/>
          <w:highlight w:val="none"/>
          <w:u w:val="none"/>
          <w:lang w:val="en-US" w:eastAsia="zh-CN"/>
        </w:rPr>
        <w:t>梁春燕</w:t>
      </w:r>
    </w:p>
    <w:p w14:paraId="2E8D40C5">
      <w:pPr>
        <w:spacing w:line="312" w:lineRule="auto"/>
        <w:ind w:firstLine="420" w:firstLineChars="200"/>
        <w:jc w:val="left"/>
        <w:rPr>
          <w:rFonts w:hint="eastAsia" w:ascii="宋体" w:hAnsi="宋体" w:eastAsia="宋体" w:cs="宋体"/>
          <w:color w:val="4472C4"/>
          <w:kern w:val="0"/>
          <w:szCs w:val="21"/>
          <w:highlight w:val="none"/>
          <w:u w:val="none"/>
        </w:rPr>
      </w:pPr>
      <w:r>
        <w:rPr>
          <w:rFonts w:hint="eastAsia" w:ascii="宋体" w:hAnsi="宋体" w:eastAsia="宋体" w:cs="宋体"/>
          <w:kern w:val="0"/>
          <w:szCs w:val="21"/>
          <w:highlight w:val="none"/>
          <w:u w:val="none"/>
        </w:rPr>
        <w:t>项目联系方式：0775-2830202</w:t>
      </w:r>
    </w:p>
    <w:p w14:paraId="12AAA8F2">
      <w:pPr>
        <w:spacing w:line="312" w:lineRule="auto"/>
        <w:ind w:firstLine="420" w:firstLineChars="200"/>
        <w:jc w:val="left"/>
        <w:rPr>
          <w:rFonts w:hint="eastAsia" w:ascii="宋体" w:hAnsi="宋体" w:eastAsia="宋体" w:cs="宋体"/>
          <w:kern w:val="0"/>
          <w:szCs w:val="21"/>
          <w:highlight w:val="none"/>
          <w:u w:val="none"/>
        </w:rPr>
      </w:pPr>
      <w:r>
        <w:rPr>
          <w:rFonts w:hint="eastAsia" w:ascii="宋体" w:hAnsi="宋体" w:eastAsia="宋体" w:cs="宋体"/>
          <w:kern w:val="0"/>
          <w:szCs w:val="21"/>
          <w:highlight w:val="none"/>
          <w:u w:val="none"/>
        </w:rPr>
        <w:t>2.采购代理机构信息</w:t>
      </w:r>
    </w:p>
    <w:p w14:paraId="2925024E">
      <w:pPr>
        <w:spacing w:line="312" w:lineRule="auto"/>
        <w:ind w:firstLine="420" w:firstLineChars="200"/>
        <w:jc w:val="left"/>
        <w:rPr>
          <w:rFonts w:hint="eastAsia" w:ascii="宋体" w:hAnsi="宋体" w:eastAsia="宋体" w:cs="宋体"/>
          <w:kern w:val="0"/>
          <w:szCs w:val="21"/>
          <w:highlight w:val="none"/>
          <w:u w:val="none"/>
        </w:rPr>
      </w:pPr>
      <w:r>
        <w:rPr>
          <w:rFonts w:hint="eastAsia" w:ascii="宋体" w:hAnsi="宋体" w:eastAsia="宋体" w:cs="宋体"/>
          <w:kern w:val="0"/>
          <w:szCs w:val="21"/>
          <w:highlight w:val="none"/>
          <w:u w:val="none"/>
        </w:rPr>
        <w:t>名称：广西机电设备招标有限公司</w:t>
      </w:r>
    </w:p>
    <w:p w14:paraId="3001DD12">
      <w:pPr>
        <w:spacing w:line="312" w:lineRule="auto"/>
        <w:ind w:firstLine="420" w:firstLineChars="200"/>
        <w:jc w:val="left"/>
        <w:rPr>
          <w:rFonts w:hint="eastAsia" w:ascii="宋体" w:hAnsi="宋体" w:eastAsia="宋体" w:cs="宋体"/>
          <w:u w:val="none"/>
        </w:rPr>
      </w:pPr>
      <w:r>
        <w:rPr>
          <w:rFonts w:hint="eastAsia" w:ascii="宋体" w:hAnsi="宋体" w:eastAsia="宋体" w:cs="宋体"/>
          <w:kern w:val="0"/>
          <w:szCs w:val="21"/>
          <w:highlight w:val="none"/>
          <w:u w:val="none"/>
        </w:rPr>
        <w:t>地址：</w:t>
      </w:r>
      <w:bookmarkStart w:id="28" w:name="_Hlk43198245"/>
      <w:r>
        <w:rPr>
          <w:rFonts w:hint="eastAsia" w:ascii="宋体" w:hAnsi="宋体" w:eastAsia="宋体" w:cs="宋体"/>
          <w:highlight w:val="none"/>
          <w:u w:val="none"/>
        </w:rPr>
        <w:t>广西南宁市金湖路63号金源CBD现代城B</w:t>
      </w:r>
      <w:r>
        <w:rPr>
          <w:rFonts w:hint="eastAsia" w:ascii="宋体" w:hAnsi="宋体" w:eastAsia="宋体" w:cs="宋体"/>
          <w:u w:val="none"/>
        </w:rPr>
        <w:t>座7层701</w:t>
      </w:r>
      <w:bookmarkEnd w:id="28"/>
    </w:p>
    <w:p w14:paraId="64F43344">
      <w:pPr>
        <w:spacing w:line="312" w:lineRule="auto"/>
        <w:ind w:firstLine="420" w:firstLineChars="200"/>
        <w:jc w:val="left"/>
        <w:rPr>
          <w:rFonts w:hint="eastAsia" w:ascii="宋体" w:hAnsi="宋体" w:eastAsia="宋体" w:cs="宋体"/>
          <w:color w:val="auto"/>
          <w:kern w:val="0"/>
          <w:szCs w:val="21"/>
          <w:u w:val="none"/>
        </w:rPr>
      </w:pPr>
      <w:r>
        <w:rPr>
          <w:rFonts w:hint="eastAsia" w:ascii="宋体" w:hAnsi="宋体" w:eastAsia="宋体" w:cs="宋体"/>
          <w:kern w:val="0"/>
          <w:szCs w:val="21"/>
          <w:u w:val="none"/>
        </w:rPr>
        <w:t>项目联系人</w:t>
      </w:r>
      <w:r>
        <w:rPr>
          <w:rFonts w:hint="eastAsia" w:ascii="宋体" w:hAnsi="宋体" w:eastAsia="宋体" w:cs="宋体"/>
          <w:color w:val="auto"/>
          <w:kern w:val="0"/>
          <w:szCs w:val="21"/>
          <w:u w:val="none"/>
        </w:rPr>
        <w:t>：刘颖俊</w:t>
      </w:r>
    </w:p>
    <w:p w14:paraId="0D7C782C">
      <w:pPr>
        <w:spacing w:line="312" w:lineRule="auto"/>
        <w:ind w:firstLine="420" w:firstLineChars="200"/>
        <w:jc w:val="left"/>
        <w:rPr>
          <w:sz w:val="32"/>
          <w:szCs w:val="32"/>
        </w:rPr>
      </w:pPr>
      <w:r>
        <w:rPr>
          <w:rFonts w:hint="eastAsia" w:ascii="宋体" w:hAnsi="宋体" w:eastAsia="宋体" w:cs="宋体"/>
          <w:color w:val="auto"/>
          <w:kern w:val="0"/>
          <w:szCs w:val="21"/>
          <w:u w:val="none"/>
        </w:rPr>
        <w:t>项目联系方式：18176601009</w:t>
      </w:r>
      <w:bookmarkEnd w:id="7"/>
      <w:bookmarkEnd w:id="8"/>
      <w:bookmarkEnd w:id="27"/>
      <w:r>
        <w:rPr>
          <w:sz w:val="32"/>
          <w:szCs w:val="32"/>
        </w:rPr>
        <w:br w:type="page"/>
      </w:r>
    </w:p>
    <w:p w14:paraId="25607FF1">
      <w:pPr>
        <w:pStyle w:val="28"/>
        <w:snapToGrid w:val="0"/>
        <w:spacing w:before="120" w:after="120" w:line="320" w:lineRule="exact"/>
        <w:jc w:val="center"/>
        <w:outlineLvl w:val="0"/>
        <w:rPr>
          <w:rFonts w:ascii="Times New Roman" w:hAnsi="Times New Roman" w:cs="Times New Roman"/>
          <w:sz w:val="32"/>
          <w:szCs w:val="32"/>
        </w:rPr>
      </w:pPr>
      <w:bookmarkStart w:id="29" w:name="_Toc31691"/>
      <w:r>
        <w:rPr>
          <w:rFonts w:ascii="Times New Roman" w:hAnsi="Times New Roman" w:cs="Times New Roman"/>
          <w:sz w:val="32"/>
          <w:szCs w:val="32"/>
        </w:rPr>
        <w:t>第二章  采购需求</w:t>
      </w:r>
      <w:bookmarkEnd w:id="29"/>
    </w:p>
    <w:p w14:paraId="11A6D337">
      <w:pPr>
        <w:pStyle w:val="28"/>
        <w:snapToGrid w:val="0"/>
        <w:jc w:val="center"/>
        <w:rPr>
          <w:rFonts w:ascii="Times New Roman" w:hAnsi="Times New Roman" w:cs="Times New Roman"/>
          <w:b/>
          <w:color w:val="4472C4"/>
          <w:sz w:val="24"/>
          <w:szCs w:val="24"/>
        </w:rPr>
      </w:pPr>
      <w:bookmarkStart w:id="30" w:name="_Hlk77608362"/>
    </w:p>
    <w:p w14:paraId="5EDFEFB0">
      <w:pPr>
        <w:spacing w:before="120"/>
        <w:rPr>
          <w:rFonts w:hint="eastAsia" w:ascii="宋体" w:hAnsi="宋体" w:cs="宋体"/>
          <w:b/>
          <w:bCs/>
          <w:sz w:val="28"/>
          <w:szCs w:val="28"/>
        </w:rPr>
      </w:pPr>
    </w:p>
    <w:p w14:paraId="4DDC526A">
      <w:pPr>
        <w:spacing w:line="360" w:lineRule="auto"/>
        <w:rPr>
          <w:rFonts w:hint="eastAsia" w:ascii="黑体" w:hAnsi="黑体" w:eastAsia="黑体" w:cs="Arial"/>
          <w:b/>
          <w:kern w:val="0"/>
          <w:sz w:val="28"/>
          <w:szCs w:val="28"/>
        </w:rPr>
      </w:pPr>
      <w:r>
        <w:rPr>
          <w:rFonts w:ascii="黑体" w:hAnsi="黑体" w:eastAsia="黑体" w:cs="Arial"/>
          <w:b/>
          <w:kern w:val="0"/>
          <w:sz w:val="28"/>
          <w:szCs w:val="28"/>
        </w:rPr>
        <w:t>一、</w:t>
      </w:r>
      <w:r>
        <w:rPr>
          <w:rFonts w:hint="eastAsia" w:ascii="黑体" w:hAnsi="黑体" w:eastAsia="黑体" w:cs="Arial"/>
          <w:b/>
          <w:kern w:val="0"/>
          <w:sz w:val="28"/>
          <w:szCs w:val="28"/>
        </w:rPr>
        <w:t>总体</w:t>
      </w:r>
      <w:r>
        <w:rPr>
          <w:rFonts w:ascii="黑体" w:hAnsi="黑体" w:eastAsia="黑体" w:cs="Arial"/>
          <w:b/>
          <w:kern w:val="0"/>
          <w:sz w:val="28"/>
          <w:szCs w:val="28"/>
        </w:rPr>
        <w:t>要求</w:t>
      </w:r>
    </w:p>
    <w:p w14:paraId="750081EE">
      <w:pPr>
        <w:spacing w:line="360" w:lineRule="auto"/>
        <w:rPr>
          <w:color w:val="auto"/>
          <w:szCs w:val="21"/>
        </w:rPr>
      </w:pPr>
      <w:r>
        <w:rPr>
          <w:color w:val="auto"/>
          <w:szCs w:val="21"/>
        </w:rPr>
        <w:t>1</w:t>
      </w:r>
      <w:r>
        <w:rPr>
          <w:rFonts w:hint="eastAsia"/>
          <w:color w:val="auto"/>
          <w:szCs w:val="21"/>
        </w:rPr>
        <w:t>.政府采购政策的应用</w:t>
      </w:r>
    </w:p>
    <w:p w14:paraId="4899611E">
      <w:pPr>
        <w:spacing w:line="360" w:lineRule="auto"/>
        <w:rPr>
          <w:color w:val="auto"/>
          <w:szCs w:val="21"/>
        </w:rPr>
      </w:pPr>
      <w:r>
        <w:rPr>
          <w:rFonts w:hint="eastAsia"/>
          <w:color w:val="auto"/>
          <w:szCs w:val="21"/>
        </w:rPr>
        <w:t>详见招标文件“评审方法及标准</w:t>
      </w:r>
      <w:r>
        <w:rPr>
          <w:color w:val="auto"/>
          <w:szCs w:val="21"/>
        </w:rPr>
        <w:t>/政府采购政策应用说明”。</w:t>
      </w:r>
    </w:p>
    <w:p w14:paraId="4F788C11">
      <w:pPr>
        <w:spacing w:line="360" w:lineRule="auto"/>
        <w:rPr>
          <w:color w:val="auto"/>
          <w:szCs w:val="21"/>
        </w:rPr>
      </w:pPr>
      <w:r>
        <w:rPr>
          <w:color w:val="auto"/>
          <w:szCs w:val="21"/>
        </w:rPr>
        <w:t>2</w:t>
      </w:r>
      <w:r>
        <w:rPr>
          <w:rFonts w:hint="eastAsia"/>
          <w:color w:val="auto"/>
          <w:szCs w:val="21"/>
        </w:rPr>
        <w:t>.采购需求要求未尽事宜</w:t>
      </w:r>
      <w:r>
        <w:rPr>
          <w:color w:val="auto"/>
          <w:szCs w:val="21"/>
        </w:rPr>
        <w:t>由</w:t>
      </w:r>
      <w:r>
        <w:rPr>
          <w:rFonts w:hint="eastAsia"/>
          <w:color w:val="auto"/>
          <w:szCs w:val="21"/>
        </w:rPr>
        <w:t>采购人与中标供应商</w:t>
      </w:r>
      <w:r>
        <w:rPr>
          <w:color w:val="auto"/>
          <w:szCs w:val="21"/>
        </w:rPr>
        <w:t>在采购合同中约定。</w:t>
      </w:r>
    </w:p>
    <w:p w14:paraId="605E9EAD">
      <w:pPr>
        <w:spacing w:line="360" w:lineRule="auto"/>
        <w:rPr>
          <w:color w:val="auto"/>
          <w:szCs w:val="21"/>
        </w:rPr>
      </w:pPr>
      <w:r>
        <w:rPr>
          <w:rFonts w:hint="eastAsia"/>
          <w:color w:val="auto"/>
          <w:szCs w:val="21"/>
        </w:rPr>
        <w:t>3.标注“▲”的条款或要求系指实质性条款或实质性要求，必须满足，如存在负偏离将导致投标</w:t>
      </w:r>
      <w:r>
        <w:rPr>
          <w:rFonts w:hint="eastAsia"/>
          <w:color w:val="auto"/>
          <w:szCs w:val="21"/>
          <w:lang w:val="en-US" w:eastAsia="zh-CN"/>
        </w:rPr>
        <w:t>无效</w:t>
      </w:r>
      <w:r>
        <w:rPr>
          <w:rFonts w:hint="eastAsia"/>
          <w:color w:val="auto"/>
          <w:szCs w:val="21"/>
        </w:rPr>
        <w:t>。</w:t>
      </w:r>
    </w:p>
    <w:p w14:paraId="7AE4A90E">
      <w:pPr>
        <w:spacing w:line="360" w:lineRule="auto"/>
        <w:rPr>
          <w:rFonts w:hint="eastAsia" w:ascii="黑体" w:hAnsi="黑体" w:eastAsia="黑体" w:cs="Arial"/>
          <w:b/>
          <w:color w:val="auto"/>
          <w:kern w:val="0"/>
          <w:sz w:val="28"/>
          <w:szCs w:val="28"/>
        </w:rPr>
      </w:pPr>
      <w:r>
        <w:rPr>
          <w:rFonts w:hint="eastAsia" w:ascii="黑体" w:hAnsi="黑体" w:eastAsia="黑体" w:cs="Arial"/>
          <w:b/>
          <w:color w:val="auto"/>
          <w:kern w:val="0"/>
          <w:sz w:val="28"/>
          <w:szCs w:val="28"/>
        </w:rPr>
        <w:t>二、技术要求</w:t>
      </w:r>
    </w:p>
    <w:p w14:paraId="21904043">
      <w:pPr>
        <w:spacing w:line="360" w:lineRule="auto"/>
        <w:rPr>
          <w:color w:val="auto"/>
          <w:szCs w:val="21"/>
        </w:rPr>
      </w:pPr>
      <w:r>
        <w:rPr>
          <w:rFonts w:hint="eastAsia"/>
          <w:color w:val="auto"/>
          <w:szCs w:val="21"/>
        </w:rPr>
        <w:t>1.需实现的功能、目标及应用场景</w:t>
      </w:r>
    </w:p>
    <w:p w14:paraId="00BBB6F4">
      <w:pPr>
        <w:spacing w:line="360" w:lineRule="auto"/>
        <w:rPr>
          <w:color w:val="auto"/>
          <w:szCs w:val="21"/>
        </w:rPr>
      </w:pPr>
      <w:r>
        <w:rPr>
          <w:rFonts w:hint="eastAsia"/>
          <w:color w:val="auto"/>
          <w:szCs w:val="21"/>
        </w:rPr>
        <w:t>满足招标文件要求，验收达到合格标准。</w:t>
      </w:r>
    </w:p>
    <w:p w14:paraId="618BED0A">
      <w:pPr>
        <w:spacing w:line="360" w:lineRule="auto"/>
        <w:rPr>
          <w:color w:val="auto"/>
          <w:szCs w:val="21"/>
        </w:rPr>
      </w:pPr>
      <w:r>
        <w:rPr>
          <w:color w:val="auto"/>
          <w:szCs w:val="21"/>
        </w:rPr>
        <w:t>2</w:t>
      </w:r>
      <w:r>
        <w:rPr>
          <w:rFonts w:hint="eastAsia"/>
          <w:color w:val="auto"/>
          <w:szCs w:val="21"/>
        </w:rPr>
        <w:t>.是否接受进口产品：</w:t>
      </w:r>
    </w:p>
    <w:p w14:paraId="342FF6CF">
      <w:pPr>
        <w:spacing w:line="360" w:lineRule="auto"/>
        <w:rPr>
          <w:color w:val="auto"/>
          <w:szCs w:val="21"/>
        </w:rPr>
      </w:pPr>
      <w:r>
        <w:rPr>
          <w:color w:val="auto"/>
          <w:szCs w:val="21"/>
        </w:rPr>
        <w:sym w:font="Wingdings 2" w:char="F052"/>
      </w:r>
      <w:r>
        <w:rPr>
          <w:rFonts w:hint="eastAsia"/>
          <w:color w:val="auto"/>
          <w:szCs w:val="21"/>
        </w:rPr>
        <w:t>否</w:t>
      </w:r>
    </w:p>
    <w:p w14:paraId="79D90762">
      <w:pPr>
        <w:spacing w:line="360" w:lineRule="auto"/>
        <w:rPr>
          <w:rFonts w:hint="eastAsia"/>
          <w:color w:val="auto"/>
          <w:szCs w:val="21"/>
        </w:rPr>
      </w:pPr>
      <w:r>
        <w:rPr>
          <w:rFonts w:hint="eastAsia"/>
          <w:color w:val="auto"/>
          <w:szCs w:val="21"/>
        </w:rPr>
        <w:t>□是</w:t>
      </w:r>
    </w:p>
    <w:p w14:paraId="1894957E">
      <w:pPr>
        <w:spacing w:line="360" w:lineRule="auto"/>
        <w:rPr>
          <w:rFonts w:hint="eastAsia"/>
          <w:color w:val="auto"/>
          <w:szCs w:val="21"/>
        </w:rPr>
      </w:pPr>
      <w:r>
        <w:rPr>
          <w:rFonts w:hint="eastAsia"/>
          <w:color w:val="auto"/>
          <w:szCs w:val="21"/>
        </w:rPr>
        <w:t>本项目</w:t>
      </w:r>
      <w:r>
        <w:rPr>
          <w:rFonts w:hint="eastAsia"/>
          <w:color w:val="auto"/>
          <w:szCs w:val="21"/>
          <w:u w:val="single"/>
          <w:lang w:val="en-US" w:eastAsia="zh-CN"/>
        </w:rPr>
        <w:t xml:space="preserve">    /    </w:t>
      </w:r>
      <w:r>
        <w:rPr>
          <w:rFonts w:hint="eastAsia"/>
          <w:color w:val="auto"/>
          <w:szCs w:val="21"/>
        </w:rPr>
        <w:t>接受进口产品，其余货物不接受进口产品。</w:t>
      </w:r>
    </w:p>
    <w:p w14:paraId="5ECCC980">
      <w:pPr>
        <w:spacing w:line="360" w:lineRule="auto"/>
        <w:rPr>
          <w:color w:val="auto"/>
          <w:szCs w:val="21"/>
        </w:rPr>
      </w:pPr>
      <w:r>
        <w:rPr>
          <w:rFonts w:hint="eastAsia"/>
          <w:color w:val="auto"/>
          <w:szCs w:val="21"/>
        </w:rPr>
        <w:t>注：（</w:t>
      </w:r>
      <w:r>
        <w:rPr>
          <w:color w:val="auto"/>
          <w:szCs w:val="21"/>
        </w:rPr>
        <w:t>1）以上所述不接受进口产品的，供应商不得选用进口产品参与投标，否则投标按无效投标处理；列明接受进口产品的分项，供应商可以选用进口产品参与投标，</w:t>
      </w:r>
      <w:r>
        <w:rPr>
          <w:rFonts w:hint="eastAsia"/>
          <w:color w:val="auto"/>
          <w:szCs w:val="21"/>
        </w:rPr>
        <w:t>也可以选用国产产品参与投标。</w:t>
      </w:r>
    </w:p>
    <w:p w14:paraId="462480B7">
      <w:pPr>
        <w:spacing w:line="360" w:lineRule="auto"/>
        <w:rPr>
          <w:color w:val="auto"/>
          <w:szCs w:val="21"/>
        </w:rPr>
      </w:pPr>
      <w:r>
        <w:rPr>
          <w:rFonts w:hint="eastAsia"/>
          <w:color w:val="auto"/>
          <w:szCs w:val="21"/>
        </w:rPr>
        <w:t>（</w:t>
      </w:r>
      <w:r>
        <w:rPr>
          <w:color w:val="auto"/>
          <w:szCs w:val="21"/>
        </w:rPr>
        <w:t>2）如本项目接受进口产品，供应商选择提供进口产品，则提供的必须为全新原装进口产品，报价中应包括关税等所有进口环节费用并由中标供应商办理进口相关手续，供应商报价中应自行考虑海关关税政策变化带来的风险，采购人不承担该政策变化所造成的费用增加。</w:t>
      </w:r>
    </w:p>
    <w:p w14:paraId="26E6D007">
      <w:pPr>
        <w:spacing w:line="360" w:lineRule="auto"/>
        <w:rPr>
          <w:color w:val="auto"/>
          <w:szCs w:val="21"/>
        </w:rPr>
      </w:pPr>
      <w:r>
        <w:rPr>
          <w:rFonts w:hint="eastAsia"/>
          <w:color w:val="auto"/>
          <w:szCs w:val="21"/>
        </w:rPr>
        <w:t>（</w:t>
      </w:r>
      <w:r>
        <w:rPr>
          <w:color w:val="auto"/>
          <w:szCs w:val="21"/>
        </w:rPr>
        <w:t>3）进口产品是指通过中国海关报关验放进入中国境内且产自关境外的产品。</w:t>
      </w:r>
    </w:p>
    <w:p w14:paraId="75B5CDB1">
      <w:pPr>
        <w:spacing w:line="360" w:lineRule="auto"/>
        <w:rPr>
          <w:color w:val="auto"/>
          <w:szCs w:val="21"/>
        </w:rPr>
      </w:pPr>
      <w:r>
        <w:rPr>
          <w:rFonts w:hint="eastAsia"/>
          <w:color w:val="auto"/>
          <w:szCs w:val="21"/>
        </w:rPr>
        <w:t>（</w:t>
      </w:r>
      <w:r>
        <w:rPr>
          <w:color w:val="auto"/>
          <w:szCs w:val="21"/>
        </w:rPr>
        <w:t>4）其余内容以《政府采购进口产品管理办法》（财库〔2007〕119号）和《关于政府采购进口产品管理有关问题的通知》（财办库</w:t>
      </w:r>
      <w:r>
        <w:rPr>
          <w:rFonts w:hint="eastAsia"/>
          <w:color w:val="auto"/>
          <w:szCs w:val="21"/>
          <w:lang w:eastAsia="zh-CN"/>
        </w:rPr>
        <w:t>〔2008〕248号</w:t>
      </w:r>
      <w:r>
        <w:rPr>
          <w:color w:val="auto"/>
          <w:szCs w:val="21"/>
        </w:rPr>
        <w:t>）的相关规定为准。</w:t>
      </w:r>
    </w:p>
    <w:p w14:paraId="45BD99C6">
      <w:pPr>
        <w:spacing w:line="360" w:lineRule="auto"/>
        <w:rPr>
          <w:color w:val="auto"/>
          <w:szCs w:val="21"/>
        </w:rPr>
      </w:pPr>
      <w:r>
        <w:rPr>
          <w:color w:val="auto"/>
          <w:szCs w:val="21"/>
        </w:rPr>
        <w:t>3</w:t>
      </w:r>
      <w:r>
        <w:rPr>
          <w:rFonts w:hint="eastAsia"/>
          <w:color w:val="auto"/>
          <w:szCs w:val="21"/>
        </w:rPr>
        <w:t>.</w:t>
      </w:r>
      <w:r>
        <w:rPr>
          <w:color w:val="auto"/>
          <w:szCs w:val="21"/>
        </w:rPr>
        <w:t>需执行的国家相关标准、行业标准、地方标准或者其他标准、规范</w:t>
      </w:r>
    </w:p>
    <w:p w14:paraId="33F42D89">
      <w:pPr>
        <w:spacing w:line="360" w:lineRule="auto"/>
        <w:rPr>
          <w:iCs/>
          <w:color w:val="auto"/>
          <w:szCs w:val="21"/>
        </w:rPr>
      </w:pPr>
      <w:r>
        <w:rPr>
          <w:rFonts w:hint="eastAsia"/>
          <w:color w:val="auto"/>
          <w:szCs w:val="21"/>
        </w:rPr>
        <w:t>本项目应执行的国家相关标准、行业标准、地方标准或者其他标准、规范为：</w:t>
      </w:r>
      <w:r>
        <w:rPr>
          <w:rFonts w:hint="eastAsia"/>
          <w:color w:val="auto"/>
          <w:szCs w:val="21"/>
          <w:u w:val="single"/>
        </w:rPr>
        <w:t xml:space="preserve"> </w:t>
      </w:r>
      <w:r>
        <w:rPr>
          <w:color w:val="auto"/>
          <w:szCs w:val="21"/>
          <w:u w:val="single"/>
        </w:rPr>
        <w:t xml:space="preserve"> </w:t>
      </w:r>
      <w:bookmarkStart w:id="31" w:name="_Hlk88997327"/>
      <w:r>
        <w:rPr>
          <w:rFonts w:hint="eastAsia"/>
          <w:i w:val="0"/>
          <w:iCs/>
          <w:color w:val="auto"/>
          <w:szCs w:val="21"/>
          <w:u w:val="single"/>
        </w:rPr>
        <w:t>详见技术指标要求</w:t>
      </w:r>
      <w:r>
        <w:rPr>
          <w:i/>
          <w:color w:val="auto"/>
          <w:szCs w:val="21"/>
          <w:u w:val="single"/>
        </w:rPr>
        <w:t xml:space="preserve">   </w:t>
      </w:r>
      <w:bookmarkEnd w:id="31"/>
      <w:r>
        <w:rPr>
          <w:i/>
          <w:color w:val="auto"/>
          <w:szCs w:val="21"/>
          <w:u w:val="single"/>
        </w:rPr>
        <w:t xml:space="preserve"> </w:t>
      </w:r>
      <w:bookmarkStart w:id="32" w:name="_Hlk132815071"/>
      <w:r>
        <w:rPr>
          <w:rFonts w:hint="eastAsia"/>
          <w:color w:val="auto"/>
          <w:szCs w:val="21"/>
        </w:rPr>
        <w:t>【备注：查询网址：国标</w:t>
      </w:r>
      <w:r>
        <w:rPr>
          <w:color w:val="auto"/>
        </w:rPr>
        <w:fldChar w:fldCharType="begin"/>
      </w:r>
      <w:r>
        <w:rPr>
          <w:color w:val="auto"/>
        </w:rPr>
        <w:instrText xml:space="preserve"> HYPERLINK "https://openstd.samr.gov.cn/bzgk/gb/index" </w:instrText>
      </w:r>
      <w:r>
        <w:rPr>
          <w:color w:val="auto"/>
        </w:rPr>
        <w:fldChar w:fldCharType="separate"/>
      </w:r>
      <w:r>
        <w:rPr>
          <w:rStyle w:val="59"/>
          <w:color w:val="auto"/>
          <w:szCs w:val="21"/>
        </w:rPr>
        <w:t>https://openstd.samr.gov.cn/bzgk/gb/index</w:t>
      </w:r>
      <w:r>
        <w:rPr>
          <w:rStyle w:val="59"/>
          <w:color w:val="auto"/>
          <w:szCs w:val="21"/>
        </w:rPr>
        <w:fldChar w:fldCharType="end"/>
      </w:r>
      <w:r>
        <w:rPr>
          <w:rFonts w:hint="eastAsia"/>
          <w:color w:val="auto"/>
          <w:szCs w:val="21"/>
        </w:rPr>
        <w:t>，行标</w:t>
      </w:r>
      <w:r>
        <w:rPr>
          <w:color w:val="auto"/>
        </w:rPr>
        <w:fldChar w:fldCharType="begin"/>
      </w:r>
      <w:r>
        <w:rPr>
          <w:color w:val="auto"/>
        </w:rPr>
        <w:instrText xml:space="preserve"> HYPERLINK "https://hbba.sacinfo.org.cn/" </w:instrText>
      </w:r>
      <w:r>
        <w:rPr>
          <w:color w:val="auto"/>
        </w:rPr>
        <w:fldChar w:fldCharType="separate"/>
      </w:r>
      <w:r>
        <w:rPr>
          <w:rStyle w:val="59"/>
          <w:color w:val="auto"/>
          <w:szCs w:val="21"/>
        </w:rPr>
        <w:t>https://hbba.sacinfo.org.cn/</w:t>
      </w:r>
      <w:r>
        <w:rPr>
          <w:rStyle w:val="59"/>
          <w:color w:val="auto"/>
          <w:szCs w:val="21"/>
        </w:rPr>
        <w:fldChar w:fldCharType="end"/>
      </w:r>
      <w:bookmarkEnd w:id="32"/>
      <w:r>
        <w:rPr>
          <w:rFonts w:hint="eastAsia"/>
          <w:color w:val="auto"/>
          <w:szCs w:val="21"/>
        </w:rPr>
        <w:t>】</w:t>
      </w:r>
    </w:p>
    <w:p w14:paraId="1B48A9F7">
      <w:pPr>
        <w:spacing w:line="360" w:lineRule="auto"/>
        <w:rPr>
          <w:color w:val="auto"/>
          <w:szCs w:val="21"/>
        </w:rPr>
      </w:pPr>
      <w:r>
        <w:rPr>
          <w:color w:val="auto"/>
          <w:szCs w:val="21"/>
        </w:rPr>
        <w:t>4</w:t>
      </w:r>
      <w:r>
        <w:rPr>
          <w:rFonts w:hint="eastAsia"/>
          <w:color w:val="auto"/>
          <w:szCs w:val="21"/>
        </w:rPr>
        <w:t>.一般说明</w:t>
      </w:r>
    </w:p>
    <w:p w14:paraId="76B79ED1">
      <w:pPr>
        <w:spacing w:line="360" w:lineRule="auto"/>
        <w:rPr>
          <w:color w:val="auto"/>
          <w:szCs w:val="21"/>
        </w:rPr>
      </w:pPr>
      <w:r>
        <w:rPr>
          <w:rFonts w:hint="eastAsia"/>
          <w:color w:val="auto"/>
          <w:szCs w:val="21"/>
        </w:rPr>
        <w:t>（</w:t>
      </w:r>
      <w:r>
        <w:rPr>
          <w:color w:val="auto"/>
          <w:szCs w:val="21"/>
        </w:rPr>
        <w:t>1）</w:t>
      </w:r>
      <w:r>
        <w:rPr>
          <w:rFonts w:hint="eastAsia"/>
          <w:color w:val="auto"/>
          <w:szCs w:val="21"/>
        </w:rPr>
        <w:t>本章</w:t>
      </w:r>
      <w:r>
        <w:rPr>
          <w:color w:val="auto"/>
          <w:szCs w:val="21"/>
        </w:rPr>
        <w:t>中如提及品牌型号，仅起参考作用。供应商可选用其他品牌型号替代，但这些替代的品牌型号要实质上参照或相当于或优于参考品牌型号及其技术参数性能（配置）要求。</w:t>
      </w:r>
    </w:p>
    <w:p w14:paraId="3278C044">
      <w:pPr>
        <w:spacing w:line="360" w:lineRule="auto"/>
        <w:rPr>
          <w:szCs w:val="21"/>
        </w:rPr>
      </w:pPr>
      <w:r>
        <w:rPr>
          <w:rFonts w:hint="eastAsia"/>
          <w:szCs w:val="21"/>
        </w:rPr>
        <w:t>（</w:t>
      </w:r>
      <w:r>
        <w:rPr>
          <w:szCs w:val="21"/>
        </w:rPr>
        <w:t>2）</w:t>
      </w:r>
      <w:bookmarkStart w:id="33" w:name="_Hlk132788003"/>
      <w:r>
        <w:rPr>
          <w:szCs w:val="21"/>
        </w:rPr>
        <w:t>如要求提供检测报告</w:t>
      </w:r>
      <w:r>
        <w:rPr>
          <w:rFonts w:hint="eastAsia"/>
          <w:szCs w:val="21"/>
        </w:rPr>
        <w:t>或其他证明材料</w:t>
      </w:r>
      <w:r>
        <w:rPr>
          <w:szCs w:val="21"/>
        </w:rPr>
        <w:t>的，检测报告或</w:t>
      </w:r>
      <w:r>
        <w:rPr>
          <w:rFonts w:hint="eastAsia"/>
          <w:szCs w:val="21"/>
        </w:rPr>
        <w:t>其他证明材料</w:t>
      </w:r>
      <w:r>
        <w:rPr>
          <w:szCs w:val="21"/>
        </w:rPr>
        <w:t>内容中若涉及外文说明，必须同时提供对应中文翻译说明，评审依据以中文翻译内容为准，外文说明仅供参考；产品</w:t>
      </w:r>
      <w:r>
        <w:rPr>
          <w:rFonts w:hint="eastAsia"/>
          <w:szCs w:val="21"/>
        </w:rPr>
        <w:t>证明材料</w:t>
      </w:r>
      <w:r>
        <w:rPr>
          <w:szCs w:val="21"/>
        </w:rPr>
        <w:t>应为报告正面、背面和附件标注的全部具体内容；产品</w:t>
      </w:r>
      <w:r>
        <w:rPr>
          <w:rFonts w:hint="eastAsia"/>
          <w:szCs w:val="21"/>
        </w:rPr>
        <w:t>证明材料</w:t>
      </w:r>
      <w:r>
        <w:rPr>
          <w:szCs w:val="21"/>
        </w:rPr>
        <w:t>的</w:t>
      </w:r>
      <w:r>
        <w:rPr>
          <w:rFonts w:hint="eastAsia"/>
          <w:szCs w:val="21"/>
        </w:rPr>
        <w:t>内容</w:t>
      </w:r>
      <w:r>
        <w:rPr>
          <w:szCs w:val="21"/>
        </w:rPr>
        <w:t>应该能够被阅读、识别和判断</w:t>
      </w:r>
      <w:bookmarkEnd w:id="33"/>
      <w:r>
        <w:rPr>
          <w:szCs w:val="21"/>
        </w:rPr>
        <w:t>。</w:t>
      </w:r>
      <w:r>
        <w:rPr>
          <w:rFonts w:hint="eastAsia"/>
          <w:szCs w:val="21"/>
        </w:rPr>
        <w:t xml:space="preserve"> </w:t>
      </w:r>
    </w:p>
    <w:p w14:paraId="1C5528DF">
      <w:pPr>
        <w:spacing w:line="360" w:lineRule="auto"/>
        <w:rPr>
          <w:szCs w:val="21"/>
          <w:highlight w:val="none"/>
        </w:rPr>
      </w:pPr>
      <w:r>
        <w:rPr>
          <w:szCs w:val="21"/>
        </w:rPr>
        <w:t>5</w:t>
      </w:r>
      <w:r>
        <w:rPr>
          <w:rFonts w:hint="eastAsia"/>
          <w:szCs w:val="21"/>
        </w:rPr>
        <w:t>.核心产品</w:t>
      </w:r>
    </w:p>
    <w:p w14:paraId="103026B0">
      <w:pPr>
        <w:spacing w:line="360" w:lineRule="auto"/>
        <w:rPr>
          <w:szCs w:val="21"/>
          <w:highlight w:val="none"/>
          <w:u w:val="single"/>
        </w:rPr>
      </w:pPr>
      <w:r>
        <w:rPr>
          <w:rFonts w:hint="eastAsia"/>
          <w:szCs w:val="21"/>
          <w:highlight w:val="none"/>
        </w:rPr>
        <w:t>本项目为货物采购项目，核心产品为：制剂生产用辅料米酒</w:t>
      </w:r>
      <w:r>
        <w:rPr>
          <w:szCs w:val="21"/>
          <w:highlight w:val="none"/>
          <w:u w:val="single"/>
        </w:rPr>
        <w:t xml:space="preserve">           </w:t>
      </w:r>
    </w:p>
    <w:p w14:paraId="60779529">
      <w:pPr>
        <w:spacing w:line="360" w:lineRule="auto"/>
        <w:rPr>
          <w:szCs w:val="21"/>
        </w:rPr>
      </w:pPr>
      <w:r>
        <w:rPr>
          <w:rFonts w:hint="eastAsia"/>
          <w:szCs w:val="21"/>
        </w:rPr>
        <w:t>6.节能产品</w:t>
      </w:r>
    </w:p>
    <w:p w14:paraId="622E3BFA">
      <w:pPr>
        <w:spacing w:line="360" w:lineRule="auto"/>
        <w:rPr>
          <w:rFonts w:hint="eastAsia"/>
          <w:u w:val="single"/>
        </w:rPr>
      </w:pPr>
      <w:r>
        <w:rPr>
          <w:rFonts w:hint="eastAsia"/>
          <w:szCs w:val="21"/>
          <w:highlight w:val="none"/>
        </w:rPr>
        <w:t>本项目强制采购节能产品为：</w:t>
      </w:r>
      <w:r>
        <w:rPr>
          <w:rFonts w:hint="eastAsia"/>
          <w:szCs w:val="21"/>
          <w:highlight w:val="none"/>
          <w:u w:val="single"/>
        </w:rPr>
        <w:t>无；</w:t>
      </w:r>
      <w:r>
        <w:rPr>
          <w:rFonts w:hint="eastAsia"/>
          <w:u w:val="single"/>
        </w:rPr>
        <w:t xml:space="preserve">   </w:t>
      </w:r>
    </w:p>
    <w:p w14:paraId="5CCEF67E">
      <w:pPr>
        <w:numPr>
          <w:ilvl w:val="0"/>
          <w:numId w:val="0"/>
        </w:numPr>
        <w:spacing w:line="360" w:lineRule="auto"/>
        <w:rPr>
          <w:rFonts w:hint="eastAsia"/>
          <w:u w:val="none"/>
          <w:lang w:val="en-US" w:eastAsia="zh-CN"/>
        </w:rPr>
      </w:pPr>
      <w:r>
        <w:rPr>
          <w:rFonts w:hint="eastAsia"/>
          <w:kern w:val="2"/>
          <w:sz w:val="21"/>
          <w:szCs w:val="24"/>
          <w:lang w:val="en-US" w:eastAsia="zh-CN" w:bidi="ar-SA"/>
        </w:rPr>
        <w:t>7.</w:t>
      </w:r>
      <w:r>
        <w:rPr>
          <w:rFonts w:hint="eastAsia"/>
          <w:u w:val="none"/>
          <w:lang w:val="en-US" w:eastAsia="zh-CN"/>
        </w:rPr>
        <w:t>网络安全专用产品</w:t>
      </w:r>
    </w:p>
    <w:p w14:paraId="377D8545">
      <w:pPr>
        <w:numPr>
          <w:ilvl w:val="0"/>
          <w:numId w:val="0"/>
        </w:numPr>
        <w:spacing w:line="360" w:lineRule="auto"/>
        <w:rPr>
          <w:szCs w:val="21"/>
        </w:rPr>
      </w:pPr>
      <w:r>
        <w:rPr>
          <w:rFonts w:hint="eastAsia"/>
          <w:szCs w:val="21"/>
          <w:highlight w:val="none"/>
        </w:rPr>
        <w:t>本项目</w:t>
      </w:r>
      <w:r>
        <w:rPr>
          <w:rFonts w:hint="eastAsia"/>
          <w:u w:val="none"/>
          <w:lang w:val="en-US" w:eastAsia="zh-CN"/>
        </w:rPr>
        <w:t>网络安全专用</w:t>
      </w:r>
      <w:r>
        <w:rPr>
          <w:rFonts w:hint="eastAsia"/>
          <w:szCs w:val="21"/>
          <w:highlight w:val="none"/>
        </w:rPr>
        <w:t>产品为：</w:t>
      </w:r>
      <w:r>
        <w:rPr>
          <w:rFonts w:hint="eastAsia"/>
          <w:szCs w:val="21"/>
          <w:highlight w:val="none"/>
          <w:u w:val="single"/>
        </w:rPr>
        <w:t>无；</w:t>
      </w:r>
      <w:r>
        <w:rPr>
          <w:rFonts w:hint="eastAsia"/>
          <w:u w:val="single"/>
        </w:rPr>
        <w:t xml:space="preserve">           </w:t>
      </w:r>
      <w:r>
        <w:rPr>
          <w:rFonts w:hint="eastAsia"/>
        </w:rPr>
        <w:t xml:space="preserve">    </w:t>
      </w:r>
    </w:p>
    <w:p w14:paraId="304BE1C7">
      <w:pPr>
        <w:spacing w:line="360" w:lineRule="auto"/>
        <w:rPr>
          <w:color w:val="4472C4"/>
          <w:szCs w:val="21"/>
        </w:rPr>
      </w:pPr>
      <w:r>
        <w:rPr>
          <w:rFonts w:hint="eastAsia"/>
          <w:szCs w:val="21"/>
          <w:lang w:val="en-US" w:eastAsia="zh-CN"/>
        </w:rPr>
        <w:t>8</w:t>
      </w:r>
      <w:r>
        <w:rPr>
          <w:rFonts w:hint="eastAsia"/>
          <w:szCs w:val="21"/>
        </w:rPr>
        <w:t>.标的名称、数量、需满足的质量、技术规格、物理特性、性能、材料、结构、外观、安全，或者服务内容和标准一览表</w:t>
      </w:r>
    </w:p>
    <w:tbl>
      <w:tblPr>
        <w:tblStyle w:val="53"/>
        <w:tblW w:w="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6"/>
        <w:gridCol w:w="1514"/>
        <w:gridCol w:w="791"/>
        <w:gridCol w:w="869"/>
        <w:gridCol w:w="5691"/>
      </w:tblGrid>
      <w:tr w14:paraId="1459F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7" w:hRule="atLeast"/>
        </w:trPr>
        <w:tc>
          <w:tcPr>
            <w:tcW w:w="369" w:type="pct"/>
            <w:vAlign w:val="center"/>
          </w:tcPr>
          <w:p w14:paraId="4B34BDDD">
            <w:pPr>
              <w:spacing w:line="360" w:lineRule="auto"/>
              <w:rPr>
                <w:b/>
                <w:bCs/>
                <w:color w:val="auto"/>
                <w:szCs w:val="21"/>
                <w:highlight w:val="none"/>
              </w:rPr>
            </w:pPr>
            <w:bookmarkStart w:id="34" w:name="_Hlk209036138"/>
            <w:bookmarkStart w:id="35" w:name="_Hlk132815104"/>
            <w:bookmarkStart w:id="36" w:name="_Hlk132788110"/>
            <w:r>
              <w:rPr>
                <w:b/>
                <w:bCs/>
                <w:color w:val="auto"/>
                <w:szCs w:val="21"/>
                <w:highlight w:val="none"/>
              </w:rPr>
              <w:t>序号</w:t>
            </w:r>
          </w:p>
        </w:tc>
        <w:tc>
          <w:tcPr>
            <w:tcW w:w="791" w:type="pct"/>
            <w:vAlign w:val="center"/>
          </w:tcPr>
          <w:p w14:paraId="416496A2">
            <w:pPr>
              <w:spacing w:line="360" w:lineRule="auto"/>
              <w:rPr>
                <w:b/>
                <w:bCs/>
                <w:color w:val="auto"/>
                <w:szCs w:val="21"/>
                <w:highlight w:val="none"/>
              </w:rPr>
            </w:pPr>
            <w:r>
              <w:rPr>
                <w:b/>
                <w:bCs/>
                <w:color w:val="auto"/>
                <w:szCs w:val="21"/>
                <w:highlight w:val="none"/>
              </w:rPr>
              <w:t>货物名称</w:t>
            </w:r>
          </w:p>
        </w:tc>
        <w:tc>
          <w:tcPr>
            <w:tcW w:w="413" w:type="pct"/>
            <w:vAlign w:val="center"/>
          </w:tcPr>
          <w:p w14:paraId="4AF3AC67">
            <w:pPr>
              <w:spacing w:line="360" w:lineRule="auto"/>
              <w:rPr>
                <w:b/>
                <w:bCs/>
                <w:color w:val="auto"/>
                <w:szCs w:val="21"/>
                <w:highlight w:val="none"/>
              </w:rPr>
            </w:pPr>
            <w:r>
              <w:rPr>
                <w:b/>
                <w:bCs/>
                <w:color w:val="auto"/>
                <w:szCs w:val="21"/>
                <w:highlight w:val="none"/>
              </w:rPr>
              <w:t>数量</w:t>
            </w:r>
          </w:p>
        </w:tc>
        <w:tc>
          <w:tcPr>
            <w:tcW w:w="454" w:type="pct"/>
            <w:tcBorders>
              <w:right w:val="single" w:color="auto" w:sz="4" w:space="0"/>
            </w:tcBorders>
            <w:vAlign w:val="center"/>
          </w:tcPr>
          <w:p w14:paraId="0129C64F">
            <w:pPr>
              <w:rPr>
                <w:b/>
                <w:bCs/>
                <w:color w:val="auto"/>
                <w:szCs w:val="21"/>
                <w:highlight w:val="none"/>
              </w:rPr>
            </w:pPr>
            <w:r>
              <w:rPr>
                <w:rFonts w:hint="eastAsia"/>
                <w:b/>
                <w:bCs/>
                <w:color w:val="auto"/>
                <w:szCs w:val="21"/>
                <w:highlight w:val="none"/>
              </w:rPr>
              <w:t>所属行业</w:t>
            </w:r>
          </w:p>
        </w:tc>
        <w:tc>
          <w:tcPr>
            <w:tcW w:w="0" w:type="auto"/>
            <w:tcBorders>
              <w:left w:val="single" w:color="auto" w:sz="4" w:space="0"/>
              <w:right w:val="single" w:color="auto" w:sz="4" w:space="0"/>
            </w:tcBorders>
            <w:vAlign w:val="center"/>
          </w:tcPr>
          <w:p w14:paraId="3AA984D7">
            <w:pPr>
              <w:spacing w:line="360" w:lineRule="auto"/>
              <w:rPr>
                <w:b/>
                <w:bCs/>
                <w:color w:val="auto"/>
                <w:szCs w:val="21"/>
                <w:highlight w:val="none"/>
              </w:rPr>
            </w:pPr>
            <w:r>
              <w:rPr>
                <w:b/>
                <w:bCs/>
                <w:color w:val="auto"/>
                <w:szCs w:val="21"/>
                <w:highlight w:val="none"/>
              </w:rPr>
              <w:t>技术</w:t>
            </w:r>
            <w:r>
              <w:rPr>
                <w:rFonts w:hint="eastAsia"/>
                <w:b/>
                <w:bCs/>
                <w:color w:val="auto"/>
                <w:szCs w:val="21"/>
                <w:highlight w:val="none"/>
              </w:rPr>
              <w:t>指标要求</w:t>
            </w:r>
          </w:p>
        </w:tc>
      </w:tr>
      <w:tr w14:paraId="28568A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9" w:type="pct"/>
            <w:vAlign w:val="center"/>
          </w:tcPr>
          <w:p w14:paraId="59AC1431">
            <w:pPr>
              <w:spacing w:line="360" w:lineRule="auto"/>
              <w:rPr>
                <w:color w:val="auto"/>
                <w:szCs w:val="21"/>
                <w:highlight w:val="none"/>
              </w:rPr>
            </w:pPr>
            <w:r>
              <w:rPr>
                <w:color w:val="auto"/>
                <w:szCs w:val="21"/>
                <w:highlight w:val="none"/>
              </w:rPr>
              <w:t>1</w:t>
            </w:r>
          </w:p>
        </w:tc>
        <w:tc>
          <w:tcPr>
            <w:tcW w:w="791" w:type="pct"/>
            <w:vAlign w:val="center"/>
          </w:tcPr>
          <w:p w14:paraId="398F7AF6">
            <w:pPr>
              <w:spacing w:line="360" w:lineRule="auto"/>
              <w:rPr>
                <w:color w:val="auto"/>
                <w:szCs w:val="21"/>
                <w:highlight w:val="none"/>
              </w:rPr>
            </w:pPr>
            <w:r>
              <w:rPr>
                <w:rFonts w:hint="eastAsia"/>
                <w:color w:val="auto"/>
                <w:szCs w:val="21"/>
                <w:highlight w:val="none"/>
              </w:rPr>
              <w:t>制剂生产用辅料米酒</w:t>
            </w:r>
          </w:p>
        </w:tc>
        <w:tc>
          <w:tcPr>
            <w:tcW w:w="413" w:type="pct"/>
            <w:vAlign w:val="center"/>
          </w:tcPr>
          <w:p w14:paraId="506CFD11">
            <w:pPr>
              <w:spacing w:line="360" w:lineRule="auto"/>
              <w:rPr>
                <w:rFonts w:hint="eastAsia" w:eastAsia="宋体"/>
                <w:color w:val="auto"/>
                <w:szCs w:val="21"/>
                <w:highlight w:val="none"/>
                <w:lang w:val="en-US" w:eastAsia="zh-CN"/>
              </w:rPr>
            </w:pPr>
            <w:r>
              <w:rPr>
                <w:rFonts w:hint="eastAsia"/>
                <w:color w:val="auto"/>
                <w:szCs w:val="21"/>
                <w:highlight w:val="none"/>
              </w:rPr>
              <w:t>1</w:t>
            </w:r>
            <w:r>
              <w:rPr>
                <w:rFonts w:hint="eastAsia"/>
                <w:color w:val="auto"/>
                <w:szCs w:val="21"/>
                <w:highlight w:val="none"/>
                <w:lang w:val="en-US" w:eastAsia="zh-CN"/>
              </w:rPr>
              <w:t>批</w:t>
            </w:r>
          </w:p>
        </w:tc>
        <w:tc>
          <w:tcPr>
            <w:tcW w:w="454" w:type="pct"/>
            <w:tcBorders>
              <w:right w:val="single" w:color="auto" w:sz="4" w:space="0"/>
            </w:tcBorders>
            <w:vAlign w:val="center"/>
          </w:tcPr>
          <w:p w14:paraId="00355CE1">
            <w:pPr>
              <w:spacing w:line="360" w:lineRule="auto"/>
              <w:rPr>
                <w:color w:val="auto"/>
                <w:szCs w:val="21"/>
                <w:highlight w:val="none"/>
              </w:rPr>
            </w:pPr>
            <w:r>
              <w:rPr>
                <w:rFonts w:hint="eastAsia"/>
                <w:color w:val="auto"/>
                <w:szCs w:val="21"/>
                <w:highlight w:val="none"/>
              </w:rPr>
              <w:t>工业</w:t>
            </w:r>
          </w:p>
        </w:tc>
        <w:tc>
          <w:tcPr>
            <w:tcW w:w="0" w:type="auto"/>
            <w:tcBorders>
              <w:left w:val="single" w:color="auto" w:sz="4" w:space="0"/>
              <w:right w:val="single" w:color="auto" w:sz="4" w:space="0"/>
            </w:tcBorders>
            <w:vAlign w:val="center"/>
          </w:tcPr>
          <w:p w14:paraId="35192B75">
            <w:pPr>
              <w:spacing w:line="360" w:lineRule="auto"/>
              <w:jc w:val="left"/>
              <w:rPr>
                <w:rFonts w:hint="eastAsia"/>
                <w:color w:val="auto"/>
                <w:szCs w:val="21"/>
                <w:highlight w:val="none"/>
              </w:rPr>
            </w:pPr>
            <w:r>
              <w:rPr>
                <w:rFonts w:hint="eastAsia"/>
                <w:color w:val="auto"/>
                <w:szCs w:val="21"/>
                <w:highlight w:val="none"/>
              </w:rPr>
              <w:t>（一）采购数量及酒度要求</w:t>
            </w:r>
          </w:p>
          <w:p w14:paraId="31E056BC">
            <w:pPr>
              <w:spacing w:line="360" w:lineRule="auto"/>
              <w:jc w:val="left"/>
              <w:rPr>
                <w:rFonts w:hint="eastAsia"/>
                <w:color w:val="auto"/>
                <w:szCs w:val="21"/>
                <w:highlight w:val="none"/>
              </w:rPr>
            </w:pPr>
            <w:r>
              <w:rPr>
                <w:rFonts w:hint="eastAsia"/>
                <w:color w:val="auto"/>
                <w:szCs w:val="21"/>
                <w:highlight w:val="none"/>
              </w:rPr>
              <w:t>▲1.规格要求：47°±1，采购量约为20万公斤；36°±1，采购量约为5000公斤。</w:t>
            </w:r>
          </w:p>
          <w:p w14:paraId="68D9D734">
            <w:pPr>
              <w:spacing w:line="360" w:lineRule="auto"/>
              <w:jc w:val="left"/>
              <w:rPr>
                <w:rFonts w:hint="eastAsia"/>
                <w:color w:val="auto"/>
                <w:szCs w:val="21"/>
                <w:highlight w:val="none"/>
              </w:rPr>
            </w:pPr>
            <w:r>
              <w:rPr>
                <w:rFonts w:hint="eastAsia"/>
                <w:color w:val="auto"/>
                <w:szCs w:val="21"/>
                <w:highlight w:val="none"/>
              </w:rPr>
              <w:t>2.采购周期：两年，具体用量以实际生产需要为准。</w:t>
            </w:r>
          </w:p>
          <w:p w14:paraId="5261DC87">
            <w:pPr>
              <w:spacing w:line="360" w:lineRule="auto"/>
              <w:jc w:val="left"/>
              <w:rPr>
                <w:rFonts w:hint="eastAsia"/>
                <w:color w:val="auto"/>
                <w:szCs w:val="21"/>
                <w:highlight w:val="none"/>
              </w:rPr>
            </w:pPr>
            <w:r>
              <w:rPr>
                <w:rFonts w:hint="eastAsia"/>
                <w:color w:val="auto"/>
                <w:szCs w:val="21"/>
                <w:highlight w:val="none"/>
              </w:rPr>
              <w:t>▲3.酒度允许差：酒精度实测值与标签标示值允许差为±1.0%vol，每批次到货需完成酒精度初检。</w:t>
            </w:r>
          </w:p>
          <w:p w14:paraId="71DA6870">
            <w:pPr>
              <w:spacing w:line="360" w:lineRule="auto"/>
              <w:jc w:val="left"/>
              <w:rPr>
                <w:rFonts w:hint="eastAsia"/>
                <w:color w:val="auto"/>
                <w:szCs w:val="21"/>
                <w:highlight w:val="none"/>
              </w:rPr>
            </w:pPr>
            <w:r>
              <w:rPr>
                <w:rFonts w:hint="eastAsia"/>
                <w:color w:val="auto"/>
                <w:szCs w:val="21"/>
                <w:highlight w:val="none"/>
              </w:rPr>
              <w:t>4. 精密度：同批次，两次酒精度测定结果的绝对差值不超过0.5% vol。</w:t>
            </w:r>
          </w:p>
          <w:p w14:paraId="4748D3B1">
            <w:pPr>
              <w:spacing w:line="360" w:lineRule="auto"/>
              <w:jc w:val="left"/>
              <w:rPr>
                <w:rFonts w:hint="eastAsia"/>
                <w:color w:val="auto"/>
                <w:szCs w:val="21"/>
                <w:highlight w:val="none"/>
              </w:rPr>
            </w:pPr>
            <w:r>
              <w:rPr>
                <w:rFonts w:hint="eastAsia"/>
                <w:color w:val="auto"/>
                <w:szCs w:val="21"/>
                <w:highlight w:val="none"/>
              </w:rPr>
              <w:t>（二）质量要求</w:t>
            </w:r>
          </w:p>
          <w:p w14:paraId="1DBE5E25">
            <w:pPr>
              <w:spacing w:line="360" w:lineRule="auto"/>
              <w:jc w:val="left"/>
              <w:rPr>
                <w:rFonts w:hint="eastAsia"/>
                <w:color w:val="auto"/>
                <w:szCs w:val="21"/>
                <w:highlight w:val="none"/>
              </w:rPr>
            </w:pPr>
            <w:r>
              <w:rPr>
                <w:rFonts w:hint="eastAsia"/>
                <w:color w:val="auto"/>
                <w:szCs w:val="21"/>
                <w:highlight w:val="none"/>
              </w:rPr>
              <w:t>▲</w:t>
            </w:r>
            <w:r>
              <w:rPr>
                <w:rFonts w:hint="eastAsia"/>
                <w:color w:val="auto"/>
                <w:szCs w:val="21"/>
                <w:highlight w:val="none"/>
                <w:lang w:val="en-US" w:eastAsia="zh-CN"/>
              </w:rPr>
              <w:t>1</w:t>
            </w:r>
            <w:r>
              <w:rPr>
                <w:rFonts w:hint="eastAsia"/>
                <w:color w:val="auto"/>
                <w:szCs w:val="21"/>
                <w:highlight w:val="none"/>
              </w:rPr>
              <w:t>.检验标准：按照GB/T 10781.3-2025《白酒质量要求 第3部分：米香型白酒》执行；同时需符合GB2757-2012《食品安全国家标准 蒸馏酒及其配制酒》、GB2760-2024《食品安全国家标准 食品添加剂使用标准》、GB2762-2022《食品安全国家标准 食品中污染物限量》及《中国药典》（四部）药用辅料通用标准要求。</w:t>
            </w:r>
            <w:r>
              <w:rPr>
                <w:rFonts w:hint="eastAsia"/>
                <w:b/>
                <w:bCs/>
                <w:color w:val="auto"/>
                <w:szCs w:val="21"/>
                <w:highlight w:val="none"/>
              </w:rPr>
              <w:t>（供应商需提供</w:t>
            </w:r>
            <w:r>
              <w:rPr>
                <w:rFonts w:hint="eastAsia"/>
                <w:b/>
                <w:bCs/>
                <w:color w:val="auto"/>
                <w:szCs w:val="21"/>
                <w:highlight w:val="none"/>
                <w:lang w:val="en-US" w:eastAsia="zh-CN"/>
              </w:rPr>
              <w:t>上述</w:t>
            </w:r>
            <w:r>
              <w:rPr>
                <w:rFonts w:hint="eastAsia"/>
                <w:b/>
                <w:bCs/>
                <w:color w:val="auto"/>
                <w:szCs w:val="21"/>
                <w:highlight w:val="none"/>
              </w:rPr>
              <w:t>标准合规声明</w:t>
            </w:r>
            <w:r>
              <w:rPr>
                <w:rFonts w:hint="eastAsia"/>
                <w:b/>
                <w:bCs/>
                <w:color w:val="auto"/>
                <w:szCs w:val="21"/>
                <w:highlight w:val="none"/>
                <w:lang w:eastAsia="zh-CN"/>
              </w:rPr>
              <w:t>，</w:t>
            </w:r>
            <w:r>
              <w:rPr>
                <w:rFonts w:hint="eastAsia"/>
                <w:b/>
                <w:bCs/>
                <w:color w:val="auto"/>
                <w:szCs w:val="21"/>
                <w:highlight w:val="none"/>
                <w:lang w:val="en-US" w:eastAsia="zh-CN"/>
              </w:rPr>
              <w:t>格式自拟</w:t>
            </w:r>
            <w:r>
              <w:rPr>
                <w:rFonts w:hint="eastAsia"/>
                <w:b/>
                <w:bCs/>
                <w:color w:val="auto"/>
                <w:szCs w:val="21"/>
                <w:highlight w:val="none"/>
              </w:rPr>
              <w:t>）</w:t>
            </w:r>
            <w:r>
              <w:rPr>
                <w:rFonts w:hint="eastAsia"/>
                <w:b/>
                <w:bCs/>
                <w:color w:val="auto"/>
                <w:szCs w:val="21"/>
                <w:highlight w:val="none"/>
              </w:rPr>
              <w:t>如有国家、行业新标准颁布实施，自新标准实施之日起按最新标准执行</w:t>
            </w:r>
            <w:r>
              <w:rPr>
                <w:rFonts w:hint="eastAsia"/>
                <w:color w:val="auto"/>
                <w:szCs w:val="21"/>
                <w:highlight w:val="none"/>
              </w:rPr>
              <w:t>。</w:t>
            </w:r>
            <w:bookmarkStart w:id="177" w:name="_GoBack"/>
            <w:bookmarkEnd w:id="177"/>
          </w:p>
          <w:p w14:paraId="28C269F3">
            <w:pPr>
              <w:spacing w:line="360" w:lineRule="auto"/>
              <w:jc w:val="left"/>
              <w:rPr>
                <w:rFonts w:hint="eastAsia"/>
                <w:color w:val="auto"/>
                <w:szCs w:val="21"/>
                <w:highlight w:val="none"/>
              </w:rPr>
            </w:pPr>
            <w:r>
              <w:rPr>
                <w:rFonts w:hint="eastAsia"/>
                <w:color w:val="auto"/>
                <w:szCs w:val="21"/>
                <w:highlight w:val="none"/>
              </w:rPr>
              <w:t>▲</w:t>
            </w:r>
            <w:r>
              <w:rPr>
                <w:rFonts w:hint="eastAsia"/>
                <w:color w:val="auto"/>
                <w:szCs w:val="21"/>
                <w:highlight w:val="none"/>
                <w:lang w:val="en-US" w:eastAsia="zh-CN"/>
              </w:rPr>
              <w:t>2</w:t>
            </w:r>
            <w:r>
              <w:rPr>
                <w:rFonts w:hint="eastAsia"/>
                <w:color w:val="auto"/>
                <w:szCs w:val="21"/>
                <w:highlight w:val="none"/>
              </w:rPr>
              <w:t>.检验项目：每批次检验报告需覆盖感官要求、酒精度、总酸、β-苯乙醇、固形物、甲醇、氰化物、铅限量、糖精钠、甜蜜素等。</w:t>
            </w:r>
          </w:p>
          <w:p w14:paraId="57A0610D">
            <w:pPr>
              <w:spacing w:line="360" w:lineRule="auto"/>
              <w:jc w:val="left"/>
              <w:rPr>
                <w:rFonts w:hint="eastAsia"/>
                <w:color w:val="auto"/>
                <w:szCs w:val="21"/>
                <w:highlight w:val="none"/>
              </w:rPr>
            </w:pPr>
            <w:r>
              <w:rPr>
                <w:rFonts w:hint="eastAsia"/>
                <w:color w:val="auto"/>
                <w:szCs w:val="21"/>
                <w:highlight w:val="none"/>
              </w:rPr>
              <w:t>▲</w:t>
            </w:r>
            <w:r>
              <w:rPr>
                <w:rFonts w:hint="eastAsia"/>
                <w:color w:val="auto"/>
                <w:szCs w:val="21"/>
                <w:highlight w:val="none"/>
                <w:lang w:val="en-US" w:eastAsia="zh-CN"/>
              </w:rPr>
              <w:t>3</w:t>
            </w:r>
            <w:r>
              <w:rPr>
                <w:rFonts w:hint="eastAsia"/>
                <w:color w:val="auto"/>
                <w:szCs w:val="21"/>
                <w:highlight w:val="none"/>
              </w:rPr>
              <w:t>.全检要求：中标人每年向采购人提供由国家认可的有资质的第三方检测机构出具的全检检测合格报告，47°±1规格不少于3批次，36°±1规格不少于2批次。未按要求提供或报告不达标，采购人有权单方解除合同。</w:t>
            </w:r>
          </w:p>
          <w:p w14:paraId="32E6A172">
            <w:pPr>
              <w:spacing w:line="360" w:lineRule="auto"/>
              <w:jc w:val="left"/>
              <w:rPr>
                <w:rFonts w:hint="eastAsia"/>
                <w:color w:val="auto"/>
                <w:szCs w:val="21"/>
                <w:highlight w:val="none"/>
              </w:rPr>
            </w:pPr>
            <w:r>
              <w:rPr>
                <w:rFonts w:hint="eastAsia"/>
                <w:color w:val="auto"/>
                <w:szCs w:val="21"/>
                <w:highlight w:val="none"/>
              </w:rPr>
              <w:t>（三）其他技术指标</w:t>
            </w:r>
          </w:p>
          <w:p w14:paraId="3E1D4D82">
            <w:pPr>
              <w:spacing w:line="360" w:lineRule="auto"/>
              <w:jc w:val="left"/>
              <w:rPr>
                <w:rFonts w:hint="eastAsia"/>
                <w:color w:val="auto"/>
                <w:szCs w:val="21"/>
                <w:highlight w:val="none"/>
              </w:rPr>
            </w:pPr>
            <w:r>
              <w:rPr>
                <w:rFonts w:hint="eastAsia"/>
                <w:color w:val="auto"/>
                <w:szCs w:val="21"/>
                <w:highlight w:val="none"/>
                <w:lang w:val="en-US" w:eastAsia="zh-CN"/>
              </w:rPr>
              <w:t>1</w:t>
            </w:r>
            <w:r>
              <w:rPr>
                <w:rFonts w:hint="eastAsia"/>
                <w:color w:val="auto"/>
                <w:szCs w:val="21"/>
                <w:highlight w:val="none"/>
              </w:rPr>
              <w:t>.色泽外观：酒体应呈无色或微黄色，清亮透明；允许存在极微量悬浮物，静置后可自然消散。</w:t>
            </w:r>
          </w:p>
          <w:p w14:paraId="693239BF">
            <w:pPr>
              <w:spacing w:line="360" w:lineRule="auto"/>
              <w:jc w:val="left"/>
              <w:rPr>
                <w:rFonts w:hint="eastAsia"/>
                <w:color w:val="auto"/>
                <w:szCs w:val="21"/>
                <w:highlight w:val="none"/>
              </w:rPr>
            </w:pPr>
            <w:r>
              <w:rPr>
                <w:rFonts w:hint="eastAsia"/>
                <w:color w:val="auto"/>
                <w:szCs w:val="21"/>
                <w:highlight w:val="none"/>
                <w:lang w:val="en-US" w:eastAsia="zh-CN"/>
              </w:rPr>
              <w:t>2</w:t>
            </w:r>
            <w:r>
              <w:rPr>
                <w:rFonts w:hint="eastAsia"/>
                <w:color w:val="auto"/>
                <w:szCs w:val="21"/>
                <w:highlight w:val="none"/>
              </w:rPr>
              <w:t>香气滋味：具备米香型米酒固有风味特征，无腐败、酸败等不良异臭异味，滋味柔和，适配制剂生产调配使用。</w:t>
            </w:r>
          </w:p>
          <w:p w14:paraId="249059FE">
            <w:pPr>
              <w:spacing w:line="360" w:lineRule="auto"/>
              <w:jc w:val="left"/>
              <w:rPr>
                <w:rFonts w:hint="eastAsia"/>
                <w:color w:val="auto"/>
                <w:szCs w:val="21"/>
                <w:highlight w:val="none"/>
              </w:rPr>
            </w:pPr>
            <w:r>
              <w:rPr>
                <w:rFonts w:hint="eastAsia"/>
                <w:color w:val="auto"/>
                <w:szCs w:val="21"/>
                <w:highlight w:val="none"/>
                <w:lang w:val="en-US" w:eastAsia="zh-CN"/>
              </w:rPr>
              <w:t>3</w:t>
            </w:r>
            <w:r>
              <w:rPr>
                <w:rFonts w:hint="eastAsia"/>
                <w:color w:val="auto"/>
                <w:szCs w:val="21"/>
                <w:highlight w:val="none"/>
              </w:rPr>
              <w:t>.原料管控：生产主要原料宜选用粮食类原料，原料应无霉变、变质情况，优先具备可追溯来源。</w:t>
            </w:r>
          </w:p>
        </w:tc>
      </w:tr>
      <w:bookmarkEnd w:id="34"/>
    </w:tbl>
    <w:p w14:paraId="30FA41A4">
      <w:pPr>
        <w:rPr>
          <w:color w:val="auto"/>
          <w:szCs w:val="21"/>
        </w:rPr>
      </w:pPr>
      <w:r>
        <w:rPr>
          <w:rFonts w:hint="eastAsia"/>
          <w:color w:val="auto"/>
          <w:szCs w:val="21"/>
        </w:rPr>
        <w:t>【备注：所属行业根据《关于印发中小企业划型标准规定的通知》（工信部联企业</w:t>
      </w:r>
      <w:r>
        <w:rPr>
          <w:rFonts w:hint="eastAsia"/>
          <w:color w:val="auto"/>
          <w:szCs w:val="21"/>
          <w:lang w:eastAsia="zh-CN"/>
        </w:rPr>
        <w:t>〔2011〕300号</w:t>
      </w:r>
      <w:r>
        <w:rPr>
          <w:rFonts w:hint="eastAsia"/>
          <w:color w:val="auto"/>
          <w:szCs w:val="21"/>
        </w:rPr>
        <w:t>）</w:t>
      </w:r>
    </w:p>
    <w:p w14:paraId="4F01DFCB">
      <w:pPr>
        <w:spacing w:line="360" w:lineRule="auto"/>
        <w:rPr>
          <w:strike/>
          <w:color w:val="auto"/>
          <w:szCs w:val="21"/>
        </w:rPr>
      </w:pPr>
      <w:r>
        <w:rPr>
          <w:rFonts w:hint="eastAsia"/>
          <w:color w:val="auto"/>
          <w:szCs w:val="21"/>
        </w:rPr>
        <w:t>以及《金融业企业划型标准规定》（银发〔2015〕309号）认定】</w:t>
      </w:r>
    </w:p>
    <w:bookmarkEnd w:id="35"/>
    <w:p w14:paraId="2FD98EEB">
      <w:pPr>
        <w:spacing w:line="360" w:lineRule="auto"/>
        <w:rPr>
          <w:szCs w:val="21"/>
        </w:rPr>
      </w:pPr>
      <w:bookmarkStart w:id="37" w:name="_Hlk132815329"/>
      <w:r>
        <w:rPr>
          <w:rFonts w:hint="eastAsia"/>
          <w:color w:val="auto"/>
          <w:szCs w:val="21"/>
        </w:rPr>
        <w:t>注：1、</w:t>
      </w:r>
      <w:r>
        <w:rPr>
          <w:color w:val="auto"/>
          <w:szCs w:val="21"/>
        </w:rPr>
        <w:t>所属行业标明“/”的</w:t>
      </w:r>
      <w:r>
        <w:rPr>
          <w:rFonts w:hint="eastAsia"/>
          <w:color w:val="auto"/>
          <w:szCs w:val="21"/>
        </w:rPr>
        <w:t>采购</w:t>
      </w:r>
      <w:r>
        <w:rPr>
          <w:color w:val="auto"/>
          <w:szCs w:val="21"/>
        </w:rPr>
        <w:t>标的，</w:t>
      </w:r>
      <w:r>
        <w:rPr>
          <w:rFonts w:hint="eastAsia"/>
          <w:color w:val="auto"/>
          <w:szCs w:val="21"/>
        </w:rPr>
        <w:t>无需在</w:t>
      </w:r>
      <w:r>
        <w:rPr>
          <w:color w:val="auto"/>
          <w:szCs w:val="21"/>
        </w:rPr>
        <w:t>中小企业声明函</w:t>
      </w:r>
      <w:r>
        <w:rPr>
          <w:rFonts w:hint="eastAsia"/>
          <w:color w:val="auto"/>
          <w:szCs w:val="21"/>
        </w:rPr>
        <w:t>中填写</w:t>
      </w:r>
      <w:r>
        <w:rPr>
          <w:szCs w:val="21"/>
        </w:rPr>
        <w:t>。</w:t>
      </w:r>
    </w:p>
    <w:bookmarkEnd w:id="37"/>
    <w:p w14:paraId="5CE56CFF">
      <w:pPr>
        <w:spacing w:line="360" w:lineRule="auto"/>
        <w:ind w:firstLine="420" w:firstLineChars="200"/>
        <w:rPr>
          <w:szCs w:val="21"/>
        </w:rPr>
      </w:pPr>
      <w:r>
        <w:rPr>
          <w:rFonts w:hint="eastAsia"/>
          <w:szCs w:val="21"/>
        </w:rPr>
        <w:t>2、实质性参数要求提交证明材料的，应按照要求提供，未提供或未按要求提供的将视为响应无效。</w:t>
      </w:r>
    </w:p>
    <w:bookmarkEnd w:id="36"/>
    <w:p w14:paraId="52BE5D2A">
      <w:pPr>
        <w:spacing w:line="360" w:lineRule="auto"/>
        <w:rPr>
          <w:rFonts w:hint="eastAsia" w:ascii="黑体" w:hAnsi="黑体" w:eastAsia="黑体" w:cs="Arial"/>
          <w:b/>
          <w:kern w:val="0"/>
          <w:sz w:val="28"/>
          <w:szCs w:val="28"/>
        </w:rPr>
      </w:pPr>
      <w:r>
        <w:rPr>
          <w:rFonts w:hint="eastAsia"/>
          <w:color w:val="auto"/>
          <w:szCs w:val="21"/>
          <w:highlight w:val="none"/>
        </w:rPr>
        <w:t>▲</w:t>
      </w:r>
      <w:r>
        <w:rPr>
          <w:rFonts w:hint="eastAsia" w:ascii="黑体" w:hAnsi="黑体" w:eastAsia="黑体" w:cs="Arial"/>
          <w:b/>
          <w:kern w:val="0"/>
          <w:sz w:val="28"/>
          <w:szCs w:val="28"/>
        </w:rPr>
        <w:t>三、商务要求</w:t>
      </w:r>
    </w:p>
    <w:tbl>
      <w:tblPr>
        <w:tblStyle w:val="53"/>
        <w:tblW w:w="93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37"/>
        <w:gridCol w:w="1708"/>
        <w:gridCol w:w="7106"/>
      </w:tblGrid>
      <w:tr w14:paraId="6683A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7303E47A">
            <w:pPr>
              <w:wordWrap w:val="0"/>
              <w:jc w:val="center"/>
              <w:rPr>
                <w:rFonts w:ascii="Arial" w:hAnsi="Arial" w:cs="Arial"/>
                <w:szCs w:val="21"/>
                <w:highlight w:val="none"/>
              </w:rPr>
            </w:pPr>
            <w:r>
              <w:rPr>
                <w:rFonts w:ascii="Arial" w:hAnsi="Arial" w:cs="Arial"/>
                <w:szCs w:val="21"/>
                <w:highlight w:val="none"/>
              </w:rPr>
              <w:t>序号</w:t>
            </w:r>
          </w:p>
        </w:tc>
        <w:tc>
          <w:tcPr>
            <w:tcW w:w="1708" w:type="dxa"/>
            <w:vAlign w:val="center"/>
          </w:tcPr>
          <w:p w14:paraId="77610EBC">
            <w:pPr>
              <w:wordWrap w:val="0"/>
              <w:spacing w:line="300" w:lineRule="exact"/>
              <w:ind w:firstLine="420" w:firstLineChars="200"/>
              <w:rPr>
                <w:rFonts w:ascii="Arial" w:hAnsi="Arial" w:cs="Arial"/>
                <w:szCs w:val="21"/>
                <w:highlight w:val="none"/>
              </w:rPr>
            </w:pPr>
            <w:r>
              <w:rPr>
                <w:rFonts w:ascii="Arial" w:hAnsi="Arial" w:cs="Arial"/>
                <w:szCs w:val="21"/>
                <w:highlight w:val="none"/>
              </w:rPr>
              <w:t>商务条款</w:t>
            </w:r>
          </w:p>
        </w:tc>
        <w:tc>
          <w:tcPr>
            <w:tcW w:w="7106" w:type="dxa"/>
            <w:vAlign w:val="center"/>
          </w:tcPr>
          <w:p w14:paraId="617F2A39">
            <w:pPr>
              <w:wordWrap w:val="0"/>
              <w:spacing w:line="300" w:lineRule="exact"/>
              <w:ind w:firstLine="420" w:firstLineChars="200"/>
              <w:jc w:val="center"/>
              <w:rPr>
                <w:rFonts w:ascii="Arial" w:hAnsi="Arial" w:cs="Arial"/>
                <w:szCs w:val="21"/>
                <w:highlight w:val="none"/>
              </w:rPr>
            </w:pPr>
            <w:r>
              <w:rPr>
                <w:rFonts w:ascii="Arial" w:hAnsi="Arial" w:cs="Arial"/>
                <w:szCs w:val="21"/>
                <w:highlight w:val="none"/>
              </w:rPr>
              <w:t>商务要求</w:t>
            </w:r>
          </w:p>
        </w:tc>
      </w:tr>
      <w:tr w14:paraId="25EB9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633D1EAB">
            <w:pPr>
              <w:wordWrap w:val="0"/>
              <w:jc w:val="center"/>
              <w:rPr>
                <w:rFonts w:ascii="Arial" w:hAnsi="Arial" w:cs="Arial"/>
                <w:szCs w:val="21"/>
                <w:highlight w:val="none"/>
              </w:rPr>
            </w:pPr>
            <w:r>
              <w:rPr>
                <w:rFonts w:ascii="Arial" w:hAnsi="Arial" w:cs="Arial"/>
                <w:szCs w:val="21"/>
                <w:highlight w:val="none"/>
              </w:rPr>
              <w:t>1</w:t>
            </w:r>
          </w:p>
        </w:tc>
        <w:tc>
          <w:tcPr>
            <w:tcW w:w="1708" w:type="dxa"/>
            <w:vAlign w:val="center"/>
          </w:tcPr>
          <w:p w14:paraId="3ACE704C">
            <w:pPr>
              <w:wordWrap w:val="0"/>
              <w:spacing w:line="360" w:lineRule="exact"/>
              <w:jc w:val="center"/>
              <w:rPr>
                <w:rFonts w:ascii="Arial" w:hAnsi="Arial" w:cs="Arial"/>
                <w:szCs w:val="21"/>
                <w:highlight w:val="none"/>
              </w:rPr>
            </w:pPr>
            <w:r>
              <w:rPr>
                <w:rFonts w:ascii="Arial" w:hAnsi="Arial" w:cs="Arial"/>
                <w:szCs w:val="21"/>
                <w:highlight w:val="none"/>
              </w:rPr>
              <w:t>报价要求</w:t>
            </w:r>
          </w:p>
        </w:tc>
        <w:tc>
          <w:tcPr>
            <w:tcW w:w="7106" w:type="dxa"/>
            <w:vAlign w:val="center"/>
          </w:tcPr>
          <w:p w14:paraId="1CB6D5D9">
            <w:pPr>
              <w:wordWrap w:val="0"/>
              <w:spacing w:line="300" w:lineRule="exact"/>
              <w:rPr>
                <w:rFonts w:ascii="Arial" w:hAnsi="Arial" w:cs="Arial"/>
                <w:szCs w:val="21"/>
                <w:highlight w:val="none"/>
              </w:rPr>
            </w:pPr>
            <w:r>
              <w:rPr>
                <w:rFonts w:ascii="Arial" w:hAnsi="Arial" w:cs="Arial"/>
                <w:szCs w:val="21"/>
                <w:highlight w:val="none"/>
              </w:rPr>
              <w:t>本次报价须为人民币报价包含</w:t>
            </w:r>
            <w:r>
              <w:rPr>
                <w:rFonts w:hint="eastAsia" w:ascii="Arial" w:hAnsi="Arial" w:cs="Arial"/>
                <w:szCs w:val="21"/>
                <w:highlight w:val="none"/>
              </w:rPr>
              <w:t>含产品</w:t>
            </w:r>
            <w:r>
              <w:rPr>
                <w:rFonts w:hint="eastAsia" w:ascii="Arial" w:hAnsi="Arial" w:cs="Arial"/>
                <w:szCs w:val="21"/>
                <w:highlight w:val="none"/>
                <w:lang w:val="en-US" w:eastAsia="zh-CN"/>
              </w:rPr>
              <w:t>价</w:t>
            </w:r>
            <w:r>
              <w:rPr>
                <w:rFonts w:hint="eastAsia" w:ascii="Arial" w:hAnsi="Arial" w:cs="Arial"/>
                <w:szCs w:val="21"/>
                <w:highlight w:val="none"/>
              </w:rPr>
              <w:t>、随配附件、备品备件、辅助材料、工具、运抵指定交货地点、保险、现场搬运、调试及验收、售后服务、培训费、人工费、税金、产品检测费、代理费、产品质保期内等所有成本费用的总和</w:t>
            </w:r>
            <w:r>
              <w:rPr>
                <w:rFonts w:ascii="Arial" w:hAnsi="Arial" w:cs="Arial"/>
                <w:szCs w:val="21"/>
                <w:highlight w:val="none"/>
              </w:rPr>
              <w:t>。</w:t>
            </w:r>
          </w:p>
          <w:p w14:paraId="2D36AF30">
            <w:pPr>
              <w:wordWrap w:val="0"/>
              <w:spacing w:line="300" w:lineRule="exact"/>
              <w:rPr>
                <w:rFonts w:ascii="Arial" w:hAnsi="Arial" w:cs="Arial"/>
                <w:szCs w:val="21"/>
                <w:highlight w:val="none"/>
              </w:rPr>
            </w:pPr>
            <w:r>
              <w:rPr>
                <w:rFonts w:ascii="Arial" w:hAnsi="Arial" w:cs="Arial"/>
                <w:szCs w:val="21"/>
                <w:highlight w:val="none"/>
              </w:rPr>
              <w:t>对于本文件中明确列明必须报价的货物或服务，供应商应分别报价。对于本文件中未列明，而供应商认为必需的费用也需列入总报价。在合同实施时，采购人将不予支付中标人没有列入的项目费用，并认为此项目的费用已包括在投标总报价中。</w:t>
            </w:r>
          </w:p>
        </w:tc>
      </w:tr>
      <w:tr w14:paraId="28D43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jc w:val="center"/>
        </w:trPr>
        <w:tc>
          <w:tcPr>
            <w:tcW w:w="537" w:type="dxa"/>
            <w:vAlign w:val="center"/>
          </w:tcPr>
          <w:p w14:paraId="5A2406F9">
            <w:pPr>
              <w:wordWrap w:val="0"/>
              <w:jc w:val="center"/>
              <w:rPr>
                <w:rFonts w:ascii="Arial" w:hAnsi="Arial" w:cs="Arial"/>
                <w:szCs w:val="21"/>
                <w:highlight w:val="none"/>
              </w:rPr>
            </w:pPr>
            <w:r>
              <w:rPr>
                <w:rFonts w:ascii="Arial" w:hAnsi="Arial" w:cs="Arial"/>
                <w:szCs w:val="21"/>
                <w:highlight w:val="none"/>
              </w:rPr>
              <w:t>2</w:t>
            </w:r>
          </w:p>
        </w:tc>
        <w:tc>
          <w:tcPr>
            <w:tcW w:w="1708" w:type="dxa"/>
            <w:vAlign w:val="center"/>
          </w:tcPr>
          <w:p w14:paraId="332C6D5A">
            <w:pPr>
              <w:wordWrap w:val="0"/>
              <w:spacing w:line="360" w:lineRule="exact"/>
              <w:jc w:val="center"/>
              <w:rPr>
                <w:rFonts w:ascii="Arial" w:hAnsi="Arial" w:cs="Arial"/>
                <w:szCs w:val="21"/>
                <w:highlight w:val="none"/>
              </w:rPr>
            </w:pPr>
            <w:r>
              <w:rPr>
                <w:rFonts w:ascii="Arial" w:hAnsi="Arial" w:cs="Arial"/>
                <w:szCs w:val="21"/>
                <w:highlight w:val="none"/>
              </w:rPr>
              <w:t>合同签订日期</w:t>
            </w:r>
          </w:p>
        </w:tc>
        <w:tc>
          <w:tcPr>
            <w:tcW w:w="7106" w:type="dxa"/>
            <w:vAlign w:val="center"/>
          </w:tcPr>
          <w:p w14:paraId="4A6BE8F1">
            <w:pPr>
              <w:wordWrap w:val="0"/>
              <w:spacing w:line="300" w:lineRule="exact"/>
              <w:rPr>
                <w:rFonts w:ascii="Arial" w:hAnsi="Arial" w:cs="Arial"/>
                <w:szCs w:val="21"/>
                <w:highlight w:val="none"/>
              </w:rPr>
            </w:pPr>
            <w:r>
              <w:rPr>
                <w:rFonts w:ascii="Arial" w:hAnsi="Arial" w:cs="Arial"/>
                <w:szCs w:val="21"/>
                <w:highlight w:val="none"/>
              </w:rPr>
              <w:t>中标通知书发出后25日内</w:t>
            </w:r>
            <w:r>
              <w:rPr>
                <w:rFonts w:ascii="Arial" w:hAnsi="Arial" w:cs="Arial"/>
                <w:kern w:val="0"/>
                <w:sz w:val="20"/>
                <w:szCs w:val="20"/>
                <w:highlight w:val="none"/>
              </w:rPr>
              <w:t>。</w:t>
            </w:r>
          </w:p>
        </w:tc>
      </w:tr>
      <w:tr w14:paraId="3C285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706E5E0F">
            <w:pPr>
              <w:wordWrap w:val="0"/>
              <w:jc w:val="center"/>
              <w:rPr>
                <w:rFonts w:ascii="Arial" w:hAnsi="Arial" w:cs="Arial"/>
                <w:szCs w:val="21"/>
                <w:highlight w:val="none"/>
              </w:rPr>
            </w:pPr>
            <w:r>
              <w:rPr>
                <w:rFonts w:ascii="Arial" w:hAnsi="Arial" w:cs="Arial"/>
                <w:szCs w:val="21"/>
                <w:highlight w:val="none"/>
              </w:rPr>
              <w:t>3</w:t>
            </w:r>
          </w:p>
        </w:tc>
        <w:tc>
          <w:tcPr>
            <w:tcW w:w="1708" w:type="dxa"/>
            <w:vAlign w:val="center"/>
          </w:tcPr>
          <w:p w14:paraId="551B5F6E">
            <w:pPr>
              <w:wordWrap w:val="0"/>
              <w:spacing w:line="360" w:lineRule="exact"/>
              <w:jc w:val="center"/>
              <w:rPr>
                <w:rFonts w:ascii="Arial" w:hAnsi="Arial" w:cs="Arial"/>
                <w:szCs w:val="21"/>
                <w:highlight w:val="none"/>
              </w:rPr>
            </w:pPr>
            <w:r>
              <w:rPr>
                <w:rFonts w:ascii="Arial" w:hAnsi="Arial" w:cs="Arial"/>
                <w:szCs w:val="21"/>
                <w:highlight w:val="none"/>
              </w:rPr>
              <w:t>交货时间</w:t>
            </w:r>
          </w:p>
        </w:tc>
        <w:tc>
          <w:tcPr>
            <w:tcW w:w="7106" w:type="dxa"/>
            <w:vAlign w:val="center"/>
          </w:tcPr>
          <w:p w14:paraId="1628F414">
            <w:pPr>
              <w:wordWrap w:val="0"/>
              <w:spacing w:line="300" w:lineRule="exact"/>
              <w:rPr>
                <w:rFonts w:ascii="Arial" w:hAnsi="Arial" w:cs="Arial"/>
                <w:szCs w:val="21"/>
                <w:highlight w:val="none"/>
              </w:rPr>
            </w:pPr>
            <w:r>
              <w:rPr>
                <w:rFonts w:hint="eastAsia" w:ascii="Arial" w:hAnsi="Arial" w:cs="Arial"/>
                <w:kern w:val="0"/>
                <w:szCs w:val="21"/>
                <w:highlight w:val="none"/>
              </w:rPr>
              <w:t>合同</w:t>
            </w:r>
            <w:r>
              <w:rPr>
                <w:rFonts w:ascii="Arial" w:hAnsi="Arial" w:cs="Arial"/>
                <w:kern w:val="0"/>
                <w:szCs w:val="21"/>
                <w:highlight w:val="none"/>
              </w:rPr>
              <w:t>签订后，</w:t>
            </w:r>
            <w:r>
              <w:rPr>
                <w:rFonts w:hint="eastAsia" w:ascii="Arial" w:hAnsi="Arial" w:cs="Arial"/>
                <w:kern w:val="0"/>
                <w:szCs w:val="21"/>
                <w:highlight w:val="none"/>
                <w:lang w:val="en-US" w:eastAsia="zh-CN"/>
              </w:rPr>
              <w:t>接到采购人下订单之日起 5 个工作日内按批次交货，通过验收并交付使用</w:t>
            </w:r>
            <w:r>
              <w:rPr>
                <w:rFonts w:ascii="Arial" w:hAnsi="Arial" w:cs="Arial"/>
                <w:kern w:val="0"/>
                <w:szCs w:val="21"/>
                <w:highlight w:val="none"/>
              </w:rPr>
              <w:t>。</w:t>
            </w:r>
          </w:p>
        </w:tc>
      </w:tr>
      <w:tr w14:paraId="3A205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7207AF08">
            <w:pPr>
              <w:wordWrap w:val="0"/>
              <w:jc w:val="center"/>
              <w:rPr>
                <w:rFonts w:ascii="Arial" w:hAnsi="Arial" w:cs="Arial"/>
                <w:szCs w:val="21"/>
              </w:rPr>
            </w:pPr>
            <w:r>
              <w:rPr>
                <w:rFonts w:ascii="Arial" w:hAnsi="Arial" w:cs="Arial"/>
                <w:szCs w:val="21"/>
              </w:rPr>
              <w:t>4</w:t>
            </w:r>
          </w:p>
        </w:tc>
        <w:tc>
          <w:tcPr>
            <w:tcW w:w="1708" w:type="dxa"/>
            <w:vAlign w:val="center"/>
          </w:tcPr>
          <w:p w14:paraId="2BD2A96A">
            <w:pPr>
              <w:wordWrap w:val="0"/>
              <w:spacing w:line="360" w:lineRule="exact"/>
              <w:jc w:val="center"/>
              <w:rPr>
                <w:rFonts w:ascii="Arial" w:hAnsi="Arial" w:cs="Arial"/>
                <w:szCs w:val="21"/>
              </w:rPr>
            </w:pPr>
            <w:r>
              <w:rPr>
                <w:rFonts w:ascii="Arial" w:hAnsi="Arial" w:cs="Arial"/>
                <w:szCs w:val="21"/>
              </w:rPr>
              <w:t>交货地点</w:t>
            </w:r>
          </w:p>
        </w:tc>
        <w:tc>
          <w:tcPr>
            <w:tcW w:w="7106" w:type="dxa"/>
            <w:vAlign w:val="center"/>
          </w:tcPr>
          <w:p w14:paraId="4BBA0360">
            <w:pPr>
              <w:wordWrap w:val="0"/>
              <w:spacing w:line="300" w:lineRule="exact"/>
              <w:rPr>
                <w:rFonts w:ascii="Arial" w:hAnsi="Arial" w:cs="Arial"/>
                <w:szCs w:val="21"/>
              </w:rPr>
            </w:pPr>
            <w:r>
              <w:rPr>
                <w:rFonts w:hint="eastAsia" w:ascii="Arial" w:hAnsi="Arial" w:cs="Arial"/>
                <w:szCs w:val="21"/>
                <w:lang w:val="en-US" w:eastAsia="zh-CN"/>
              </w:rPr>
              <w:t>玉林市中西医结合骨科医院</w:t>
            </w:r>
            <w:r>
              <w:rPr>
                <w:rFonts w:ascii="Arial" w:hAnsi="Arial" w:cs="Arial"/>
                <w:szCs w:val="21"/>
              </w:rPr>
              <w:t>指定地点。</w:t>
            </w:r>
          </w:p>
        </w:tc>
      </w:tr>
      <w:tr w14:paraId="15C45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05F8FC7E">
            <w:pPr>
              <w:wordWrap w:val="0"/>
              <w:jc w:val="center"/>
              <w:rPr>
                <w:rFonts w:ascii="Arial" w:hAnsi="Arial" w:cs="Arial"/>
                <w:szCs w:val="21"/>
              </w:rPr>
            </w:pPr>
            <w:r>
              <w:rPr>
                <w:rFonts w:ascii="Arial" w:hAnsi="Arial" w:cs="Arial"/>
                <w:szCs w:val="21"/>
              </w:rPr>
              <w:t>5</w:t>
            </w:r>
          </w:p>
        </w:tc>
        <w:tc>
          <w:tcPr>
            <w:tcW w:w="1708" w:type="dxa"/>
            <w:vAlign w:val="center"/>
          </w:tcPr>
          <w:p w14:paraId="3BFB193C">
            <w:pPr>
              <w:wordWrap w:val="0"/>
              <w:spacing w:line="360" w:lineRule="exact"/>
              <w:jc w:val="center"/>
              <w:rPr>
                <w:rFonts w:ascii="Arial" w:hAnsi="Arial" w:cs="Arial"/>
                <w:szCs w:val="21"/>
              </w:rPr>
            </w:pPr>
            <w:r>
              <w:rPr>
                <w:rFonts w:hint="eastAsia" w:ascii="Arial" w:hAnsi="Arial" w:cs="Arial"/>
                <w:szCs w:val="21"/>
              </w:rPr>
              <w:t>配送及质量管控要求</w:t>
            </w:r>
          </w:p>
        </w:tc>
        <w:tc>
          <w:tcPr>
            <w:tcW w:w="7106" w:type="dxa"/>
            <w:vAlign w:val="center"/>
          </w:tcPr>
          <w:p w14:paraId="31EBC99D">
            <w:pPr>
              <w:wordWrap w:val="0"/>
              <w:spacing w:line="300" w:lineRule="exact"/>
              <w:rPr>
                <w:rFonts w:hint="eastAsia" w:ascii="Arial" w:hAnsi="Arial" w:cs="Arial"/>
                <w:szCs w:val="21"/>
              </w:rPr>
            </w:pPr>
            <w:r>
              <w:rPr>
                <w:rFonts w:hint="eastAsia" w:ascii="Arial" w:hAnsi="Arial" w:cs="Arial"/>
                <w:szCs w:val="21"/>
              </w:rPr>
              <w:t>1.配送要求：按照采购单位的实际需求分多次配送至指定地点，供应商应确保配送时间、数量、检验报告等准确无误，因供应商配送环节影响制剂生产的，应采取及时补救措施，影响生产超过3次，采购人有权单方解除合同。</w:t>
            </w:r>
          </w:p>
          <w:p w14:paraId="079D4C84">
            <w:pPr>
              <w:wordWrap w:val="0"/>
              <w:spacing w:line="300" w:lineRule="exact"/>
              <w:rPr>
                <w:rFonts w:hint="eastAsia" w:ascii="Arial" w:hAnsi="Arial" w:cs="Arial"/>
                <w:szCs w:val="21"/>
              </w:rPr>
            </w:pPr>
            <w:r>
              <w:rPr>
                <w:rFonts w:hint="eastAsia" w:ascii="Arial" w:hAnsi="Arial" w:cs="Arial"/>
                <w:szCs w:val="21"/>
              </w:rPr>
              <w:t>2.包装与标签：产品需采用独立的容器包装，包装材料应清洁、卫生、安全</w:t>
            </w:r>
            <w:r>
              <w:rPr>
                <w:rFonts w:hint="eastAsia" w:ascii="Arial" w:hAnsi="Arial" w:cs="Arial"/>
                <w:szCs w:val="21"/>
                <w:lang w:eastAsia="zh-CN"/>
              </w:rPr>
              <w:t>，</w:t>
            </w:r>
            <w:r>
              <w:rPr>
                <w:rFonts w:hint="eastAsia" w:ascii="Arial" w:hAnsi="Arial" w:cs="Arial"/>
                <w:szCs w:val="21"/>
              </w:rPr>
              <w:t>包装容器的材料符合食品级以上要求，具备良好的密封、防损性能；标签标识符合《预包装食品标签通则》GB7718及有关标准规定，需明确标示药用辅料适配说明（如有），验收时需专项检查标签合规性。</w:t>
            </w:r>
          </w:p>
          <w:p w14:paraId="6AF0F544">
            <w:pPr>
              <w:wordWrap w:val="0"/>
              <w:spacing w:line="300" w:lineRule="exact"/>
              <w:rPr>
                <w:rFonts w:hint="eastAsia" w:ascii="Arial" w:hAnsi="Arial" w:cs="Arial"/>
                <w:szCs w:val="21"/>
              </w:rPr>
            </w:pPr>
            <w:r>
              <w:rPr>
                <w:rFonts w:hint="eastAsia" w:ascii="Arial" w:hAnsi="Arial" w:cs="Arial"/>
                <w:szCs w:val="21"/>
              </w:rPr>
              <w:t>3.运输与贮存：运输工具需保持清洁、干燥、密封，运输过程中避免高温暴晒、剧烈震动、雨淋及污染；产品贮存需符合相关标准要求，确保质量稳定。</w:t>
            </w:r>
          </w:p>
          <w:p w14:paraId="72B61E12">
            <w:pPr>
              <w:wordWrap w:val="0"/>
              <w:spacing w:line="300" w:lineRule="exact"/>
              <w:rPr>
                <w:rFonts w:hint="eastAsia" w:ascii="Arial" w:hAnsi="Arial" w:cs="Arial"/>
                <w:szCs w:val="21"/>
              </w:rPr>
            </w:pPr>
            <w:r>
              <w:rPr>
                <w:rFonts w:hint="eastAsia" w:ascii="Arial" w:hAnsi="Arial" w:cs="Arial"/>
                <w:szCs w:val="21"/>
              </w:rPr>
              <w:t>4.到货验收：供应商需随货附每批次产品的检验报告、销售清单、运输消毒证明等资料；采购单位现场核对产品批次、规格、包装完整性、标签信息，完成酒精度初检及感官快速检测（色泽、气味、口感），验收不合格的产品当场拒收，由</w:t>
            </w:r>
            <w:r>
              <w:rPr>
                <w:rFonts w:hint="eastAsia" w:ascii="Arial" w:hAnsi="Arial" w:cs="Arial"/>
                <w:szCs w:val="21"/>
                <w:lang w:val="en-US" w:eastAsia="zh-CN"/>
              </w:rPr>
              <w:t>中标人</w:t>
            </w:r>
            <w:r>
              <w:rPr>
                <w:rFonts w:hint="eastAsia" w:ascii="Arial" w:hAnsi="Arial" w:cs="Arial"/>
                <w:szCs w:val="21"/>
              </w:rPr>
              <w:t>及时处理。</w:t>
            </w:r>
          </w:p>
          <w:p w14:paraId="73EE3DC3">
            <w:pPr>
              <w:wordWrap w:val="0"/>
              <w:spacing w:line="300" w:lineRule="exact"/>
              <w:rPr>
                <w:rFonts w:ascii="Arial" w:hAnsi="Arial" w:cs="Arial"/>
                <w:szCs w:val="21"/>
              </w:rPr>
            </w:pPr>
            <w:r>
              <w:rPr>
                <w:rFonts w:hint="eastAsia" w:ascii="Arial" w:hAnsi="Arial" w:cs="Arial"/>
                <w:szCs w:val="21"/>
              </w:rPr>
              <w:t>5.不合格品处理：产品出现抽检不合格、到货验收不合格等情况，</w:t>
            </w:r>
            <w:r>
              <w:rPr>
                <w:rFonts w:hint="eastAsia" w:ascii="Arial" w:hAnsi="Arial" w:cs="Arial"/>
                <w:szCs w:val="21"/>
                <w:lang w:val="en-US" w:eastAsia="zh-CN"/>
              </w:rPr>
              <w:t>中标人</w:t>
            </w:r>
            <w:r>
              <w:rPr>
                <w:rFonts w:hint="eastAsia" w:ascii="Arial" w:hAnsi="Arial" w:cs="Arial"/>
                <w:szCs w:val="21"/>
              </w:rPr>
              <w:t>需在24小时内响应，无条件办理退货、换货，并承担采购单位因此造成的全部损失；若出现全年3批次质量不合格产品，或连续2批次不合格，采购单位有权单方终止合作，保留追究其违约责任的权利。</w:t>
            </w:r>
          </w:p>
        </w:tc>
      </w:tr>
      <w:tr w14:paraId="459C5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281AA6F4">
            <w:pPr>
              <w:wordWrap w:val="0"/>
              <w:jc w:val="center"/>
              <w:rPr>
                <w:rFonts w:ascii="Arial" w:hAnsi="Arial" w:cs="Arial"/>
                <w:szCs w:val="21"/>
              </w:rPr>
            </w:pPr>
            <w:r>
              <w:rPr>
                <w:rFonts w:ascii="Arial" w:hAnsi="Arial" w:cs="Arial"/>
                <w:szCs w:val="21"/>
              </w:rPr>
              <w:t>6</w:t>
            </w:r>
          </w:p>
        </w:tc>
        <w:tc>
          <w:tcPr>
            <w:tcW w:w="1708" w:type="dxa"/>
            <w:vAlign w:val="center"/>
          </w:tcPr>
          <w:p w14:paraId="2183B051">
            <w:pPr>
              <w:wordWrap w:val="0"/>
              <w:spacing w:line="360" w:lineRule="exact"/>
              <w:jc w:val="center"/>
              <w:rPr>
                <w:rFonts w:ascii="Arial" w:hAnsi="Arial" w:cs="Arial"/>
                <w:szCs w:val="21"/>
                <w:highlight w:val="none"/>
              </w:rPr>
            </w:pPr>
            <w:r>
              <w:rPr>
                <w:rFonts w:hint="eastAsia" w:ascii="Arial" w:hAnsi="Arial" w:cs="Arial"/>
                <w:szCs w:val="21"/>
                <w:highlight w:val="none"/>
              </w:rPr>
              <w:t>验收标准</w:t>
            </w:r>
          </w:p>
        </w:tc>
        <w:tc>
          <w:tcPr>
            <w:tcW w:w="7106" w:type="dxa"/>
            <w:vAlign w:val="center"/>
          </w:tcPr>
          <w:p w14:paraId="4635C32B">
            <w:pPr>
              <w:wordWrap w:val="0"/>
              <w:spacing w:line="300" w:lineRule="exact"/>
              <w:rPr>
                <w:rFonts w:hint="eastAsia" w:ascii="Arial" w:hAnsi="Arial" w:eastAsia="宋体" w:cs="Arial"/>
                <w:szCs w:val="21"/>
                <w:highlight w:val="none"/>
                <w:lang w:val="en-US" w:eastAsia="zh-CN"/>
              </w:rPr>
            </w:pPr>
            <w:r>
              <w:rPr>
                <w:rFonts w:hint="eastAsia" w:ascii="Arial" w:hAnsi="Arial" w:eastAsia="宋体" w:cs="Arial"/>
                <w:szCs w:val="21"/>
                <w:highlight w:val="none"/>
                <w:lang w:val="en-US" w:eastAsia="zh-CN"/>
              </w:rPr>
              <w:t>1.本产品</w:t>
            </w:r>
            <w:r>
              <w:rPr>
                <w:rFonts w:hint="eastAsia" w:ascii="Arial" w:hAnsi="Arial" w:cs="Arial"/>
                <w:szCs w:val="21"/>
                <w:highlight w:val="none"/>
                <w:lang w:val="en-US" w:eastAsia="zh-CN"/>
              </w:rPr>
              <w:t>的有效期为：自运抵采购人指定交货地点起不少于12个月</w:t>
            </w:r>
            <w:r>
              <w:rPr>
                <w:rFonts w:hint="eastAsia" w:ascii="Arial" w:hAnsi="Arial" w:eastAsia="宋体" w:cs="Arial"/>
                <w:szCs w:val="21"/>
                <w:highlight w:val="none"/>
                <w:lang w:val="en-US" w:eastAsia="zh-CN"/>
              </w:rPr>
              <w:t>。</w:t>
            </w:r>
          </w:p>
          <w:p w14:paraId="2543703C">
            <w:pPr>
              <w:wordWrap w:val="0"/>
              <w:spacing w:line="300" w:lineRule="exact"/>
              <w:rPr>
                <w:rFonts w:hint="default" w:ascii="Arial" w:hAnsi="Arial" w:eastAsia="宋体" w:cs="Arial"/>
                <w:szCs w:val="21"/>
                <w:highlight w:val="none"/>
                <w:lang w:val="en-US" w:eastAsia="zh-CN"/>
              </w:rPr>
            </w:pPr>
            <w:r>
              <w:rPr>
                <w:rFonts w:hint="eastAsia" w:ascii="Arial" w:hAnsi="Arial" w:eastAsia="宋体" w:cs="Arial"/>
                <w:szCs w:val="21"/>
                <w:highlight w:val="none"/>
                <w:lang w:val="en-US" w:eastAsia="zh-CN"/>
              </w:rPr>
              <w:t>2.如在使用过程中发生质量问题，中标人在接到采购人通知后到达采购人现场处理的时间不超过3小时。</w:t>
            </w:r>
          </w:p>
          <w:p w14:paraId="68C170D8">
            <w:pPr>
              <w:wordWrap w:val="0"/>
              <w:spacing w:line="300" w:lineRule="exact"/>
              <w:rPr>
                <w:rFonts w:hint="eastAsia" w:ascii="Arial" w:hAnsi="Arial" w:eastAsia="宋体" w:cs="Arial"/>
                <w:szCs w:val="21"/>
                <w:highlight w:val="none"/>
                <w:lang w:eastAsia="zh-CN"/>
              </w:rPr>
            </w:pPr>
            <w:r>
              <w:rPr>
                <w:rFonts w:hint="eastAsia" w:ascii="Arial" w:hAnsi="Arial" w:eastAsia="宋体" w:cs="Arial"/>
                <w:szCs w:val="21"/>
                <w:highlight w:val="none"/>
                <w:lang w:val="en-US" w:eastAsia="zh-CN"/>
              </w:rPr>
              <w:t>3</w:t>
            </w:r>
            <w:r>
              <w:rPr>
                <w:rFonts w:hint="eastAsia" w:ascii="Arial" w:hAnsi="Arial" w:eastAsia="宋体" w:cs="Arial"/>
                <w:szCs w:val="21"/>
                <w:highlight w:val="none"/>
              </w:rPr>
              <w:t>．检查供货范围或服务范围</w:t>
            </w:r>
            <w:r>
              <w:rPr>
                <w:rFonts w:hint="eastAsia" w:ascii="Arial" w:hAnsi="Arial" w:eastAsia="宋体" w:cs="Arial"/>
                <w:szCs w:val="21"/>
                <w:highlight w:val="none"/>
                <w:lang w:eastAsia="zh-CN"/>
              </w:rPr>
              <w:t>：</w:t>
            </w:r>
          </w:p>
          <w:p w14:paraId="28319E2D">
            <w:pPr>
              <w:wordWrap w:val="0"/>
              <w:spacing w:line="300" w:lineRule="exact"/>
              <w:rPr>
                <w:rFonts w:hint="eastAsia" w:ascii="Arial" w:hAnsi="Arial" w:eastAsia="宋体" w:cs="Arial"/>
                <w:szCs w:val="21"/>
                <w:highlight w:val="none"/>
              </w:rPr>
            </w:pPr>
            <w:r>
              <w:rPr>
                <w:rFonts w:hint="eastAsia" w:ascii="Arial" w:hAnsi="Arial" w:eastAsia="宋体" w:cs="Arial"/>
                <w:szCs w:val="21"/>
                <w:highlight w:val="none"/>
              </w:rPr>
              <w:t>产品到达现场后，中标人应在采购人单位人员在场情况下当面开箱，共同清点、检查外观，作出开箱记录，双方签字确认。中标人应保证货物到达采购人所在地完好无损，如有缺漏、损坏，由中标人负责调换、补齐或赔偿。</w:t>
            </w:r>
          </w:p>
          <w:p w14:paraId="3E2F091E">
            <w:pPr>
              <w:wordWrap w:val="0"/>
              <w:spacing w:line="300" w:lineRule="exact"/>
              <w:rPr>
                <w:rFonts w:hint="eastAsia" w:ascii="Arial" w:hAnsi="Arial" w:eastAsia="宋体" w:cs="Arial"/>
                <w:szCs w:val="21"/>
                <w:highlight w:val="none"/>
              </w:rPr>
            </w:pPr>
            <w:r>
              <w:rPr>
                <w:rFonts w:hint="eastAsia" w:ascii="Arial" w:hAnsi="Arial" w:eastAsia="宋体" w:cs="Arial"/>
                <w:szCs w:val="21"/>
                <w:highlight w:val="none"/>
                <w:lang w:val="en-US" w:eastAsia="zh-CN"/>
              </w:rPr>
              <w:t>4</w:t>
            </w:r>
            <w:r>
              <w:rPr>
                <w:rFonts w:hint="eastAsia" w:ascii="Arial" w:hAnsi="Arial" w:eastAsia="宋体" w:cs="Arial"/>
                <w:szCs w:val="21"/>
                <w:highlight w:val="none"/>
              </w:rPr>
              <w:t>．货物的质量标准必须符合国家现行的规范，以及不低于采购文件规定的技术质量相关要求，否则视为不合格产品，采购人有权退货、并拒付货款；如发生上述情况，采购人不承担供应商由此产生的任何费用，并对其给采购人造成的损失保留追索权利。</w:t>
            </w:r>
          </w:p>
          <w:p w14:paraId="159ECCEA">
            <w:pPr>
              <w:wordWrap w:val="0"/>
              <w:spacing w:line="300" w:lineRule="exact"/>
              <w:rPr>
                <w:rFonts w:hint="eastAsia" w:ascii="Arial" w:hAnsi="Arial" w:eastAsia="宋体" w:cs="Arial"/>
                <w:szCs w:val="21"/>
                <w:highlight w:val="none"/>
              </w:rPr>
            </w:pPr>
            <w:r>
              <w:rPr>
                <w:rFonts w:hint="eastAsia" w:ascii="Arial" w:hAnsi="Arial" w:eastAsia="宋体" w:cs="Arial"/>
                <w:szCs w:val="21"/>
                <w:highlight w:val="none"/>
                <w:lang w:val="en-US" w:eastAsia="zh-CN"/>
              </w:rPr>
              <w:t>5</w:t>
            </w:r>
            <w:r>
              <w:rPr>
                <w:rFonts w:hint="eastAsia" w:ascii="Arial" w:hAnsi="Arial" w:eastAsia="宋体" w:cs="Arial"/>
                <w:szCs w:val="21"/>
                <w:highlight w:val="none"/>
              </w:rPr>
              <w:t>．中标人提供的货物或服务未达到招标文件规定要求，且对采购人造成损失的，由中标人承担一切责任，并赔偿所造成的损失。</w:t>
            </w:r>
          </w:p>
          <w:p w14:paraId="0141095A">
            <w:pPr>
              <w:wordWrap w:val="0"/>
              <w:spacing w:line="300" w:lineRule="exact"/>
              <w:rPr>
                <w:rFonts w:hint="eastAsia" w:ascii="Arial" w:hAnsi="Arial" w:eastAsia="宋体" w:cs="Arial"/>
                <w:szCs w:val="21"/>
                <w:highlight w:val="none"/>
              </w:rPr>
            </w:pPr>
            <w:r>
              <w:rPr>
                <w:rFonts w:hint="eastAsia" w:ascii="Arial" w:hAnsi="Arial" w:eastAsia="宋体" w:cs="Arial"/>
                <w:szCs w:val="21"/>
                <w:highlight w:val="none"/>
                <w:lang w:val="en-US" w:eastAsia="zh-CN"/>
              </w:rPr>
              <w:t>6</w:t>
            </w:r>
            <w:r>
              <w:rPr>
                <w:rFonts w:hint="eastAsia" w:ascii="Arial" w:hAnsi="Arial" w:eastAsia="宋体" w:cs="Arial"/>
                <w:szCs w:val="21"/>
                <w:highlight w:val="none"/>
              </w:rPr>
              <w:t>．采购人需要制造商</w:t>
            </w:r>
            <w:r>
              <w:rPr>
                <w:rFonts w:hint="eastAsia" w:ascii="Arial" w:hAnsi="Arial" w:eastAsia="宋体" w:cs="Arial"/>
                <w:szCs w:val="21"/>
                <w:highlight w:val="none"/>
                <w:lang w:eastAsia="zh-CN"/>
              </w:rPr>
              <w:t>（</w:t>
            </w:r>
            <w:r>
              <w:rPr>
                <w:rFonts w:hint="eastAsia" w:ascii="Arial" w:hAnsi="Arial" w:eastAsia="宋体" w:cs="Arial"/>
                <w:szCs w:val="21"/>
                <w:highlight w:val="none"/>
                <w:lang w:val="en-US" w:eastAsia="zh-CN"/>
              </w:rPr>
              <w:t>生产商）</w:t>
            </w:r>
            <w:r>
              <w:rPr>
                <w:rFonts w:hint="eastAsia" w:ascii="Arial" w:hAnsi="Arial" w:eastAsia="宋体" w:cs="Arial"/>
                <w:szCs w:val="21"/>
                <w:highlight w:val="none"/>
              </w:rPr>
              <w:t>对中标人交付的产品或服务（包括质量、参数等）进行确认的，制造商</w:t>
            </w:r>
            <w:r>
              <w:rPr>
                <w:rFonts w:hint="eastAsia" w:ascii="Arial" w:hAnsi="Arial" w:eastAsia="宋体" w:cs="Arial"/>
                <w:szCs w:val="21"/>
                <w:highlight w:val="none"/>
                <w:lang w:eastAsia="zh-CN"/>
              </w:rPr>
              <w:t>（</w:t>
            </w:r>
            <w:r>
              <w:rPr>
                <w:rFonts w:hint="eastAsia" w:ascii="Arial" w:hAnsi="Arial" w:eastAsia="宋体" w:cs="Arial"/>
                <w:szCs w:val="21"/>
                <w:highlight w:val="none"/>
                <w:lang w:val="en-US" w:eastAsia="zh-CN"/>
              </w:rPr>
              <w:t>生产商）</w:t>
            </w:r>
            <w:r>
              <w:rPr>
                <w:rFonts w:hint="eastAsia" w:ascii="Arial" w:hAnsi="Arial" w:eastAsia="宋体" w:cs="Arial"/>
                <w:szCs w:val="21"/>
                <w:highlight w:val="none"/>
              </w:rPr>
              <w:t>应予以配合并出具书面意见，相关配合事项由中标人与制造商</w:t>
            </w:r>
            <w:r>
              <w:rPr>
                <w:rFonts w:hint="eastAsia" w:ascii="Arial" w:hAnsi="Arial" w:eastAsia="宋体" w:cs="Arial"/>
                <w:szCs w:val="21"/>
                <w:highlight w:val="none"/>
                <w:lang w:eastAsia="zh-CN"/>
              </w:rPr>
              <w:t>（</w:t>
            </w:r>
            <w:r>
              <w:rPr>
                <w:rFonts w:hint="eastAsia" w:ascii="Arial" w:hAnsi="Arial" w:eastAsia="宋体" w:cs="Arial"/>
                <w:szCs w:val="21"/>
                <w:highlight w:val="none"/>
                <w:lang w:val="en-US" w:eastAsia="zh-CN"/>
              </w:rPr>
              <w:t>生产商）</w:t>
            </w:r>
            <w:r>
              <w:rPr>
                <w:rFonts w:hint="eastAsia" w:ascii="Arial" w:hAnsi="Arial" w:eastAsia="宋体" w:cs="Arial"/>
                <w:szCs w:val="21"/>
                <w:highlight w:val="none"/>
              </w:rPr>
              <w:t>协调。</w:t>
            </w:r>
          </w:p>
          <w:p w14:paraId="4FB41697">
            <w:pPr>
              <w:wordWrap w:val="0"/>
              <w:spacing w:line="300" w:lineRule="exact"/>
              <w:rPr>
                <w:rFonts w:hint="eastAsia" w:ascii="Arial" w:hAnsi="Arial" w:eastAsia="宋体" w:cs="Arial"/>
                <w:szCs w:val="21"/>
                <w:highlight w:val="none"/>
              </w:rPr>
            </w:pPr>
            <w:r>
              <w:rPr>
                <w:rFonts w:hint="eastAsia" w:ascii="Arial" w:hAnsi="Arial" w:eastAsia="宋体" w:cs="Arial"/>
                <w:szCs w:val="21"/>
                <w:highlight w:val="none"/>
                <w:lang w:val="en-US" w:eastAsia="zh-CN"/>
              </w:rPr>
              <w:t>7</w:t>
            </w:r>
            <w:r>
              <w:rPr>
                <w:rFonts w:hint="eastAsia" w:ascii="Arial" w:hAnsi="Arial" w:eastAsia="宋体" w:cs="Arial"/>
                <w:szCs w:val="21"/>
                <w:highlight w:val="none"/>
              </w:rPr>
              <w:t>．产品包装材料归采购人所有。</w:t>
            </w:r>
          </w:p>
          <w:p w14:paraId="0FB1D098">
            <w:pPr>
              <w:wordWrap w:val="0"/>
              <w:spacing w:line="300" w:lineRule="exact"/>
              <w:rPr>
                <w:rFonts w:ascii="Arial" w:hAnsi="Arial" w:cs="Arial"/>
                <w:szCs w:val="21"/>
                <w:highlight w:val="none"/>
              </w:rPr>
            </w:pPr>
            <w:r>
              <w:rPr>
                <w:rFonts w:hint="eastAsia" w:ascii="Arial" w:hAnsi="Arial" w:eastAsia="宋体" w:cs="Arial"/>
                <w:szCs w:val="21"/>
                <w:highlight w:val="none"/>
                <w:lang w:val="en-US" w:eastAsia="zh-CN"/>
              </w:rPr>
              <w:t>8</w:t>
            </w:r>
            <w:r>
              <w:rPr>
                <w:rFonts w:hint="eastAsia" w:ascii="Arial" w:hAnsi="Arial" w:eastAsia="宋体" w:cs="Arial"/>
                <w:szCs w:val="21"/>
                <w:highlight w:val="none"/>
              </w:rPr>
              <w:t>．其他验收要求按第五章《合同主要条款格式》执行，未尽事宜按照《关于印发广西壮族自治区政府采购项目履约验收管理办法的通知》[桂财采〔2015〕22号]以及《财政部关于进一步加强政府采购需求和履约验收管理的指导意见》[财库〔2016〕205号]规定执行。</w:t>
            </w:r>
          </w:p>
        </w:tc>
      </w:tr>
      <w:tr w14:paraId="04228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191D1443">
            <w:pPr>
              <w:wordWrap w:val="0"/>
              <w:jc w:val="center"/>
              <w:rPr>
                <w:rFonts w:ascii="Arial" w:hAnsi="Arial" w:cs="Arial"/>
                <w:szCs w:val="21"/>
              </w:rPr>
            </w:pPr>
            <w:r>
              <w:rPr>
                <w:rFonts w:ascii="Arial" w:hAnsi="Arial" w:cs="Arial"/>
                <w:szCs w:val="21"/>
              </w:rPr>
              <w:t>7</w:t>
            </w:r>
          </w:p>
        </w:tc>
        <w:tc>
          <w:tcPr>
            <w:tcW w:w="1708" w:type="dxa"/>
            <w:vAlign w:val="center"/>
          </w:tcPr>
          <w:p w14:paraId="0B9F1E84">
            <w:pPr>
              <w:wordWrap w:val="0"/>
              <w:spacing w:line="360" w:lineRule="exact"/>
              <w:jc w:val="center"/>
              <w:rPr>
                <w:rFonts w:ascii="Arial" w:hAnsi="Arial" w:cs="Arial"/>
                <w:szCs w:val="21"/>
              </w:rPr>
            </w:pPr>
            <w:r>
              <w:rPr>
                <w:rFonts w:ascii="Arial" w:hAnsi="Arial" w:cs="Arial"/>
                <w:szCs w:val="21"/>
              </w:rPr>
              <w:t>培训</w:t>
            </w:r>
          </w:p>
        </w:tc>
        <w:tc>
          <w:tcPr>
            <w:tcW w:w="7106" w:type="dxa"/>
            <w:vAlign w:val="center"/>
          </w:tcPr>
          <w:p w14:paraId="72626F10">
            <w:pPr>
              <w:wordWrap w:val="0"/>
              <w:spacing w:line="300" w:lineRule="exact"/>
              <w:rPr>
                <w:rFonts w:ascii="Arial" w:hAnsi="Arial" w:cs="Arial"/>
                <w:szCs w:val="21"/>
              </w:rPr>
            </w:pPr>
            <w:r>
              <w:rPr>
                <w:rFonts w:ascii="Arial" w:hAnsi="Arial" w:cs="Arial"/>
                <w:szCs w:val="21"/>
              </w:rPr>
              <w:t>1.供应商对其提供产品或服务的使用和操作应尽培训义务。供应商应提供对采购人的基本培训，使采购人使用人员熟练掌握所培训内容，熟练掌握全部功能。</w:t>
            </w:r>
          </w:p>
          <w:p w14:paraId="454BB318">
            <w:pPr>
              <w:wordWrap w:val="0"/>
              <w:spacing w:line="300" w:lineRule="exact"/>
              <w:rPr>
                <w:rFonts w:ascii="Arial" w:hAnsi="Arial" w:cs="Arial"/>
                <w:szCs w:val="21"/>
              </w:rPr>
            </w:pPr>
            <w:r>
              <w:rPr>
                <w:rFonts w:ascii="Arial" w:hAnsi="Arial" w:cs="Arial"/>
                <w:szCs w:val="21"/>
              </w:rPr>
              <w:t>2.</w:t>
            </w:r>
            <w:r>
              <w:rPr>
                <w:rFonts w:ascii="Arial" w:hAnsi="Arial" w:cs="Arial"/>
              </w:rPr>
              <w:t>以上所有</w:t>
            </w:r>
            <w:r>
              <w:rPr>
                <w:rFonts w:ascii="Arial" w:hAnsi="Arial" w:cs="Arial"/>
                <w:szCs w:val="21"/>
              </w:rPr>
              <w:t>培训的相关费用包括在投标报价中，采购人不再另行支付。</w:t>
            </w:r>
          </w:p>
        </w:tc>
      </w:tr>
      <w:tr w14:paraId="0D7E88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7" w:hRule="atLeast"/>
          <w:jc w:val="center"/>
        </w:trPr>
        <w:tc>
          <w:tcPr>
            <w:tcW w:w="537" w:type="dxa"/>
            <w:vAlign w:val="center"/>
          </w:tcPr>
          <w:p w14:paraId="3C2217A7">
            <w:pPr>
              <w:wordWrap w:val="0"/>
              <w:jc w:val="center"/>
              <w:rPr>
                <w:rFonts w:ascii="Arial" w:hAnsi="Arial" w:cs="Arial"/>
                <w:szCs w:val="21"/>
              </w:rPr>
            </w:pPr>
            <w:r>
              <w:rPr>
                <w:rFonts w:ascii="Arial" w:hAnsi="Arial" w:cs="Arial"/>
                <w:szCs w:val="21"/>
              </w:rPr>
              <w:t>8</w:t>
            </w:r>
          </w:p>
        </w:tc>
        <w:tc>
          <w:tcPr>
            <w:tcW w:w="1708" w:type="dxa"/>
            <w:vAlign w:val="center"/>
          </w:tcPr>
          <w:p w14:paraId="02F238AA">
            <w:pPr>
              <w:wordWrap w:val="0"/>
              <w:spacing w:line="360" w:lineRule="exact"/>
              <w:jc w:val="center"/>
              <w:rPr>
                <w:rFonts w:ascii="Arial" w:hAnsi="Arial" w:cs="Arial"/>
                <w:szCs w:val="21"/>
              </w:rPr>
            </w:pPr>
            <w:r>
              <w:rPr>
                <w:rFonts w:ascii="Arial" w:hAnsi="Arial" w:cs="Arial"/>
                <w:szCs w:val="21"/>
              </w:rPr>
              <w:t>知识产权</w:t>
            </w:r>
          </w:p>
        </w:tc>
        <w:tc>
          <w:tcPr>
            <w:tcW w:w="7106" w:type="dxa"/>
            <w:vAlign w:val="center"/>
          </w:tcPr>
          <w:p w14:paraId="217480D1">
            <w:pPr>
              <w:wordWrap w:val="0"/>
              <w:spacing w:line="300" w:lineRule="exact"/>
              <w:rPr>
                <w:rFonts w:ascii="Arial" w:hAnsi="Arial" w:cs="Arial"/>
                <w:szCs w:val="21"/>
              </w:rPr>
            </w:pPr>
            <w:r>
              <w:rPr>
                <w:rFonts w:ascii="Arial" w:hAnsi="Arial" w:cs="Arial"/>
                <w:szCs w:val="21"/>
              </w:rPr>
              <w:t>采购人在中华人民共和国境内使用供应商提供的产品及服务时免受第三方提出的侵犯其专利权或其它知识产权的起诉。如果第三方提出侵权指控，中标人应承担由此而引起的一切法律责任和费用。</w:t>
            </w:r>
          </w:p>
        </w:tc>
      </w:tr>
      <w:tr w14:paraId="6AB64C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37" w:type="dxa"/>
            <w:vAlign w:val="center"/>
          </w:tcPr>
          <w:p w14:paraId="39BAC86D">
            <w:pPr>
              <w:wordWrap w:val="0"/>
              <w:jc w:val="center"/>
              <w:rPr>
                <w:rFonts w:hint="eastAsia" w:ascii="Arial" w:hAnsi="Arial" w:eastAsia="宋体" w:cs="Arial"/>
                <w:szCs w:val="21"/>
                <w:lang w:eastAsia="zh-CN"/>
              </w:rPr>
            </w:pPr>
            <w:r>
              <w:rPr>
                <w:rFonts w:hint="eastAsia" w:ascii="Arial" w:hAnsi="Arial" w:cs="Arial"/>
                <w:szCs w:val="21"/>
                <w:lang w:val="en-US" w:eastAsia="zh-CN"/>
              </w:rPr>
              <w:t>9</w:t>
            </w:r>
          </w:p>
        </w:tc>
        <w:tc>
          <w:tcPr>
            <w:tcW w:w="1708" w:type="dxa"/>
            <w:vAlign w:val="center"/>
          </w:tcPr>
          <w:p w14:paraId="4DA7C0F5">
            <w:pPr>
              <w:wordWrap w:val="0"/>
              <w:spacing w:line="360" w:lineRule="exact"/>
              <w:jc w:val="center"/>
              <w:rPr>
                <w:rFonts w:ascii="Arial" w:hAnsi="Arial" w:cs="Arial"/>
                <w:szCs w:val="21"/>
              </w:rPr>
            </w:pPr>
            <w:r>
              <w:rPr>
                <w:rFonts w:ascii="Arial" w:hAnsi="Arial" w:cs="Arial"/>
                <w:szCs w:val="21"/>
              </w:rPr>
              <w:t>付款方式</w:t>
            </w:r>
          </w:p>
        </w:tc>
        <w:tc>
          <w:tcPr>
            <w:tcW w:w="7106" w:type="dxa"/>
            <w:vAlign w:val="center"/>
          </w:tcPr>
          <w:p w14:paraId="37A25C28">
            <w:pPr>
              <w:wordWrap w:val="0"/>
              <w:spacing w:line="300" w:lineRule="exact"/>
              <w:rPr>
                <w:rFonts w:hint="eastAsia" w:ascii="Arial" w:hAnsi="Arial" w:eastAsia="宋体" w:cs="Arial"/>
                <w:szCs w:val="21"/>
                <w:lang w:eastAsia="zh-CN"/>
              </w:rPr>
            </w:pPr>
            <w:r>
              <w:rPr>
                <w:rFonts w:hint="eastAsia" w:ascii="Arial" w:hAnsi="Arial" w:eastAsia="宋体" w:cs="Arial"/>
                <w:szCs w:val="21"/>
                <w:lang w:val="en-US" w:eastAsia="zh-CN"/>
              </w:rPr>
              <w:t>1.</w:t>
            </w:r>
            <w:r>
              <w:rPr>
                <w:rFonts w:hint="eastAsia" w:ascii="Arial" w:hAnsi="Arial" w:eastAsia="宋体" w:cs="Arial"/>
                <w:szCs w:val="21"/>
              </w:rPr>
              <w:t>自签订合同且合同生效之日起，款项按</w:t>
            </w:r>
            <w:r>
              <w:rPr>
                <w:rFonts w:hint="eastAsia" w:ascii="Arial" w:hAnsi="Arial" w:eastAsia="宋体" w:cs="Arial"/>
                <w:szCs w:val="21"/>
                <w:lang w:val="en-US" w:eastAsia="zh-CN"/>
              </w:rPr>
              <w:t>采购人</w:t>
            </w:r>
            <w:r>
              <w:rPr>
                <w:rFonts w:hint="eastAsia" w:ascii="Arial" w:hAnsi="Arial" w:eastAsia="宋体" w:cs="Arial"/>
                <w:szCs w:val="21"/>
              </w:rPr>
              <w:t>下达的订单分批支付，双方对每批产品验收合格后，</w:t>
            </w:r>
            <w:r>
              <w:rPr>
                <w:rFonts w:hint="eastAsia" w:ascii="Arial" w:hAnsi="Arial" w:eastAsia="宋体" w:cs="Arial"/>
                <w:szCs w:val="21"/>
                <w:lang w:val="en-US" w:eastAsia="zh-CN"/>
              </w:rPr>
              <w:t>中标人</w:t>
            </w:r>
            <w:r>
              <w:rPr>
                <w:rFonts w:hint="eastAsia" w:ascii="Arial" w:hAnsi="Arial" w:eastAsia="宋体" w:cs="Arial"/>
                <w:szCs w:val="21"/>
              </w:rPr>
              <w:t>按每批次的货款金额提供真实合规的发票及相关付款申请材料给</w:t>
            </w:r>
            <w:r>
              <w:rPr>
                <w:rFonts w:hint="eastAsia" w:ascii="Arial" w:hAnsi="Arial" w:eastAsia="宋体" w:cs="Arial"/>
                <w:szCs w:val="21"/>
                <w:lang w:val="en-US" w:eastAsia="zh-CN"/>
              </w:rPr>
              <w:t>采购人</w:t>
            </w:r>
            <w:r>
              <w:rPr>
                <w:rFonts w:hint="eastAsia" w:ascii="Arial" w:hAnsi="Arial" w:eastAsia="宋体" w:cs="Arial"/>
                <w:szCs w:val="21"/>
              </w:rPr>
              <w:t>，</w:t>
            </w:r>
            <w:r>
              <w:rPr>
                <w:rFonts w:hint="eastAsia" w:ascii="Arial" w:hAnsi="Arial" w:eastAsia="宋体" w:cs="Arial"/>
                <w:szCs w:val="21"/>
                <w:lang w:val="en-US" w:eastAsia="zh-CN"/>
              </w:rPr>
              <w:t>采购人</w:t>
            </w:r>
            <w:r>
              <w:rPr>
                <w:rFonts w:hint="eastAsia" w:ascii="Arial" w:hAnsi="Arial" w:eastAsia="宋体" w:cs="Arial"/>
                <w:szCs w:val="21"/>
              </w:rPr>
              <w:t>审核通过后60个工作日内支付该批次款项</w:t>
            </w:r>
            <w:r>
              <w:rPr>
                <w:rFonts w:hint="eastAsia" w:ascii="Arial" w:hAnsi="Arial" w:eastAsia="宋体" w:cs="Arial"/>
                <w:szCs w:val="21"/>
                <w:lang w:eastAsia="zh-CN"/>
              </w:rPr>
              <w:t>。</w:t>
            </w:r>
          </w:p>
          <w:p w14:paraId="7FDC89A0">
            <w:pPr>
              <w:wordWrap w:val="0"/>
              <w:spacing w:line="300" w:lineRule="exact"/>
              <w:rPr>
                <w:rFonts w:hint="default"/>
                <w:lang w:val="en-US" w:eastAsia="zh-CN"/>
              </w:rPr>
            </w:pPr>
            <w:r>
              <w:rPr>
                <w:rFonts w:hint="eastAsia" w:ascii="Arial" w:hAnsi="Arial" w:eastAsia="宋体" w:cs="Arial"/>
                <w:szCs w:val="21"/>
                <w:lang w:val="en-US" w:eastAsia="zh-CN"/>
              </w:rPr>
              <w:t>2.如中标人自身无法及时提供资料导致无法按时结算，由中标人自行承担责任。如中标人向采购人提供虚假税务发票或委托第三方进行结算，采购人有权拒绝支付供应商的所有货款，如有政策变化等特殊原因，再行商议。</w:t>
            </w:r>
          </w:p>
        </w:tc>
      </w:tr>
      <w:tr w14:paraId="0B268F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537" w:type="dxa"/>
            <w:vAlign w:val="center"/>
          </w:tcPr>
          <w:p w14:paraId="6EA5F3F5">
            <w:pPr>
              <w:wordWrap w:val="0"/>
              <w:jc w:val="center"/>
              <w:rPr>
                <w:rFonts w:hint="eastAsia" w:ascii="Arial" w:hAnsi="Arial" w:eastAsia="宋体" w:cs="Arial"/>
                <w:szCs w:val="21"/>
                <w:lang w:eastAsia="zh-CN"/>
              </w:rPr>
            </w:pPr>
            <w:r>
              <w:rPr>
                <w:rFonts w:ascii="Arial" w:hAnsi="Arial" w:cs="Arial"/>
                <w:szCs w:val="21"/>
              </w:rPr>
              <w:t>1</w:t>
            </w:r>
            <w:r>
              <w:rPr>
                <w:rFonts w:hint="eastAsia" w:ascii="Arial" w:hAnsi="Arial" w:cs="Arial"/>
                <w:szCs w:val="21"/>
                <w:lang w:val="en-US" w:eastAsia="zh-CN"/>
              </w:rPr>
              <w:t>0</w:t>
            </w:r>
          </w:p>
        </w:tc>
        <w:tc>
          <w:tcPr>
            <w:tcW w:w="1708" w:type="dxa"/>
            <w:vAlign w:val="center"/>
          </w:tcPr>
          <w:p w14:paraId="6F8CDE6F">
            <w:pPr>
              <w:wordWrap w:val="0"/>
              <w:spacing w:line="360" w:lineRule="exact"/>
              <w:jc w:val="center"/>
              <w:rPr>
                <w:rFonts w:ascii="Arial" w:hAnsi="Arial" w:cs="Arial"/>
                <w:szCs w:val="21"/>
                <w:highlight w:val="none"/>
              </w:rPr>
            </w:pPr>
            <w:r>
              <w:rPr>
                <w:rFonts w:ascii="Arial" w:hAnsi="Arial" w:cs="Arial"/>
                <w:szCs w:val="21"/>
                <w:highlight w:val="none"/>
              </w:rPr>
              <w:t>履约保证金</w:t>
            </w:r>
          </w:p>
        </w:tc>
        <w:tc>
          <w:tcPr>
            <w:tcW w:w="7106" w:type="dxa"/>
            <w:vAlign w:val="center"/>
          </w:tcPr>
          <w:p w14:paraId="3D05309B">
            <w:pPr>
              <w:wordWrap w:val="0"/>
              <w:spacing w:line="300" w:lineRule="exact"/>
              <w:jc w:val="left"/>
              <w:rPr>
                <w:rFonts w:ascii="Arial" w:hAnsi="Arial" w:cs="Arial"/>
                <w:szCs w:val="21"/>
                <w:highlight w:val="none"/>
              </w:rPr>
            </w:pPr>
            <w:r>
              <w:rPr>
                <w:rFonts w:ascii="Arial" w:hAnsi="Arial" w:cs="Arial"/>
                <w:szCs w:val="21"/>
                <w:highlight w:val="none"/>
              </w:rPr>
              <w:t>本项目履约保</w:t>
            </w:r>
            <w:r>
              <w:rPr>
                <w:rFonts w:ascii="Arial" w:hAnsi="Arial" w:cs="Arial"/>
                <w:b w:val="0"/>
                <w:bCs w:val="0"/>
                <w:szCs w:val="21"/>
                <w:highlight w:val="none"/>
              </w:rPr>
              <w:t>证金</w:t>
            </w:r>
            <w:r>
              <w:rPr>
                <w:rFonts w:hint="eastAsia" w:ascii="Arial" w:hAnsi="Arial" w:cs="Arial"/>
                <w:b w:val="0"/>
                <w:bCs w:val="0"/>
                <w:szCs w:val="21"/>
                <w:highlight w:val="none"/>
              </w:rPr>
              <w:t>：</w:t>
            </w:r>
            <w:r>
              <w:rPr>
                <w:rFonts w:ascii="Arial" w:hAnsi="Arial" w:cs="Arial"/>
                <w:b w:val="0"/>
                <w:bCs w:val="0"/>
                <w:szCs w:val="21"/>
                <w:highlight w:val="none"/>
              </w:rPr>
              <w:t>无</w:t>
            </w:r>
          </w:p>
        </w:tc>
      </w:tr>
    </w:tbl>
    <w:p w14:paraId="535850A1">
      <w:pPr>
        <w:spacing w:line="360" w:lineRule="auto"/>
        <w:rPr>
          <w:rFonts w:hint="eastAsia" w:ascii="黑体" w:hAnsi="黑体" w:eastAsia="黑体" w:cs="Arial"/>
          <w:b/>
          <w:kern w:val="0"/>
          <w:sz w:val="28"/>
          <w:szCs w:val="28"/>
        </w:rPr>
      </w:pPr>
    </w:p>
    <w:p w14:paraId="4D812E57">
      <w:pPr>
        <w:spacing w:line="360" w:lineRule="auto"/>
        <w:rPr>
          <w:rFonts w:hint="eastAsia" w:ascii="黑体" w:hAnsi="黑体" w:eastAsia="黑体" w:cs="Arial"/>
          <w:b/>
          <w:kern w:val="0"/>
          <w:sz w:val="28"/>
          <w:szCs w:val="28"/>
        </w:rPr>
      </w:pPr>
      <w:r>
        <w:rPr>
          <w:rFonts w:hint="eastAsia" w:ascii="黑体" w:hAnsi="黑体" w:eastAsia="黑体" w:cs="Arial"/>
          <w:b/>
          <w:kern w:val="0"/>
          <w:sz w:val="28"/>
          <w:szCs w:val="28"/>
        </w:rPr>
        <w:t>四、其他要求</w:t>
      </w:r>
    </w:p>
    <w:p w14:paraId="1B053CE1">
      <w:pPr>
        <w:spacing w:line="360" w:lineRule="auto"/>
        <w:rPr>
          <w:color w:val="auto"/>
          <w:szCs w:val="21"/>
        </w:rPr>
      </w:pPr>
      <w:r>
        <w:rPr>
          <w:rFonts w:hint="eastAsia"/>
          <w:color w:val="auto"/>
          <w:szCs w:val="21"/>
        </w:rPr>
        <w:t>无</w:t>
      </w:r>
    </w:p>
    <w:p w14:paraId="3482F440">
      <w:pPr>
        <w:widowControl/>
        <w:jc w:val="left"/>
        <w:rPr>
          <w:color w:val="4472C4"/>
          <w:szCs w:val="21"/>
        </w:rPr>
      </w:pPr>
      <w:r>
        <w:rPr>
          <w:color w:val="4472C4"/>
          <w:szCs w:val="21"/>
        </w:rPr>
        <w:br w:type="page"/>
      </w:r>
    </w:p>
    <w:p w14:paraId="5E85D9CE">
      <w:pPr>
        <w:spacing w:line="528" w:lineRule="exact"/>
        <w:ind w:firstLine="280" w:firstLineChars="100"/>
        <w:rPr>
          <w:sz w:val="28"/>
          <w:szCs w:val="28"/>
        </w:rPr>
      </w:pPr>
      <w:bookmarkStart w:id="38" w:name="_Hlk132788223"/>
      <w:r>
        <w:rPr>
          <w:rFonts w:hint="eastAsia"/>
          <w:sz w:val="28"/>
          <w:szCs w:val="28"/>
        </w:rPr>
        <w:t xml:space="preserve">附件1： </w:t>
      </w:r>
      <w:r>
        <w:rPr>
          <w:sz w:val="28"/>
          <w:szCs w:val="28"/>
        </w:rPr>
        <w:t xml:space="preserve">                             </w:t>
      </w:r>
    </w:p>
    <w:p w14:paraId="38DBE2AE">
      <w:pPr>
        <w:spacing w:line="528" w:lineRule="exact"/>
        <w:ind w:firstLine="280" w:firstLineChars="100"/>
        <w:jc w:val="center"/>
        <w:rPr>
          <w:sz w:val="28"/>
          <w:szCs w:val="28"/>
        </w:rPr>
      </w:pPr>
      <w:r>
        <w:rPr>
          <w:rFonts w:hint="eastAsia"/>
          <w:sz w:val="28"/>
          <w:szCs w:val="28"/>
        </w:rPr>
        <w:t>中小微企业划型标准</w:t>
      </w:r>
    </w:p>
    <w:tbl>
      <w:tblPr>
        <w:tblStyle w:val="53"/>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73775334">
        <w:tblPrEx>
          <w:tblCellMar>
            <w:top w:w="0" w:type="dxa"/>
            <w:left w:w="108" w:type="dxa"/>
            <w:bottom w:w="0" w:type="dxa"/>
            <w:right w:w="108" w:type="dxa"/>
          </w:tblCellMar>
        </w:tblPrEx>
        <w:trPr>
          <w:trHeight w:val="279" w:hRule="atLeast"/>
        </w:trPr>
        <w:tc>
          <w:tcPr>
            <w:tcW w:w="1446" w:type="dxa"/>
            <w:tcBorders>
              <w:top w:val="single" w:color="auto" w:sz="4" w:space="0"/>
              <w:left w:val="single" w:color="auto" w:sz="4" w:space="0"/>
              <w:bottom w:val="single" w:color="auto" w:sz="4" w:space="0"/>
              <w:right w:val="single" w:color="auto" w:sz="4" w:space="0"/>
            </w:tcBorders>
            <w:noWrap w:val="0"/>
            <w:vAlign w:val="center"/>
          </w:tcPr>
          <w:p w14:paraId="6CB884EB">
            <w:pPr>
              <w:widowControl/>
              <w:jc w:val="left"/>
              <w:rPr>
                <w:szCs w:val="21"/>
              </w:rPr>
            </w:pPr>
            <w:r>
              <w:rPr>
                <w:rFonts w:hint="eastAsia"/>
                <w:szCs w:val="21"/>
              </w:rPr>
              <w:t>行业名称</w:t>
            </w:r>
          </w:p>
        </w:tc>
        <w:tc>
          <w:tcPr>
            <w:tcW w:w="1701" w:type="dxa"/>
            <w:tcBorders>
              <w:top w:val="single" w:color="auto" w:sz="4" w:space="0"/>
              <w:left w:val="nil"/>
              <w:bottom w:val="single" w:color="auto" w:sz="4" w:space="0"/>
              <w:right w:val="single" w:color="auto" w:sz="4" w:space="0"/>
            </w:tcBorders>
            <w:noWrap w:val="0"/>
            <w:vAlign w:val="center"/>
          </w:tcPr>
          <w:p w14:paraId="75DFC7F4">
            <w:pPr>
              <w:widowControl/>
              <w:jc w:val="left"/>
              <w:rPr>
                <w:szCs w:val="21"/>
              </w:rPr>
            </w:pPr>
            <w:r>
              <w:rPr>
                <w:rFonts w:hint="eastAsia"/>
                <w:szCs w:val="21"/>
              </w:rPr>
              <w:t>指标名称</w:t>
            </w:r>
          </w:p>
        </w:tc>
        <w:tc>
          <w:tcPr>
            <w:tcW w:w="1134" w:type="dxa"/>
            <w:tcBorders>
              <w:top w:val="single" w:color="auto" w:sz="4" w:space="0"/>
              <w:left w:val="nil"/>
              <w:bottom w:val="single" w:color="auto" w:sz="4" w:space="0"/>
              <w:right w:val="single" w:color="auto" w:sz="4" w:space="0"/>
            </w:tcBorders>
            <w:noWrap w:val="0"/>
            <w:vAlign w:val="center"/>
          </w:tcPr>
          <w:p w14:paraId="6CD99674">
            <w:pPr>
              <w:widowControl/>
              <w:jc w:val="left"/>
              <w:rPr>
                <w:szCs w:val="21"/>
              </w:rPr>
            </w:pPr>
            <w:r>
              <w:rPr>
                <w:rFonts w:hint="eastAsia"/>
                <w:szCs w:val="21"/>
              </w:rPr>
              <w:t>计量单位</w:t>
            </w:r>
          </w:p>
        </w:tc>
        <w:tc>
          <w:tcPr>
            <w:tcW w:w="1846" w:type="dxa"/>
            <w:tcBorders>
              <w:top w:val="single" w:color="auto" w:sz="4" w:space="0"/>
              <w:left w:val="nil"/>
              <w:bottom w:val="single" w:color="auto" w:sz="4" w:space="0"/>
              <w:right w:val="single" w:color="auto" w:sz="4" w:space="0"/>
            </w:tcBorders>
            <w:noWrap w:val="0"/>
            <w:vAlign w:val="center"/>
          </w:tcPr>
          <w:p w14:paraId="575EE5DA">
            <w:pPr>
              <w:widowControl/>
              <w:jc w:val="left"/>
              <w:rPr>
                <w:szCs w:val="21"/>
              </w:rPr>
            </w:pPr>
            <w:r>
              <w:rPr>
                <w:rFonts w:hint="eastAsia"/>
                <w:szCs w:val="21"/>
              </w:rPr>
              <w:t>中型</w:t>
            </w:r>
          </w:p>
        </w:tc>
        <w:tc>
          <w:tcPr>
            <w:tcW w:w="1570" w:type="dxa"/>
            <w:tcBorders>
              <w:top w:val="single" w:color="auto" w:sz="4" w:space="0"/>
              <w:left w:val="nil"/>
              <w:bottom w:val="single" w:color="auto" w:sz="4" w:space="0"/>
              <w:right w:val="single" w:color="auto" w:sz="4" w:space="0"/>
            </w:tcBorders>
            <w:noWrap w:val="0"/>
            <w:vAlign w:val="center"/>
          </w:tcPr>
          <w:p w14:paraId="043972FD">
            <w:pPr>
              <w:widowControl/>
              <w:jc w:val="left"/>
              <w:rPr>
                <w:szCs w:val="21"/>
              </w:rPr>
            </w:pPr>
            <w:r>
              <w:rPr>
                <w:rFonts w:hint="eastAsia"/>
                <w:szCs w:val="21"/>
              </w:rPr>
              <w:t>小型</w:t>
            </w:r>
          </w:p>
        </w:tc>
        <w:tc>
          <w:tcPr>
            <w:tcW w:w="1009" w:type="dxa"/>
            <w:tcBorders>
              <w:top w:val="single" w:color="auto" w:sz="4" w:space="0"/>
              <w:left w:val="nil"/>
              <w:bottom w:val="single" w:color="auto" w:sz="4" w:space="0"/>
              <w:right w:val="single" w:color="auto" w:sz="4" w:space="0"/>
            </w:tcBorders>
            <w:noWrap w:val="0"/>
            <w:vAlign w:val="center"/>
          </w:tcPr>
          <w:p w14:paraId="50E223AB">
            <w:pPr>
              <w:widowControl/>
              <w:jc w:val="left"/>
              <w:rPr>
                <w:szCs w:val="21"/>
              </w:rPr>
            </w:pPr>
            <w:r>
              <w:rPr>
                <w:rFonts w:hint="eastAsia"/>
                <w:szCs w:val="21"/>
              </w:rPr>
              <w:t>微型</w:t>
            </w:r>
          </w:p>
        </w:tc>
      </w:tr>
      <w:tr w14:paraId="56E26D16">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0C8B6067">
            <w:pPr>
              <w:widowControl/>
              <w:jc w:val="center"/>
              <w:rPr>
                <w:szCs w:val="21"/>
              </w:rPr>
            </w:pPr>
            <w:r>
              <w:rPr>
                <w:rFonts w:hint="eastAsia"/>
                <w:szCs w:val="21"/>
              </w:rPr>
              <w:t>农、林、牧、渔</w:t>
            </w:r>
          </w:p>
        </w:tc>
        <w:tc>
          <w:tcPr>
            <w:tcW w:w="1701" w:type="dxa"/>
            <w:tcBorders>
              <w:top w:val="nil"/>
              <w:left w:val="nil"/>
              <w:bottom w:val="single" w:color="auto" w:sz="4" w:space="0"/>
              <w:right w:val="single" w:color="auto" w:sz="4" w:space="0"/>
            </w:tcBorders>
            <w:noWrap w:val="0"/>
            <w:vAlign w:val="center"/>
          </w:tcPr>
          <w:p w14:paraId="59663E43">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4709ADBD">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47936259">
            <w:pPr>
              <w:widowControl/>
              <w:jc w:val="left"/>
              <w:rPr>
                <w:szCs w:val="21"/>
              </w:rPr>
            </w:pPr>
            <w:r>
              <w:rPr>
                <w:rFonts w:hint="eastAsia"/>
                <w:szCs w:val="21"/>
              </w:rPr>
              <w:t>500≤Y＜20000</w:t>
            </w:r>
          </w:p>
        </w:tc>
        <w:tc>
          <w:tcPr>
            <w:tcW w:w="1570" w:type="dxa"/>
            <w:tcBorders>
              <w:top w:val="nil"/>
              <w:left w:val="nil"/>
              <w:bottom w:val="single" w:color="auto" w:sz="4" w:space="0"/>
              <w:right w:val="single" w:color="auto" w:sz="4" w:space="0"/>
            </w:tcBorders>
            <w:noWrap w:val="0"/>
            <w:vAlign w:val="center"/>
          </w:tcPr>
          <w:p w14:paraId="6E22ABA7">
            <w:pPr>
              <w:widowControl/>
              <w:jc w:val="left"/>
              <w:rPr>
                <w:szCs w:val="21"/>
              </w:rPr>
            </w:pPr>
            <w:r>
              <w:rPr>
                <w:rFonts w:hint="eastAsia"/>
                <w:szCs w:val="21"/>
              </w:rPr>
              <w:t>50≤Y＜500</w:t>
            </w:r>
          </w:p>
        </w:tc>
        <w:tc>
          <w:tcPr>
            <w:tcW w:w="1009" w:type="dxa"/>
            <w:tcBorders>
              <w:top w:val="nil"/>
              <w:left w:val="nil"/>
              <w:bottom w:val="single" w:color="auto" w:sz="4" w:space="0"/>
              <w:right w:val="single" w:color="auto" w:sz="4" w:space="0"/>
            </w:tcBorders>
            <w:noWrap w:val="0"/>
            <w:vAlign w:val="center"/>
          </w:tcPr>
          <w:p w14:paraId="6F17DB8C">
            <w:pPr>
              <w:widowControl/>
              <w:jc w:val="left"/>
              <w:rPr>
                <w:szCs w:val="21"/>
              </w:rPr>
            </w:pPr>
            <w:r>
              <w:rPr>
                <w:rFonts w:hint="eastAsia"/>
                <w:szCs w:val="21"/>
              </w:rPr>
              <w:t>Y＜50</w:t>
            </w:r>
          </w:p>
        </w:tc>
      </w:tr>
      <w:tr w14:paraId="5D67ECD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8CB729A">
            <w:pPr>
              <w:widowControl/>
              <w:jc w:val="center"/>
              <w:rPr>
                <w:szCs w:val="21"/>
              </w:rPr>
            </w:pPr>
            <w:r>
              <w:rPr>
                <w:rFonts w:hint="eastAsia"/>
                <w:szCs w:val="21"/>
              </w:rPr>
              <w:t>工业</w:t>
            </w:r>
          </w:p>
        </w:tc>
        <w:tc>
          <w:tcPr>
            <w:tcW w:w="1701" w:type="dxa"/>
            <w:tcBorders>
              <w:top w:val="nil"/>
              <w:left w:val="nil"/>
              <w:bottom w:val="single" w:color="auto" w:sz="4" w:space="0"/>
              <w:right w:val="single" w:color="auto" w:sz="4" w:space="0"/>
            </w:tcBorders>
            <w:noWrap w:val="0"/>
            <w:vAlign w:val="center"/>
          </w:tcPr>
          <w:p w14:paraId="42A0D0CE">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71FEA015">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33CE7C90">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3E9F989C">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noWrap w:val="0"/>
            <w:vAlign w:val="center"/>
          </w:tcPr>
          <w:p w14:paraId="223C614F">
            <w:pPr>
              <w:widowControl/>
              <w:jc w:val="left"/>
              <w:rPr>
                <w:szCs w:val="21"/>
              </w:rPr>
            </w:pPr>
            <w:r>
              <w:rPr>
                <w:rFonts w:hint="eastAsia"/>
                <w:szCs w:val="21"/>
              </w:rPr>
              <w:t>X＜20</w:t>
            </w:r>
          </w:p>
        </w:tc>
      </w:tr>
      <w:tr w14:paraId="15F50DA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2780D54">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1C35573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5BCA069A">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72842C53">
            <w:pPr>
              <w:widowControl/>
              <w:jc w:val="left"/>
              <w:rPr>
                <w:szCs w:val="21"/>
              </w:rPr>
            </w:pPr>
            <w:r>
              <w:rPr>
                <w:rFonts w:hint="eastAsia"/>
                <w:szCs w:val="21"/>
              </w:rPr>
              <w:t>2000≤Y＜40000</w:t>
            </w:r>
          </w:p>
        </w:tc>
        <w:tc>
          <w:tcPr>
            <w:tcW w:w="1570" w:type="dxa"/>
            <w:tcBorders>
              <w:top w:val="nil"/>
              <w:left w:val="nil"/>
              <w:bottom w:val="single" w:color="auto" w:sz="4" w:space="0"/>
              <w:right w:val="single" w:color="auto" w:sz="4" w:space="0"/>
            </w:tcBorders>
            <w:noWrap w:val="0"/>
            <w:vAlign w:val="center"/>
          </w:tcPr>
          <w:p w14:paraId="74E815EE">
            <w:pPr>
              <w:widowControl/>
              <w:jc w:val="left"/>
              <w:rPr>
                <w:szCs w:val="21"/>
              </w:rPr>
            </w:pPr>
            <w:r>
              <w:rPr>
                <w:rFonts w:hint="eastAsia"/>
                <w:szCs w:val="21"/>
              </w:rPr>
              <w:t>300≤Y＜2000</w:t>
            </w:r>
          </w:p>
        </w:tc>
        <w:tc>
          <w:tcPr>
            <w:tcW w:w="1009" w:type="dxa"/>
            <w:tcBorders>
              <w:top w:val="nil"/>
              <w:left w:val="nil"/>
              <w:bottom w:val="single" w:color="auto" w:sz="4" w:space="0"/>
              <w:right w:val="single" w:color="auto" w:sz="4" w:space="0"/>
            </w:tcBorders>
            <w:noWrap w:val="0"/>
            <w:vAlign w:val="center"/>
          </w:tcPr>
          <w:p w14:paraId="2F5B68A1">
            <w:pPr>
              <w:widowControl/>
              <w:jc w:val="left"/>
              <w:rPr>
                <w:szCs w:val="21"/>
              </w:rPr>
            </w:pPr>
            <w:r>
              <w:rPr>
                <w:rFonts w:hint="eastAsia"/>
                <w:szCs w:val="21"/>
              </w:rPr>
              <w:t>Y＜300</w:t>
            </w:r>
          </w:p>
        </w:tc>
      </w:tr>
      <w:tr w14:paraId="535F8D62">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50D6D2F">
            <w:pPr>
              <w:widowControl/>
              <w:jc w:val="center"/>
              <w:rPr>
                <w:szCs w:val="21"/>
              </w:rPr>
            </w:pPr>
            <w:r>
              <w:rPr>
                <w:rFonts w:hint="eastAsia"/>
                <w:szCs w:val="21"/>
              </w:rPr>
              <w:t>建筑业</w:t>
            </w:r>
          </w:p>
        </w:tc>
        <w:tc>
          <w:tcPr>
            <w:tcW w:w="1701" w:type="dxa"/>
            <w:tcBorders>
              <w:top w:val="nil"/>
              <w:left w:val="nil"/>
              <w:bottom w:val="single" w:color="auto" w:sz="4" w:space="0"/>
              <w:right w:val="single" w:color="auto" w:sz="4" w:space="0"/>
            </w:tcBorders>
            <w:noWrap w:val="0"/>
            <w:vAlign w:val="center"/>
          </w:tcPr>
          <w:p w14:paraId="1E56E068">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27A86244">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12C427B5">
            <w:pPr>
              <w:widowControl/>
              <w:jc w:val="left"/>
              <w:rPr>
                <w:szCs w:val="21"/>
              </w:rPr>
            </w:pPr>
            <w:r>
              <w:rPr>
                <w:rFonts w:hint="eastAsia"/>
                <w:szCs w:val="21"/>
              </w:rPr>
              <w:t>6000≤Y＜80000</w:t>
            </w:r>
          </w:p>
        </w:tc>
        <w:tc>
          <w:tcPr>
            <w:tcW w:w="1570" w:type="dxa"/>
            <w:tcBorders>
              <w:top w:val="nil"/>
              <w:left w:val="nil"/>
              <w:bottom w:val="single" w:color="auto" w:sz="4" w:space="0"/>
              <w:right w:val="single" w:color="auto" w:sz="4" w:space="0"/>
            </w:tcBorders>
            <w:noWrap w:val="0"/>
            <w:vAlign w:val="center"/>
          </w:tcPr>
          <w:p w14:paraId="5B68C529">
            <w:pPr>
              <w:widowControl/>
              <w:jc w:val="left"/>
              <w:rPr>
                <w:szCs w:val="21"/>
              </w:rPr>
            </w:pPr>
            <w:r>
              <w:rPr>
                <w:rFonts w:hint="eastAsia"/>
                <w:szCs w:val="21"/>
              </w:rPr>
              <w:t>300≤Y＜6000</w:t>
            </w:r>
          </w:p>
        </w:tc>
        <w:tc>
          <w:tcPr>
            <w:tcW w:w="1009" w:type="dxa"/>
            <w:tcBorders>
              <w:top w:val="nil"/>
              <w:left w:val="nil"/>
              <w:bottom w:val="single" w:color="auto" w:sz="4" w:space="0"/>
              <w:right w:val="single" w:color="auto" w:sz="4" w:space="0"/>
            </w:tcBorders>
            <w:noWrap w:val="0"/>
            <w:vAlign w:val="center"/>
          </w:tcPr>
          <w:p w14:paraId="15B48D3E">
            <w:pPr>
              <w:widowControl/>
              <w:jc w:val="left"/>
              <w:rPr>
                <w:szCs w:val="21"/>
              </w:rPr>
            </w:pPr>
            <w:r>
              <w:rPr>
                <w:rFonts w:hint="eastAsia"/>
                <w:szCs w:val="21"/>
              </w:rPr>
              <w:t>Y＜300</w:t>
            </w:r>
          </w:p>
        </w:tc>
      </w:tr>
      <w:tr w14:paraId="4578DF7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13A3C02">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7FB539FD">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79DE5215">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C9054B6">
            <w:pPr>
              <w:widowControl/>
              <w:jc w:val="left"/>
              <w:rPr>
                <w:szCs w:val="21"/>
              </w:rPr>
            </w:pPr>
            <w:r>
              <w:rPr>
                <w:rFonts w:hint="eastAsia"/>
                <w:szCs w:val="21"/>
              </w:rPr>
              <w:t>5000≤Z＜80000</w:t>
            </w:r>
          </w:p>
        </w:tc>
        <w:tc>
          <w:tcPr>
            <w:tcW w:w="1570" w:type="dxa"/>
            <w:tcBorders>
              <w:top w:val="nil"/>
              <w:left w:val="nil"/>
              <w:bottom w:val="single" w:color="auto" w:sz="4" w:space="0"/>
              <w:right w:val="single" w:color="auto" w:sz="4" w:space="0"/>
            </w:tcBorders>
            <w:noWrap w:val="0"/>
            <w:vAlign w:val="center"/>
          </w:tcPr>
          <w:p w14:paraId="420B5EC0">
            <w:pPr>
              <w:widowControl/>
              <w:jc w:val="left"/>
              <w:rPr>
                <w:szCs w:val="21"/>
              </w:rPr>
            </w:pPr>
            <w:r>
              <w:rPr>
                <w:rFonts w:hint="eastAsia"/>
                <w:szCs w:val="21"/>
              </w:rPr>
              <w:t>300≤Z＜5000</w:t>
            </w:r>
          </w:p>
        </w:tc>
        <w:tc>
          <w:tcPr>
            <w:tcW w:w="1009" w:type="dxa"/>
            <w:tcBorders>
              <w:top w:val="nil"/>
              <w:left w:val="nil"/>
              <w:bottom w:val="single" w:color="auto" w:sz="4" w:space="0"/>
              <w:right w:val="single" w:color="auto" w:sz="4" w:space="0"/>
            </w:tcBorders>
            <w:noWrap w:val="0"/>
            <w:vAlign w:val="center"/>
          </w:tcPr>
          <w:p w14:paraId="05793899">
            <w:pPr>
              <w:widowControl/>
              <w:jc w:val="left"/>
              <w:rPr>
                <w:szCs w:val="21"/>
              </w:rPr>
            </w:pPr>
            <w:r>
              <w:rPr>
                <w:rFonts w:hint="eastAsia"/>
                <w:szCs w:val="21"/>
              </w:rPr>
              <w:t>Z＜300</w:t>
            </w:r>
          </w:p>
        </w:tc>
      </w:tr>
      <w:tr w14:paraId="14E2A52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71ABA94">
            <w:pPr>
              <w:widowControl/>
              <w:ind w:firstLine="315" w:firstLineChars="150"/>
              <w:rPr>
                <w:szCs w:val="21"/>
              </w:rPr>
            </w:pPr>
            <w:r>
              <w:rPr>
                <w:rFonts w:hint="eastAsia"/>
                <w:szCs w:val="21"/>
              </w:rPr>
              <w:t>批发业</w:t>
            </w:r>
          </w:p>
        </w:tc>
        <w:tc>
          <w:tcPr>
            <w:tcW w:w="1701" w:type="dxa"/>
            <w:tcBorders>
              <w:top w:val="nil"/>
              <w:left w:val="nil"/>
              <w:bottom w:val="single" w:color="auto" w:sz="4" w:space="0"/>
              <w:right w:val="single" w:color="auto" w:sz="4" w:space="0"/>
            </w:tcBorders>
            <w:noWrap w:val="0"/>
            <w:vAlign w:val="center"/>
          </w:tcPr>
          <w:p w14:paraId="3C851F0A">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39DAAB59">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5290A03A">
            <w:pPr>
              <w:widowControl/>
              <w:jc w:val="left"/>
              <w:rPr>
                <w:szCs w:val="21"/>
              </w:rPr>
            </w:pPr>
            <w:r>
              <w:rPr>
                <w:rFonts w:hint="eastAsia"/>
                <w:szCs w:val="21"/>
              </w:rPr>
              <w:t>20≤X＜200</w:t>
            </w:r>
          </w:p>
        </w:tc>
        <w:tc>
          <w:tcPr>
            <w:tcW w:w="1570" w:type="dxa"/>
            <w:tcBorders>
              <w:top w:val="nil"/>
              <w:left w:val="nil"/>
              <w:bottom w:val="single" w:color="auto" w:sz="4" w:space="0"/>
              <w:right w:val="single" w:color="auto" w:sz="4" w:space="0"/>
            </w:tcBorders>
            <w:noWrap w:val="0"/>
            <w:vAlign w:val="center"/>
          </w:tcPr>
          <w:p w14:paraId="2CC05323">
            <w:pPr>
              <w:widowControl/>
              <w:jc w:val="left"/>
              <w:rPr>
                <w:szCs w:val="21"/>
              </w:rPr>
            </w:pPr>
            <w:r>
              <w:rPr>
                <w:rFonts w:hint="eastAsia"/>
                <w:szCs w:val="21"/>
              </w:rPr>
              <w:t>5≤X＜20</w:t>
            </w:r>
          </w:p>
        </w:tc>
        <w:tc>
          <w:tcPr>
            <w:tcW w:w="1009" w:type="dxa"/>
            <w:tcBorders>
              <w:top w:val="nil"/>
              <w:left w:val="nil"/>
              <w:bottom w:val="single" w:color="auto" w:sz="4" w:space="0"/>
              <w:right w:val="single" w:color="auto" w:sz="4" w:space="0"/>
            </w:tcBorders>
            <w:noWrap w:val="0"/>
            <w:vAlign w:val="center"/>
          </w:tcPr>
          <w:p w14:paraId="1B60BCB5">
            <w:pPr>
              <w:widowControl/>
              <w:jc w:val="left"/>
              <w:rPr>
                <w:szCs w:val="21"/>
              </w:rPr>
            </w:pPr>
            <w:r>
              <w:rPr>
                <w:rFonts w:hint="eastAsia"/>
                <w:szCs w:val="21"/>
              </w:rPr>
              <w:t>X＜5</w:t>
            </w:r>
          </w:p>
        </w:tc>
      </w:tr>
      <w:tr w14:paraId="49EA3E7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545FB18">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7E04129D">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2555F396">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D136F32">
            <w:pPr>
              <w:widowControl/>
              <w:jc w:val="left"/>
              <w:rPr>
                <w:szCs w:val="21"/>
              </w:rPr>
            </w:pPr>
            <w:r>
              <w:rPr>
                <w:rFonts w:hint="eastAsia"/>
                <w:szCs w:val="21"/>
              </w:rPr>
              <w:t>5000≤Y＜40000</w:t>
            </w:r>
          </w:p>
        </w:tc>
        <w:tc>
          <w:tcPr>
            <w:tcW w:w="1570" w:type="dxa"/>
            <w:tcBorders>
              <w:top w:val="nil"/>
              <w:left w:val="nil"/>
              <w:bottom w:val="single" w:color="auto" w:sz="4" w:space="0"/>
              <w:right w:val="single" w:color="auto" w:sz="4" w:space="0"/>
            </w:tcBorders>
            <w:noWrap w:val="0"/>
            <w:vAlign w:val="center"/>
          </w:tcPr>
          <w:p w14:paraId="3180502E">
            <w:pPr>
              <w:widowControl/>
              <w:jc w:val="left"/>
              <w:rPr>
                <w:szCs w:val="21"/>
              </w:rPr>
            </w:pPr>
            <w:r>
              <w:rPr>
                <w:rFonts w:hint="eastAsia"/>
                <w:szCs w:val="21"/>
              </w:rPr>
              <w:t>1000≤Y＜5000</w:t>
            </w:r>
          </w:p>
        </w:tc>
        <w:tc>
          <w:tcPr>
            <w:tcW w:w="1009" w:type="dxa"/>
            <w:tcBorders>
              <w:top w:val="nil"/>
              <w:left w:val="nil"/>
              <w:bottom w:val="single" w:color="auto" w:sz="4" w:space="0"/>
              <w:right w:val="single" w:color="auto" w:sz="4" w:space="0"/>
            </w:tcBorders>
            <w:noWrap w:val="0"/>
            <w:vAlign w:val="center"/>
          </w:tcPr>
          <w:p w14:paraId="52A8B24E">
            <w:pPr>
              <w:widowControl/>
              <w:jc w:val="left"/>
              <w:rPr>
                <w:szCs w:val="21"/>
              </w:rPr>
            </w:pPr>
            <w:r>
              <w:rPr>
                <w:rFonts w:hint="eastAsia"/>
                <w:szCs w:val="21"/>
              </w:rPr>
              <w:t>Y＜1000</w:t>
            </w:r>
          </w:p>
        </w:tc>
      </w:tr>
      <w:tr w14:paraId="1CB6DACF">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69615C08">
            <w:pPr>
              <w:widowControl/>
              <w:jc w:val="center"/>
              <w:rPr>
                <w:szCs w:val="21"/>
              </w:rPr>
            </w:pPr>
            <w:r>
              <w:rPr>
                <w:rFonts w:hint="eastAsia"/>
                <w:szCs w:val="21"/>
              </w:rPr>
              <w:t>零售业</w:t>
            </w:r>
          </w:p>
        </w:tc>
        <w:tc>
          <w:tcPr>
            <w:tcW w:w="1701" w:type="dxa"/>
            <w:tcBorders>
              <w:top w:val="nil"/>
              <w:left w:val="nil"/>
              <w:bottom w:val="single" w:color="auto" w:sz="4" w:space="0"/>
              <w:right w:val="single" w:color="auto" w:sz="4" w:space="0"/>
            </w:tcBorders>
            <w:noWrap w:val="0"/>
            <w:vAlign w:val="center"/>
          </w:tcPr>
          <w:p w14:paraId="788DA08E">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386299B1">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42F69FD">
            <w:pPr>
              <w:widowControl/>
              <w:jc w:val="left"/>
              <w:rPr>
                <w:szCs w:val="21"/>
              </w:rPr>
            </w:pPr>
            <w:r>
              <w:rPr>
                <w:rFonts w:hint="eastAsia"/>
                <w:szCs w:val="21"/>
              </w:rPr>
              <w:t>50≤X＜300</w:t>
            </w:r>
          </w:p>
        </w:tc>
        <w:tc>
          <w:tcPr>
            <w:tcW w:w="1570" w:type="dxa"/>
            <w:tcBorders>
              <w:top w:val="nil"/>
              <w:left w:val="nil"/>
              <w:bottom w:val="single" w:color="auto" w:sz="4" w:space="0"/>
              <w:right w:val="single" w:color="auto" w:sz="4" w:space="0"/>
            </w:tcBorders>
            <w:noWrap w:val="0"/>
            <w:vAlign w:val="center"/>
          </w:tcPr>
          <w:p w14:paraId="643E3867">
            <w:pPr>
              <w:widowControl/>
              <w:jc w:val="left"/>
              <w:rPr>
                <w:szCs w:val="21"/>
              </w:rPr>
            </w:pPr>
            <w:r>
              <w:rPr>
                <w:rFonts w:hint="eastAsia"/>
                <w:szCs w:val="21"/>
              </w:rPr>
              <w:t>10≤X＜50</w:t>
            </w:r>
          </w:p>
        </w:tc>
        <w:tc>
          <w:tcPr>
            <w:tcW w:w="1009" w:type="dxa"/>
            <w:tcBorders>
              <w:top w:val="nil"/>
              <w:left w:val="nil"/>
              <w:bottom w:val="single" w:color="auto" w:sz="4" w:space="0"/>
              <w:right w:val="single" w:color="auto" w:sz="4" w:space="0"/>
            </w:tcBorders>
            <w:noWrap w:val="0"/>
            <w:vAlign w:val="center"/>
          </w:tcPr>
          <w:p w14:paraId="40F40AB2">
            <w:pPr>
              <w:widowControl/>
              <w:jc w:val="left"/>
              <w:rPr>
                <w:szCs w:val="21"/>
              </w:rPr>
            </w:pPr>
            <w:r>
              <w:rPr>
                <w:rFonts w:hint="eastAsia"/>
                <w:szCs w:val="21"/>
              </w:rPr>
              <w:t>X＜10</w:t>
            </w:r>
          </w:p>
        </w:tc>
      </w:tr>
      <w:tr w14:paraId="678F6CA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6C0EE54A">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0C3A71A1">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0102FBE4">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BDCB80D">
            <w:pPr>
              <w:widowControl/>
              <w:jc w:val="left"/>
              <w:rPr>
                <w:szCs w:val="21"/>
              </w:rPr>
            </w:pPr>
            <w:r>
              <w:rPr>
                <w:rFonts w:hint="eastAsia"/>
                <w:szCs w:val="21"/>
              </w:rPr>
              <w:t>500≤Y＜20000</w:t>
            </w:r>
          </w:p>
        </w:tc>
        <w:tc>
          <w:tcPr>
            <w:tcW w:w="1570" w:type="dxa"/>
            <w:tcBorders>
              <w:top w:val="nil"/>
              <w:left w:val="nil"/>
              <w:bottom w:val="single" w:color="auto" w:sz="4" w:space="0"/>
              <w:right w:val="single" w:color="auto" w:sz="4" w:space="0"/>
            </w:tcBorders>
            <w:noWrap w:val="0"/>
            <w:vAlign w:val="center"/>
          </w:tcPr>
          <w:p w14:paraId="22588A65">
            <w:pPr>
              <w:widowControl/>
              <w:jc w:val="left"/>
              <w:rPr>
                <w:szCs w:val="21"/>
              </w:rPr>
            </w:pPr>
            <w:r>
              <w:rPr>
                <w:rFonts w:hint="eastAsia"/>
                <w:szCs w:val="21"/>
              </w:rPr>
              <w:t>100≤Y＜500</w:t>
            </w:r>
          </w:p>
        </w:tc>
        <w:tc>
          <w:tcPr>
            <w:tcW w:w="1009" w:type="dxa"/>
            <w:tcBorders>
              <w:top w:val="nil"/>
              <w:left w:val="nil"/>
              <w:bottom w:val="single" w:color="auto" w:sz="4" w:space="0"/>
              <w:right w:val="single" w:color="auto" w:sz="4" w:space="0"/>
            </w:tcBorders>
            <w:noWrap w:val="0"/>
            <w:vAlign w:val="center"/>
          </w:tcPr>
          <w:p w14:paraId="141DF254">
            <w:pPr>
              <w:widowControl/>
              <w:jc w:val="left"/>
              <w:rPr>
                <w:szCs w:val="21"/>
              </w:rPr>
            </w:pPr>
            <w:r>
              <w:rPr>
                <w:rFonts w:hint="eastAsia"/>
                <w:szCs w:val="21"/>
              </w:rPr>
              <w:t>Y＜100</w:t>
            </w:r>
          </w:p>
        </w:tc>
      </w:tr>
      <w:tr w14:paraId="49EC437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4D951C8">
            <w:pPr>
              <w:widowControl/>
              <w:jc w:val="center"/>
              <w:rPr>
                <w:szCs w:val="21"/>
              </w:rPr>
            </w:pPr>
            <w:r>
              <w:rPr>
                <w:rFonts w:hint="eastAsia"/>
                <w:szCs w:val="21"/>
              </w:rPr>
              <w:t>交通运输业</w:t>
            </w:r>
          </w:p>
        </w:tc>
        <w:tc>
          <w:tcPr>
            <w:tcW w:w="1701" w:type="dxa"/>
            <w:tcBorders>
              <w:top w:val="nil"/>
              <w:left w:val="nil"/>
              <w:bottom w:val="single" w:color="auto" w:sz="4" w:space="0"/>
              <w:right w:val="single" w:color="auto" w:sz="4" w:space="0"/>
            </w:tcBorders>
            <w:noWrap w:val="0"/>
            <w:vAlign w:val="center"/>
          </w:tcPr>
          <w:p w14:paraId="00000E45">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72B76A4F">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6C69FB4E">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059CFDAE">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noWrap w:val="0"/>
            <w:vAlign w:val="center"/>
          </w:tcPr>
          <w:p w14:paraId="33C1B0C4">
            <w:pPr>
              <w:widowControl/>
              <w:jc w:val="left"/>
              <w:rPr>
                <w:szCs w:val="21"/>
              </w:rPr>
            </w:pPr>
            <w:r>
              <w:rPr>
                <w:rFonts w:hint="eastAsia"/>
                <w:szCs w:val="21"/>
              </w:rPr>
              <w:t>X＜20</w:t>
            </w:r>
          </w:p>
        </w:tc>
      </w:tr>
      <w:tr w14:paraId="5FFC7B6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D40F0E5">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45A34E3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4C2C8377">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F8EA8B1">
            <w:pPr>
              <w:widowControl/>
              <w:jc w:val="left"/>
              <w:rPr>
                <w:szCs w:val="21"/>
              </w:rPr>
            </w:pPr>
            <w:r>
              <w:rPr>
                <w:rFonts w:hint="eastAsia"/>
                <w:szCs w:val="21"/>
              </w:rPr>
              <w:t>3000≤Y＜30000</w:t>
            </w:r>
          </w:p>
        </w:tc>
        <w:tc>
          <w:tcPr>
            <w:tcW w:w="1570" w:type="dxa"/>
            <w:tcBorders>
              <w:top w:val="nil"/>
              <w:left w:val="nil"/>
              <w:bottom w:val="single" w:color="auto" w:sz="4" w:space="0"/>
              <w:right w:val="single" w:color="auto" w:sz="4" w:space="0"/>
            </w:tcBorders>
            <w:noWrap w:val="0"/>
            <w:vAlign w:val="center"/>
          </w:tcPr>
          <w:p w14:paraId="1DB98106">
            <w:pPr>
              <w:widowControl/>
              <w:jc w:val="left"/>
              <w:rPr>
                <w:szCs w:val="21"/>
              </w:rPr>
            </w:pPr>
            <w:r>
              <w:rPr>
                <w:rFonts w:hint="eastAsia"/>
                <w:szCs w:val="21"/>
              </w:rPr>
              <w:t>200≤Y＜3000</w:t>
            </w:r>
          </w:p>
        </w:tc>
        <w:tc>
          <w:tcPr>
            <w:tcW w:w="1009" w:type="dxa"/>
            <w:tcBorders>
              <w:top w:val="nil"/>
              <w:left w:val="nil"/>
              <w:bottom w:val="single" w:color="auto" w:sz="4" w:space="0"/>
              <w:right w:val="single" w:color="auto" w:sz="4" w:space="0"/>
            </w:tcBorders>
            <w:noWrap w:val="0"/>
            <w:vAlign w:val="center"/>
          </w:tcPr>
          <w:p w14:paraId="38EF4D77">
            <w:pPr>
              <w:widowControl/>
              <w:jc w:val="left"/>
              <w:rPr>
                <w:szCs w:val="21"/>
              </w:rPr>
            </w:pPr>
            <w:r>
              <w:rPr>
                <w:rFonts w:hint="eastAsia"/>
                <w:szCs w:val="21"/>
              </w:rPr>
              <w:t>Y＜200</w:t>
            </w:r>
          </w:p>
        </w:tc>
      </w:tr>
      <w:tr w14:paraId="746F275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8AA6279">
            <w:pPr>
              <w:widowControl/>
              <w:jc w:val="center"/>
              <w:rPr>
                <w:szCs w:val="21"/>
              </w:rPr>
            </w:pPr>
            <w:r>
              <w:rPr>
                <w:rFonts w:hint="eastAsia"/>
                <w:szCs w:val="21"/>
              </w:rPr>
              <w:t>仓储业</w:t>
            </w:r>
          </w:p>
        </w:tc>
        <w:tc>
          <w:tcPr>
            <w:tcW w:w="1701" w:type="dxa"/>
            <w:tcBorders>
              <w:top w:val="nil"/>
              <w:left w:val="nil"/>
              <w:bottom w:val="single" w:color="auto" w:sz="4" w:space="0"/>
              <w:right w:val="single" w:color="auto" w:sz="4" w:space="0"/>
            </w:tcBorders>
            <w:noWrap w:val="0"/>
            <w:vAlign w:val="center"/>
          </w:tcPr>
          <w:p w14:paraId="0676824E">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704B572">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C60D754">
            <w:pPr>
              <w:widowControl/>
              <w:jc w:val="left"/>
              <w:rPr>
                <w:szCs w:val="21"/>
              </w:rPr>
            </w:pPr>
            <w:r>
              <w:rPr>
                <w:rFonts w:hint="eastAsia"/>
                <w:szCs w:val="21"/>
              </w:rPr>
              <w:t>100≤X＜200</w:t>
            </w:r>
          </w:p>
        </w:tc>
        <w:tc>
          <w:tcPr>
            <w:tcW w:w="1570" w:type="dxa"/>
            <w:tcBorders>
              <w:top w:val="nil"/>
              <w:left w:val="nil"/>
              <w:bottom w:val="single" w:color="auto" w:sz="4" w:space="0"/>
              <w:right w:val="single" w:color="auto" w:sz="4" w:space="0"/>
            </w:tcBorders>
            <w:noWrap w:val="0"/>
            <w:vAlign w:val="center"/>
          </w:tcPr>
          <w:p w14:paraId="5AD3C665">
            <w:pPr>
              <w:widowControl/>
              <w:jc w:val="left"/>
              <w:rPr>
                <w:szCs w:val="21"/>
              </w:rPr>
            </w:pPr>
            <w:r>
              <w:rPr>
                <w:rFonts w:hint="eastAsia"/>
                <w:szCs w:val="21"/>
              </w:rPr>
              <w:t>20≤X＜100</w:t>
            </w:r>
          </w:p>
        </w:tc>
        <w:tc>
          <w:tcPr>
            <w:tcW w:w="1009" w:type="dxa"/>
            <w:tcBorders>
              <w:top w:val="nil"/>
              <w:left w:val="nil"/>
              <w:bottom w:val="single" w:color="auto" w:sz="4" w:space="0"/>
              <w:right w:val="single" w:color="auto" w:sz="4" w:space="0"/>
            </w:tcBorders>
            <w:noWrap w:val="0"/>
            <w:vAlign w:val="center"/>
          </w:tcPr>
          <w:p w14:paraId="0798E58B">
            <w:pPr>
              <w:widowControl/>
              <w:jc w:val="left"/>
              <w:rPr>
                <w:szCs w:val="21"/>
              </w:rPr>
            </w:pPr>
            <w:r>
              <w:rPr>
                <w:rFonts w:hint="eastAsia"/>
                <w:szCs w:val="21"/>
              </w:rPr>
              <w:t>X＜20</w:t>
            </w:r>
          </w:p>
        </w:tc>
      </w:tr>
      <w:tr w14:paraId="6A7AB50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E9E2429">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0C13ABC7">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7D06CB00">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6A26DD04">
            <w:pPr>
              <w:widowControl/>
              <w:jc w:val="left"/>
              <w:rPr>
                <w:szCs w:val="21"/>
              </w:rPr>
            </w:pPr>
            <w:r>
              <w:rPr>
                <w:rFonts w:hint="eastAsia"/>
                <w:szCs w:val="21"/>
              </w:rPr>
              <w:t>1000≤Y＜30000</w:t>
            </w:r>
          </w:p>
        </w:tc>
        <w:tc>
          <w:tcPr>
            <w:tcW w:w="1570" w:type="dxa"/>
            <w:tcBorders>
              <w:top w:val="nil"/>
              <w:left w:val="nil"/>
              <w:bottom w:val="single" w:color="auto" w:sz="4" w:space="0"/>
              <w:right w:val="single" w:color="auto" w:sz="4" w:space="0"/>
            </w:tcBorders>
            <w:noWrap w:val="0"/>
            <w:vAlign w:val="center"/>
          </w:tcPr>
          <w:p w14:paraId="723DDEE8">
            <w:pPr>
              <w:widowControl/>
              <w:jc w:val="left"/>
              <w:rPr>
                <w:szCs w:val="21"/>
              </w:rPr>
            </w:pPr>
            <w:r>
              <w:rPr>
                <w:rFonts w:hint="eastAsia"/>
                <w:szCs w:val="21"/>
              </w:rPr>
              <w:t>100≤Y＜1000</w:t>
            </w:r>
          </w:p>
        </w:tc>
        <w:tc>
          <w:tcPr>
            <w:tcW w:w="1009" w:type="dxa"/>
            <w:tcBorders>
              <w:top w:val="nil"/>
              <w:left w:val="nil"/>
              <w:bottom w:val="single" w:color="auto" w:sz="4" w:space="0"/>
              <w:right w:val="single" w:color="auto" w:sz="4" w:space="0"/>
            </w:tcBorders>
            <w:noWrap w:val="0"/>
            <w:vAlign w:val="center"/>
          </w:tcPr>
          <w:p w14:paraId="0368B7C5">
            <w:pPr>
              <w:widowControl/>
              <w:jc w:val="left"/>
              <w:rPr>
                <w:szCs w:val="21"/>
              </w:rPr>
            </w:pPr>
            <w:r>
              <w:rPr>
                <w:rFonts w:hint="eastAsia"/>
                <w:szCs w:val="21"/>
              </w:rPr>
              <w:t>Y＜100</w:t>
            </w:r>
          </w:p>
        </w:tc>
      </w:tr>
      <w:tr w14:paraId="531B703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9A8455D">
            <w:pPr>
              <w:widowControl/>
              <w:jc w:val="center"/>
              <w:rPr>
                <w:szCs w:val="21"/>
              </w:rPr>
            </w:pPr>
            <w:r>
              <w:rPr>
                <w:rFonts w:hint="eastAsia"/>
                <w:szCs w:val="21"/>
              </w:rPr>
              <w:t>邮政业</w:t>
            </w:r>
          </w:p>
        </w:tc>
        <w:tc>
          <w:tcPr>
            <w:tcW w:w="1701" w:type="dxa"/>
            <w:tcBorders>
              <w:top w:val="nil"/>
              <w:left w:val="nil"/>
              <w:bottom w:val="single" w:color="auto" w:sz="4" w:space="0"/>
              <w:right w:val="single" w:color="auto" w:sz="4" w:space="0"/>
            </w:tcBorders>
            <w:noWrap w:val="0"/>
            <w:vAlign w:val="center"/>
          </w:tcPr>
          <w:p w14:paraId="6256B332">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7DFB9DC">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67304157">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4D95994B">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noWrap w:val="0"/>
            <w:vAlign w:val="center"/>
          </w:tcPr>
          <w:p w14:paraId="72662A79">
            <w:pPr>
              <w:widowControl/>
              <w:jc w:val="left"/>
              <w:rPr>
                <w:szCs w:val="21"/>
              </w:rPr>
            </w:pPr>
            <w:r>
              <w:rPr>
                <w:rFonts w:hint="eastAsia"/>
                <w:szCs w:val="21"/>
              </w:rPr>
              <w:t>X＜20</w:t>
            </w:r>
          </w:p>
        </w:tc>
      </w:tr>
      <w:tr w14:paraId="38147842">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E9620AE">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4EC1CC2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31DD2FC9">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74787E5E">
            <w:pPr>
              <w:widowControl/>
              <w:jc w:val="left"/>
              <w:rPr>
                <w:szCs w:val="21"/>
              </w:rPr>
            </w:pPr>
            <w:r>
              <w:rPr>
                <w:rFonts w:hint="eastAsia"/>
                <w:szCs w:val="21"/>
              </w:rPr>
              <w:t>2000≤Y＜30000</w:t>
            </w:r>
          </w:p>
        </w:tc>
        <w:tc>
          <w:tcPr>
            <w:tcW w:w="1570" w:type="dxa"/>
            <w:tcBorders>
              <w:top w:val="nil"/>
              <w:left w:val="nil"/>
              <w:bottom w:val="single" w:color="auto" w:sz="4" w:space="0"/>
              <w:right w:val="single" w:color="auto" w:sz="4" w:space="0"/>
            </w:tcBorders>
            <w:noWrap w:val="0"/>
            <w:vAlign w:val="center"/>
          </w:tcPr>
          <w:p w14:paraId="20E1B092">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3B6C34BB">
            <w:pPr>
              <w:widowControl/>
              <w:jc w:val="left"/>
              <w:rPr>
                <w:szCs w:val="21"/>
              </w:rPr>
            </w:pPr>
            <w:r>
              <w:rPr>
                <w:rFonts w:hint="eastAsia"/>
                <w:szCs w:val="21"/>
              </w:rPr>
              <w:t>Y＜100</w:t>
            </w:r>
          </w:p>
        </w:tc>
      </w:tr>
      <w:tr w14:paraId="1564B1F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3319A70">
            <w:pPr>
              <w:widowControl/>
              <w:jc w:val="center"/>
              <w:rPr>
                <w:szCs w:val="21"/>
              </w:rPr>
            </w:pPr>
            <w:r>
              <w:rPr>
                <w:rFonts w:hint="eastAsia"/>
                <w:szCs w:val="21"/>
              </w:rPr>
              <w:t>住宿业</w:t>
            </w:r>
          </w:p>
        </w:tc>
        <w:tc>
          <w:tcPr>
            <w:tcW w:w="1701" w:type="dxa"/>
            <w:tcBorders>
              <w:top w:val="nil"/>
              <w:left w:val="nil"/>
              <w:bottom w:val="single" w:color="auto" w:sz="4" w:space="0"/>
              <w:right w:val="single" w:color="auto" w:sz="4" w:space="0"/>
            </w:tcBorders>
            <w:noWrap w:val="0"/>
            <w:vAlign w:val="center"/>
          </w:tcPr>
          <w:p w14:paraId="6E76E90A">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3E029785">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3D695BF">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7EC2024D">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3C9FE2CC">
            <w:pPr>
              <w:widowControl/>
              <w:jc w:val="left"/>
              <w:rPr>
                <w:szCs w:val="21"/>
              </w:rPr>
            </w:pPr>
            <w:r>
              <w:rPr>
                <w:rFonts w:hint="eastAsia"/>
                <w:szCs w:val="21"/>
              </w:rPr>
              <w:t>X＜10</w:t>
            </w:r>
          </w:p>
        </w:tc>
      </w:tr>
      <w:tr w14:paraId="47EB87C5">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CD3F0D3">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1E7CEDEB">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5DE55EF1">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4B1201F">
            <w:pPr>
              <w:widowControl/>
              <w:jc w:val="left"/>
              <w:rPr>
                <w:szCs w:val="21"/>
              </w:rPr>
            </w:pPr>
            <w:r>
              <w:rPr>
                <w:rFonts w:hint="eastAsia"/>
                <w:szCs w:val="21"/>
              </w:rPr>
              <w:t>2000≤Y＜10000</w:t>
            </w:r>
          </w:p>
        </w:tc>
        <w:tc>
          <w:tcPr>
            <w:tcW w:w="1570" w:type="dxa"/>
            <w:tcBorders>
              <w:top w:val="nil"/>
              <w:left w:val="nil"/>
              <w:bottom w:val="single" w:color="auto" w:sz="4" w:space="0"/>
              <w:right w:val="single" w:color="auto" w:sz="4" w:space="0"/>
            </w:tcBorders>
            <w:noWrap w:val="0"/>
            <w:vAlign w:val="center"/>
          </w:tcPr>
          <w:p w14:paraId="69378270">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70CEC8C1">
            <w:pPr>
              <w:widowControl/>
              <w:jc w:val="left"/>
              <w:rPr>
                <w:szCs w:val="21"/>
              </w:rPr>
            </w:pPr>
            <w:r>
              <w:rPr>
                <w:rFonts w:hint="eastAsia"/>
                <w:szCs w:val="21"/>
              </w:rPr>
              <w:t>Y＜100</w:t>
            </w:r>
          </w:p>
        </w:tc>
      </w:tr>
      <w:tr w14:paraId="12891A6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3667E11">
            <w:pPr>
              <w:widowControl/>
              <w:jc w:val="center"/>
              <w:rPr>
                <w:szCs w:val="21"/>
              </w:rPr>
            </w:pPr>
            <w:r>
              <w:rPr>
                <w:rFonts w:hint="eastAsia"/>
                <w:szCs w:val="21"/>
              </w:rPr>
              <w:t>餐饮业</w:t>
            </w:r>
          </w:p>
        </w:tc>
        <w:tc>
          <w:tcPr>
            <w:tcW w:w="1701" w:type="dxa"/>
            <w:tcBorders>
              <w:top w:val="nil"/>
              <w:left w:val="nil"/>
              <w:bottom w:val="single" w:color="auto" w:sz="4" w:space="0"/>
              <w:right w:val="single" w:color="auto" w:sz="4" w:space="0"/>
            </w:tcBorders>
            <w:noWrap w:val="0"/>
            <w:vAlign w:val="center"/>
          </w:tcPr>
          <w:p w14:paraId="1E6DCD43">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E2BF84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992417C">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1CAF7237">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2EB9F65C">
            <w:pPr>
              <w:widowControl/>
              <w:jc w:val="left"/>
              <w:rPr>
                <w:szCs w:val="21"/>
              </w:rPr>
            </w:pPr>
            <w:r>
              <w:rPr>
                <w:rFonts w:hint="eastAsia"/>
                <w:szCs w:val="21"/>
              </w:rPr>
              <w:t>X＜10</w:t>
            </w:r>
          </w:p>
        </w:tc>
      </w:tr>
      <w:tr w14:paraId="207FFF1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2EF6D5A">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27487D52">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2B8502B5">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5D430CB5">
            <w:pPr>
              <w:widowControl/>
              <w:jc w:val="left"/>
              <w:rPr>
                <w:szCs w:val="21"/>
              </w:rPr>
            </w:pPr>
            <w:r>
              <w:rPr>
                <w:rFonts w:hint="eastAsia"/>
                <w:szCs w:val="21"/>
              </w:rPr>
              <w:t>2000≤Y＜10000</w:t>
            </w:r>
          </w:p>
        </w:tc>
        <w:tc>
          <w:tcPr>
            <w:tcW w:w="1570" w:type="dxa"/>
            <w:tcBorders>
              <w:top w:val="nil"/>
              <w:left w:val="nil"/>
              <w:bottom w:val="single" w:color="auto" w:sz="4" w:space="0"/>
              <w:right w:val="single" w:color="auto" w:sz="4" w:space="0"/>
            </w:tcBorders>
            <w:noWrap w:val="0"/>
            <w:vAlign w:val="center"/>
          </w:tcPr>
          <w:p w14:paraId="22D18728">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64112596">
            <w:pPr>
              <w:widowControl/>
              <w:jc w:val="left"/>
              <w:rPr>
                <w:szCs w:val="21"/>
              </w:rPr>
            </w:pPr>
            <w:r>
              <w:rPr>
                <w:rFonts w:hint="eastAsia"/>
                <w:szCs w:val="21"/>
              </w:rPr>
              <w:t>Y＜100</w:t>
            </w:r>
          </w:p>
        </w:tc>
      </w:tr>
      <w:tr w14:paraId="09FDB12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40DEC34">
            <w:pPr>
              <w:widowControl/>
              <w:jc w:val="center"/>
              <w:rPr>
                <w:szCs w:val="21"/>
              </w:rPr>
            </w:pPr>
            <w:r>
              <w:rPr>
                <w:rFonts w:hint="eastAsia"/>
                <w:szCs w:val="21"/>
              </w:rPr>
              <w:t>信息传输业</w:t>
            </w:r>
          </w:p>
        </w:tc>
        <w:tc>
          <w:tcPr>
            <w:tcW w:w="1701" w:type="dxa"/>
            <w:tcBorders>
              <w:top w:val="nil"/>
              <w:left w:val="nil"/>
              <w:bottom w:val="single" w:color="auto" w:sz="4" w:space="0"/>
              <w:right w:val="single" w:color="auto" w:sz="4" w:space="0"/>
            </w:tcBorders>
            <w:noWrap w:val="0"/>
            <w:vAlign w:val="center"/>
          </w:tcPr>
          <w:p w14:paraId="0E749546">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F7A84E8">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617C1F1E">
            <w:pPr>
              <w:widowControl/>
              <w:jc w:val="left"/>
              <w:rPr>
                <w:szCs w:val="21"/>
              </w:rPr>
            </w:pPr>
            <w:r>
              <w:rPr>
                <w:rFonts w:hint="eastAsia"/>
                <w:szCs w:val="21"/>
              </w:rPr>
              <w:t>100≤X＜2000</w:t>
            </w:r>
          </w:p>
        </w:tc>
        <w:tc>
          <w:tcPr>
            <w:tcW w:w="1570" w:type="dxa"/>
            <w:tcBorders>
              <w:top w:val="nil"/>
              <w:left w:val="nil"/>
              <w:bottom w:val="single" w:color="auto" w:sz="4" w:space="0"/>
              <w:right w:val="single" w:color="auto" w:sz="4" w:space="0"/>
            </w:tcBorders>
            <w:noWrap w:val="0"/>
            <w:vAlign w:val="center"/>
          </w:tcPr>
          <w:p w14:paraId="52008DBD">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0AF99C3F">
            <w:pPr>
              <w:widowControl/>
              <w:jc w:val="left"/>
              <w:rPr>
                <w:szCs w:val="21"/>
              </w:rPr>
            </w:pPr>
            <w:r>
              <w:rPr>
                <w:rFonts w:hint="eastAsia"/>
                <w:szCs w:val="21"/>
              </w:rPr>
              <w:t>X＜10</w:t>
            </w:r>
          </w:p>
        </w:tc>
      </w:tr>
      <w:tr w14:paraId="36EF3DE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B86B894">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3B9EC4E1">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0E67E4B0">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66F12509">
            <w:pPr>
              <w:widowControl/>
              <w:jc w:val="left"/>
              <w:rPr>
                <w:szCs w:val="21"/>
              </w:rPr>
            </w:pPr>
            <w:r>
              <w:rPr>
                <w:rFonts w:hint="eastAsia"/>
                <w:szCs w:val="21"/>
              </w:rPr>
              <w:t>1000≤Y＜100000</w:t>
            </w:r>
          </w:p>
        </w:tc>
        <w:tc>
          <w:tcPr>
            <w:tcW w:w="1570" w:type="dxa"/>
            <w:tcBorders>
              <w:top w:val="nil"/>
              <w:left w:val="nil"/>
              <w:bottom w:val="single" w:color="auto" w:sz="4" w:space="0"/>
              <w:right w:val="single" w:color="auto" w:sz="4" w:space="0"/>
            </w:tcBorders>
            <w:noWrap w:val="0"/>
            <w:vAlign w:val="center"/>
          </w:tcPr>
          <w:p w14:paraId="6A9A5D9E">
            <w:pPr>
              <w:widowControl/>
              <w:jc w:val="left"/>
              <w:rPr>
                <w:szCs w:val="21"/>
              </w:rPr>
            </w:pPr>
            <w:r>
              <w:rPr>
                <w:rFonts w:hint="eastAsia"/>
                <w:szCs w:val="21"/>
              </w:rPr>
              <w:t>100≤Y＜1000</w:t>
            </w:r>
          </w:p>
        </w:tc>
        <w:tc>
          <w:tcPr>
            <w:tcW w:w="1009" w:type="dxa"/>
            <w:tcBorders>
              <w:top w:val="nil"/>
              <w:left w:val="nil"/>
              <w:bottom w:val="single" w:color="auto" w:sz="4" w:space="0"/>
              <w:right w:val="single" w:color="auto" w:sz="4" w:space="0"/>
            </w:tcBorders>
            <w:noWrap w:val="0"/>
            <w:vAlign w:val="center"/>
          </w:tcPr>
          <w:p w14:paraId="088EE22C">
            <w:pPr>
              <w:widowControl/>
              <w:jc w:val="left"/>
              <w:rPr>
                <w:szCs w:val="21"/>
              </w:rPr>
            </w:pPr>
            <w:r>
              <w:rPr>
                <w:rFonts w:hint="eastAsia"/>
                <w:szCs w:val="21"/>
              </w:rPr>
              <w:t>Y＜100</w:t>
            </w:r>
          </w:p>
        </w:tc>
      </w:tr>
      <w:tr w14:paraId="15840E5A">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F350130">
            <w:pPr>
              <w:widowControl/>
              <w:jc w:val="center"/>
              <w:rPr>
                <w:szCs w:val="21"/>
              </w:rPr>
            </w:pPr>
            <w:r>
              <w:rPr>
                <w:rFonts w:hint="eastAsia"/>
                <w:szCs w:val="21"/>
              </w:rPr>
              <w:t>软件和信息技术服务业</w:t>
            </w:r>
          </w:p>
        </w:tc>
        <w:tc>
          <w:tcPr>
            <w:tcW w:w="1701" w:type="dxa"/>
            <w:tcBorders>
              <w:top w:val="nil"/>
              <w:left w:val="nil"/>
              <w:bottom w:val="single" w:color="auto" w:sz="4" w:space="0"/>
              <w:right w:val="single" w:color="auto" w:sz="4" w:space="0"/>
            </w:tcBorders>
            <w:noWrap w:val="0"/>
            <w:vAlign w:val="center"/>
          </w:tcPr>
          <w:p w14:paraId="4ED7CB94">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4C1CE027">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69C57F84">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0B932483">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1647782C">
            <w:pPr>
              <w:widowControl/>
              <w:jc w:val="left"/>
              <w:rPr>
                <w:szCs w:val="21"/>
              </w:rPr>
            </w:pPr>
            <w:r>
              <w:rPr>
                <w:rFonts w:hint="eastAsia"/>
                <w:szCs w:val="21"/>
              </w:rPr>
              <w:t>X＜10</w:t>
            </w:r>
          </w:p>
        </w:tc>
      </w:tr>
      <w:tr w14:paraId="60E893A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B51F71B">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58D3DE0F">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623F4FAB">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64DB6728">
            <w:pPr>
              <w:widowControl/>
              <w:jc w:val="left"/>
              <w:rPr>
                <w:szCs w:val="21"/>
              </w:rPr>
            </w:pPr>
            <w:r>
              <w:rPr>
                <w:rFonts w:hint="eastAsia"/>
                <w:szCs w:val="21"/>
              </w:rPr>
              <w:t>1000≤Y＜10000</w:t>
            </w:r>
          </w:p>
        </w:tc>
        <w:tc>
          <w:tcPr>
            <w:tcW w:w="1570" w:type="dxa"/>
            <w:tcBorders>
              <w:top w:val="nil"/>
              <w:left w:val="nil"/>
              <w:bottom w:val="single" w:color="auto" w:sz="4" w:space="0"/>
              <w:right w:val="single" w:color="auto" w:sz="4" w:space="0"/>
            </w:tcBorders>
            <w:noWrap w:val="0"/>
            <w:vAlign w:val="center"/>
          </w:tcPr>
          <w:p w14:paraId="3D924DFC">
            <w:pPr>
              <w:widowControl/>
              <w:jc w:val="left"/>
              <w:rPr>
                <w:szCs w:val="21"/>
              </w:rPr>
            </w:pPr>
            <w:r>
              <w:rPr>
                <w:rFonts w:hint="eastAsia"/>
                <w:szCs w:val="21"/>
              </w:rPr>
              <w:t>50≤Y＜1000</w:t>
            </w:r>
          </w:p>
        </w:tc>
        <w:tc>
          <w:tcPr>
            <w:tcW w:w="1009" w:type="dxa"/>
            <w:tcBorders>
              <w:top w:val="nil"/>
              <w:left w:val="nil"/>
              <w:bottom w:val="single" w:color="auto" w:sz="4" w:space="0"/>
              <w:right w:val="single" w:color="auto" w:sz="4" w:space="0"/>
            </w:tcBorders>
            <w:noWrap w:val="0"/>
            <w:vAlign w:val="center"/>
          </w:tcPr>
          <w:p w14:paraId="5AB5C8C4">
            <w:pPr>
              <w:widowControl/>
              <w:jc w:val="left"/>
              <w:rPr>
                <w:szCs w:val="21"/>
              </w:rPr>
            </w:pPr>
            <w:r>
              <w:rPr>
                <w:rFonts w:hint="eastAsia"/>
                <w:szCs w:val="21"/>
              </w:rPr>
              <w:t>Y＜50</w:t>
            </w:r>
          </w:p>
        </w:tc>
      </w:tr>
      <w:tr w14:paraId="3F89FCE8">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936B0DC">
            <w:pPr>
              <w:widowControl/>
              <w:jc w:val="center"/>
              <w:rPr>
                <w:szCs w:val="21"/>
              </w:rPr>
            </w:pPr>
            <w:r>
              <w:rPr>
                <w:rFonts w:hint="eastAsia"/>
                <w:szCs w:val="21"/>
              </w:rPr>
              <w:t>房地产开发经营</w:t>
            </w:r>
          </w:p>
        </w:tc>
        <w:tc>
          <w:tcPr>
            <w:tcW w:w="1701" w:type="dxa"/>
            <w:tcBorders>
              <w:top w:val="nil"/>
              <w:left w:val="nil"/>
              <w:bottom w:val="single" w:color="auto" w:sz="4" w:space="0"/>
              <w:right w:val="single" w:color="auto" w:sz="4" w:space="0"/>
            </w:tcBorders>
            <w:noWrap w:val="0"/>
            <w:vAlign w:val="center"/>
          </w:tcPr>
          <w:p w14:paraId="3D1F80FF">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02412CC1">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7343787">
            <w:pPr>
              <w:widowControl/>
              <w:jc w:val="left"/>
              <w:rPr>
                <w:szCs w:val="21"/>
              </w:rPr>
            </w:pPr>
            <w:r>
              <w:rPr>
                <w:rFonts w:hint="eastAsia"/>
                <w:szCs w:val="21"/>
              </w:rPr>
              <w:t>1000≤Y＜200000</w:t>
            </w:r>
          </w:p>
        </w:tc>
        <w:tc>
          <w:tcPr>
            <w:tcW w:w="1570" w:type="dxa"/>
            <w:tcBorders>
              <w:top w:val="nil"/>
              <w:left w:val="nil"/>
              <w:bottom w:val="single" w:color="auto" w:sz="4" w:space="0"/>
              <w:right w:val="single" w:color="auto" w:sz="4" w:space="0"/>
            </w:tcBorders>
            <w:noWrap w:val="0"/>
            <w:vAlign w:val="center"/>
          </w:tcPr>
          <w:p w14:paraId="347F2D7E">
            <w:pPr>
              <w:widowControl/>
              <w:jc w:val="left"/>
              <w:rPr>
                <w:szCs w:val="21"/>
              </w:rPr>
            </w:pPr>
            <w:r>
              <w:rPr>
                <w:rFonts w:hint="eastAsia"/>
                <w:szCs w:val="21"/>
              </w:rPr>
              <w:t>100≤X＜1000</w:t>
            </w:r>
          </w:p>
        </w:tc>
        <w:tc>
          <w:tcPr>
            <w:tcW w:w="1009" w:type="dxa"/>
            <w:tcBorders>
              <w:top w:val="nil"/>
              <w:left w:val="nil"/>
              <w:bottom w:val="single" w:color="auto" w:sz="4" w:space="0"/>
              <w:right w:val="single" w:color="auto" w:sz="4" w:space="0"/>
            </w:tcBorders>
            <w:noWrap w:val="0"/>
            <w:vAlign w:val="center"/>
          </w:tcPr>
          <w:p w14:paraId="526C7204">
            <w:pPr>
              <w:widowControl/>
              <w:jc w:val="left"/>
              <w:rPr>
                <w:szCs w:val="21"/>
              </w:rPr>
            </w:pPr>
            <w:r>
              <w:rPr>
                <w:rFonts w:hint="eastAsia"/>
                <w:szCs w:val="21"/>
              </w:rPr>
              <w:t>X＜100</w:t>
            </w:r>
          </w:p>
        </w:tc>
      </w:tr>
      <w:tr w14:paraId="5048158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60E7982">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6329E22C">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03B8F41F">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7E98990">
            <w:pPr>
              <w:widowControl/>
              <w:jc w:val="left"/>
              <w:rPr>
                <w:szCs w:val="21"/>
              </w:rPr>
            </w:pPr>
            <w:r>
              <w:rPr>
                <w:rFonts w:hint="eastAsia"/>
                <w:szCs w:val="21"/>
              </w:rPr>
              <w:t>5000≤Z＜10000</w:t>
            </w:r>
          </w:p>
        </w:tc>
        <w:tc>
          <w:tcPr>
            <w:tcW w:w="1570" w:type="dxa"/>
            <w:tcBorders>
              <w:top w:val="nil"/>
              <w:left w:val="nil"/>
              <w:bottom w:val="single" w:color="auto" w:sz="4" w:space="0"/>
              <w:right w:val="single" w:color="auto" w:sz="4" w:space="0"/>
            </w:tcBorders>
            <w:noWrap w:val="0"/>
            <w:vAlign w:val="center"/>
          </w:tcPr>
          <w:p w14:paraId="7E9F868D">
            <w:pPr>
              <w:widowControl/>
              <w:jc w:val="left"/>
              <w:rPr>
                <w:szCs w:val="21"/>
              </w:rPr>
            </w:pPr>
            <w:r>
              <w:rPr>
                <w:rFonts w:hint="eastAsia"/>
                <w:szCs w:val="21"/>
              </w:rPr>
              <w:t>2000≤Y＜5000</w:t>
            </w:r>
          </w:p>
        </w:tc>
        <w:tc>
          <w:tcPr>
            <w:tcW w:w="1009" w:type="dxa"/>
            <w:tcBorders>
              <w:top w:val="nil"/>
              <w:left w:val="nil"/>
              <w:bottom w:val="single" w:color="auto" w:sz="4" w:space="0"/>
              <w:right w:val="single" w:color="auto" w:sz="4" w:space="0"/>
            </w:tcBorders>
            <w:noWrap w:val="0"/>
            <w:vAlign w:val="center"/>
          </w:tcPr>
          <w:p w14:paraId="7A18C581">
            <w:pPr>
              <w:widowControl/>
              <w:jc w:val="left"/>
              <w:rPr>
                <w:szCs w:val="21"/>
              </w:rPr>
            </w:pPr>
            <w:r>
              <w:rPr>
                <w:rFonts w:hint="eastAsia"/>
                <w:szCs w:val="21"/>
              </w:rPr>
              <w:t>Y＜2000</w:t>
            </w:r>
          </w:p>
        </w:tc>
      </w:tr>
      <w:tr w14:paraId="5253A35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2F122572">
            <w:pPr>
              <w:widowControl/>
              <w:jc w:val="center"/>
              <w:rPr>
                <w:szCs w:val="21"/>
              </w:rPr>
            </w:pPr>
            <w:r>
              <w:rPr>
                <w:rFonts w:hint="eastAsia"/>
                <w:szCs w:val="21"/>
              </w:rPr>
              <w:t>物业管理</w:t>
            </w:r>
          </w:p>
        </w:tc>
        <w:tc>
          <w:tcPr>
            <w:tcW w:w="1701" w:type="dxa"/>
            <w:tcBorders>
              <w:top w:val="nil"/>
              <w:left w:val="nil"/>
              <w:bottom w:val="single" w:color="auto" w:sz="4" w:space="0"/>
              <w:right w:val="single" w:color="auto" w:sz="4" w:space="0"/>
            </w:tcBorders>
            <w:noWrap w:val="0"/>
            <w:vAlign w:val="center"/>
          </w:tcPr>
          <w:p w14:paraId="60FA198F">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60B2BC4">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F33D04C">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74D59C39">
            <w:pPr>
              <w:widowControl/>
              <w:jc w:val="left"/>
              <w:rPr>
                <w:szCs w:val="21"/>
              </w:rPr>
            </w:pPr>
            <w:r>
              <w:rPr>
                <w:rFonts w:hint="eastAsia"/>
                <w:szCs w:val="21"/>
              </w:rPr>
              <w:t>100≤X＜300</w:t>
            </w:r>
          </w:p>
        </w:tc>
        <w:tc>
          <w:tcPr>
            <w:tcW w:w="1009" w:type="dxa"/>
            <w:tcBorders>
              <w:top w:val="nil"/>
              <w:left w:val="nil"/>
              <w:bottom w:val="single" w:color="auto" w:sz="4" w:space="0"/>
              <w:right w:val="single" w:color="auto" w:sz="4" w:space="0"/>
            </w:tcBorders>
            <w:noWrap w:val="0"/>
            <w:vAlign w:val="center"/>
          </w:tcPr>
          <w:p w14:paraId="13491D59">
            <w:pPr>
              <w:widowControl/>
              <w:jc w:val="left"/>
              <w:rPr>
                <w:szCs w:val="21"/>
              </w:rPr>
            </w:pPr>
            <w:r>
              <w:rPr>
                <w:rFonts w:hint="eastAsia"/>
                <w:szCs w:val="21"/>
              </w:rPr>
              <w:t>X＜100</w:t>
            </w:r>
          </w:p>
        </w:tc>
      </w:tr>
      <w:tr w14:paraId="5C5FACB0">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54DCB806">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7DC4ED38">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7F36B58C">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AD15100">
            <w:pPr>
              <w:widowControl/>
              <w:jc w:val="left"/>
              <w:rPr>
                <w:szCs w:val="21"/>
              </w:rPr>
            </w:pPr>
            <w:r>
              <w:rPr>
                <w:rFonts w:hint="eastAsia"/>
                <w:szCs w:val="21"/>
              </w:rPr>
              <w:t>1000≤Y＜5000</w:t>
            </w:r>
          </w:p>
        </w:tc>
        <w:tc>
          <w:tcPr>
            <w:tcW w:w="1570" w:type="dxa"/>
            <w:tcBorders>
              <w:top w:val="nil"/>
              <w:left w:val="nil"/>
              <w:bottom w:val="single" w:color="auto" w:sz="4" w:space="0"/>
              <w:right w:val="single" w:color="auto" w:sz="4" w:space="0"/>
            </w:tcBorders>
            <w:noWrap w:val="0"/>
            <w:vAlign w:val="center"/>
          </w:tcPr>
          <w:p w14:paraId="57740E17">
            <w:pPr>
              <w:widowControl/>
              <w:jc w:val="left"/>
              <w:rPr>
                <w:szCs w:val="21"/>
              </w:rPr>
            </w:pPr>
            <w:r>
              <w:rPr>
                <w:rFonts w:hint="eastAsia"/>
                <w:szCs w:val="21"/>
              </w:rPr>
              <w:t>500≤Y＜1000</w:t>
            </w:r>
          </w:p>
        </w:tc>
        <w:tc>
          <w:tcPr>
            <w:tcW w:w="1009" w:type="dxa"/>
            <w:tcBorders>
              <w:top w:val="nil"/>
              <w:left w:val="nil"/>
              <w:bottom w:val="single" w:color="auto" w:sz="4" w:space="0"/>
              <w:right w:val="single" w:color="auto" w:sz="4" w:space="0"/>
            </w:tcBorders>
            <w:noWrap w:val="0"/>
            <w:vAlign w:val="center"/>
          </w:tcPr>
          <w:p w14:paraId="4F583158">
            <w:pPr>
              <w:widowControl/>
              <w:jc w:val="left"/>
              <w:rPr>
                <w:szCs w:val="21"/>
              </w:rPr>
            </w:pPr>
            <w:r>
              <w:rPr>
                <w:rFonts w:hint="eastAsia"/>
                <w:szCs w:val="21"/>
              </w:rPr>
              <w:t>Y＜500</w:t>
            </w:r>
          </w:p>
        </w:tc>
      </w:tr>
      <w:tr w14:paraId="6BF9F81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874C2BA">
            <w:pPr>
              <w:widowControl/>
              <w:jc w:val="center"/>
              <w:rPr>
                <w:szCs w:val="21"/>
              </w:rPr>
            </w:pPr>
            <w:r>
              <w:rPr>
                <w:rFonts w:hint="eastAsia"/>
                <w:szCs w:val="21"/>
              </w:rPr>
              <w:t>租赁和商务服务业</w:t>
            </w:r>
          </w:p>
        </w:tc>
        <w:tc>
          <w:tcPr>
            <w:tcW w:w="1701" w:type="dxa"/>
            <w:tcBorders>
              <w:top w:val="nil"/>
              <w:left w:val="nil"/>
              <w:bottom w:val="single" w:color="auto" w:sz="4" w:space="0"/>
              <w:right w:val="single" w:color="auto" w:sz="4" w:space="0"/>
            </w:tcBorders>
            <w:noWrap w:val="0"/>
            <w:vAlign w:val="center"/>
          </w:tcPr>
          <w:p w14:paraId="4783935F">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DFCBB1E">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1250AC57">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0399184C">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49DC8B3F">
            <w:pPr>
              <w:widowControl/>
              <w:jc w:val="left"/>
              <w:rPr>
                <w:szCs w:val="21"/>
              </w:rPr>
            </w:pPr>
            <w:r>
              <w:rPr>
                <w:rFonts w:hint="eastAsia"/>
                <w:szCs w:val="21"/>
              </w:rPr>
              <w:t>X＜10</w:t>
            </w:r>
          </w:p>
        </w:tc>
      </w:tr>
      <w:tr w14:paraId="4E7AFFC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14CFC31F">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6DA86C35">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17161D0C">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43F57995">
            <w:pPr>
              <w:widowControl/>
              <w:jc w:val="left"/>
              <w:rPr>
                <w:szCs w:val="21"/>
              </w:rPr>
            </w:pPr>
            <w:r>
              <w:rPr>
                <w:rFonts w:hint="eastAsia"/>
                <w:szCs w:val="21"/>
              </w:rPr>
              <w:t>8000≤Z＜120000</w:t>
            </w:r>
          </w:p>
        </w:tc>
        <w:tc>
          <w:tcPr>
            <w:tcW w:w="1570" w:type="dxa"/>
            <w:tcBorders>
              <w:top w:val="nil"/>
              <w:left w:val="nil"/>
              <w:bottom w:val="single" w:color="auto" w:sz="4" w:space="0"/>
              <w:right w:val="single" w:color="auto" w:sz="4" w:space="0"/>
            </w:tcBorders>
            <w:noWrap w:val="0"/>
            <w:vAlign w:val="center"/>
          </w:tcPr>
          <w:p w14:paraId="3404722B">
            <w:pPr>
              <w:widowControl/>
              <w:jc w:val="left"/>
              <w:rPr>
                <w:szCs w:val="21"/>
              </w:rPr>
            </w:pPr>
            <w:r>
              <w:rPr>
                <w:rFonts w:hint="eastAsia"/>
                <w:szCs w:val="21"/>
              </w:rPr>
              <w:t>100≤Z＜8000</w:t>
            </w:r>
          </w:p>
        </w:tc>
        <w:tc>
          <w:tcPr>
            <w:tcW w:w="1009" w:type="dxa"/>
            <w:tcBorders>
              <w:top w:val="nil"/>
              <w:left w:val="nil"/>
              <w:bottom w:val="single" w:color="auto" w:sz="4" w:space="0"/>
              <w:right w:val="single" w:color="auto" w:sz="4" w:space="0"/>
            </w:tcBorders>
            <w:noWrap w:val="0"/>
            <w:vAlign w:val="center"/>
          </w:tcPr>
          <w:p w14:paraId="4F34F858">
            <w:pPr>
              <w:widowControl/>
              <w:jc w:val="left"/>
              <w:rPr>
                <w:szCs w:val="21"/>
              </w:rPr>
            </w:pPr>
            <w:r>
              <w:rPr>
                <w:rFonts w:hint="eastAsia"/>
                <w:szCs w:val="21"/>
              </w:rPr>
              <w:t>Y＜100</w:t>
            </w:r>
          </w:p>
        </w:tc>
      </w:tr>
      <w:tr w14:paraId="784756A2">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757551ED">
            <w:pPr>
              <w:widowControl/>
              <w:jc w:val="center"/>
              <w:rPr>
                <w:szCs w:val="21"/>
              </w:rPr>
            </w:pPr>
            <w:r>
              <w:rPr>
                <w:rFonts w:hint="eastAsia"/>
                <w:szCs w:val="21"/>
              </w:rPr>
              <w:t>其他未列明行业</w:t>
            </w:r>
          </w:p>
        </w:tc>
        <w:tc>
          <w:tcPr>
            <w:tcW w:w="1701" w:type="dxa"/>
            <w:tcBorders>
              <w:top w:val="nil"/>
              <w:left w:val="nil"/>
              <w:bottom w:val="single" w:color="auto" w:sz="4" w:space="0"/>
              <w:right w:val="single" w:color="auto" w:sz="4" w:space="0"/>
            </w:tcBorders>
            <w:noWrap w:val="0"/>
            <w:vAlign w:val="center"/>
          </w:tcPr>
          <w:p w14:paraId="3E5EA88F">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78290C6">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32253DBD">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304DFEE8">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398E836E">
            <w:pPr>
              <w:widowControl/>
              <w:jc w:val="left"/>
              <w:rPr>
                <w:szCs w:val="21"/>
              </w:rPr>
            </w:pPr>
            <w:r>
              <w:rPr>
                <w:rFonts w:hint="eastAsia"/>
                <w:szCs w:val="21"/>
              </w:rPr>
              <w:t>X＜10</w:t>
            </w:r>
          </w:p>
        </w:tc>
      </w:tr>
    </w:tbl>
    <w:p w14:paraId="3BABE6E2">
      <w:pPr>
        <w:spacing w:line="360" w:lineRule="auto"/>
        <w:ind w:firstLine="525" w:firstLineChars="250"/>
        <w:rPr>
          <w:szCs w:val="21"/>
        </w:rPr>
      </w:pPr>
      <w:r>
        <w:rPr>
          <w:rFonts w:hint="eastAsia"/>
          <w:szCs w:val="21"/>
        </w:rPr>
        <w:t>说明：上述标准参照《关于印发中小企业划型标准规定的通知》（工信部联企业</w:t>
      </w:r>
      <w:r>
        <w:rPr>
          <w:rFonts w:hint="eastAsia"/>
          <w:szCs w:val="21"/>
          <w:lang w:eastAsia="zh-CN"/>
        </w:rPr>
        <w:t>〔2011〕300号</w:t>
      </w:r>
      <w:r>
        <w:rPr>
          <w:rFonts w:hint="eastAsia"/>
          <w:szCs w:val="21"/>
        </w:rPr>
        <w:t>），大型、中型和小型企业须同时满足所列指标的下限，否则下划一档；微型企业只须满足所列指标中的一项即可。</w:t>
      </w:r>
    </w:p>
    <w:p w14:paraId="1085B747">
      <w:pPr>
        <w:widowControl/>
        <w:jc w:val="left"/>
        <w:rPr>
          <w:color w:val="4472C4"/>
          <w:szCs w:val="21"/>
        </w:rPr>
      </w:pPr>
      <w:r>
        <w:rPr>
          <w:color w:val="4472C4"/>
          <w:szCs w:val="21"/>
        </w:rPr>
        <w:br w:type="page"/>
      </w:r>
    </w:p>
    <w:bookmarkEnd w:id="38"/>
    <w:p w14:paraId="35F60CB8">
      <w:pPr>
        <w:spacing w:line="360" w:lineRule="auto"/>
        <w:rPr>
          <w:sz w:val="28"/>
          <w:szCs w:val="28"/>
        </w:rPr>
      </w:pPr>
      <w:bookmarkStart w:id="39" w:name="_Hlk132788258"/>
      <w:r>
        <w:rPr>
          <w:rFonts w:hint="eastAsia"/>
          <w:sz w:val="28"/>
          <w:szCs w:val="28"/>
        </w:rPr>
        <w:t>附件2：</w:t>
      </w:r>
    </w:p>
    <w:p w14:paraId="4A26E2B7">
      <w:pPr>
        <w:spacing w:line="360" w:lineRule="auto"/>
        <w:rPr>
          <w:sz w:val="28"/>
          <w:szCs w:val="28"/>
        </w:rPr>
      </w:pPr>
      <w:r>
        <w:rPr>
          <w:rFonts w:ascii="宋体" w:hAnsi="宋体" w:cs="宋体"/>
          <w:position w:val="-335"/>
          <w:sz w:val="20"/>
          <w:szCs w:val="20"/>
        </w:rPr>
        <w:drawing>
          <wp:anchor distT="0" distB="0" distL="114300" distR="114300" simplePos="0" relativeHeight="251660288" behindDoc="0" locked="0" layoutInCell="1" allowOverlap="1">
            <wp:simplePos x="0" y="0"/>
            <wp:positionH relativeFrom="column">
              <wp:posOffset>1905</wp:posOffset>
            </wp:positionH>
            <wp:positionV relativeFrom="paragraph">
              <wp:posOffset>204470</wp:posOffset>
            </wp:positionV>
            <wp:extent cx="5573395" cy="8125460"/>
            <wp:effectExtent l="0" t="0" r="8255" b="8890"/>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9"/>
                    <a:stretch>
                      <a:fillRect/>
                    </a:stretch>
                  </pic:blipFill>
                  <pic:spPr>
                    <a:xfrm>
                      <a:off x="0" y="0"/>
                      <a:ext cx="5573395" cy="8125460"/>
                    </a:xfrm>
                    <a:prstGeom prst="rect">
                      <a:avLst/>
                    </a:prstGeom>
                    <a:noFill/>
                    <a:ln>
                      <a:noFill/>
                    </a:ln>
                  </pic:spPr>
                </pic:pic>
              </a:graphicData>
            </a:graphic>
          </wp:anchor>
        </w:drawing>
      </w:r>
      <w:r>
        <w:rPr>
          <w:szCs w:val="21"/>
        </w:rPr>
        <w:br w:type="page"/>
      </w:r>
      <w:r>
        <w:rPr>
          <w:rFonts w:hint="eastAsia"/>
          <w:sz w:val="28"/>
          <w:szCs w:val="28"/>
        </w:rPr>
        <w:t>附件3：</w:t>
      </w:r>
    </w:p>
    <w:p w14:paraId="155E845C">
      <w:pPr>
        <w:spacing w:line="528" w:lineRule="exact"/>
        <w:ind w:firstLine="280" w:firstLineChars="100"/>
        <w:jc w:val="center"/>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节能产品政府采购品目清单</w:t>
      </w:r>
    </w:p>
    <w:p w14:paraId="524CDBDB">
      <w:pPr>
        <w:spacing w:line="151" w:lineRule="exact"/>
      </w:pPr>
    </w:p>
    <w:tbl>
      <w:tblPr>
        <w:tblStyle w:val="214"/>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3CA8C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78" w:type="dxa"/>
            <w:vAlign w:val="top"/>
          </w:tcPr>
          <w:p w14:paraId="0A315357">
            <w:pPr>
              <w:pStyle w:val="213"/>
              <w:spacing w:before="128" w:line="224" w:lineRule="auto"/>
              <w:ind w:left="91"/>
              <w:rPr>
                <w:sz w:val="22"/>
                <w:szCs w:val="22"/>
              </w:rPr>
            </w:pPr>
            <w:r>
              <w:rPr>
                <w:b/>
                <w:bCs/>
                <w:spacing w:val="-9"/>
                <w:sz w:val="22"/>
                <w:szCs w:val="22"/>
              </w:rPr>
              <w:t>品目</w:t>
            </w:r>
          </w:p>
          <w:p w14:paraId="598A6C7F">
            <w:pPr>
              <w:pStyle w:val="213"/>
              <w:spacing w:before="45" w:line="222" w:lineRule="auto"/>
              <w:ind w:left="72"/>
              <w:rPr>
                <w:sz w:val="22"/>
                <w:szCs w:val="22"/>
              </w:rPr>
            </w:pPr>
            <w:r>
              <w:rPr>
                <w:b/>
                <w:bCs/>
                <w:spacing w:val="-4"/>
                <w:sz w:val="22"/>
                <w:szCs w:val="22"/>
              </w:rPr>
              <w:t>序号</w:t>
            </w:r>
          </w:p>
        </w:tc>
        <w:tc>
          <w:tcPr>
            <w:tcW w:w="4879" w:type="dxa"/>
            <w:gridSpan w:val="3"/>
            <w:vAlign w:val="top"/>
          </w:tcPr>
          <w:p w14:paraId="66D4BAAC">
            <w:pPr>
              <w:pStyle w:val="213"/>
              <w:spacing w:before="285" w:line="223" w:lineRule="auto"/>
              <w:ind w:left="2226"/>
              <w:rPr>
                <w:sz w:val="22"/>
                <w:szCs w:val="22"/>
              </w:rPr>
            </w:pPr>
            <w:r>
              <w:rPr>
                <w:b/>
                <w:bCs/>
                <w:spacing w:val="-5"/>
                <w:sz w:val="22"/>
                <w:szCs w:val="22"/>
              </w:rPr>
              <w:t>名称</w:t>
            </w:r>
          </w:p>
        </w:tc>
        <w:tc>
          <w:tcPr>
            <w:tcW w:w="2969" w:type="dxa"/>
            <w:vAlign w:val="top"/>
          </w:tcPr>
          <w:p w14:paraId="3A2744A3">
            <w:pPr>
              <w:pStyle w:val="213"/>
              <w:spacing w:before="285" w:line="220" w:lineRule="auto"/>
              <w:ind w:left="939"/>
              <w:rPr>
                <w:sz w:val="22"/>
                <w:szCs w:val="22"/>
              </w:rPr>
            </w:pPr>
            <w:r>
              <w:rPr>
                <w:b/>
                <w:bCs/>
                <w:spacing w:val="-4"/>
                <w:sz w:val="22"/>
                <w:szCs w:val="22"/>
              </w:rPr>
              <w:t>依据的标准</w:t>
            </w:r>
          </w:p>
        </w:tc>
      </w:tr>
      <w:tr w14:paraId="690AD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578" w:type="dxa"/>
            <w:vMerge w:val="restart"/>
            <w:tcBorders>
              <w:bottom w:val="nil"/>
            </w:tcBorders>
            <w:vAlign w:val="top"/>
          </w:tcPr>
          <w:p w14:paraId="1228478B">
            <w:pPr>
              <w:spacing w:line="246" w:lineRule="auto"/>
              <w:rPr>
                <w:rFonts w:ascii="Arial"/>
                <w:sz w:val="21"/>
              </w:rPr>
            </w:pPr>
          </w:p>
          <w:p w14:paraId="07C59DD1">
            <w:pPr>
              <w:spacing w:line="247" w:lineRule="auto"/>
              <w:rPr>
                <w:rFonts w:ascii="Arial"/>
                <w:sz w:val="21"/>
              </w:rPr>
            </w:pPr>
          </w:p>
          <w:p w14:paraId="3A849AFF">
            <w:pPr>
              <w:spacing w:line="247" w:lineRule="auto"/>
              <w:rPr>
                <w:rFonts w:ascii="Arial"/>
                <w:sz w:val="21"/>
              </w:rPr>
            </w:pPr>
          </w:p>
          <w:p w14:paraId="29D73DF7">
            <w:pPr>
              <w:spacing w:line="247" w:lineRule="auto"/>
              <w:rPr>
                <w:rFonts w:ascii="Arial"/>
                <w:sz w:val="21"/>
              </w:rPr>
            </w:pPr>
          </w:p>
          <w:p w14:paraId="1C83C889">
            <w:pPr>
              <w:pStyle w:val="213"/>
              <w:spacing w:before="62" w:line="258" w:lineRule="exact"/>
              <w:ind w:left="257"/>
            </w:pPr>
            <w:r>
              <w:rPr>
                <w:position w:val="1"/>
              </w:rPr>
              <w:t>1</w:t>
            </w:r>
          </w:p>
        </w:tc>
        <w:tc>
          <w:tcPr>
            <w:tcW w:w="1166" w:type="dxa"/>
            <w:vMerge w:val="restart"/>
            <w:tcBorders>
              <w:bottom w:val="nil"/>
            </w:tcBorders>
            <w:vAlign w:val="top"/>
          </w:tcPr>
          <w:p w14:paraId="4C2387A2">
            <w:pPr>
              <w:spacing w:line="277" w:lineRule="auto"/>
              <w:rPr>
                <w:rFonts w:ascii="Arial"/>
                <w:sz w:val="21"/>
              </w:rPr>
            </w:pPr>
          </w:p>
          <w:p w14:paraId="6CE6E9A5">
            <w:pPr>
              <w:spacing w:line="277" w:lineRule="auto"/>
              <w:rPr>
                <w:rFonts w:ascii="Arial"/>
                <w:sz w:val="21"/>
              </w:rPr>
            </w:pPr>
          </w:p>
          <w:p w14:paraId="5F3A6CB2">
            <w:pPr>
              <w:spacing w:line="278" w:lineRule="auto"/>
              <w:rPr>
                <w:rFonts w:ascii="Arial"/>
                <w:sz w:val="21"/>
              </w:rPr>
            </w:pPr>
          </w:p>
          <w:p w14:paraId="561B9496">
            <w:pPr>
              <w:pStyle w:val="213"/>
              <w:spacing w:before="62" w:line="304" w:lineRule="auto"/>
              <w:ind w:left="14" w:right="8" w:hanging="5"/>
            </w:pPr>
            <w:r>
              <w:rPr>
                <w:spacing w:val="5"/>
              </w:rPr>
              <w:t>A020101</w:t>
            </w:r>
            <w:r>
              <w:rPr>
                <w:spacing w:val="-43"/>
              </w:rPr>
              <w:t xml:space="preserve"> </w:t>
            </w:r>
            <w:r>
              <w:rPr>
                <w:spacing w:val="5"/>
              </w:rPr>
              <w:t>计算</w:t>
            </w:r>
            <w:r>
              <w:t xml:space="preserve"> </w:t>
            </w:r>
            <w:r>
              <w:rPr>
                <w:spacing w:val="6"/>
              </w:rPr>
              <w:t>机设备</w:t>
            </w:r>
          </w:p>
        </w:tc>
        <w:tc>
          <w:tcPr>
            <w:tcW w:w="1799" w:type="dxa"/>
            <w:vAlign w:val="top"/>
          </w:tcPr>
          <w:p w14:paraId="4ABE0E89">
            <w:pPr>
              <w:pStyle w:val="213"/>
              <w:spacing w:before="155" w:line="304" w:lineRule="auto"/>
              <w:ind w:left="17" w:right="10" w:firstLine="1"/>
            </w:pPr>
            <w:r>
              <w:rPr>
                <w:spacing w:val="3"/>
              </w:rPr>
              <w:t>★A02010104 台式计</w:t>
            </w:r>
            <w:r>
              <w:rPr>
                <w:spacing w:val="12"/>
              </w:rPr>
              <w:t xml:space="preserve"> </w:t>
            </w:r>
            <w:r>
              <w:rPr>
                <w:spacing w:val="4"/>
              </w:rPr>
              <w:t>算机</w:t>
            </w:r>
          </w:p>
        </w:tc>
        <w:tc>
          <w:tcPr>
            <w:tcW w:w="1914" w:type="dxa"/>
            <w:vAlign w:val="top"/>
          </w:tcPr>
          <w:p w14:paraId="22F9EE17">
            <w:pPr>
              <w:rPr>
                <w:rFonts w:ascii="Arial"/>
                <w:sz w:val="21"/>
              </w:rPr>
            </w:pPr>
          </w:p>
        </w:tc>
        <w:tc>
          <w:tcPr>
            <w:tcW w:w="2969" w:type="dxa"/>
            <w:vAlign w:val="top"/>
          </w:tcPr>
          <w:p w14:paraId="184594AE">
            <w:pPr>
              <w:pStyle w:val="213"/>
              <w:spacing w:before="156" w:line="304" w:lineRule="auto"/>
              <w:ind w:left="19" w:right="11" w:firstLine="3"/>
            </w:pPr>
            <w:r>
              <w:rPr>
                <w:spacing w:val="19"/>
              </w:rPr>
              <w:t>《微型计算机能效限定值及能效</w:t>
            </w:r>
            <w:r>
              <w:rPr>
                <w:spacing w:val="2"/>
              </w:rPr>
              <w:t xml:space="preserve"> </w:t>
            </w:r>
            <w:r>
              <w:rPr>
                <w:spacing w:val="6"/>
              </w:rPr>
              <w:t>等级》（</w:t>
            </w:r>
            <w:r>
              <w:t>GB</w:t>
            </w:r>
            <w:r>
              <w:rPr>
                <w:spacing w:val="6"/>
              </w:rPr>
              <w:t xml:space="preserve"> 28380）</w:t>
            </w:r>
          </w:p>
        </w:tc>
      </w:tr>
      <w:tr w14:paraId="3F33F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578" w:type="dxa"/>
            <w:vMerge w:val="continue"/>
            <w:tcBorders>
              <w:top w:val="nil"/>
              <w:bottom w:val="nil"/>
            </w:tcBorders>
            <w:vAlign w:val="top"/>
          </w:tcPr>
          <w:p w14:paraId="0625F8B3">
            <w:pPr>
              <w:rPr>
                <w:rFonts w:ascii="Arial"/>
                <w:sz w:val="21"/>
              </w:rPr>
            </w:pPr>
          </w:p>
        </w:tc>
        <w:tc>
          <w:tcPr>
            <w:tcW w:w="1166" w:type="dxa"/>
            <w:vMerge w:val="continue"/>
            <w:tcBorders>
              <w:top w:val="nil"/>
              <w:bottom w:val="nil"/>
            </w:tcBorders>
            <w:vAlign w:val="top"/>
          </w:tcPr>
          <w:p w14:paraId="40B80048">
            <w:pPr>
              <w:rPr>
                <w:rFonts w:ascii="Arial"/>
                <w:sz w:val="21"/>
              </w:rPr>
            </w:pPr>
          </w:p>
        </w:tc>
        <w:tc>
          <w:tcPr>
            <w:tcW w:w="1799" w:type="dxa"/>
            <w:vAlign w:val="top"/>
          </w:tcPr>
          <w:p w14:paraId="6B92F9DE">
            <w:pPr>
              <w:pStyle w:val="213"/>
              <w:spacing w:before="108" w:line="293" w:lineRule="auto"/>
              <w:ind w:left="15" w:right="10" w:firstLine="3"/>
            </w:pPr>
            <w:r>
              <w:rPr>
                <w:spacing w:val="3"/>
              </w:rPr>
              <w:t>★A02010105 便携式</w:t>
            </w:r>
            <w:r>
              <w:rPr>
                <w:spacing w:val="12"/>
              </w:rPr>
              <w:t xml:space="preserve"> </w:t>
            </w:r>
            <w:r>
              <w:rPr>
                <w:spacing w:val="6"/>
              </w:rPr>
              <w:t>计算机</w:t>
            </w:r>
          </w:p>
        </w:tc>
        <w:tc>
          <w:tcPr>
            <w:tcW w:w="1914" w:type="dxa"/>
            <w:vAlign w:val="top"/>
          </w:tcPr>
          <w:p w14:paraId="14E453B6">
            <w:pPr>
              <w:rPr>
                <w:rFonts w:ascii="Arial"/>
                <w:sz w:val="21"/>
              </w:rPr>
            </w:pPr>
          </w:p>
        </w:tc>
        <w:tc>
          <w:tcPr>
            <w:tcW w:w="2969" w:type="dxa"/>
            <w:vAlign w:val="top"/>
          </w:tcPr>
          <w:p w14:paraId="194ACF51">
            <w:pPr>
              <w:pStyle w:val="213"/>
              <w:spacing w:before="108" w:line="293" w:lineRule="auto"/>
              <w:ind w:left="19" w:right="11" w:firstLine="3"/>
            </w:pPr>
            <w:r>
              <w:rPr>
                <w:spacing w:val="19"/>
              </w:rPr>
              <w:t>《微型计算机能效限定值及能效</w:t>
            </w:r>
            <w:r>
              <w:rPr>
                <w:spacing w:val="2"/>
              </w:rPr>
              <w:t xml:space="preserve"> </w:t>
            </w:r>
            <w:r>
              <w:rPr>
                <w:spacing w:val="6"/>
              </w:rPr>
              <w:t>等级》（</w:t>
            </w:r>
            <w:r>
              <w:t>GB</w:t>
            </w:r>
            <w:r>
              <w:rPr>
                <w:spacing w:val="6"/>
              </w:rPr>
              <w:t xml:space="preserve"> 28380）</w:t>
            </w:r>
          </w:p>
        </w:tc>
      </w:tr>
      <w:tr w14:paraId="5F48FD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578" w:type="dxa"/>
            <w:vMerge w:val="continue"/>
            <w:tcBorders>
              <w:top w:val="nil"/>
            </w:tcBorders>
            <w:vAlign w:val="top"/>
          </w:tcPr>
          <w:p w14:paraId="5AD3B477">
            <w:pPr>
              <w:rPr>
                <w:rFonts w:ascii="Arial"/>
                <w:sz w:val="21"/>
              </w:rPr>
            </w:pPr>
          </w:p>
        </w:tc>
        <w:tc>
          <w:tcPr>
            <w:tcW w:w="1166" w:type="dxa"/>
            <w:vMerge w:val="continue"/>
            <w:tcBorders>
              <w:top w:val="nil"/>
            </w:tcBorders>
            <w:vAlign w:val="top"/>
          </w:tcPr>
          <w:p w14:paraId="0C5EF5BF">
            <w:pPr>
              <w:rPr>
                <w:rFonts w:ascii="Arial"/>
                <w:sz w:val="21"/>
              </w:rPr>
            </w:pPr>
          </w:p>
        </w:tc>
        <w:tc>
          <w:tcPr>
            <w:tcW w:w="1799" w:type="dxa"/>
            <w:vAlign w:val="top"/>
          </w:tcPr>
          <w:p w14:paraId="0E8D6FD6">
            <w:pPr>
              <w:pStyle w:val="213"/>
              <w:spacing w:before="128" w:line="301" w:lineRule="auto"/>
              <w:ind w:left="15" w:right="10" w:firstLine="3"/>
            </w:pPr>
            <w:r>
              <w:rPr>
                <w:spacing w:val="3"/>
              </w:rPr>
              <w:t>★A02010107 平板式</w:t>
            </w:r>
            <w:r>
              <w:rPr>
                <w:spacing w:val="12"/>
              </w:rPr>
              <w:t xml:space="preserve"> </w:t>
            </w:r>
            <w:r>
              <w:rPr>
                <w:spacing w:val="8"/>
              </w:rPr>
              <w:t>微型计算机</w:t>
            </w:r>
          </w:p>
        </w:tc>
        <w:tc>
          <w:tcPr>
            <w:tcW w:w="1914" w:type="dxa"/>
            <w:vAlign w:val="top"/>
          </w:tcPr>
          <w:p w14:paraId="1D7B8C81">
            <w:pPr>
              <w:rPr>
                <w:rFonts w:ascii="Arial"/>
                <w:sz w:val="21"/>
              </w:rPr>
            </w:pPr>
          </w:p>
        </w:tc>
        <w:tc>
          <w:tcPr>
            <w:tcW w:w="2969" w:type="dxa"/>
            <w:vAlign w:val="top"/>
          </w:tcPr>
          <w:p w14:paraId="7C74F5E3">
            <w:pPr>
              <w:pStyle w:val="213"/>
              <w:spacing w:before="128" w:line="301" w:lineRule="auto"/>
              <w:ind w:left="19" w:right="11" w:firstLine="3"/>
            </w:pPr>
            <w:r>
              <w:rPr>
                <w:spacing w:val="19"/>
              </w:rPr>
              <w:t>《微型计算机能效限定值及能效</w:t>
            </w:r>
            <w:r>
              <w:rPr>
                <w:spacing w:val="2"/>
              </w:rPr>
              <w:t xml:space="preserve"> </w:t>
            </w:r>
            <w:r>
              <w:rPr>
                <w:spacing w:val="6"/>
              </w:rPr>
              <w:t>等级》（</w:t>
            </w:r>
            <w:r>
              <w:t>GB</w:t>
            </w:r>
            <w:r>
              <w:rPr>
                <w:spacing w:val="6"/>
              </w:rPr>
              <w:t xml:space="preserve"> 28380）</w:t>
            </w:r>
          </w:p>
        </w:tc>
      </w:tr>
      <w:tr w14:paraId="53F2F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restart"/>
            <w:tcBorders>
              <w:bottom w:val="nil"/>
            </w:tcBorders>
            <w:vAlign w:val="top"/>
          </w:tcPr>
          <w:p w14:paraId="42DEF06C">
            <w:pPr>
              <w:spacing w:line="250" w:lineRule="auto"/>
              <w:rPr>
                <w:rFonts w:ascii="Arial"/>
                <w:sz w:val="21"/>
              </w:rPr>
            </w:pPr>
          </w:p>
          <w:p w14:paraId="2DF3F2B3">
            <w:pPr>
              <w:spacing w:line="251" w:lineRule="auto"/>
              <w:rPr>
                <w:rFonts w:ascii="Arial"/>
                <w:sz w:val="21"/>
              </w:rPr>
            </w:pPr>
          </w:p>
          <w:p w14:paraId="13EAE6DA">
            <w:pPr>
              <w:spacing w:line="251" w:lineRule="auto"/>
              <w:rPr>
                <w:rFonts w:ascii="Arial"/>
                <w:sz w:val="21"/>
              </w:rPr>
            </w:pPr>
          </w:p>
          <w:p w14:paraId="4DBFEF75">
            <w:pPr>
              <w:spacing w:line="251" w:lineRule="auto"/>
              <w:rPr>
                <w:rFonts w:ascii="Arial"/>
                <w:sz w:val="21"/>
              </w:rPr>
            </w:pPr>
          </w:p>
          <w:p w14:paraId="6709EF03">
            <w:pPr>
              <w:spacing w:line="251" w:lineRule="auto"/>
              <w:rPr>
                <w:rFonts w:ascii="Arial"/>
                <w:sz w:val="21"/>
              </w:rPr>
            </w:pPr>
          </w:p>
          <w:p w14:paraId="66613EC7">
            <w:pPr>
              <w:spacing w:line="251" w:lineRule="auto"/>
              <w:rPr>
                <w:rFonts w:ascii="Arial"/>
                <w:sz w:val="21"/>
              </w:rPr>
            </w:pPr>
          </w:p>
          <w:p w14:paraId="4946EADF">
            <w:pPr>
              <w:spacing w:line="251" w:lineRule="auto"/>
              <w:rPr>
                <w:rFonts w:ascii="Arial"/>
                <w:sz w:val="21"/>
              </w:rPr>
            </w:pPr>
          </w:p>
          <w:p w14:paraId="07C8A2A9">
            <w:pPr>
              <w:spacing w:line="251" w:lineRule="auto"/>
              <w:rPr>
                <w:rFonts w:ascii="Arial"/>
                <w:sz w:val="21"/>
              </w:rPr>
            </w:pPr>
          </w:p>
          <w:p w14:paraId="554BC166">
            <w:pPr>
              <w:pStyle w:val="213"/>
              <w:spacing w:before="61" w:line="258" w:lineRule="exact"/>
              <w:ind w:left="245"/>
            </w:pPr>
            <w:r>
              <w:rPr>
                <w:position w:val="1"/>
              </w:rPr>
              <w:t>2</w:t>
            </w:r>
          </w:p>
        </w:tc>
        <w:tc>
          <w:tcPr>
            <w:tcW w:w="1166" w:type="dxa"/>
            <w:vMerge w:val="restart"/>
            <w:tcBorders>
              <w:bottom w:val="nil"/>
            </w:tcBorders>
            <w:vAlign w:val="top"/>
          </w:tcPr>
          <w:p w14:paraId="57CB3C0F">
            <w:pPr>
              <w:spacing w:line="264" w:lineRule="auto"/>
              <w:rPr>
                <w:rFonts w:ascii="Arial"/>
                <w:sz w:val="21"/>
              </w:rPr>
            </w:pPr>
          </w:p>
          <w:p w14:paraId="3F33C448">
            <w:pPr>
              <w:spacing w:line="264" w:lineRule="auto"/>
              <w:rPr>
                <w:rFonts w:ascii="Arial"/>
                <w:sz w:val="21"/>
              </w:rPr>
            </w:pPr>
          </w:p>
          <w:p w14:paraId="6C6EE0C6">
            <w:pPr>
              <w:spacing w:line="264" w:lineRule="auto"/>
              <w:rPr>
                <w:rFonts w:ascii="Arial"/>
                <w:sz w:val="21"/>
              </w:rPr>
            </w:pPr>
          </w:p>
          <w:p w14:paraId="01ADF2A1">
            <w:pPr>
              <w:spacing w:line="265" w:lineRule="auto"/>
              <w:rPr>
                <w:rFonts w:ascii="Arial"/>
                <w:sz w:val="21"/>
              </w:rPr>
            </w:pPr>
          </w:p>
          <w:p w14:paraId="428C943E">
            <w:pPr>
              <w:spacing w:line="265" w:lineRule="auto"/>
              <w:rPr>
                <w:rFonts w:ascii="Arial"/>
                <w:sz w:val="21"/>
              </w:rPr>
            </w:pPr>
          </w:p>
          <w:p w14:paraId="03F5F8D9">
            <w:pPr>
              <w:spacing w:line="265" w:lineRule="auto"/>
              <w:rPr>
                <w:rFonts w:ascii="Arial"/>
                <w:sz w:val="21"/>
              </w:rPr>
            </w:pPr>
          </w:p>
          <w:p w14:paraId="66753446">
            <w:pPr>
              <w:spacing w:line="265" w:lineRule="auto"/>
              <w:rPr>
                <w:rFonts w:ascii="Arial"/>
                <w:sz w:val="21"/>
              </w:rPr>
            </w:pPr>
          </w:p>
          <w:p w14:paraId="5CDCB347">
            <w:pPr>
              <w:pStyle w:val="213"/>
              <w:spacing w:before="62" w:line="304" w:lineRule="auto"/>
              <w:ind w:left="14" w:right="8" w:hanging="5"/>
            </w:pPr>
            <w:r>
              <w:rPr>
                <w:spacing w:val="5"/>
              </w:rPr>
              <w:t>A020106</w:t>
            </w:r>
            <w:r>
              <w:rPr>
                <w:spacing w:val="-43"/>
              </w:rPr>
              <w:t xml:space="preserve"> </w:t>
            </w:r>
            <w:r>
              <w:rPr>
                <w:spacing w:val="5"/>
              </w:rPr>
              <w:t>输入</w:t>
            </w:r>
            <w:r>
              <w:t xml:space="preserve"> </w:t>
            </w:r>
            <w:r>
              <w:rPr>
                <w:spacing w:val="7"/>
              </w:rPr>
              <w:t>输出设备</w:t>
            </w:r>
          </w:p>
        </w:tc>
        <w:tc>
          <w:tcPr>
            <w:tcW w:w="1799" w:type="dxa"/>
            <w:vMerge w:val="restart"/>
            <w:tcBorders>
              <w:bottom w:val="nil"/>
            </w:tcBorders>
            <w:vAlign w:val="top"/>
          </w:tcPr>
          <w:p w14:paraId="6337D827">
            <w:pPr>
              <w:spacing w:line="315" w:lineRule="auto"/>
              <w:rPr>
                <w:rFonts w:ascii="Arial"/>
                <w:sz w:val="21"/>
              </w:rPr>
            </w:pPr>
          </w:p>
          <w:p w14:paraId="7A823806">
            <w:pPr>
              <w:spacing w:line="315" w:lineRule="auto"/>
              <w:rPr>
                <w:rFonts w:ascii="Arial"/>
                <w:sz w:val="21"/>
              </w:rPr>
            </w:pPr>
          </w:p>
          <w:p w14:paraId="3D3BFA49">
            <w:pPr>
              <w:spacing w:line="315" w:lineRule="auto"/>
              <w:rPr>
                <w:rFonts w:ascii="Arial"/>
                <w:sz w:val="21"/>
              </w:rPr>
            </w:pPr>
          </w:p>
          <w:p w14:paraId="25EE30A5">
            <w:pPr>
              <w:pStyle w:val="213"/>
              <w:spacing w:before="62" w:line="229" w:lineRule="auto"/>
              <w:ind w:left="9"/>
            </w:pPr>
            <w:r>
              <w:rPr>
                <w:spacing w:val="5"/>
              </w:rPr>
              <w:t>A02010601</w:t>
            </w:r>
            <w:r>
              <w:rPr>
                <w:spacing w:val="-28"/>
              </w:rPr>
              <w:t xml:space="preserve"> </w:t>
            </w:r>
            <w:r>
              <w:rPr>
                <w:spacing w:val="5"/>
              </w:rPr>
              <w:t>打印设备</w:t>
            </w:r>
          </w:p>
        </w:tc>
        <w:tc>
          <w:tcPr>
            <w:tcW w:w="1914" w:type="dxa"/>
            <w:vAlign w:val="top"/>
          </w:tcPr>
          <w:p w14:paraId="7F31F808">
            <w:pPr>
              <w:pStyle w:val="213"/>
              <w:spacing w:before="114" w:line="297" w:lineRule="auto"/>
              <w:ind w:left="31" w:right="8" w:hanging="21"/>
            </w:pPr>
            <w:r>
              <w:rPr>
                <w:spacing w:val="3"/>
              </w:rPr>
              <w:t>A0201060101</w:t>
            </w:r>
            <w:r>
              <w:rPr>
                <w:spacing w:val="50"/>
              </w:rPr>
              <w:t xml:space="preserve"> </w:t>
            </w:r>
            <w:r>
              <w:rPr>
                <w:spacing w:val="3"/>
              </w:rPr>
              <w:t>喷</w:t>
            </w:r>
            <w:r>
              <w:rPr>
                <w:spacing w:val="-51"/>
              </w:rPr>
              <w:t xml:space="preserve"> </w:t>
            </w:r>
            <w:r>
              <w:rPr>
                <w:spacing w:val="3"/>
              </w:rPr>
              <w:t>墨</w:t>
            </w:r>
            <w:r>
              <w:rPr>
                <w:spacing w:val="-53"/>
              </w:rPr>
              <w:t xml:space="preserve"> </w:t>
            </w:r>
            <w:r>
              <w:rPr>
                <w:spacing w:val="3"/>
              </w:rPr>
              <w:t>打</w:t>
            </w:r>
            <w:r>
              <w:t xml:space="preserve"> </w:t>
            </w:r>
            <w:r>
              <w:rPr>
                <w:spacing w:val="-2"/>
              </w:rPr>
              <w:t>印机</w:t>
            </w:r>
          </w:p>
        </w:tc>
        <w:tc>
          <w:tcPr>
            <w:tcW w:w="2969" w:type="dxa"/>
            <w:vAlign w:val="top"/>
          </w:tcPr>
          <w:p w14:paraId="77135BFF">
            <w:pPr>
              <w:pStyle w:val="213"/>
              <w:spacing w:before="114" w:line="297" w:lineRule="auto"/>
              <w:ind w:left="22" w:right="13"/>
            </w:pPr>
            <w:r>
              <w:rPr>
                <w:spacing w:val="5"/>
              </w:rPr>
              <w:t>《复印机、打印机和传真机能效限</w:t>
            </w:r>
            <w:r>
              <w:t xml:space="preserve"> </w:t>
            </w:r>
            <w:r>
              <w:rPr>
                <w:spacing w:val="7"/>
              </w:rPr>
              <w:t>定值及能效等级》（</w:t>
            </w:r>
            <w:r>
              <w:t>GB</w:t>
            </w:r>
            <w:r>
              <w:rPr>
                <w:spacing w:val="7"/>
              </w:rPr>
              <w:t xml:space="preserve"> 21521）</w:t>
            </w:r>
          </w:p>
        </w:tc>
      </w:tr>
      <w:tr w14:paraId="161A8E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continue"/>
            <w:tcBorders>
              <w:top w:val="nil"/>
              <w:bottom w:val="nil"/>
            </w:tcBorders>
            <w:vAlign w:val="top"/>
          </w:tcPr>
          <w:p w14:paraId="113919B2">
            <w:pPr>
              <w:rPr>
                <w:rFonts w:ascii="Arial"/>
                <w:sz w:val="21"/>
              </w:rPr>
            </w:pPr>
          </w:p>
        </w:tc>
        <w:tc>
          <w:tcPr>
            <w:tcW w:w="1166" w:type="dxa"/>
            <w:vMerge w:val="continue"/>
            <w:tcBorders>
              <w:top w:val="nil"/>
              <w:bottom w:val="nil"/>
            </w:tcBorders>
            <w:vAlign w:val="top"/>
          </w:tcPr>
          <w:p w14:paraId="5A8B70EA">
            <w:pPr>
              <w:rPr>
                <w:rFonts w:ascii="Arial"/>
                <w:sz w:val="21"/>
              </w:rPr>
            </w:pPr>
          </w:p>
        </w:tc>
        <w:tc>
          <w:tcPr>
            <w:tcW w:w="1799" w:type="dxa"/>
            <w:vMerge w:val="continue"/>
            <w:tcBorders>
              <w:top w:val="nil"/>
              <w:bottom w:val="nil"/>
            </w:tcBorders>
            <w:vAlign w:val="top"/>
          </w:tcPr>
          <w:p w14:paraId="1BABABE3">
            <w:pPr>
              <w:rPr>
                <w:rFonts w:ascii="Arial"/>
                <w:sz w:val="21"/>
              </w:rPr>
            </w:pPr>
          </w:p>
        </w:tc>
        <w:tc>
          <w:tcPr>
            <w:tcW w:w="1914" w:type="dxa"/>
            <w:vAlign w:val="top"/>
          </w:tcPr>
          <w:p w14:paraId="1829A827">
            <w:pPr>
              <w:pStyle w:val="213"/>
              <w:spacing w:before="116" w:line="296" w:lineRule="auto"/>
              <w:ind w:left="19" w:right="8"/>
            </w:pPr>
            <w:r>
              <w:rPr>
                <w:spacing w:val="3"/>
              </w:rPr>
              <w:t>★</w:t>
            </w:r>
            <w:r>
              <w:rPr>
                <w:spacing w:val="-50"/>
              </w:rPr>
              <w:t xml:space="preserve"> </w:t>
            </w:r>
            <w:r>
              <w:rPr>
                <w:spacing w:val="3"/>
              </w:rPr>
              <w:t>A0201060102</w:t>
            </w:r>
            <w:r>
              <w:rPr>
                <w:spacing w:val="41"/>
              </w:rPr>
              <w:t xml:space="preserve"> </w:t>
            </w:r>
            <w:r>
              <w:rPr>
                <w:spacing w:val="3"/>
              </w:rPr>
              <w:t>激</w:t>
            </w:r>
            <w:r>
              <w:rPr>
                <w:spacing w:val="-54"/>
              </w:rPr>
              <w:t xml:space="preserve"> </w:t>
            </w:r>
            <w:r>
              <w:rPr>
                <w:spacing w:val="3"/>
              </w:rPr>
              <w:t>光</w:t>
            </w:r>
            <w:r>
              <w:t xml:space="preserve"> </w:t>
            </w:r>
            <w:r>
              <w:rPr>
                <w:spacing w:val="5"/>
              </w:rPr>
              <w:t>打印机</w:t>
            </w:r>
          </w:p>
        </w:tc>
        <w:tc>
          <w:tcPr>
            <w:tcW w:w="2969" w:type="dxa"/>
            <w:vAlign w:val="top"/>
          </w:tcPr>
          <w:p w14:paraId="7EC2AD05">
            <w:pPr>
              <w:pStyle w:val="213"/>
              <w:spacing w:before="116" w:line="296" w:lineRule="auto"/>
              <w:ind w:left="22" w:right="13"/>
            </w:pPr>
            <w:r>
              <w:rPr>
                <w:spacing w:val="5"/>
              </w:rPr>
              <w:t>《复印机、打印机和传真机能效限</w:t>
            </w:r>
            <w:r>
              <w:t xml:space="preserve"> </w:t>
            </w:r>
            <w:r>
              <w:rPr>
                <w:spacing w:val="7"/>
              </w:rPr>
              <w:t>定值及能效等级》（</w:t>
            </w:r>
            <w:r>
              <w:t>GB</w:t>
            </w:r>
            <w:r>
              <w:rPr>
                <w:spacing w:val="7"/>
              </w:rPr>
              <w:t xml:space="preserve"> 21521）</w:t>
            </w:r>
          </w:p>
        </w:tc>
      </w:tr>
      <w:tr w14:paraId="64666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continue"/>
            <w:tcBorders>
              <w:top w:val="nil"/>
              <w:bottom w:val="nil"/>
            </w:tcBorders>
            <w:vAlign w:val="top"/>
          </w:tcPr>
          <w:p w14:paraId="58C0881B">
            <w:pPr>
              <w:rPr>
                <w:rFonts w:ascii="Arial"/>
                <w:sz w:val="21"/>
              </w:rPr>
            </w:pPr>
          </w:p>
        </w:tc>
        <w:tc>
          <w:tcPr>
            <w:tcW w:w="1166" w:type="dxa"/>
            <w:vMerge w:val="continue"/>
            <w:tcBorders>
              <w:top w:val="nil"/>
              <w:bottom w:val="nil"/>
            </w:tcBorders>
            <w:vAlign w:val="top"/>
          </w:tcPr>
          <w:p w14:paraId="2084B94C">
            <w:pPr>
              <w:rPr>
                <w:rFonts w:ascii="Arial"/>
                <w:sz w:val="21"/>
              </w:rPr>
            </w:pPr>
          </w:p>
        </w:tc>
        <w:tc>
          <w:tcPr>
            <w:tcW w:w="1799" w:type="dxa"/>
            <w:vMerge w:val="continue"/>
            <w:tcBorders>
              <w:top w:val="nil"/>
            </w:tcBorders>
            <w:vAlign w:val="top"/>
          </w:tcPr>
          <w:p w14:paraId="59040E5C">
            <w:pPr>
              <w:rPr>
                <w:rFonts w:ascii="Arial"/>
                <w:sz w:val="21"/>
              </w:rPr>
            </w:pPr>
          </w:p>
        </w:tc>
        <w:tc>
          <w:tcPr>
            <w:tcW w:w="1914" w:type="dxa"/>
            <w:vAlign w:val="top"/>
          </w:tcPr>
          <w:p w14:paraId="23C697E9">
            <w:pPr>
              <w:pStyle w:val="213"/>
              <w:spacing w:before="116" w:line="296" w:lineRule="auto"/>
              <w:ind w:left="19" w:right="8"/>
            </w:pPr>
            <w:r>
              <w:rPr>
                <w:spacing w:val="3"/>
              </w:rPr>
              <w:t>★</w:t>
            </w:r>
            <w:r>
              <w:rPr>
                <w:spacing w:val="-54"/>
              </w:rPr>
              <w:t xml:space="preserve"> </w:t>
            </w:r>
            <w:r>
              <w:rPr>
                <w:spacing w:val="3"/>
              </w:rPr>
              <w:t>A0201060104</w:t>
            </w:r>
            <w:r>
              <w:rPr>
                <w:spacing w:val="43"/>
              </w:rPr>
              <w:t xml:space="preserve"> </w:t>
            </w:r>
            <w:r>
              <w:rPr>
                <w:spacing w:val="3"/>
              </w:rPr>
              <w:t>针</w:t>
            </w:r>
            <w:r>
              <w:rPr>
                <w:spacing w:val="-52"/>
              </w:rPr>
              <w:t xml:space="preserve"> </w:t>
            </w:r>
            <w:r>
              <w:rPr>
                <w:spacing w:val="3"/>
              </w:rPr>
              <w:t>式</w:t>
            </w:r>
            <w:r>
              <w:t xml:space="preserve"> </w:t>
            </w:r>
            <w:r>
              <w:rPr>
                <w:spacing w:val="5"/>
              </w:rPr>
              <w:t>打印机</w:t>
            </w:r>
          </w:p>
        </w:tc>
        <w:tc>
          <w:tcPr>
            <w:tcW w:w="2969" w:type="dxa"/>
            <w:vAlign w:val="top"/>
          </w:tcPr>
          <w:p w14:paraId="729BCEFE">
            <w:pPr>
              <w:pStyle w:val="213"/>
              <w:spacing w:before="116" w:line="296" w:lineRule="auto"/>
              <w:ind w:left="22" w:right="13"/>
            </w:pPr>
            <w:r>
              <w:rPr>
                <w:spacing w:val="5"/>
              </w:rPr>
              <w:t>《复印机、打印机和传真机能效限</w:t>
            </w:r>
            <w:r>
              <w:t xml:space="preserve"> </w:t>
            </w:r>
            <w:r>
              <w:rPr>
                <w:spacing w:val="7"/>
              </w:rPr>
              <w:t>定值及能效等级》（</w:t>
            </w:r>
            <w:r>
              <w:t>GB</w:t>
            </w:r>
            <w:r>
              <w:rPr>
                <w:spacing w:val="7"/>
              </w:rPr>
              <w:t xml:space="preserve"> 21521）</w:t>
            </w:r>
          </w:p>
        </w:tc>
      </w:tr>
      <w:tr w14:paraId="67C0EF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578" w:type="dxa"/>
            <w:vMerge w:val="continue"/>
            <w:tcBorders>
              <w:top w:val="nil"/>
              <w:bottom w:val="nil"/>
            </w:tcBorders>
            <w:vAlign w:val="top"/>
          </w:tcPr>
          <w:p w14:paraId="6E8A581E">
            <w:pPr>
              <w:rPr>
                <w:rFonts w:ascii="Arial"/>
                <w:sz w:val="21"/>
              </w:rPr>
            </w:pPr>
          </w:p>
        </w:tc>
        <w:tc>
          <w:tcPr>
            <w:tcW w:w="1166" w:type="dxa"/>
            <w:vMerge w:val="continue"/>
            <w:tcBorders>
              <w:top w:val="nil"/>
              <w:bottom w:val="nil"/>
            </w:tcBorders>
            <w:vAlign w:val="top"/>
          </w:tcPr>
          <w:p w14:paraId="48AD7B59">
            <w:pPr>
              <w:rPr>
                <w:rFonts w:ascii="Arial"/>
                <w:sz w:val="21"/>
              </w:rPr>
            </w:pPr>
          </w:p>
        </w:tc>
        <w:tc>
          <w:tcPr>
            <w:tcW w:w="1799" w:type="dxa"/>
            <w:vAlign w:val="top"/>
          </w:tcPr>
          <w:p w14:paraId="012842CB">
            <w:pPr>
              <w:pStyle w:val="213"/>
              <w:spacing w:before="290" w:line="230" w:lineRule="auto"/>
              <w:ind w:left="9"/>
            </w:pPr>
            <w:r>
              <w:rPr>
                <w:spacing w:val="5"/>
              </w:rPr>
              <w:t>A02010604</w:t>
            </w:r>
            <w:r>
              <w:rPr>
                <w:spacing w:val="-28"/>
              </w:rPr>
              <w:t xml:space="preserve"> </w:t>
            </w:r>
            <w:r>
              <w:rPr>
                <w:spacing w:val="5"/>
              </w:rPr>
              <w:t>显示设备</w:t>
            </w:r>
          </w:p>
        </w:tc>
        <w:tc>
          <w:tcPr>
            <w:tcW w:w="1914" w:type="dxa"/>
            <w:vAlign w:val="top"/>
          </w:tcPr>
          <w:p w14:paraId="5C12ACEB">
            <w:pPr>
              <w:pStyle w:val="213"/>
              <w:spacing w:before="133" w:line="303" w:lineRule="auto"/>
              <w:ind w:left="20" w:right="8" w:hanging="1"/>
            </w:pPr>
            <w:r>
              <w:rPr>
                <w:spacing w:val="2"/>
              </w:rPr>
              <w:t>★</w:t>
            </w:r>
            <w:r>
              <w:rPr>
                <w:spacing w:val="-54"/>
              </w:rPr>
              <w:t xml:space="preserve"> </w:t>
            </w:r>
            <w:r>
              <w:rPr>
                <w:spacing w:val="2"/>
              </w:rPr>
              <w:t>A0201060401</w:t>
            </w:r>
            <w:r>
              <w:rPr>
                <w:spacing w:val="44"/>
              </w:rPr>
              <w:t xml:space="preserve"> </w:t>
            </w:r>
            <w:r>
              <w:rPr>
                <w:spacing w:val="2"/>
              </w:rPr>
              <w:t>液</w:t>
            </w:r>
            <w:r>
              <w:rPr>
                <w:spacing w:val="-39"/>
              </w:rPr>
              <w:t xml:space="preserve"> </w:t>
            </w:r>
            <w:r>
              <w:rPr>
                <w:spacing w:val="2"/>
              </w:rPr>
              <w:t>晶</w:t>
            </w:r>
            <w:r>
              <w:t xml:space="preserve"> </w:t>
            </w:r>
            <w:r>
              <w:rPr>
                <w:spacing w:val="5"/>
              </w:rPr>
              <w:t>显示器</w:t>
            </w:r>
          </w:p>
        </w:tc>
        <w:tc>
          <w:tcPr>
            <w:tcW w:w="2969" w:type="dxa"/>
            <w:vAlign w:val="top"/>
          </w:tcPr>
          <w:p w14:paraId="18494CB7">
            <w:pPr>
              <w:pStyle w:val="213"/>
              <w:spacing w:before="133" w:line="303" w:lineRule="auto"/>
              <w:ind w:left="22" w:right="11"/>
            </w:pPr>
            <w:r>
              <w:rPr>
                <w:spacing w:val="19"/>
              </w:rPr>
              <w:t>《计算机显示器能效限定值及能</w:t>
            </w:r>
            <w:r>
              <w:rPr>
                <w:spacing w:val="2"/>
              </w:rPr>
              <w:t xml:space="preserve"> </w:t>
            </w:r>
            <w:r>
              <w:rPr>
                <w:spacing w:val="6"/>
              </w:rPr>
              <w:t>效等级》（</w:t>
            </w:r>
            <w:r>
              <w:t>GB</w:t>
            </w:r>
            <w:r>
              <w:rPr>
                <w:spacing w:val="6"/>
              </w:rPr>
              <w:t xml:space="preserve"> 21520）</w:t>
            </w:r>
          </w:p>
        </w:tc>
      </w:tr>
      <w:tr w14:paraId="227E76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5" w:hRule="atLeast"/>
        </w:trPr>
        <w:tc>
          <w:tcPr>
            <w:tcW w:w="578" w:type="dxa"/>
            <w:vMerge w:val="continue"/>
            <w:tcBorders>
              <w:top w:val="nil"/>
            </w:tcBorders>
            <w:vAlign w:val="top"/>
          </w:tcPr>
          <w:p w14:paraId="2D2B5A45">
            <w:pPr>
              <w:rPr>
                <w:rFonts w:ascii="Arial"/>
                <w:sz w:val="21"/>
              </w:rPr>
            </w:pPr>
          </w:p>
        </w:tc>
        <w:tc>
          <w:tcPr>
            <w:tcW w:w="1166" w:type="dxa"/>
            <w:vMerge w:val="continue"/>
            <w:tcBorders>
              <w:top w:val="nil"/>
            </w:tcBorders>
            <w:vAlign w:val="top"/>
          </w:tcPr>
          <w:p w14:paraId="6B725E32">
            <w:pPr>
              <w:rPr>
                <w:rFonts w:ascii="Arial"/>
                <w:sz w:val="21"/>
              </w:rPr>
            </w:pPr>
          </w:p>
        </w:tc>
        <w:tc>
          <w:tcPr>
            <w:tcW w:w="1799" w:type="dxa"/>
            <w:vAlign w:val="top"/>
          </w:tcPr>
          <w:p w14:paraId="6DAC4AEF">
            <w:pPr>
              <w:spacing w:line="364" w:lineRule="auto"/>
              <w:rPr>
                <w:rFonts w:ascii="Arial"/>
                <w:sz w:val="21"/>
              </w:rPr>
            </w:pPr>
          </w:p>
          <w:p w14:paraId="113F2740">
            <w:pPr>
              <w:pStyle w:val="213"/>
              <w:spacing w:before="62" w:line="304" w:lineRule="auto"/>
              <w:ind w:left="14" w:right="10" w:hanging="5"/>
            </w:pPr>
            <w:r>
              <w:rPr>
                <w:spacing w:val="4"/>
              </w:rPr>
              <w:t>A02010609 图形图像</w:t>
            </w:r>
            <w:r>
              <w:rPr>
                <w:spacing w:val="7"/>
              </w:rPr>
              <w:t xml:space="preserve"> 输入设备</w:t>
            </w:r>
          </w:p>
        </w:tc>
        <w:tc>
          <w:tcPr>
            <w:tcW w:w="1914" w:type="dxa"/>
            <w:vAlign w:val="top"/>
          </w:tcPr>
          <w:p w14:paraId="6805AE99">
            <w:pPr>
              <w:spacing w:line="259" w:lineRule="auto"/>
              <w:rPr>
                <w:rFonts w:ascii="Arial"/>
                <w:sz w:val="21"/>
              </w:rPr>
            </w:pPr>
          </w:p>
          <w:p w14:paraId="4DA0013E">
            <w:pPr>
              <w:spacing w:line="260" w:lineRule="auto"/>
              <w:rPr>
                <w:rFonts w:ascii="Arial"/>
                <w:sz w:val="21"/>
              </w:rPr>
            </w:pPr>
          </w:p>
          <w:p w14:paraId="68978D05">
            <w:pPr>
              <w:pStyle w:val="213"/>
              <w:spacing w:before="61" w:line="229" w:lineRule="auto"/>
              <w:ind w:left="10"/>
            </w:pPr>
            <w:r>
              <w:rPr>
                <w:spacing w:val="5"/>
              </w:rPr>
              <w:t>A0201060901</w:t>
            </w:r>
            <w:r>
              <w:rPr>
                <w:spacing w:val="-34"/>
              </w:rPr>
              <w:t xml:space="preserve"> </w:t>
            </w:r>
            <w:r>
              <w:rPr>
                <w:spacing w:val="5"/>
              </w:rPr>
              <w:t>扫描仪</w:t>
            </w:r>
          </w:p>
        </w:tc>
        <w:tc>
          <w:tcPr>
            <w:tcW w:w="2969" w:type="dxa"/>
            <w:vAlign w:val="top"/>
          </w:tcPr>
          <w:p w14:paraId="74E2A656">
            <w:pPr>
              <w:pStyle w:val="213"/>
              <w:spacing w:before="114" w:line="299" w:lineRule="auto"/>
              <w:ind w:left="22" w:hanging="3"/>
              <w:jc w:val="both"/>
            </w:pPr>
            <w:r>
              <w:t>参照《复印机、打印机和传真机能</w:t>
            </w:r>
            <w:r>
              <w:rPr>
                <w:spacing w:val="3"/>
              </w:rPr>
              <w:t xml:space="preserve">  </w:t>
            </w:r>
            <w:r>
              <w:rPr>
                <w:spacing w:val="-4"/>
              </w:rPr>
              <w:t>效限定值及能效等级》（GB</w:t>
            </w:r>
            <w:r>
              <w:rPr>
                <w:spacing w:val="-24"/>
              </w:rPr>
              <w:t xml:space="preserve"> </w:t>
            </w:r>
            <w:r>
              <w:rPr>
                <w:spacing w:val="-4"/>
              </w:rPr>
              <w:t>21521）</w:t>
            </w:r>
            <w:r>
              <w:t xml:space="preserve"> </w:t>
            </w:r>
            <w:r>
              <w:rPr>
                <w:spacing w:val="4"/>
              </w:rPr>
              <w:t>中打印速度为</w:t>
            </w:r>
            <w:r>
              <w:rPr>
                <w:spacing w:val="38"/>
              </w:rPr>
              <w:t xml:space="preserve"> </w:t>
            </w:r>
            <w:r>
              <w:rPr>
                <w:spacing w:val="4"/>
              </w:rPr>
              <w:t>15 页/分的针式打</w:t>
            </w:r>
            <w:r>
              <w:t xml:space="preserve">  </w:t>
            </w:r>
            <w:r>
              <w:rPr>
                <w:spacing w:val="2"/>
              </w:rPr>
              <w:t>印机相关要求</w:t>
            </w:r>
          </w:p>
        </w:tc>
      </w:tr>
      <w:tr w14:paraId="4363F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578" w:type="dxa"/>
            <w:vAlign w:val="top"/>
          </w:tcPr>
          <w:p w14:paraId="7DEEA9BA">
            <w:pPr>
              <w:pStyle w:val="213"/>
              <w:spacing w:before="246" w:line="256" w:lineRule="exact"/>
              <w:ind w:left="246"/>
            </w:pPr>
            <w:r>
              <w:rPr>
                <w:position w:val="1"/>
              </w:rPr>
              <w:t>3</w:t>
            </w:r>
          </w:p>
        </w:tc>
        <w:tc>
          <w:tcPr>
            <w:tcW w:w="1166" w:type="dxa"/>
            <w:vAlign w:val="top"/>
          </w:tcPr>
          <w:p w14:paraId="5A4B440B">
            <w:pPr>
              <w:pStyle w:val="213"/>
              <w:spacing w:before="90" w:line="281" w:lineRule="auto"/>
              <w:ind w:left="15" w:right="8" w:hanging="6"/>
            </w:pPr>
            <w:r>
              <w:rPr>
                <w:spacing w:val="4"/>
              </w:rPr>
              <w:t>A020202</w:t>
            </w:r>
            <w:r>
              <w:rPr>
                <w:spacing w:val="-34"/>
              </w:rPr>
              <w:t xml:space="preserve"> </w:t>
            </w:r>
            <w:r>
              <w:rPr>
                <w:spacing w:val="4"/>
              </w:rPr>
              <w:t>投影</w:t>
            </w:r>
            <w:r>
              <w:t xml:space="preserve"> 仪</w:t>
            </w:r>
          </w:p>
        </w:tc>
        <w:tc>
          <w:tcPr>
            <w:tcW w:w="1799" w:type="dxa"/>
            <w:vAlign w:val="top"/>
          </w:tcPr>
          <w:p w14:paraId="0D5D17E9">
            <w:pPr>
              <w:rPr>
                <w:rFonts w:ascii="Arial"/>
                <w:sz w:val="21"/>
              </w:rPr>
            </w:pPr>
          </w:p>
        </w:tc>
        <w:tc>
          <w:tcPr>
            <w:tcW w:w="1914" w:type="dxa"/>
            <w:vAlign w:val="top"/>
          </w:tcPr>
          <w:p w14:paraId="3227F6BA">
            <w:pPr>
              <w:rPr>
                <w:rFonts w:ascii="Arial"/>
                <w:sz w:val="21"/>
              </w:rPr>
            </w:pPr>
          </w:p>
        </w:tc>
        <w:tc>
          <w:tcPr>
            <w:tcW w:w="2969" w:type="dxa"/>
            <w:vAlign w:val="top"/>
          </w:tcPr>
          <w:p w14:paraId="5CE677B4">
            <w:pPr>
              <w:pStyle w:val="213"/>
              <w:spacing w:before="90" w:line="281" w:lineRule="auto"/>
              <w:ind w:left="27" w:hanging="4"/>
            </w:pPr>
            <w:r>
              <w:rPr>
                <w:spacing w:val="6"/>
              </w:rPr>
              <w:t>《投影机能效限定值及能效等级》</w:t>
            </w:r>
            <w:r>
              <w:t xml:space="preserve"> （GB</w:t>
            </w:r>
            <w:r>
              <w:rPr>
                <w:spacing w:val="22"/>
              </w:rPr>
              <w:t xml:space="preserve"> </w:t>
            </w:r>
            <w:r>
              <w:t>32028）</w:t>
            </w:r>
          </w:p>
        </w:tc>
      </w:tr>
      <w:tr w14:paraId="160637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578" w:type="dxa"/>
            <w:vAlign w:val="top"/>
          </w:tcPr>
          <w:p w14:paraId="3518E151">
            <w:pPr>
              <w:pStyle w:val="213"/>
              <w:spacing w:before="289" w:line="258" w:lineRule="exact"/>
              <w:ind w:left="242"/>
            </w:pPr>
            <w:r>
              <w:rPr>
                <w:position w:val="1"/>
              </w:rPr>
              <w:t>4</w:t>
            </w:r>
          </w:p>
        </w:tc>
        <w:tc>
          <w:tcPr>
            <w:tcW w:w="1166" w:type="dxa"/>
            <w:vAlign w:val="top"/>
          </w:tcPr>
          <w:p w14:paraId="5A536960">
            <w:pPr>
              <w:pStyle w:val="213"/>
              <w:spacing w:before="134" w:line="230" w:lineRule="auto"/>
              <w:ind w:left="9"/>
            </w:pPr>
            <w:r>
              <w:rPr>
                <w:spacing w:val="4"/>
              </w:rPr>
              <w:t>A020204</w:t>
            </w:r>
            <w:r>
              <w:rPr>
                <w:spacing w:val="-34"/>
              </w:rPr>
              <w:t xml:space="preserve"> </w:t>
            </w:r>
            <w:r>
              <w:rPr>
                <w:spacing w:val="4"/>
              </w:rPr>
              <w:t>多功</w:t>
            </w:r>
          </w:p>
          <w:p w14:paraId="64B209AC">
            <w:pPr>
              <w:pStyle w:val="213"/>
              <w:spacing w:before="75" w:line="228" w:lineRule="auto"/>
              <w:ind w:left="23"/>
            </w:pPr>
            <w:r>
              <w:rPr>
                <w:spacing w:val="5"/>
              </w:rPr>
              <w:t>能一体机</w:t>
            </w:r>
          </w:p>
        </w:tc>
        <w:tc>
          <w:tcPr>
            <w:tcW w:w="1799" w:type="dxa"/>
            <w:vAlign w:val="top"/>
          </w:tcPr>
          <w:p w14:paraId="798B9457">
            <w:pPr>
              <w:rPr>
                <w:rFonts w:ascii="Arial"/>
                <w:sz w:val="21"/>
              </w:rPr>
            </w:pPr>
          </w:p>
        </w:tc>
        <w:tc>
          <w:tcPr>
            <w:tcW w:w="1914" w:type="dxa"/>
            <w:vAlign w:val="top"/>
          </w:tcPr>
          <w:p w14:paraId="5AA17216">
            <w:pPr>
              <w:rPr>
                <w:rFonts w:ascii="Arial"/>
                <w:sz w:val="21"/>
              </w:rPr>
            </w:pPr>
          </w:p>
        </w:tc>
        <w:tc>
          <w:tcPr>
            <w:tcW w:w="2969" w:type="dxa"/>
            <w:vAlign w:val="top"/>
          </w:tcPr>
          <w:p w14:paraId="17A8257C">
            <w:pPr>
              <w:pStyle w:val="213"/>
              <w:spacing w:before="133" w:line="302" w:lineRule="auto"/>
              <w:ind w:left="22" w:right="13"/>
            </w:pPr>
            <w:r>
              <w:rPr>
                <w:spacing w:val="5"/>
              </w:rPr>
              <w:t>《复印机、打印机和传真机能效限</w:t>
            </w:r>
            <w:r>
              <w:t xml:space="preserve"> </w:t>
            </w:r>
            <w:r>
              <w:rPr>
                <w:spacing w:val="7"/>
              </w:rPr>
              <w:t>定值及能效等级》（</w:t>
            </w:r>
            <w:r>
              <w:t>GB</w:t>
            </w:r>
            <w:r>
              <w:rPr>
                <w:spacing w:val="7"/>
              </w:rPr>
              <w:t xml:space="preserve"> 21521）</w:t>
            </w:r>
          </w:p>
        </w:tc>
      </w:tr>
      <w:tr w14:paraId="21E9C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78" w:type="dxa"/>
            <w:vAlign w:val="top"/>
          </w:tcPr>
          <w:p w14:paraId="23F67604">
            <w:pPr>
              <w:pStyle w:val="213"/>
              <w:spacing w:before="227" w:line="256" w:lineRule="exact"/>
              <w:ind w:left="246"/>
            </w:pPr>
            <w:r>
              <w:rPr>
                <w:position w:val="1"/>
              </w:rPr>
              <w:t>5</w:t>
            </w:r>
          </w:p>
        </w:tc>
        <w:tc>
          <w:tcPr>
            <w:tcW w:w="1166" w:type="dxa"/>
            <w:vAlign w:val="top"/>
          </w:tcPr>
          <w:p w14:paraId="55CB746F">
            <w:pPr>
              <w:pStyle w:val="213"/>
              <w:spacing w:before="227" w:line="229" w:lineRule="auto"/>
              <w:ind w:left="9"/>
            </w:pPr>
            <w:r>
              <w:rPr>
                <w:spacing w:val="4"/>
              </w:rPr>
              <w:t>A020519</w:t>
            </w:r>
            <w:r>
              <w:rPr>
                <w:spacing w:val="-32"/>
              </w:rPr>
              <w:t xml:space="preserve"> </w:t>
            </w:r>
            <w:r>
              <w:rPr>
                <w:spacing w:val="4"/>
              </w:rPr>
              <w:t>泵</w:t>
            </w:r>
          </w:p>
        </w:tc>
        <w:tc>
          <w:tcPr>
            <w:tcW w:w="1799" w:type="dxa"/>
            <w:vAlign w:val="top"/>
          </w:tcPr>
          <w:p w14:paraId="32D1D5D1">
            <w:pPr>
              <w:pStyle w:val="213"/>
              <w:spacing w:before="227" w:line="229" w:lineRule="auto"/>
              <w:ind w:left="9"/>
            </w:pPr>
            <w:r>
              <w:rPr>
                <w:spacing w:val="5"/>
              </w:rPr>
              <w:t>A02051901</w:t>
            </w:r>
            <w:r>
              <w:rPr>
                <w:spacing w:val="-33"/>
              </w:rPr>
              <w:t xml:space="preserve"> </w:t>
            </w:r>
            <w:r>
              <w:rPr>
                <w:spacing w:val="5"/>
              </w:rPr>
              <w:t>离心泵</w:t>
            </w:r>
          </w:p>
        </w:tc>
        <w:tc>
          <w:tcPr>
            <w:tcW w:w="1914" w:type="dxa"/>
            <w:vAlign w:val="top"/>
          </w:tcPr>
          <w:p w14:paraId="25F44149">
            <w:pPr>
              <w:rPr>
                <w:rFonts w:ascii="Arial"/>
                <w:sz w:val="21"/>
              </w:rPr>
            </w:pPr>
          </w:p>
        </w:tc>
        <w:tc>
          <w:tcPr>
            <w:tcW w:w="2969" w:type="dxa"/>
            <w:vAlign w:val="top"/>
          </w:tcPr>
          <w:p w14:paraId="5DE31904">
            <w:pPr>
              <w:pStyle w:val="213"/>
              <w:spacing w:before="72" w:line="271" w:lineRule="auto"/>
              <w:ind w:left="17" w:right="11" w:firstLine="6"/>
            </w:pPr>
            <w:r>
              <w:rPr>
                <w:spacing w:val="19"/>
              </w:rPr>
              <w:t>《清水离心泵能效限定值及节能</w:t>
            </w:r>
            <w:r>
              <w:rPr>
                <w:spacing w:val="2"/>
              </w:rPr>
              <w:t xml:space="preserve"> </w:t>
            </w:r>
            <w:r>
              <w:rPr>
                <w:spacing w:val="4"/>
              </w:rPr>
              <w:t>评价值》（</w:t>
            </w:r>
            <w:r>
              <w:t>GB</w:t>
            </w:r>
            <w:r>
              <w:rPr>
                <w:spacing w:val="39"/>
              </w:rPr>
              <w:t xml:space="preserve"> </w:t>
            </w:r>
            <w:r>
              <w:rPr>
                <w:spacing w:val="4"/>
              </w:rPr>
              <w:t>19762）</w:t>
            </w:r>
          </w:p>
        </w:tc>
      </w:tr>
      <w:tr w14:paraId="31386E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trPr>
        <w:tc>
          <w:tcPr>
            <w:tcW w:w="578" w:type="dxa"/>
            <w:vMerge w:val="restart"/>
            <w:tcBorders>
              <w:bottom w:val="nil"/>
            </w:tcBorders>
            <w:vAlign w:val="top"/>
          </w:tcPr>
          <w:p w14:paraId="7F5F898F">
            <w:pPr>
              <w:spacing w:line="290" w:lineRule="auto"/>
              <w:rPr>
                <w:rFonts w:ascii="Arial"/>
                <w:sz w:val="21"/>
              </w:rPr>
            </w:pPr>
          </w:p>
          <w:p w14:paraId="6004FD54">
            <w:pPr>
              <w:spacing w:line="290" w:lineRule="auto"/>
              <w:rPr>
                <w:rFonts w:ascii="Arial"/>
                <w:sz w:val="21"/>
              </w:rPr>
            </w:pPr>
          </w:p>
          <w:p w14:paraId="0D1B5A54">
            <w:pPr>
              <w:spacing w:line="291" w:lineRule="auto"/>
              <w:rPr>
                <w:rFonts w:ascii="Arial"/>
                <w:sz w:val="21"/>
              </w:rPr>
            </w:pPr>
          </w:p>
          <w:p w14:paraId="2F9C1294">
            <w:pPr>
              <w:pStyle w:val="213"/>
              <w:spacing w:before="62" w:line="256" w:lineRule="exact"/>
              <w:ind w:left="244"/>
            </w:pPr>
            <w:r>
              <w:rPr>
                <w:position w:val="1"/>
              </w:rPr>
              <w:t>6</w:t>
            </w:r>
          </w:p>
        </w:tc>
        <w:tc>
          <w:tcPr>
            <w:tcW w:w="1166" w:type="dxa"/>
            <w:vMerge w:val="restart"/>
            <w:tcBorders>
              <w:bottom w:val="nil"/>
            </w:tcBorders>
            <w:vAlign w:val="top"/>
          </w:tcPr>
          <w:p w14:paraId="7C6C1221">
            <w:pPr>
              <w:spacing w:line="358" w:lineRule="auto"/>
              <w:rPr>
                <w:rFonts w:ascii="Arial"/>
                <w:sz w:val="21"/>
              </w:rPr>
            </w:pPr>
          </w:p>
          <w:p w14:paraId="1080EB1C">
            <w:pPr>
              <w:spacing w:line="358" w:lineRule="auto"/>
              <w:rPr>
                <w:rFonts w:ascii="Arial"/>
                <w:sz w:val="21"/>
              </w:rPr>
            </w:pPr>
          </w:p>
          <w:p w14:paraId="109E7F2F">
            <w:pPr>
              <w:pStyle w:val="213"/>
              <w:spacing w:before="61" w:line="230" w:lineRule="auto"/>
              <w:ind w:left="9"/>
            </w:pPr>
            <w:r>
              <w:rPr>
                <w:spacing w:val="5"/>
              </w:rPr>
              <w:t>A020523</w:t>
            </w:r>
            <w:r>
              <w:rPr>
                <w:spacing w:val="-43"/>
              </w:rPr>
              <w:t xml:space="preserve"> </w:t>
            </w:r>
            <w:r>
              <w:rPr>
                <w:spacing w:val="5"/>
              </w:rPr>
              <w:t>制冷</w:t>
            </w:r>
          </w:p>
          <w:p w14:paraId="743302EF">
            <w:pPr>
              <w:pStyle w:val="213"/>
              <w:spacing w:before="75" w:line="230" w:lineRule="auto"/>
              <w:ind w:left="21"/>
            </w:pPr>
            <w:r>
              <w:rPr>
                <w:spacing w:val="5"/>
              </w:rPr>
              <w:t>空调设备</w:t>
            </w:r>
          </w:p>
        </w:tc>
        <w:tc>
          <w:tcPr>
            <w:tcW w:w="1799" w:type="dxa"/>
            <w:vMerge w:val="restart"/>
            <w:tcBorders>
              <w:bottom w:val="nil"/>
            </w:tcBorders>
            <w:vAlign w:val="top"/>
          </w:tcPr>
          <w:p w14:paraId="0C9D3459">
            <w:pPr>
              <w:spacing w:line="358" w:lineRule="auto"/>
              <w:rPr>
                <w:rFonts w:ascii="Arial"/>
                <w:sz w:val="21"/>
              </w:rPr>
            </w:pPr>
          </w:p>
          <w:p w14:paraId="4136821A">
            <w:pPr>
              <w:spacing w:line="358" w:lineRule="auto"/>
              <w:rPr>
                <w:rFonts w:ascii="Arial"/>
                <w:sz w:val="21"/>
              </w:rPr>
            </w:pPr>
          </w:p>
          <w:p w14:paraId="0329F5B6">
            <w:pPr>
              <w:pStyle w:val="213"/>
              <w:spacing w:before="62" w:line="304" w:lineRule="auto"/>
              <w:ind w:left="15" w:right="10" w:firstLine="3"/>
            </w:pPr>
            <w:r>
              <w:rPr>
                <w:spacing w:val="3"/>
              </w:rPr>
              <w:t>★A02052301 制冷压</w:t>
            </w:r>
            <w:r>
              <w:rPr>
                <w:spacing w:val="12"/>
              </w:rPr>
              <w:t xml:space="preserve"> </w:t>
            </w:r>
            <w:r>
              <w:rPr>
                <w:spacing w:val="5"/>
              </w:rPr>
              <w:t>缩机</w:t>
            </w:r>
          </w:p>
        </w:tc>
        <w:tc>
          <w:tcPr>
            <w:tcW w:w="1914" w:type="dxa"/>
            <w:vAlign w:val="top"/>
          </w:tcPr>
          <w:p w14:paraId="25AD69B8">
            <w:pPr>
              <w:spacing w:line="251" w:lineRule="auto"/>
              <w:rPr>
                <w:rFonts w:ascii="Arial"/>
                <w:sz w:val="21"/>
              </w:rPr>
            </w:pPr>
          </w:p>
          <w:p w14:paraId="18D52263">
            <w:pPr>
              <w:spacing w:line="251" w:lineRule="auto"/>
              <w:rPr>
                <w:rFonts w:ascii="Arial"/>
                <w:sz w:val="21"/>
              </w:rPr>
            </w:pPr>
          </w:p>
          <w:p w14:paraId="273C3DD7">
            <w:pPr>
              <w:pStyle w:val="213"/>
              <w:spacing w:before="61" w:line="228" w:lineRule="auto"/>
              <w:ind w:left="18"/>
            </w:pPr>
            <w:r>
              <w:rPr>
                <w:spacing w:val="6"/>
              </w:rPr>
              <w:t>冷水机组</w:t>
            </w:r>
          </w:p>
        </w:tc>
        <w:tc>
          <w:tcPr>
            <w:tcW w:w="2969" w:type="dxa"/>
            <w:vAlign w:val="top"/>
          </w:tcPr>
          <w:p w14:paraId="4FEBE0EA">
            <w:pPr>
              <w:pStyle w:val="213"/>
              <w:spacing w:before="96" w:line="294" w:lineRule="auto"/>
              <w:ind w:left="17" w:right="11" w:firstLine="5"/>
              <w:jc w:val="both"/>
            </w:pPr>
            <w:r>
              <w:rPr>
                <w:spacing w:val="19"/>
              </w:rPr>
              <w:t>《冷水机组能效限定值及能效等</w:t>
            </w:r>
            <w:r>
              <w:rPr>
                <w:spacing w:val="2"/>
              </w:rPr>
              <w:t xml:space="preserve"> </w:t>
            </w:r>
            <w:r>
              <w:rPr>
                <w:spacing w:val="6"/>
              </w:rPr>
              <w:t>级》（</w:t>
            </w:r>
            <w:r>
              <w:t>GB</w:t>
            </w:r>
            <w:r>
              <w:rPr>
                <w:spacing w:val="-21"/>
              </w:rPr>
              <w:t xml:space="preserve"> </w:t>
            </w:r>
            <w:r>
              <w:rPr>
                <w:spacing w:val="6"/>
              </w:rPr>
              <w:t>19577</w:t>
            </w:r>
            <w:r>
              <w:rPr>
                <w:spacing w:val="9"/>
              </w:rPr>
              <w:t>），</w:t>
            </w:r>
            <w:r>
              <w:rPr>
                <w:spacing w:val="6"/>
              </w:rPr>
              <w:t>《低环境温度</w:t>
            </w:r>
            <w:r>
              <w:t xml:space="preserve"> </w:t>
            </w:r>
            <w:r>
              <w:rPr>
                <w:spacing w:val="5"/>
              </w:rPr>
              <w:t>空气源热泵（冷水）机组能效限定</w:t>
            </w:r>
            <w:r>
              <w:rPr>
                <w:spacing w:val="6"/>
              </w:rPr>
              <w:t xml:space="preserve"> </w:t>
            </w:r>
            <w:r>
              <w:rPr>
                <w:spacing w:val="7"/>
              </w:rPr>
              <w:t>值及能效等级》（</w:t>
            </w:r>
            <w:r>
              <w:t>GB</w:t>
            </w:r>
            <w:r>
              <w:rPr>
                <w:spacing w:val="7"/>
              </w:rPr>
              <w:t xml:space="preserve"> 37480）</w:t>
            </w:r>
          </w:p>
        </w:tc>
      </w:tr>
      <w:tr w14:paraId="67049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578" w:type="dxa"/>
            <w:vMerge w:val="continue"/>
            <w:tcBorders>
              <w:top w:val="nil"/>
            </w:tcBorders>
            <w:vAlign w:val="top"/>
          </w:tcPr>
          <w:p w14:paraId="23906384">
            <w:pPr>
              <w:rPr>
                <w:rFonts w:ascii="Arial"/>
                <w:sz w:val="21"/>
              </w:rPr>
            </w:pPr>
          </w:p>
        </w:tc>
        <w:tc>
          <w:tcPr>
            <w:tcW w:w="1166" w:type="dxa"/>
            <w:vMerge w:val="continue"/>
            <w:tcBorders>
              <w:top w:val="nil"/>
            </w:tcBorders>
            <w:vAlign w:val="top"/>
          </w:tcPr>
          <w:p w14:paraId="7A0BAD70">
            <w:pPr>
              <w:rPr>
                <w:rFonts w:ascii="Arial"/>
                <w:sz w:val="21"/>
              </w:rPr>
            </w:pPr>
          </w:p>
        </w:tc>
        <w:tc>
          <w:tcPr>
            <w:tcW w:w="1799" w:type="dxa"/>
            <w:vMerge w:val="continue"/>
            <w:tcBorders>
              <w:top w:val="nil"/>
            </w:tcBorders>
            <w:vAlign w:val="top"/>
          </w:tcPr>
          <w:p w14:paraId="6E0EE609">
            <w:pPr>
              <w:rPr>
                <w:rFonts w:ascii="Arial"/>
                <w:sz w:val="21"/>
              </w:rPr>
            </w:pPr>
          </w:p>
        </w:tc>
        <w:tc>
          <w:tcPr>
            <w:tcW w:w="1914" w:type="dxa"/>
            <w:vAlign w:val="top"/>
          </w:tcPr>
          <w:p w14:paraId="2E1FBFD3">
            <w:pPr>
              <w:pStyle w:val="213"/>
              <w:spacing w:before="276" w:line="228" w:lineRule="auto"/>
              <w:ind w:left="19"/>
            </w:pPr>
            <w:r>
              <w:rPr>
                <w:spacing w:val="7"/>
              </w:rPr>
              <w:t>水源热泵机组</w:t>
            </w:r>
          </w:p>
        </w:tc>
        <w:tc>
          <w:tcPr>
            <w:tcW w:w="2969" w:type="dxa"/>
            <w:vAlign w:val="top"/>
          </w:tcPr>
          <w:p w14:paraId="6B09B45B">
            <w:pPr>
              <w:pStyle w:val="213"/>
              <w:spacing w:before="120" w:line="298" w:lineRule="auto"/>
              <w:ind w:left="17" w:right="13" w:firstLine="6"/>
            </w:pPr>
            <w:r>
              <w:rPr>
                <w:spacing w:val="5"/>
              </w:rPr>
              <w:t>《水（地）源热泵机组能效限定值</w:t>
            </w:r>
            <w:r>
              <w:t xml:space="preserve"> </w:t>
            </w:r>
            <w:r>
              <w:rPr>
                <w:spacing w:val="7"/>
              </w:rPr>
              <w:t>及能效等级》（</w:t>
            </w:r>
            <w:r>
              <w:t>GB</w:t>
            </w:r>
            <w:r>
              <w:rPr>
                <w:spacing w:val="7"/>
              </w:rPr>
              <w:t xml:space="preserve"> 30721）</w:t>
            </w:r>
          </w:p>
        </w:tc>
      </w:tr>
    </w:tbl>
    <w:p w14:paraId="4E0066F2">
      <w:pPr>
        <w:rPr>
          <w:rFonts w:ascii="Arial"/>
          <w:sz w:val="21"/>
        </w:rPr>
      </w:pPr>
    </w:p>
    <w:p w14:paraId="47423BD4">
      <w:pPr>
        <w:rPr>
          <w:rFonts w:ascii="Arial" w:hAnsi="Arial" w:eastAsia="Arial" w:cs="Arial"/>
          <w:sz w:val="21"/>
          <w:szCs w:val="21"/>
        </w:rPr>
        <w:sectPr>
          <w:pgSz w:w="11906" w:h="16838"/>
          <w:pgMar w:top="992" w:right="1134" w:bottom="1247" w:left="1417" w:header="850" w:footer="992" w:gutter="0"/>
          <w:pgBorders>
            <w:top w:val="none" w:sz="0" w:space="0"/>
            <w:left w:val="none" w:sz="0" w:space="0"/>
            <w:bottom w:val="none" w:sz="0" w:space="0"/>
            <w:right w:val="none" w:sz="0" w:space="0"/>
          </w:pgBorders>
          <w:cols w:space="720" w:num="1"/>
        </w:sectPr>
      </w:pPr>
    </w:p>
    <w:p w14:paraId="6F0C3D02">
      <w:pPr>
        <w:spacing w:line="91" w:lineRule="auto"/>
        <w:rPr>
          <w:rFonts w:ascii="Arial"/>
          <w:sz w:val="2"/>
        </w:rPr>
      </w:pPr>
    </w:p>
    <w:tbl>
      <w:tblPr>
        <w:tblStyle w:val="214"/>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108F3E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578" w:type="dxa"/>
            <w:vMerge w:val="restart"/>
            <w:tcBorders>
              <w:bottom w:val="nil"/>
            </w:tcBorders>
            <w:vAlign w:val="top"/>
          </w:tcPr>
          <w:p w14:paraId="34DDC35A">
            <w:pPr>
              <w:rPr>
                <w:rFonts w:ascii="Arial"/>
                <w:sz w:val="21"/>
              </w:rPr>
            </w:pPr>
          </w:p>
        </w:tc>
        <w:tc>
          <w:tcPr>
            <w:tcW w:w="1166" w:type="dxa"/>
            <w:vMerge w:val="restart"/>
            <w:tcBorders>
              <w:bottom w:val="nil"/>
            </w:tcBorders>
            <w:vAlign w:val="top"/>
          </w:tcPr>
          <w:p w14:paraId="1295C6B7">
            <w:pPr>
              <w:rPr>
                <w:rFonts w:ascii="Arial"/>
                <w:sz w:val="21"/>
              </w:rPr>
            </w:pPr>
          </w:p>
        </w:tc>
        <w:tc>
          <w:tcPr>
            <w:tcW w:w="1799" w:type="dxa"/>
            <w:vAlign w:val="top"/>
          </w:tcPr>
          <w:p w14:paraId="051857CC">
            <w:pPr>
              <w:rPr>
                <w:rFonts w:ascii="Arial"/>
                <w:sz w:val="21"/>
              </w:rPr>
            </w:pPr>
          </w:p>
        </w:tc>
        <w:tc>
          <w:tcPr>
            <w:tcW w:w="1914" w:type="dxa"/>
            <w:vAlign w:val="top"/>
          </w:tcPr>
          <w:p w14:paraId="549510A5">
            <w:pPr>
              <w:pStyle w:val="213"/>
              <w:spacing w:before="159" w:line="310" w:lineRule="auto"/>
              <w:ind w:left="19" w:right="11" w:firstLine="1"/>
            </w:pPr>
            <w:r>
              <w:rPr>
                <w:spacing w:val="18"/>
              </w:rPr>
              <w:t>溴化锂吸收式冷水机</w:t>
            </w:r>
            <w:r>
              <w:rPr>
                <w:spacing w:val="4"/>
              </w:rPr>
              <w:t xml:space="preserve"> </w:t>
            </w:r>
            <w:r>
              <w:t>组</w:t>
            </w:r>
          </w:p>
        </w:tc>
        <w:tc>
          <w:tcPr>
            <w:tcW w:w="2969" w:type="dxa"/>
            <w:vAlign w:val="top"/>
          </w:tcPr>
          <w:p w14:paraId="75C2DCD0">
            <w:pPr>
              <w:pStyle w:val="213"/>
              <w:spacing w:before="160" w:line="304" w:lineRule="auto"/>
              <w:ind w:left="22" w:right="11"/>
            </w:pPr>
            <w:r>
              <w:rPr>
                <w:spacing w:val="19"/>
              </w:rPr>
              <w:t>《溴化锂吸收式冷水机组能效限</w:t>
            </w:r>
            <w:r>
              <w:rPr>
                <w:spacing w:val="2"/>
              </w:rPr>
              <w:t xml:space="preserve"> </w:t>
            </w:r>
            <w:r>
              <w:rPr>
                <w:spacing w:val="7"/>
              </w:rPr>
              <w:t>定值及能效等级》（</w:t>
            </w:r>
            <w:r>
              <w:t>GB</w:t>
            </w:r>
            <w:r>
              <w:rPr>
                <w:spacing w:val="7"/>
              </w:rPr>
              <w:t xml:space="preserve"> 29540）</w:t>
            </w:r>
          </w:p>
        </w:tc>
      </w:tr>
      <w:tr w14:paraId="0C6F36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nil"/>
              <w:bottom w:val="nil"/>
            </w:tcBorders>
            <w:vAlign w:val="top"/>
          </w:tcPr>
          <w:p w14:paraId="1E712B95">
            <w:pPr>
              <w:rPr>
                <w:rFonts w:ascii="Arial"/>
                <w:sz w:val="21"/>
              </w:rPr>
            </w:pPr>
          </w:p>
        </w:tc>
        <w:tc>
          <w:tcPr>
            <w:tcW w:w="1166" w:type="dxa"/>
            <w:vMerge w:val="continue"/>
            <w:tcBorders>
              <w:top w:val="nil"/>
              <w:bottom w:val="nil"/>
            </w:tcBorders>
            <w:vAlign w:val="top"/>
          </w:tcPr>
          <w:p w14:paraId="13D0E73E">
            <w:pPr>
              <w:rPr>
                <w:rFonts w:ascii="Arial"/>
                <w:sz w:val="21"/>
              </w:rPr>
            </w:pPr>
          </w:p>
        </w:tc>
        <w:tc>
          <w:tcPr>
            <w:tcW w:w="1799" w:type="dxa"/>
            <w:vMerge w:val="restart"/>
            <w:tcBorders>
              <w:bottom w:val="nil"/>
            </w:tcBorders>
            <w:vAlign w:val="top"/>
          </w:tcPr>
          <w:p w14:paraId="29D9A29D">
            <w:pPr>
              <w:spacing w:line="265" w:lineRule="auto"/>
              <w:rPr>
                <w:rFonts w:ascii="Arial"/>
                <w:sz w:val="21"/>
              </w:rPr>
            </w:pPr>
          </w:p>
          <w:p w14:paraId="4D8D1BB0">
            <w:pPr>
              <w:spacing w:line="265" w:lineRule="auto"/>
              <w:rPr>
                <w:rFonts w:ascii="Arial"/>
                <w:sz w:val="21"/>
              </w:rPr>
            </w:pPr>
          </w:p>
          <w:p w14:paraId="339DFC02">
            <w:pPr>
              <w:spacing w:line="266" w:lineRule="auto"/>
              <w:rPr>
                <w:rFonts w:ascii="Arial"/>
                <w:sz w:val="21"/>
              </w:rPr>
            </w:pPr>
          </w:p>
          <w:p w14:paraId="7696CF3E">
            <w:pPr>
              <w:pStyle w:val="213"/>
              <w:spacing w:before="62" w:line="310" w:lineRule="auto"/>
              <w:ind w:left="17" w:right="10"/>
            </w:pPr>
            <w:r>
              <w:rPr>
                <w:spacing w:val="3"/>
              </w:rPr>
              <w:t>★A02052305 空调机</w:t>
            </w:r>
            <w:r>
              <w:rPr>
                <w:spacing w:val="12"/>
              </w:rPr>
              <w:t xml:space="preserve"> </w:t>
            </w:r>
            <w:r>
              <w:t>组</w:t>
            </w:r>
          </w:p>
        </w:tc>
        <w:tc>
          <w:tcPr>
            <w:tcW w:w="1914" w:type="dxa"/>
            <w:vAlign w:val="top"/>
          </w:tcPr>
          <w:p w14:paraId="67D043F6">
            <w:pPr>
              <w:pStyle w:val="213"/>
              <w:spacing w:before="65" w:line="284" w:lineRule="auto"/>
              <w:ind w:left="15" w:right="11" w:firstLine="10"/>
              <w:jc w:val="both"/>
            </w:pPr>
            <w:r>
              <w:rPr>
                <w:spacing w:val="15"/>
              </w:rPr>
              <w:t>多联式空调（热泵）</w:t>
            </w:r>
            <w:r>
              <w:rPr>
                <w:spacing w:val="7"/>
              </w:rPr>
              <w:t xml:space="preserve"> </w:t>
            </w:r>
            <w:r>
              <w:rPr>
                <w:spacing w:val="-8"/>
              </w:rPr>
              <w:t>机</w:t>
            </w:r>
            <w:r>
              <w:rPr>
                <w:spacing w:val="34"/>
              </w:rPr>
              <w:t xml:space="preserve">  </w:t>
            </w:r>
            <w:r>
              <w:rPr>
                <w:spacing w:val="-8"/>
              </w:rPr>
              <w:t>组</w:t>
            </w:r>
            <w:r>
              <w:rPr>
                <w:spacing w:val="2"/>
              </w:rPr>
              <w:t xml:space="preserve">   </w:t>
            </w:r>
            <w:r>
              <w:rPr>
                <w:spacing w:val="-8"/>
              </w:rPr>
              <w:t>(</w:t>
            </w:r>
            <w:r>
              <w:rPr>
                <w:spacing w:val="33"/>
              </w:rPr>
              <w:t xml:space="preserve">  </w:t>
            </w:r>
            <w:r>
              <w:rPr>
                <w:spacing w:val="-8"/>
              </w:rPr>
              <w:t>制</w:t>
            </w:r>
            <w:r>
              <w:rPr>
                <w:spacing w:val="35"/>
              </w:rPr>
              <w:t xml:space="preserve">  </w:t>
            </w:r>
            <w:r>
              <w:rPr>
                <w:spacing w:val="-8"/>
              </w:rPr>
              <w:t>冷</w:t>
            </w:r>
            <w:r>
              <w:t xml:space="preserve"> </w:t>
            </w:r>
            <w:r>
              <w:rPr>
                <w:spacing w:val="5"/>
              </w:rPr>
              <w:t>量&gt;14000W)</w:t>
            </w:r>
          </w:p>
        </w:tc>
        <w:tc>
          <w:tcPr>
            <w:tcW w:w="2969" w:type="dxa"/>
            <w:vAlign w:val="top"/>
          </w:tcPr>
          <w:p w14:paraId="52513D91">
            <w:pPr>
              <w:pStyle w:val="213"/>
              <w:spacing w:before="221" w:line="305" w:lineRule="auto"/>
              <w:ind w:left="22"/>
            </w:pPr>
            <w:r>
              <w:t>《多联式空调（热泵）机组能效限</w:t>
            </w:r>
            <w:r>
              <w:rPr>
                <w:spacing w:val="2"/>
              </w:rPr>
              <w:t xml:space="preserve">  </w:t>
            </w:r>
            <w:r>
              <w:rPr>
                <w:spacing w:val="-4"/>
              </w:rPr>
              <w:t>定值及能源效率等级》（GB</w:t>
            </w:r>
            <w:r>
              <w:rPr>
                <w:spacing w:val="-24"/>
              </w:rPr>
              <w:t xml:space="preserve"> </w:t>
            </w:r>
            <w:r>
              <w:rPr>
                <w:spacing w:val="-4"/>
              </w:rPr>
              <w:t>21454）</w:t>
            </w:r>
          </w:p>
        </w:tc>
      </w:tr>
      <w:tr w14:paraId="292FD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trPr>
        <w:tc>
          <w:tcPr>
            <w:tcW w:w="578" w:type="dxa"/>
            <w:vMerge w:val="continue"/>
            <w:tcBorders>
              <w:top w:val="nil"/>
              <w:bottom w:val="nil"/>
            </w:tcBorders>
            <w:vAlign w:val="top"/>
          </w:tcPr>
          <w:p w14:paraId="1DB28F93">
            <w:pPr>
              <w:rPr>
                <w:rFonts w:ascii="Arial"/>
                <w:sz w:val="21"/>
              </w:rPr>
            </w:pPr>
          </w:p>
        </w:tc>
        <w:tc>
          <w:tcPr>
            <w:tcW w:w="1166" w:type="dxa"/>
            <w:vMerge w:val="continue"/>
            <w:tcBorders>
              <w:top w:val="nil"/>
              <w:bottom w:val="nil"/>
            </w:tcBorders>
            <w:vAlign w:val="top"/>
          </w:tcPr>
          <w:p w14:paraId="34C6D3BD">
            <w:pPr>
              <w:rPr>
                <w:rFonts w:ascii="Arial"/>
                <w:sz w:val="21"/>
              </w:rPr>
            </w:pPr>
          </w:p>
        </w:tc>
        <w:tc>
          <w:tcPr>
            <w:tcW w:w="1799" w:type="dxa"/>
            <w:vMerge w:val="continue"/>
            <w:tcBorders>
              <w:top w:val="nil"/>
            </w:tcBorders>
            <w:vAlign w:val="top"/>
          </w:tcPr>
          <w:p w14:paraId="36405C00">
            <w:pPr>
              <w:rPr>
                <w:rFonts w:ascii="Arial"/>
                <w:sz w:val="21"/>
              </w:rPr>
            </w:pPr>
          </w:p>
        </w:tc>
        <w:tc>
          <w:tcPr>
            <w:tcW w:w="1914" w:type="dxa"/>
            <w:vAlign w:val="top"/>
          </w:tcPr>
          <w:p w14:paraId="7B028113">
            <w:pPr>
              <w:spacing w:line="319" w:lineRule="auto"/>
              <w:rPr>
                <w:rFonts w:ascii="Arial"/>
                <w:sz w:val="21"/>
              </w:rPr>
            </w:pPr>
          </w:p>
          <w:p w14:paraId="36C0C62A">
            <w:pPr>
              <w:pStyle w:val="213"/>
              <w:spacing w:before="62" w:line="305" w:lineRule="auto"/>
              <w:ind w:left="51" w:right="11" w:hanging="33"/>
            </w:pPr>
            <w:r>
              <w:rPr>
                <w:spacing w:val="44"/>
              </w:rPr>
              <w:t>单元式空气调节机</w:t>
            </w:r>
            <w:r>
              <w:rPr>
                <w:spacing w:val="6"/>
              </w:rPr>
              <w:t xml:space="preserve"> </w:t>
            </w:r>
            <w:r>
              <w:rPr>
                <w:spacing w:val="2"/>
              </w:rPr>
              <w:t>(制冷量&gt;14000W)</w:t>
            </w:r>
          </w:p>
        </w:tc>
        <w:tc>
          <w:tcPr>
            <w:tcW w:w="2969" w:type="dxa"/>
            <w:vAlign w:val="top"/>
          </w:tcPr>
          <w:p w14:paraId="3E6731E4">
            <w:pPr>
              <w:pStyle w:val="213"/>
              <w:spacing w:before="72" w:line="290" w:lineRule="auto"/>
              <w:ind w:left="16" w:right="11" w:firstLine="6"/>
              <w:jc w:val="both"/>
            </w:pPr>
            <w:r>
              <w:rPr>
                <w:spacing w:val="19"/>
              </w:rPr>
              <w:t>《单元式空气调节机能效限定值</w:t>
            </w:r>
            <w:r>
              <w:rPr>
                <w:spacing w:val="2"/>
              </w:rPr>
              <w:t xml:space="preserve"> </w:t>
            </w:r>
            <w:r>
              <w:rPr>
                <w:spacing w:val="6"/>
              </w:rPr>
              <w:t>及能效等级》（</w:t>
            </w:r>
            <w:r>
              <w:t>GB</w:t>
            </w:r>
            <w:r>
              <w:rPr>
                <w:spacing w:val="-13"/>
              </w:rPr>
              <w:t xml:space="preserve"> </w:t>
            </w:r>
            <w:r>
              <w:rPr>
                <w:spacing w:val="6"/>
              </w:rPr>
              <w:t>19576）《风管</w:t>
            </w:r>
            <w:r>
              <w:t xml:space="preserve"> </w:t>
            </w:r>
            <w:r>
              <w:rPr>
                <w:spacing w:val="19"/>
              </w:rPr>
              <w:t>送风式空调机组能效限定值及能</w:t>
            </w:r>
            <w:r>
              <w:rPr>
                <w:spacing w:val="9"/>
              </w:rPr>
              <w:t xml:space="preserve"> </w:t>
            </w:r>
            <w:r>
              <w:rPr>
                <w:spacing w:val="7"/>
              </w:rPr>
              <w:t>效等级》（</w:t>
            </w:r>
            <w:r>
              <w:t>GB</w:t>
            </w:r>
            <w:r>
              <w:rPr>
                <w:spacing w:val="7"/>
              </w:rPr>
              <w:t xml:space="preserve"> 37479）</w:t>
            </w:r>
          </w:p>
        </w:tc>
      </w:tr>
      <w:tr w14:paraId="55E262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578" w:type="dxa"/>
            <w:vMerge w:val="continue"/>
            <w:tcBorders>
              <w:top w:val="nil"/>
              <w:bottom w:val="nil"/>
            </w:tcBorders>
            <w:vAlign w:val="top"/>
          </w:tcPr>
          <w:p w14:paraId="6D522909">
            <w:pPr>
              <w:rPr>
                <w:rFonts w:ascii="Arial"/>
                <w:sz w:val="21"/>
              </w:rPr>
            </w:pPr>
          </w:p>
        </w:tc>
        <w:tc>
          <w:tcPr>
            <w:tcW w:w="1166" w:type="dxa"/>
            <w:vMerge w:val="continue"/>
            <w:tcBorders>
              <w:top w:val="nil"/>
              <w:bottom w:val="nil"/>
            </w:tcBorders>
            <w:vAlign w:val="top"/>
          </w:tcPr>
          <w:p w14:paraId="0A99859A">
            <w:pPr>
              <w:rPr>
                <w:rFonts w:ascii="Arial"/>
                <w:sz w:val="21"/>
              </w:rPr>
            </w:pPr>
          </w:p>
        </w:tc>
        <w:tc>
          <w:tcPr>
            <w:tcW w:w="1799" w:type="dxa"/>
            <w:vAlign w:val="top"/>
          </w:tcPr>
          <w:p w14:paraId="7EF887A3">
            <w:pPr>
              <w:pStyle w:val="213"/>
              <w:spacing w:before="146" w:line="303" w:lineRule="auto"/>
              <w:ind w:left="17" w:right="10" w:firstLine="1"/>
            </w:pPr>
            <w:r>
              <w:rPr>
                <w:spacing w:val="3"/>
              </w:rPr>
              <w:t>★A02052309 专用制</w:t>
            </w:r>
            <w:r>
              <w:rPr>
                <w:spacing w:val="12"/>
              </w:rPr>
              <w:t xml:space="preserve"> </w:t>
            </w:r>
            <w:r>
              <w:rPr>
                <w:spacing w:val="8"/>
              </w:rPr>
              <w:t>冷、空调设备</w:t>
            </w:r>
          </w:p>
        </w:tc>
        <w:tc>
          <w:tcPr>
            <w:tcW w:w="1914" w:type="dxa"/>
            <w:vAlign w:val="top"/>
          </w:tcPr>
          <w:p w14:paraId="3BB04D24">
            <w:pPr>
              <w:pStyle w:val="213"/>
              <w:spacing w:before="300" w:line="228" w:lineRule="auto"/>
              <w:ind w:left="15"/>
            </w:pPr>
            <w:r>
              <w:rPr>
                <w:spacing w:val="7"/>
              </w:rPr>
              <w:t>机房空调</w:t>
            </w:r>
          </w:p>
        </w:tc>
        <w:tc>
          <w:tcPr>
            <w:tcW w:w="2969" w:type="dxa"/>
            <w:vAlign w:val="top"/>
          </w:tcPr>
          <w:p w14:paraId="14505153">
            <w:pPr>
              <w:pStyle w:val="213"/>
              <w:spacing w:before="146" w:line="302" w:lineRule="auto"/>
              <w:ind w:left="17" w:right="11" w:firstLine="6"/>
            </w:pPr>
            <w:r>
              <w:rPr>
                <w:spacing w:val="19"/>
              </w:rPr>
              <w:t>《单元式空气调节机能效限定值</w:t>
            </w:r>
            <w:r>
              <w:rPr>
                <w:spacing w:val="2"/>
              </w:rPr>
              <w:t xml:space="preserve"> </w:t>
            </w:r>
            <w:r>
              <w:rPr>
                <w:spacing w:val="5"/>
              </w:rPr>
              <w:t>及能效等级》（</w:t>
            </w:r>
            <w:r>
              <w:t>GB</w:t>
            </w:r>
            <w:r>
              <w:rPr>
                <w:spacing w:val="39"/>
              </w:rPr>
              <w:t xml:space="preserve"> </w:t>
            </w:r>
            <w:r>
              <w:rPr>
                <w:spacing w:val="5"/>
              </w:rPr>
              <w:t>19576）</w:t>
            </w:r>
          </w:p>
        </w:tc>
      </w:tr>
      <w:tr w14:paraId="5A7D0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578" w:type="dxa"/>
            <w:vMerge w:val="continue"/>
            <w:tcBorders>
              <w:top w:val="nil"/>
            </w:tcBorders>
            <w:vAlign w:val="top"/>
          </w:tcPr>
          <w:p w14:paraId="4E4FA394">
            <w:pPr>
              <w:rPr>
                <w:rFonts w:ascii="Arial"/>
                <w:sz w:val="21"/>
              </w:rPr>
            </w:pPr>
          </w:p>
        </w:tc>
        <w:tc>
          <w:tcPr>
            <w:tcW w:w="1166" w:type="dxa"/>
            <w:vMerge w:val="continue"/>
            <w:tcBorders>
              <w:top w:val="nil"/>
            </w:tcBorders>
            <w:vAlign w:val="top"/>
          </w:tcPr>
          <w:p w14:paraId="7FF8E5AD">
            <w:pPr>
              <w:rPr>
                <w:rFonts w:ascii="Arial"/>
                <w:sz w:val="21"/>
              </w:rPr>
            </w:pPr>
          </w:p>
        </w:tc>
        <w:tc>
          <w:tcPr>
            <w:tcW w:w="1799" w:type="dxa"/>
            <w:vAlign w:val="top"/>
          </w:tcPr>
          <w:p w14:paraId="43BD647D">
            <w:pPr>
              <w:spacing w:line="265" w:lineRule="auto"/>
              <w:rPr>
                <w:rFonts w:ascii="Arial"/>
                <w:sz w:val="21"/>
              </w:rPr>
            </w:pPr>
          </w:p>
          <w:p w14:paraId="0E290F5F">
            <w:pPr>
              <w:spacing w:line="265" w:lineRule="auto"/>
              <w:rPr>
                <w:rFonts w:ascii="Arial"/>
                <w:sz w:val="21"/>
              </w:rPr>
            </w:pPr>
          </w:p>
          <w:p w14:paraId="3C4963DD">
            <w:pPr>
              <w:pStyle w:val="213"/>
              <w:spacing w:before="62" w:line="230" w:lineRule="auto"/>
              <w:ind w:left="9"/>
            </w:pPr>
            <w:r>
              <w:rPr>
                <w:spacing w:val="4"/>
              </w:rPr>
              <w:t>A02052399 其他制冷</w:t>
            </w:r>
          </w:p>
          <w:p w14:paraId="082E8639">
            <w:pPr>
              <w:pStyle w:val="213"/>
              <w:spacing w:before="75" w:line="230" w:lineRule="auto"/>
              <w:ind w:left="21"/>
            </w:pPr>
            <w:r>
              <w:rPr>
                <w:spacing w:val="5"/>
              </w:rPr>
              <w:t>空调设备</w:t>
            </w:r>
          </w:p>
        </w:tc>
        <w:tc>
          <w:tcPr>
            <w:tcW w:w="1914" w:type="dxa"/>
            <w:vAlign w:val="top"/>
          </w:tcPr>
          <w:p w14:paraId="31FEB5CC">
            <w:pPr>
              <w:spacing w:line="343" w:lineRule="auto"/>
              <w:rPr>
                <w:rFonts w:ascii="Arial"/>
                <w:sz w:val="21"/>
              </w:rPr>
            </w:pPr>
          </w:p>
          <w:p w14:paraId="24C75AAC">
            <w:pPr>
              <w:spacing w:line="343" w:lineRule="auto"/>
              <w:rPr>
                <w:rFonts w:ascii="Arial"/>
                <w:sz w:val="21"/>
              </w:rPr>
            </w:pPr>
          </w:p>
          <w:p w14:paraId="07034F75">
            <w:pPr>
              <w:pStyle w:val="213"/>
              <w:spacing w:before="62" w:line="231" w:lineRule="auto"/>
              <w:ind w:left="18"/>
            </w:pPr>
            <w:r>
              <w:rPr>
                <w:spacing w:val="6"/>
              </w:rPr>
              <w:t>冷却塔</w:t>
            </w:r>
          </w:p>
        </w:tc>
        <w:tc>
          <w:tcPr>
            <w:tcW w:w="2969" w:type="dxa"/>
            <w:vAlign w:val="top"/>
          </w:tcPr>
          <w:p w14:paraId="376AF64F">
            <w:pPr>
              <w:pStyle w:val="213"/>
              <w:spacing w:before="284" w:line="304" w:lineRule="auto"/>
              <w:ind w:left="23"/>
              <w:jc w:val="both"/>
            </w:pPr>
            <w:r>
              <w:rPr>
                <w:spacing w:val="2"/>
              </w:rPr>
              <w:t>《机械通风冷却塔 第 1 部分：中</w:t>
            </w:r>
            <w:r>
              <w:rPr>
                <w:spacing w:val="3"/>
              </w:rPr>
              <w:t xml:space="preserve"> </w:t>
            </w:r>
            <w:r>
              <w:rPr>
                <w:spacing w:val="-6"/>
              </w:rPr>
              <w:t>小型开式冷却塔》（GB</w:t>
            </w:r>
            <w:r>
              <w:rPr>
                <w:spacing w:val="-36"/>
              </w:rPr>
              <w:t xml:space="preserve"> </w:t>
            </w:r>
            <w:r>
              <w:rPr>
                <w:spacing w:val="-6"/>
              </w:rPr>
              <w:t>/T</w:t>
            </w:r>
            <w:r>
              <w:rPr>
                <w:spacing w:val="-31"/>
              </w:rPr>
              <w:t xml:space="preserve"> </w:t>
            </w:r>
            <w:r>
              <w:rPr>
                <w:spacing w:val="-6"/>
              </w:rPr>
              <w:t>7190.1</w:t>
            </w:r>
            <w:r>
              <w:rPr>
                <w:spacing w:val="-49"/>
                <w:w w:val="97"/>
              </w:rPr>
              <w:t>）；</w:t>
            </w:r>
            <w:r>
              <w:t xml:space="preserve"> </w:t>
            </w:r>
            <w:r>
              <w:rPr>
                <w:spacing w:val="2"/>
              </w:rPr>
              <w:t>《机械通风冷却塔 第 2 部分：大</w:t>
            </w:r>
            <w:r>
              <w:rPr>
                <w:spacing w:val="3"/>
              </w:rPr>
              <w:t xml:space="preserve"> </w:t>
            </w:r>
            <w:r>
              <w:rPr>
                <w:spacing w:val="4"/>
              </w:rPr>
              <w:t>型开式冷却塔》（</w:t>
            </w:r>
            <w:r>
              <w:t>GB</w:t>
            </w:r>
            <w:r>
              <w:rPr>
                <w:spacing w:val="4"/>
              </w:rPr>
              <w:t xml:space="preserve"> /T 7190.2）</w:t>
            </w:r>
          </w:p>
        </w:tc>
      </w:tr>
      <w:tr w14:paraId="59B006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Align w:val="top"/>
          </w:tcPr>
          <w:p w14:paraId="5E95CF61">
            <w:pPr>
              <w:pStyle w:val="213"/>
              <w:spacing w:before="272" w:line="257" w:lineRule="exact"/>
              <w:ind w:left="247"/>
            </w:pPr>
            <w:r>
              <w:rPr>
                <w:position w:val="1"/>
              </w:rPr>
              <w:t>7</w:t>
            </w:r>
          </w:p>
        </w:tc>
        <w:tc>
          <w:tcPr>
            <w:tcW w:w="1166" w:type="dxa"/>
            <w:vAlign w:val="top"/>
          </w:tcPr>
          <w:p w14:paraId="6A682227">
            <w:pPr>
              <w:pStyle w:val="213"/>
              <w:spacing w:before="273" w:line="228" w:lineRule="auto"/>
              <w:ind w:left="9"/>
            </w:pPr>
            <w:r>
              <w:rPr>
                <w:spacing w:val="3"/>
              </w:rPr>
              <w:t>A020601</w:t>
            </w:r>
            <w:r>
              <w:rPr>
                <w:spacing w:val="-19"/>
              </w:rPr>
              <w:t xml:space="preserve"> </w:t>
            </w:r>
            <w:r>
              <w:rPr>
                <w:spacing w:val="3"/>
              </w:rPr>
              <w:t>电机</w:t>
            </w:r>
          </w:p>
        </w:tc>
        <w:tc>
          <w:tcPr>
            <w:tcW w:w="1799" w:type="dxa"/>
            <w:vAlign w:val="top"/>
          </w:tcPr>
          <w:p w14:paraId="73D04498">
            <w:pPr>
              <w:rPr>
                <w:rFonts w:ascii="Arial"/>
                <w:sz w:val="21"/>
              </w:rPr>
            </w:pPr>
          </w:p>
        </w:tc>
        <w:tc>
          <w:tcPr>
            <w:tcW w:w="1914" w:type="dxa"/>
            <w:vAlign w:val="top"/>
          </w:tcPr>
          <w:p w14:paraId="74565906">
            <w:pPr>
              <w:rPr>
                <w:rFonts w:ascii="Arial"/>
                <w:sz w:val="21"/>
              </w:rPr>
            </w:pPr>
          </w:p>
        </w:tc>
        <w:tc>
          <w:tcPr>
            <w:tcW w:w="2969" w:type="dxa"/>
            <w:vAlign w:val="top"/>
          </w:tcPr>
          <w:p w14:paraId="02034A5E">
            <w:pPr>
              <w:pStyle w:val="213"/>
              <w:spacing w:before="116" w:line="296" w:lineRule="auto"/>
              <w:ind w:left="22" w:right="11"/>
            </w:pPr>
            <w:r>
              <w:rPr>
                <w:spacing w:val="19"/>
              </w:rPr>
              <w:t>《中小型三相异步电动机能效限</w:t>
            </w:r>
            <w:r>
              <w:rPr>
                <w:spacing w:val="2"/>
              </w:rPr>
              <w:t xml:space="preserve"> </w:t>
            </w:r>
            <w:r>
              <w:rPr>
                <w:spacing w:val="5"/>
              </w:rPr>
              <w:t>定值及能效等级》（</w:t>
            </w:r>
            <w:r>
              <w:t>GB</w:t>
            </w:r>
            <w:r>
              <w:rPr>
                <w:spacing w:val="42"/>
              </w:rPr>
              <w:t xml:space="preserve"> </w:t>
            </w:r>
            <w:r>
              <w:rPr>
                <w:spacing w:val="5"/>
              </w:rPr>
              <w:t>18613）</w:t>
            </w:r>
          </w:p>
        </w:tc>
      </w:tr>
      <w:tr w14:paraId="7A596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578" w:type="dxa"/>
            <w:vAlign w:val="top"/>
          </w:tcPr>
          <w:p w14:paraId="43BD90CE">
            <w:pPr>
              <w:pStyle w:val="213"/>
              <w:spacing w:before="251" w:line="257" w:lineRule="exact"/>
              <w:ind w:left="243"/>
            </w:pPr>
            <w:r>
              <w:rPr>
                <w:position w:val="1"/>
              </w:rPr>
              <w:t>8</w:t>
            </w:r>
          </w:p>
        </w:tc>
        <w:tc>
          <w:tcPr>
            <w:tcW w:w="1166" w:type="dxa"/>
            <w:vAlign w:val="top"/>
          </w:tcPr>
          <w:p w14:paraId="16699CB6">
            <w:pPr>
              <w:pStyle w:val="213"/>
              <w:spacing w:before="96" w:line="285" w:lineRule="auto"/>
              <w:ind w:left="15" w:right="8" w:hanging="6"/>
            </w:pPr>
            <w:r>
              <w:rPr>
                <w:spacing w:val="5"/>
              </w:rPr>
              <w:t>A020602</w:t>
            </w:r>
            <w:r>
              <w:rPr>
                <w:spacing w:val="-43"/>
              </w:rPr>
              <w:t xml:space="preserve"> </w:t>
            </w:r>
            <w:r>
              <w:rPr>
                <w:spacing w:val="5"/>
              </w:rPr>
              <w:t>变压</w:t>
            </w:r>
            <w:r>
              <w:t xml:space="preserve"> </w:t>
            </w:r>
            <w:r>
              <w:rPr>
                <w:spacing w:val="1"/>
              </w:rPr>
              <w:t>器</w:t>
            </w:r>
          </w:p>
        </w:tc>
        <w:tc>
          <w:tcPr>
            <w:tcW w:w="1799" w:type="dxa"/>
            <w:vAlign w:val="top"/>
          </w:tcPr>
          <w:p w14:paraId="60C2819E">
            <w:pPr>
              <w:pStyle w:val="213"/>
              <w:spacing w:before="252" w:line="230" w:lineRule="auto"/>
              <w:ind w:left="15"/>
            </w:pPr>
            <w:r>
              <w:rPr>
                <w:spacing w:val="8"/>
              </w:rPr>
              <w:t>配电变压器</w:t>
            </w:r>
          </w:p>
        </w:tc>
        <w:tc>
          <w:tcPr>
            <w:tcW w:w="1914" w:type="dxa"/>
            <w:vAlign w:val="top"/>
          </w:tcPr>
          <w:p w14:paraId="36F1C913">
            <w:pPr>
              <w:rPr>
                <w:rFonts w:ascii="Arial"/>
                <w:sz w:val="21"/>
              </w:rPr>
            </w:pPr>
          </w:p>
        </w:tc>
        <w:tc>
          <w:tcPr>
            <w:tcW w:w="2969" w:type="dxa"/>
            <w:vAlign w:val="top"/>
          </w:tcPr>
          <w:p w14:paraId="2A601436">
            <w:pPr>
              <w:pStyle w:val="213"/>
              <w:spacing w:before="96" w:line="285" w:lineRule="auto"/>
              <w:ind w:left="25" w:right="11" w:hanging="2"/>
            </w:pPr>
            <w:r>
              <w:rPr>
                <w:spacing w:val="19"/>
              </w:rPr>
              <w:t>《三相配电变压器能效限定值及</w:t>
            </w:r>
            <w:r>
              <w:rPr>
                <w:spacing w:val="2"/>
              </w:rPr>
              <w:t xml:space="preserve"> </w:t>
            </w:r>
            <w:r>
              <w:rPr>
                <w:spacing w:val="6"/>
              </w:rPr>
              <w:t>能效等级》（</w:t>
            </w:r>
            <w:r>
              <w:t>GB</w:t>
            </w:r>
            <w:r>
              <w:rPr>
                <w:spacing w:val="6"/>
              </w:rPr>
              <w:t xml:space="preserve"> 20052）</w:t>
            </w:r>
          </w:p>
        </w:tc>
      </w:tr>
      <w:tr w14:paraId="73FC2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578" w:type="dxa"/>
            <w:vAlign w:val="top"/>
          </w:tcPr>
          <w:p w14:paraId="203491C1">
            <w:pPr>
              <w:spacing w:line="284" w:lineRule="auto"/>
              <w:rPr>
                <w:rFonts w:ascii="Arial"/>
                <w:sz w:val="21"/>
              </w:rPr>
            </w:pPr>
          </w:p>
          <w:p w14:paraId="7D7C1423">
            <w:pPr>
              <w:pStyle w:val="213"/>
              <w:spacing w:before="62" w:line="256" w:lineRule="exact"/>
              <w:ind w:left="243"/>
            </w:pPr>
            <w:r>
              <w:rPr>
                <w:position w:val="1"/>
              </w:rPr>
              <w:t>9</w:t>
            </w:r>
          </w:p>
        </w:tc>
        <w:tc>
          <w:tcPr>
            <w:tcW w:w="1166" w:type="dxa"/>
            <w:vAlign w:val="top"/>
          </w:tcPr>
          <w:p w14:paraId="693D96EB">
            <w:pPr>
              <w:pStyle w:val="213"/>
              <w:spacing w:before="192" w:line="306" w:lineRule="auto"/>
              <w:ind w:left="16" w:right="8" w:firstLine="2"/>
            </w:pPr>
            <w:r>
              <w:rPr>
                <w:spacing w:val="4"/>
              </w:rPr>
              <w:t>★A020609</w:t>
            </w:r>
            <w:r>
              <w:rPr>
                <w:spacing w:val="-43"/>
              </w:rPr>
              <w:t xml:space="preserve"> </w:t>
            </w:r>
            <w:r>
              <w:rPr>
                <w:spacing w:val="4"/>
              </w:rPr>
              <w:t>镇</w:t>
            </w:r>
            <w:r>
              <w:t xml:space="preserve"> </w:t>
            </w:r>
            <w:r>
              <w:rPr>
                <w:spacing w:val="4"/>
              </w:rPr>
              <w:t>流器</w:t>
            </w:r>
          </w:p>
        </w:tc>
        <w:tc>
          <w:tcPr>
            <w:tcW w:w="1799" w:type="dxa"/>
            <w:vAlign w:val="top"/>
          </w:tcPr>
          <w:p w14:paraId="7BD00772">
            <w:pPr>
              <w:spacing w:line="284" w:lineRule="auto"/>
              <w:rPr>
                <w:rFonts w:ascii="Arial"/>
                <w:sz w:val="21"/>
              </w:rPr>
            </w:pPr>
          </w:p>
          <w:p w14:paraId="36BCBE7C">
            <w:pPr>
              <w:pStyle w:val="213"/>
              <w:spacing w:before="62" w:line="229" w:lineRule="auto"/>
              <w:ind w:left="19"/>
            </w:pPr>
            <w:r>
              <w:rPr>
                <w:spacing w:val="8"/>
              </w:rPr>
              <w:t>管型荧光灯镇流器</w:t>
            </w:r>
          </w:p>
        </w:tc>
        <w:tc>
          <w:tcPr>
            <w:tcW w:w="1914" w:type="dxa"/>
            <w:vAlign w:val="top"/>
          </w:tcPr>
          <w:p w14:paraId="0E1F29EA">
            <w:pPr>
              <w:rPr>
                <w:rFonts w:ascii="Arial"/>
                <w:sz w:val="21"/>
              </w:rPr>
            </w:pPr>
          </w:p>
        </w:tc>
        <w:tc>
          <w:tcPr>
            <w:tcW w:w="2969" w:type="dxa"/>
            <w:vAlign w:val="top"/>
          </w:tcPr>
          <w:p w14:paraId="5C17DF92">
            <w:pPr>
              <w:pStyle w:val="213"/>
              <w:spacing w:before="192" w:line="304" w:lineRule="auto"/>
              <w:ind w:left="17" w:right="11" w:firstLine="6"/>
            </w:pPr>
            <w:r>
              <w:rPr>
                <w:spacing w:val="19"/>
              </w:rPr>
              <w:t>《管形荧光灯镇流器能效限定值</w:t>
            </w:r>
            <w:r>
              <w:rPr>
                <w:spacing w:val="2"/>
              </w:rPr>
              <w:t xml:space="preserve"> </w:t>
            </w:r>
            <w:r>
              <w:rPr>
                <w:spacing w:val="5"/>
              </w:rPr>
              <w:t>及能效等级》（</w:t>
            </w:r>
            <w:r>
              <w:t>GB</w:t>
            </w:r>
            <w:r>
              <w:rPr>
                <w:spacing w:val="39"/>
              </w:rPr>
              <w:t xml:space="preserve"> </w:t>
            </w:r>
            <w:r>
              <w:rPr>
                <w:spacing w:val="5"/>
              </w:rPr>
              <w:t>17896）</w:t>
            </w:r>
          </w:p>
        </w:tc>
      </w:tr>
      <w:tr w14:paraId="4875D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578" w:type="dxa"/>
            <w:vMerge w:val="restart"/>
            <w:tcBorders>
              <w:bottom w:val="nil"/>
            </w:tcBorders>
            <w:vAlign w:val="top"/>
          </w:tcPr>
          <w:p w14:paraId="2FFC9C0D">
            <w:pPr>
              <w:spacing w:line="258" w:lineRule="auto"/>
              <w:rPr>
                <w:rFonts w:ascii="Arial"/>
                <w:sz w:val="21"/>
              </w:rPr>
            </w:pPr>
          </w:p>
          <w:p w14:paraId="4BC34DFB">
            <w:pPr>
              <w:spacing w:line="258" w:lineRule="auto"/>
              <w:rPr>
                <w:rFonts w:ascii="Arial"/>
                <w:sz w:val="21"/>
              </w:rPr>
            </w:pPr>
          </w:p>
          <w:p w14:paraId="27F0CA2E">
            <w:pPr>
              <w:spacing w:line="258" w:lineRule="auto"/>
              <w:rPr>
                <w:rFonts w:ascii="Arial"/>
                <w:sz w:val="21"/>
              </w:rPr>
            </w:pPr>
          </w:p>
          <w:p w14:paraId="4174F754">
            <w:pPr>
              <w:spacing w:line="258" w:lineRule="auto"/>
              <w:rPr>
                <w:rFonts w:ascii="Arial"/>
                <w:sz w:val="21"/>
              </w:rPr>
            </w:pPr>
          </w:p>
          <w:p w14:paraId="4C2AE276">
            <w:pPr>
              <w:spacing w:line="258" w:lineRule="auto"/>
              <w:rPr>
                <w:rFonts w:ascii="Arial"/>
                <w:sz w:val="21"/>
              </w:rPr>
            </w:pPr>
          </w:p>
          <w:p w14:paraId="05756276">
            <w:pPr>
              <w:spacing w:line="258" w:lineRule="auto"/>
              <w:rPr>
                <w:rFonts w:ascii="Arial"/>
                <w:sz w:val="21"/>
              </w:rPr>
            </w:pPr>
          </w:p>
          <w:p w14:paraId="25BA9C53">
            <w:pPr>
              <w:spacing w:line="259" w:lineRule="auto"/>
              <w:rPr>
                <w:rFonts w:ascii="Arial"/>
                <w:sz w:val="21"/>
              </w:rPr>
            </w:pPr>
          </w:p>
          <w:p w14:paraId="27E1AD97">
            <w:pPr>
              <w:spacing w:line="259" w:lineRule="auto"/>
              <w:rPr>
                <w:rFonts w:ascii="Arial"/>
                <w:sz w:val="21"/>
              </w:rPr>
            </w:pPr>
          </w:p>
          <w:p w14:paraId="2E175F8D">
            <w:pPr>
              <w:spacing w:line="259" w:lineRule="auto"/>
              <w:rPr>
                <w:rFonts w:ascii="Arial"/>
                <w:sz w:val="21"/>
              </w:rPr>
            </w:pPr>
          </w:p>
          <w:p w14:paraId="2DF15992">
            <w:pPr>
              <w:spacing w:line="259" w:lineRule="auto"/>
              <w:rPr>
                <w:rFonts w:ascii="Arial"/>
                <w:sz w:val="21"/>
              </w:rPr>
            </w:pPr>
          </w:p>
          <w:p w14:paraId="347391D1">
            <w:pPr>
              <w:pStyle w:val="213"/>
              <w:spacing w:before="62" w:line="256" w:lineRule="exact"/>
              <w:ind w:left="209"/>
            </w:pPr>
            <w:r>
              <w:rPr>
                <w:spacing w:val="-7"/>
                <w:position w:val="1"/>
              </w:rPr>
              <w:t>10</w:t>
            </w:r>
          </w:p>
        </w:tc>
        <w:tc>
          <w:tcPr>
            <w:tcW w:w="1166" w:type="dxa"/>
            <w:vMerge w:val="restart"/>
            <w:tcBorders>
              <w:bottom w:val="nil"/>
            </w:tcBorders>
            <w:vAlign w:val="top"/>
          </w:tcPr>
          <w:p w14:paraId="4E90FA5B">
            <w:pPr>
              <w:spacing w:line="242" w:lineRule="auto"/>
              <w:rPr>
                <w:rFonts w:ascii="Arial"/>
                <w:sz w:val="21"/>
              </w:rPr>
            </w:pPr>
          </w:p>
          <w:p w14:paraId="51278A5E">
            <w:pPr>
              <w:spacing w:line="243" w:lineRule="auto"/>
              <w:rPr>
                <w:rFonts w:ascii="Arial"/>
                <w:sz w:val="21"/>
              </w:rPr>
            </w:pPr>
          </w:p>
          <w:p w14:paraId="48CC9D44">
            <w:pPr>
              <w:spacing w:line="243" w:lineRule="auto"/>
              <w:rPr>
                <w:rFonts w:ascii="Arial"/>
                <w:sz w:val="21"/>
              </w:rPr>
            </w:pPr>
          </w:p>
          <w:p w14:paraId="79C67AEE">
            <w:pPr>
              <w:spacing w:line="243" w:lineRule="auto"/>
              <w:rPr>
                <w:rFonts w:ascii="Arial"/>
                <w:sz w:val="21"/>
              </w:rPr>
            </w:pPr>
          </w:p>
          <w:p w14:paraId="647FD45B">
            <w:pPr>
              <w:spacing w:line="243" w:lineRule="auto"/>
              <w:rPr>
                <w:rFonts w:ascii="Arial"/>
                <w:sz w:val="21"/>
              </w:rPr>
            </w:pPr>
          </w:p>
          <w:p w14:paraId="35B62772">
            <w:pPr>
              <w:spacing w:line="243" w:lineRule="auto"/>
              <w:rPr>
                <w:rFonts w:ascii="Arial"/>
                <w:sz w:val="21"/>
              </w:rPr>
            </w:pPr>
          </w:p>
          <w:p w14:paraId="27C82EB7">
            <w:pPr>
              <w:spacing w:line="243" w:lineRule="auto"/>
              <w:rPr>
                <w:rFonts w:ascii="Arial"/>
                <w:sz w:val="21"/>
              </w:rPr>
            </w:pPr>
          </w:p>
          <w:p w14:paraId="051F9F2D">
            <w:pPr>
              <w:spacing w:line="243" w:lineRule="auto"/>
              <w:rPr>
                <w:rFonts w:ascii="Arial"/>
                <w:sz w:val="21"/>
              </w:rPr>
            </w:pPr>
          </w:p>
          <w:p w14:paraId="43DF196A">
            <w:pPr>
              <w:spacing w:line="243" w:lineRule="auto"/>
              <w:rPr>
                <w:rFonts w:ascii="Arial"/>
                <w:sz w:val="21"/>
              </w:rPr>
            </w:pPr>
          </w:p>
          <w:p w14:paraId="567805F2">
            <w:pPr>
              <w:spacing w:line="243" w:lineRule="auto"/>
              <w:rPr>
                <w:rFonts w:ascii="Arial"/>
                <w:sz w:val="21"/>
              </w:rPr>
            </w:pPr>
          </w:p>
          <w:p w14:paraId="7D11DCB6">
            <w:pPr>
              <w:pStyle w:val="213"/>
              <w:spacing w:before="62" w:line="305" w:lineRule="auto"/>
              <w:ind w:left="16" w:right="8" w:hanging="7"/>
            </w:pPr>
            <w:r>
              <w:rPr>
                <w:spacing w:val="4"/>
              </w:rPr>
              <w:t>A020618</w:t>
            </w:r>
            <w:r>
              <w:rPr>
                <w:spacing w:val="-34"/>
              </w:rPr>
              <w:t xml:space="preserve"> </w:t>
            </w:r>
            <w:r>
              <w:rPr>
                <w:spacing w:val="4"/>
              </w:rPr>
              <w:t>生活</w:t>
            </w:r>
            <w:r>
              <w:t xml:space="preserve"> </w:t>
            </w:r>
            <w:r>
              <w:rPr>
                <w:spacing w:val="6"/>
              </w:rPr>
              <w:t>用电器</w:t>
            </w:r>
          </w:p>
        </w:tc>
        <w:tc>
          <w:tcPr>
            <w:tcW w:w="1799" w:type="dxa"/>
            <w:vAlign w:val="top"/>
          </w:tcPr>
          <w:p w14:paraId="7B0373FD">
            <w:pPr>
              <w:pStyle w:val="213"/>
              <w:spacing w:before="276" w:line="230" w:lineRule="auto"/>
              <w:ind w:left="9"/>
            </w:pPr>
            <w:r>
              <w:rPr>
                <w:spacing w:val="3"/>
              </w:rPr>
              <w:t>A0206180101</w:t>
            </w:r>
            <w:r>
              <w:rPr>
                <w:spacing w:val="-4"/>
              </w:rPr>
              <w:t xml:space="preserve"> </w:t>
            </w:r>
            <w:r>
              <w:rPr>
                <w:spacing w:val="3"/>
              </w:rPr>
              <w:t>电冰箱</w:t>
            </w:r>
          </w:p>
        </w:tc>
        <w:tc>
          <w:tcPr>
            <w:tcW w:w="1914" w:type="dxa"/>
            <w:vAlign w:val="top"/>
          </w:tcPr>
          <w:p w14:paraId="1A47534D">
            <w:pPr>
              <w:rPr>
                <w:rFonts w:ascii="Arial"/>
                <w:sz w:val="21"/>
              </w:rPr>
            </w:pPr>
          </w:p>
        </w:tc>
        <w:tc>
          <w:tcPr>
            <w:tcW w:w="2969" w:type="dxa"/>
            <w:vAlign w:val="top"/>
          </w:tcPr>
          <w:p w14:paraId="2016FBFD">
            <w:pPr>
              <w:pStyle w:val="213"/>
              <w:spacing w:before="119" w:line="296" w:lineRule="auto"/>
              <w:ind w:left="22" w:right="11"/>
            </w:pPr>
            <w:r>
              <w:rPr>
                <w:spacing w:val="19"/>
              </w:rPr>
              <w:t>《家用电冰箱耗电量限定值及能</w:t>
            </w:r>
            <w:r>
              <w:rPr>
                <w:spacing w:val="2"/>
              </w:rPr>
              <w:t xml:space="preserve"> </w:t>
            </w:r>
            <w:r>
              <w:rPr>
                <w:spacing w:val="4"/>
              </w:rPr>
              <w:t>效等级》（</w:t>
            </w:r>
            <w:r>
              <w:t>GB</w:t>
            </w:r>
            <w:r>
              <w:rPr>
                <w:spacing w:val="20"/>
              </w:rPr>
              <w:t xml:space="preserve">  </w:t>
            </w:r>
            <w:r>
              <w:rPr>
                <w:spacing w:val="4"/>
              </w:rPr>
              <w:t>12021.2）</w:t>
            </w:r>
          </w:p>
        </w:tc>
      </w:tr>
      <w:tr w14:paraId="4C957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8" w:hRule="atLeast"/>
        </w:trPr>
        <w:tc>
          <w:tcPr>
            <w:tcW w:w="578" w:type="dxa"/>
            <w:vMerge w:val="continue"/>
            <w:tcBorders>
              <w:top w:val="nil"/>
              <w:bottom w:val="nil"/>
            </w:tcBorders>
            <w:vAlign w:val="top"/>
          </w:tcPr>
          <w:p w14:paraId="5272FC17">
            <w:pPr>
              <w:rPr>
                <w:rFonts w:ascii="Arial"/>
                <w:sz w:val="21"/>
              </w:rPr>
            </w:pPr>
          </w:p>
        </w:tc>
        <w:tc>
          <w:tcPr>
            <w:tcW w:w="1166" w:type="dxa"/>
            <w:vMerge w:val="continue"/>
            <w:tcBorders>
              <w:top w:val="nil"/>
              <w:bottom w:val="nil"/>
            </w:tcBorders>
            <w:vAlign w:val="top"/>
          </w:tcPr>
          <w:p w14:paraId="5327A86C">
            <w:pPr>
              <w:rPr>
                <w:rFonts w:ascii="Arial"/>
                <w:sz w:val="21"/>
              </w:rPr>
            </w:pPr>
          </w:p>
        </w:tc>
        <w:tc>
          <w:tcPr>
            <w:tcW w:w="1799" w:type="dxa"/>
            <w:vMerge w:val="restart"/>
            <w:tcBorders>
              <w:bottom w:val="nil"/>
            </w:tcBorders>
            <w:vAlign w:val="top"/>
          </w:tcPr>
          <w:p w14:paraId="46954BC3">
            <w:pPr>
              <w:spacing w:line="247" w:lineRule="auto"/>
              <w:rPr>
                <w:rFonts w:ascii="Arial"/>
                <w:sz w:val="21"/>
              </w:rPr>
            </w:pPr>
          </w:p>
          <w:p w14:paraId="71155D9A">
            <w:pPr>
              <w:spacing w:line="248" w:lineRule="auto"/>
              <w:rPr>
                <w:rFonts w:ascii="Arial"/>
                <w:sz w:val="21"/>
              </w:rPr>
            </w:pPr>
          </w:p>
          <w:p w14:paraId="3AEF88A9">
            <w:pPr>
              <w:spacing w:line="248" w:lineRule="auto"/>
              <w:rPr>
                <w:rFonts w:ascii="Arial"/>
                <w:sz w:val="21"/>
              </w:rPr>
            </w:pPr>
          </w:p>
          <w:p w14:paraId="373676A3">
            <w:pPr>
              <w:spacing w:line="248" w:lineRule="auto"/>
              <w:rPr>
                <w:rFonts w:ascii="Arial"/>
                <w:sz w:val="21"/>
              </w:rPr>
            </w:pPr>
          </w:p>
          <w:p w14:paraId="4E79B147">
            <w:pPr>
              <w:spacing w:line="248" w:lineRule="auto"/>
              <w:rPr>
                <w:rFonts w:ascii="Arial"/>
                <w:sz w:val="21"/>
              </w:rPr>
            </w:pPr>
          </w:p>
          <w:p w14:paraId="3C7692B9">
            <w:pPr>
              <w:spacing w:line="248" w:lineRule="auto"/>
              <w:rPr>
                <w:rFonts w:ascii="Arial"/>
                <w:sz w:val="21"/>
              </w:rPr>
            </w:pPr>
          </w:p>
          <w:p w14:paraId="3B713381">
            <w:pPr>
              <w:spacing w:line="248" w:lineRule="auto"/>
              <w:rPr>
                <w:rFonts w:ascii="Arial"/>
                <w:sz w:val="21"/>
              </w:rPr>
            </w:pPr>
          </w:p>
          <w:p w14:paraId="29736577">
            <w:pPr>
              <w:pStyle w:val="213"/>
              <w:spacing w:before="62" w:line="304" w:lineRule="auto"/>
              <w:ind w:left="14" w:right="10" w:firstLine="3"/>
            </w:pPr>
            <w:r>
              <w:rPr>
                <w:spacing w:val="3"/>
              </w:rPr>
              <w:t>★A0206180203 空调</w:t>
            </w:r>
            <w:r>
              <w:rPr>
                <w:spacing w:val="9"/>
              </w:rPr>
              <w:t xml:space="preserve"> </w:t>
            </w:r>
            <w:r>
              <w:rPr>
                <w:spacing w:val="2"/>
              </w:rPr>
              <w:t>机</w:t>
            </w:r>
          </w:p>
        </w:tc>
        <w:tc>
          <w:tcPr>
            <w:tcW w:w="1914" w:type="dxa"/>
            <w:vAlign w:val="top"/>
          </w:tcPr>
          <w:p w14:paraId="2B115098">
            <w:pPr>
              <w:spacing w:line="261" w:lineRule="auto"/>
              <w:rPr>
                <w:rFonts w:ascii="Arial"/>
                <w:sz w:val="21"/>
              </w:rPr>
            </w:pPr>
          </w:p>
          <w:p w14:paraId="0E26B55E">
            <w:pPr>
              <w:spacing w:line="261" w:lineRule="auto"/>
              <w:rPr>
                <w:rFonts w:ascii="Arial"/>
                <w:sz w:val="21"/>
              </w:rPr>
            </w:pPr>
          </w:p>
          <w:p w14:paraId="21AB1BA2">
            <w:pPr>
              <w:spacing w:line="261" w:lineRule="auto"/>
              <w:rPr>
                <w:rFonts w:ascii="Arial"/>
                <w:sz w:val="21"/>
              </w:rPr>
            </w:pPr>
          </w:p>
          <w:p w14:paraId="6CB759CA">
            <w:pPr>
              <w:pStyle w:val="213"/>
              <w:spacing w:before="62" w:line="230" w:lineRule="auto"/>
              <w:ind w:left="17"/>
            </w:pPr>
            <w:r>
              <w:rPr>
                <w:spacing w:val="8"/>
              </w:rPr>
              <w:t>房间空气调节器</w:t>
            </w:r>
          </w:p>
        </w:tc>
        <w:tc>
          <w:tcPr>
            <w:tcW w:w="2969" w:type="dxa"/>
            <w:vAlign w:val="top"/>
          </w:tcPr>
          <w:p w14:paraId="5EFC417D">
            <w:pPr>
              <w:pStyle w:val="213"/>
              <w:spacing w:before="68" w:line="293" w:lineRule="auto"/>
              <w:ind w:left="17" w:firstLine="5"/>
              <w:jc w:val="both"/>
            </w:pPr>
            <w:r>
              <w:rPr>
                <w:spacing w:val="14"/>
              </w:rPr>
              <w:t>《转速可控型房间空气调节器能</w:t>
            </w:r>
            <w:r>
              <w:t xml:space="preserve">  </w:t>
            </w:r>
            <w:r>
              <w:rPr>
                <w:spacing w:val="-9"/>
              </w:rPr>
              <w:t>效</w:t>
            </w:r>
            <w:r>
              <w:rPr>
                <w:spacing w:val="-19"/>
              </w:rPr>
              <w:t xml:space="preserve"> </w:t>
            </w:r>
            <w:r>
              <w:rPr>
                <w:spacing w:val="-9"/>
              </w:rPr>
              <w:t>限</w:t>
            </w:r>
            <w:r>
              <w:rPr>
                <w:spacing w:val="-33"/>
              </w:rPr>
              <w:t xml:space="preserve"> </w:t>
            </w:r>
            <w:r>
              <w:rPr>
                <w:spacing w:val="-9"/>
              </w:rPr>
              <w:t>定</w:t>
            </w:r>
            <w:r>
              <w:rPr>
                <w:spacing w:val="-38"/>
              </w:rPr>
              <w:t xml:space="preserve"> </w:t>
            </w:r>
            <w:r>
              <w:rPr>
                <w:spacing w:val="-9"/>
              </w:rPr>
              <w:t>值</w:t>
            </w:r>
            <w:r>
              <w:rPr>
                <w:spacing w:val="-39"/>
              </w:rPr>
              <w:t xml:space="preserve"> </w:t>
            </w:r>
            <w:r>
              <w:rPr>
                <w:spacing w:val="-9"/>
              </w:rPr>
              <w:t>及</w:t>
            </w:r>
            <w:r>
              <w:rPr>
                <w:spacing w:val="-31"/>
              </w:rPr>
              <w:t xml:space="preserve"> </w:t>
            </w:r>
            <w:r>
              <w:rPr>
                <w:spacing w:val="-9"/>
              </w:rPr>
              <w:t>能</w:t>
            </w:r>
            <w:r>
              <w:rPr>
                <w:spacing w:val="-34"/>
              </w:rPr>
              <w:t xml:space="preserve"> </w:t>
            </w:r>
            <w:r>
              <w:rPr>
                <w:spacing w:val="-9"/>
              </w:rPr>
              <w:t>效</w:t>
            </w:r>
            <w:r>
              <w:rPr>
                <w:spacing w:val="-36"/>
              </w:rPr>
              <w:t xml:space="preserve"> </w:t>
            </w:r>
            <w:r>
              <w:rPr>
                <w:spacing w:val="-9"/>
              </w:rPr>
              <w:t>等</w:t>
            </w:r>
            <w:r>
              <w:rPr>
                <w:spacing w:val="-36"/>
              </w:rPr>
              <w:t xml:space="preserve"> </w:t>
            </w:r>
            <w:r>
              <w:rPr>
                <w:spacing w:val="-9"/>
              </w:rPr>
              <w:t>级</w:t>
            </w:r>
            <w:r>
              <w:rPr>
                <w:spacing w:val="-29"/>
              </w:rPr>
              <w:t xml:space="preserve"> </w:t>
            </w:r>
            <w:r>
              <w:rPr>
                <w:spacing w:val="-9"/>
              </w:rPr>
              <w:t>》</w:t>
            </w:r>
            <w:r>
              <w:rPr>
                <w:spacing w:val="-41"/>
              </w:rPr>
              <w:t xml:space="preserve"> </w:t>
            </w:r>
            <w:r>
              <w:rPr>
                <w:spacing w:val="-9"/>
              </w:rPr>
              <w:t>（ GB</w:t>
            </w:r>
            <w:r>
              <w:t xml:space="preserve">  21455-2013</w:t>
            </w:r>
            <w:r>
              <w:rPr>
                <w:spacing w:val="12"/>
              </w:rPr>
              <w:t>），</w:t>
            </w:r>
            <w:r>
              <w:t>待 2019</w:t>
            </w:r>
            <w:r>
              <w:rPr>
                <w:spacing w:val="-15"/>
              </w:rPr>
              <w:t xml:space="preserve"> </w:t>
            </w:r>
            <w:r>
              <w:t>年修订发  布后，按《房间空气调节器能效限</w:t>
            </w:r>
            <w:r>
              <w:rPr>
                <w:spacing w:val="4"/>
              </w:rPr>
              <w:t xml:space="preserve">  </w:t>
            </w:r>
            <w:r>
              <w:rPr>
                <w:spacing w:val="-5"/>
              </w:rPr>
              <w:t>定值及能效等级》（GB21455-2019）</w:t>
            </w:r>
            <w:r>
              <w:rPr>
                <w:spacing w:val="15"/>
              </w:rPr>
              <w:t xml:space="preserve"> </w:t>
            </w:r>
            <w:r>
              <w:t>实施。</w:t>
            </w:r>
          </w:p>
        </w:tc>
      </w:tr>
      <w:tr w14:paraId="79A64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nil"/>
              <w:bottom w:val="nil"/>
            </w:tcBorders>
            <w:vAlign w:val="top"/>
          </w:tcPr>
          <w:p w14:paraId="1E5F1BAD">
            <w:pPr>
              <w:rPr>
                <w:rFonts w:ascii="Arial"/>
                <w:sz w:val="21"/>
              </w:rPr>
            </w:pPr>
          </w:p>
        </w:tc>
        <w:tc>
          <w:tcPr>
            <w:tcW w:w="1166" w:type="dxa"/>
            <w:vMerge w:val="continue"/>
            <w:tcBorders>
              <w:top w:val="nil"/>
              <w:bottom w:val="nil"/>
            </w:tcBorders>
            <w:vAlign w:val="top"/>
          </w:tcPr>
          <w:p w14:paraId="5CF65E0E">
            <w:pPr>
              <w:rPr>
                <w:rFonts w:ascii="Arial"/>
                <w:sz w:val="21"/>
              </w:rPr>
            </w:pPr>
          </w:p>
        </w:tc>
        <w:tc>
          <w:tcPr>
            <w:tcW w:w="1799" w:type="dxa"/>
            <w:vMerge w:val="continue"/>
            <w:tcBorders>
              <w:top w:val="nil"/>
              <w:bottom w:val="nil"/>
            </w:tcBorders>
            <w:vAlign w:val="top"/>
          </w:tcPr>
          <w:p w14:paraId="67979D17">
            <w:pPr>
              <w:rPr>
                <w:rFonts w:ascii="Arial"/>
                <w:sz w:val="21"/>
              </w:rPr>
            </w:pPr>
          </w:p>
        </w:tc>
        <w:tc>
          <w:tcPr>
            <w:tcW w:w="1914" w:type="dxa"/>
            <w:vAlign w:val="top"/>
          </w:tcPr>
          <w:p w14:paraId="5563FE61">
            <w:pPr>
              <w:pStyle w:val="213"/>
              <w:spacing w:before="71" w:line="282" w:lineRule="auto"/>
              <w:ind w:left="15" w:right="11" w:firstLine="10"/>
              <w:jc w:val="both"/>
            </w:pPr>
            <w:r>
              <w:rPr>
                <w:spacing w:val="15"/>
              </w:rPr>
              <w:t>多联式空调（热泵）</w:t>
            </w:r>
            <w:r>
              <w:rPr>
                <w:spacing w:val="7"/>
              </w:rPr>
              <w:t xml:space="preserve"> </w:t>
            </w:r>
            <w:r>
              <w:rPr>
                <w:spacing w:val="-4"/>
              </w:rPr>
              <w:t>机 组 （</w:t>
            </w:r>
            <w:r>
              <w:rPr>
                <w:spacing w:val="28"/>
              </w:rPr>
              <w:t xml:space="preserve"> </w:t>
            </w:r>
            <w:r>
              <w:rPr>
                <w:spacing w:val="-4"/>
              </w:rPr>
              <w:t>制 冷 量 ≤</w:t>
            </w:r>
            <w:r>
              <w:t xml:space="preserve"> </w:t>
            </w:r>
            <w:r>
              <w:rPr>
                <w:spacing w:val="3"/>
              </w:rPr>
              <w:t>14000W）</w:t>
            </w:r>
          </w:p>
        </w:tc>
        <w:tc>
          <w:tcPr>
            <w:tcW w:w="2969" w:type="dxa"/>
            <w:vAlign w:val="top"/>
          </w:tcPr>
          <w:p w14:paraId="4097116E">
            <w:pPr>
              <w:pStyle w:val="213"/>
              <w:spacing w:before="225" w:line="305" w:lineRule="auto"/>
              <w:ind w:left="22"/>
            </w:pPr>
            <w:r>
              <w:t>《多联式空调（热泵）机组能效限</w:t>
            </w:r>
            <w:r>
              <w:rPr>
                <w:spacing w:val="2"/>
              </w:rPr>
              <w:t xml:space="preserve">  </w:t>
            </w:r>
            <w:r>
              <w:rPr>
                <w:spacing w:val="-4"/>
              </w:rPr>
              <w:t>定值及能源效率等级》（GB</w:t>
            </w:r>
            <w:r>
              <w:rPr>
                <w:spacing w:val="-24"/>
              </w:rPr>
              <w:t xml:space="preserve"> </w:t>
            </w:r>
            <w:r>
              <w:rPr>
                <w:spacing w:val="-4"/>
              </w:rPr>
              <w:t>21454）</w:t>
            </w:r>
          </w:p>
        </w:tc>
      </w:tr>
      <w:tr w14:paraId="2BABA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578" w:type="dxa"/>
            <w:vMerge w:val="continue"/>
            <w:tcBorders>
              <w:top w:val="nil"/>
              <w:bottom w:val="nil"/>
            </w:tcBorders>
            <w:vAlign w:val="top"/>
          </w:tcPr>
          <w:p w14:paraId="48AFFED1">
            <w:pPr>
              <w:rPr>
                <w:rFonts w:ascii="Arial"/>
                <w:sz w:val="21"/>
              </w:rPr>
            </w:pPr>
          </w:p>
        </w:tc>
        <w:tc>
          <w:tcPr>
            <w:tcW w:w="1166" w:type="dxa"/>
            <w:vMerge w:val="continue"/>
            <w:tcBorders>
              <w:top w:val="nil"/>
              <w:bottom w:val="nil"/>
            </w:tcBorders>
            <w:vAlign w:val="top"/>
          </w:tcPr>
          <w:p w14:paraId="10E71562">
            <w:pPr>
              <w:rPr>
                <w:rFonts w:ascii="Arial"/>
                <w:sz w:val="21"/>
              </w:rPr>
            </w:pPr>
          </w:p>
        </w:tc>
        <w:tc>
          <w:tcPr>
            <w:tcW w:w="1799" w:type="dxa"/>
            <w:vMerge w:val="continue"/>
            <w:tcBorders>
              <w:top w:val="nil"/>
            </w:tcBorders>
            <w:vAlign w:val="top"/>
          </w:tcPr>
          <w:p w14:paraId="51628529">
            <w:pPr>
              <w:rPr>
                <w:rFonts w:ascii="Arial"/>
                <w:sz w:val="21"/>
              </w:rPr>
            </w:pPr>
          </w:p>
        </w:tc>
        <w:tc>
          <w:tcPr>
            <w:tcW w:w="1914" w:type="dxa"/>
            <w:vAlign w:val="top"/>
          </w:tcPr>
          <w:p w14:paraId="745A02AE">
            <w:pPr>
              <w:spacing w:line="319" w:lineRule="auto"/>
              <w:rPr>
                <w:rFonts w:ascii="Arial"/>
                <w:sz w:val="21"/>
              </w:rPr>
            </w:pPr>
          </w:p>
          <w:p w14:paraId="1C83C537">
            <w:pPr>
              <w:pStyle w:val="213"/>
              <w:spacing w:before="61" w:line="305" w:lineRule="auto"/>
              <w:ind w:left="51" w:right="11" w:hanging="33"/>
            </w:pPr>
            <w:r>
              <w:rPr>
                <w:spacing w:val="44"/>
              </w:rPr>
              <w:t>单元式空气调节机</w:t>
            </w:r>
            <w:r>
              <w:rPr>
                <w:spacing w:val="6"/>
              </w:rPr>
              <w:t xml:space="preserve"> </w:t>
            </w:r>
            <w:r>
              <w:rPr>
                <w:spacing w:val="3"/>
              </w:rPr>
              <w:t>(制冷量≤14000W)</w:t>
            </w:r>
          </w:p>
        </w:tc>
        <w:tc>
          <w:tcPr>
            <w:tcW w:w="2969" w:type="dxa"/>
            <w:vAlign w:val="top"/>
          </w:tcPr>
          <w:p w14:paraId="05145D7A">
            <w:pPr>
              <w:pStyle w:val="213"/>
              <w:spacing w:before="72" w:line="287" w:lineRule="auto"/>
              <w:ind w:left="17" w:right="11" w:firstLine="6"/>
              <w:jc w:val="both"/>
            </w:pPr>
            <w:r>
              <w:rPr>
                <w:spacing w:val="19"/>
              </w:rPr>
              <w:t>《单元式空气调节机能效限定值</w:t>
            </w:r>
            <w:r>
              <w:rPr>
                <w:spacing w:val="2"/>
              </w:rPr>
              <w:t xml:space="preserve"> </w:t>
            </w:r>
            <w:r>
              <w:rPr>
                <w:spacing w:val="-5"/>
              </w:rPr>
              <w:t>及能源效率等级》（GB</w:t>
            </w:r>
            <w:r>
              <w:rPr>
                <w:spacing w:val="-13"/>
              </w:rPr>
              <w:t xml:space="preserve"> </w:t>
            </w:r>
            <w:r>
              <w:rPr>
                <w:spacing w:val="-5"/>
              </w:rPr>
              <w:t>19576）《风</w:t>
            </w:r>
            <w:r>
              <w:t xml:space="preserve"> </w:t>
            </w:r>
            <w:r>
              <w:rPr>
                <w:spacing w:val="19"/>
              </w:rPr>
              <w:t>管送风式空调机组能效限定值及</w:t>
            </w:r>
            <w:r>
              <w:rPr>
                <w:spacing w:val="8"/>
              </w:rPr>
              <w:t xml:space="preserve"> </w:t>
            </w:r>
            <w:r>
              <w:rPr>
                <w:spacing w:val="7"/>
              </w:rPr>
              <w:t>能效等级》（</w:t>
            </w:r>
            <w:r>
              <w:t>GB</w:t>
            </w:r>
            <w:r>
              <w:rPr>
                <w:spacing w:val="7"/>
              </w:rPr>
              <w:t xml:space="preserve"> 37479）</w:t>
            </w:r>
          </w:p>
        </w:tc>
      </w:tr>
      <w:tr w14:paraId="793D8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578" w:type="dxa"/>
            <w:vMerge w:val="continue"/>
            <w:tcBorders>
              <w:top w:val="nil"/>
            </w:tcBorders>
            <w:vAlign w:val="top"/>
          </w:tcPr>
          <w:p w14:paraId="25D9BA33">
            <w:pPr>
              <w:rPr>
                <w:rFonts w:ascii="Arial"/>
                <w:sz w:val="21"/>
              </w:rPr>
            </w:pPr>
          </w:p>
        </w:tc>
        <w:tc>
          <w:tcPr>
            <w:tcW w:w="1166" w:type="dxa"/>
            <w:vMerge w:val="continue"/>
            <w:tcBorders>
              <w:top w:val="nil"/>
            </w:tcBorders>
            <w:vAlign w:val="top"/>
          </w:tcPr>
          <w:p w14:paraId="7DD1EC21">
            <w:pPr>
              <w:rPr>
                <w:rFonts w:ascii="Arial"/>
                <w:sz w:val="21"/>
              </w:rPr>
            </w:pPr>
          </w:p>
        </w:tc>
        <w:tc>
          <w:tcPr>
            <w:tcW w:w="1799" w:type="dxa"/>
            <w:vAlign w:val="top"/>
          </w:tcPr>
          <w:p w14:paraId="2105E109">
            <w:pPr>
              <w:pStyle w:val="213"/>
              <w:spacing w:before="230" w:line="228" w:lineRule="auto"/>
              <w:ind w:left="9"/>
            </w:pPr>
            <w:r>
              <w:rPr>
                <w:spacing w:val="5"/>
              </w:rPr>
              <w:t>A0206180301</w:t>
            </w:r>
            <w:r>
              <w:rPr>
                <w:spacing w:val="-33"/>
              </w:rPr>
              <w:t xml:space="preserve"> </w:t>
            </w:r>
            <w:r>
              <w:rPr>
                <w:spacing w:val="5"/>
              </w:rPr>
              <w:t>洗衣机</w:t>
            </w:r>
          </w:p>
        </w:tc>
        <w:tc>
          <w:tcPr>
            <w:tcW w:w="1914" w:type="dxa"/>
            <w:vAlign w:val="top"/>
          </w:tcPr>
          <w:p w14:paraId="7A382A83">
            <w:pPr>
              <w:rPr>
                <w:rFonts w:ascii="Arial"/>
                <w:sz w:val="21"/>
              </w:rPr>
            </w:pPr>
          </w:p>
        </w:tc>
        <w:tc>
          <w:tcPr>
            <w:tcW w:w="2969" w:type="dxa"/>
            <w:vAlign w:val="top"/>
          </w:tcPr>
          <w:p w14:paraId="17E09339">
            <w:pPr>
              <w:pStyle w:val="213"/>
              <w:spacing w:before="74" w:line="276" w:lineRule="auto"/>
              <w:ind w:left="19" w:right="11" w:firstLine="3"/>
            </w:pPr>
            <w:r>
              <w:rPr>
                <w:spacing w:val="19"/>
              </w:rPr>
              <w:t>《电动洗衣机能效水效限定值及</w:t>
            </w:r>
            <w:r>
              <w:rPr>
                <w:spacing w:val="2"/>
              </w:rPr>
              <w:t xml:space="preserve"> </w:t>
            </w:r>
            <w:r>
              <w:rPr>
                <w:spacing w:val="4"/>
              </w:rPr>
              <w:t>等级》（</w:t>
            </w:r>
            <w:r>
              <w:t>GB</w:t>
            </w:r>
            <w:r>
              <w:rPr>
                <w:spacing w:val="33"/>
              </w:rPr>
              <w:t xml:space="preserve"> </w:t>
            </w:r>
            <w:r>
              <w:rPr>
                <w:spacing w:val="4"/>
              </w:rPr>
              <w:t>12021.4）</w:t>
            </w:r>
          </w:p>
        </w:tc>
      </w:tr>
    </w:tbl>
    <w:p w14:paraId="44622A36">
      <w:pPr>
        <w:rPr>
          <w:rFonts w:ascii="Arial"/>
          <w:sz w:val="21"/>
        </w:rPr>
      </w:pPr>
    </w:p>
    <w:p w14:paraId="49F23B4C">
      <w:pPr>
        <w:rPr>
          <w:rFonts w:ascii="Arial" w:hAnsi="Arial" w:eastAsia="Arial" w:cs="Arial"/>
          <w:sz w:val="21"/>
          <w:szCs w:val="21"/>
        </w:rPr>
        <w:sectPr>
          <w:pgSz w:w="11906" w:h="16838"/>
          <w:pgMar w:top="1431" w:right="1691" w:bottom="1134" w:left="1783" w:header="850" w:footer="992" w:gutter="0"/>
          <w:pgBorders>
            <w:top w:val="none" w:sz="0" w:space="0"/>
            <w:left w:val="none" w:sz="0" w:space="0"/>
            <w:bottom w:val="none" w:sz="0" w:space="0"/>
            <w:right w:val="none" w:sz="0" w:space="0"/>
          </w:pgBorders>
          <w:cols w:space="720" w:num="1"/>
        </w:sectPr>
      </w:pPr>
    </w:p>
    <w:p w14:paraId="397E8DA5">
      <w:pPr>
        <w:spacing w:line="91" w:lineRule="auto"/>
        <w:rPr>
          <w:rFonts w:ascii="Arial"/>
          <w:sz w:val="2"/>
        </w:rPr>
      </w:pPr>
    </w:p>
    <w:tbl>
      <w:tblPr>
        <w:tblStyle w:val="214"/>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19CE1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578" w:type="dxa"/>
            <w:vMerge w:val="restart"/>
            <w:tcBorders>
              <w:bottom w:val="nil"/>
            </w:tcBorders>
            <w:vAlign w:val="top"/>
          </w:tcPr>
          <w:p w14:paraId="68DF05E0">
            <w:pPr>
              <w:rPr>
                <w:rFonts w:ascii="Arial"/>
                <w:sz w:val="21"/>
              </w:rPr>
            </w:pPr>
          </w:p>
        </w:tc>
        <w:tc>
          <w:tcPr>
            <w:tcW w:w="1166" w:type="dxa"/>
            <w:vMerge w:val="restart"/>
            <w:tcBorders>
              <w:bottom w:val="nil"/>
            </w:tcBorders>
            <w:vAlign w:val="top"/>
          </w:tcPr>
          <w:p w14:paraId="232F69D4">
            <w:pPr>
              <w:rPr>
                <w:rFonts w:ascii="Arial"/>
                <w:sz w:val="21"/>
              </w:rPr>
            </w:pPr>
          </w:p>
        </w:tc>
        <w:tc>
          <w:tcPr>
            <w:tcW w:w="1799" w:type="dxa"/>
            <w:vMerge w:val="restart"/>
            <w:tcBorders>
              <w:bottom w:val="nil"/>
            </w:tcBorders>
            <w:vAlign w:val="top"/>
          </w:tcPr>
          <w:p w14:paraId="5255A109">
            <w:pPr>
              <w:spacing w:line="244" w:lineRule="auto"/>
              <w:rPr>
                <w:rFonts w:ascii="Arial"/>
                <w:sz w:val="21"/>
              </w:rPr>
            </w:pPr>
          </w:p>
          <w:p w14:paraId="5F21F882">
            <w:pPr>
              <w:spacing w:line="244" w:lineRule="auto"/>
              <w:rPr>
                <w:rFonts w:ascii="Arial"/>
                <w:sz w:val="21"/>
              </w:rPr>
            </w:pPr>
          </w:p>
          <w:p w14:paraId="769077C0">
            <w:pPr>
              <w:spacing w:line="244" w:lineRule="auto"/>
              <w:rPr>
                <w:rFonts w:ascii="Arial"/>
                <w:sz w:val="21"/>
              </w:rPr>
            </w:pPr>
          </w:p>
          <w:p w14:paraId="485A0B09">
            <w:pPr>
              <w:spacing w:line="244" w:lineRule="auto"/>
              <w:rPr>
                <w:rFonts w:ascii="Arial"/>
                <w:sz w:val="21"/>
              </w:rPr>
            </w:pPr>
          </w:p>
          <w:p w14:paraId="67F7C1E6">
            <w:pPr>
              <w:spacing w:line="245" w:lineRule="auto"/>
              <w:rPr>
                <w:rFonts w:ascii="Arial"/>
                <w:sz w:val="21"/>
              </w:rPr>
            </w:pPr>
          </w:p>
          <w:p w14:paraId="1E6CC489">
            <w:pPr>
              <w:spacing w:line="245" w:lineRule="auto"/>
              <w:rPr>
                <w:rFonts w:ascii="Arial"/>
                <w:sz w:val="21"/>
              </w:rPr>
            </w:pPr>
          </w:p>
          <w:p w14:paraId="11F845B0">
            <w:pPr>
              <w:pStyle w:val="213"/>
              <w:spacing w:before="62" w:line="229" w:lineRule="auto"/>
              <w:ind w:left="9"/>
            </w:pPr>
            <w:r>
              <w:rPr>
                <w:spacing w:val="5"/>
              </w:rPr>
              <w:t>A02061808</w:t>
            </w:r>
            <w:r>
              <w:rPr>
                <w:spacing w:val="-32"/>
              </w:rPr>
              <w:t xml:space="preserve"> </w:t>
            </w:r>
            <w:r>
              <w:rPr>
                <w:spacing w:val="5"/>
              </w:rPr>
              <w:t>热水器</w:t>
            </w:r>
          </w:p>
        </w:tc>
        <w:tc>
          <w:tcPr>
            <w:tcW w:w="1914" w:type="dxa"/>
            <w:vAlign w:val="top"/>
          </w:tcPr>
          <w:p w14:paraId="3DBE7627">
            <w:pPr>
              <w:pStyle w:val="213"/>
              <w:spacing w:before="275" w:line="229" w:lineRule="auto"/>
              <w:ind w:left="19"/>
            </w:pPr>
            <w:r>
              <w:rPr>
                <w:spacing w:val="7"/>
              </w:rPr>
              <w:t>★电热水器</w:t>
            </w:r>
          </w:p>
        </w:tc>
        <w:tc>
          <w:tcPr>
            <w:tcW w:w="2969" w:type="dxa"/>
            <w:vAlign w:val="top"/>
          </w:tcPr>
          <w:p w14:paraId="40986011">
            <w:pPr>
              <w:pStyle w:val="213"/>
              <w:spacing w:before="119" w:line="297" w:lineRule="auto"/>
              <w:ind w:left="25" w:right="11" w:hanging="2"/>
            </w:pPr>
            <w:r>
              <w:rPr>
                <w:spacing w:val="19"/>
              </w:rPr>
              <w:t>《储水式电热水器能效限定值及</w:t>
            </w:r>
            <w:r>
              <w:rPr>
                <w:spacing w:val="2"/>
              </w:rPr>
              <w:t xml:space="preserve"> </w:t>
            </w:r>
            <w:r>
              <w:rPr>
                <w:spacing w:val="6"/>
              </w:rPr>
              <w:t>能效等级》（</w:t>
            </w:r>
            <w:r>
              <w:t>GB</w:t>
            </w:r>
            <w:r>
              <w:rPr>
                <w:spacing w:val="6"/>
              </w:rPr>
              <w:t xml:space="preserve">  21519）</w:t>
            </w:r>
          </w:p>
        </w:tc>
      </w:tr>
      <w:tr w14:paraId="0BD14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nil"/>
              <w:bottom w:val="nil"/>
            </w:tcBorders>
            <w:vAlign w:val="top"/>
          </w:tcPr>
          <w:p w14:paraId="6005965A">
            <w:pPr>
              <w:rPr>
                <w:rFonts w:ascii="Arial"/>
                <w:sz w:val="21"/>
              </w:rPr>
            </w:pPr>
          </w:p>
        </w:tc>
        <w:tc>
          <w:tcPr>
            <w:tcW w:w="1166" w:type="dxa"/>
            <w:vMerge w:val="continue"/>
            <w:tcBorders>
              <w:top w:val="nil"/>
              <w:bottom w:val="nil"/>
            </w:tcBorders>
            <w:vAlign w:val="top"/>
          </w:tcPr>
          <w:p w14:paraId="3D56B3AD">
            <w:pPr>
              <w:rPr>
                <w:rFonts w:ascii="Arial"/>
                <w:sz w:val="21"/>
              </w:rPr>
            </w:pPr>
          </w:p>
        </w:tc>
        <w:tc>
          <w:tcPr>
            <w:tcW w:w="1799" w:type="dxa"/>
            <w:vMerge w:val="continue"/>
            <w:tcBorders>
              <w:top w:val="nil"/>
              <w:bottom w:val="nil"/>
            </w:tcBorders>
            <w:vAlign w:val="top"/>
          </w:tcPr>
          <w:p w14:paraId="43E781D7">
            <w:pPr>
              <w:rPr>
                <w:rFonts w:ascii="Arial"/>
                <w:sz w:val="21"/>
              </w:rPr>
            </w:pPr>
          </w:p>
        </w:tc>
        <w:tc>
          <w:tcPr>
            <w:tcW w:w="1914" w:type="dxa"/>
            <w:vAlign w:val="top"/>
          </w:tcPr>
          <w:p w14:paraId="647A98FC">
            <w:pPr>
              <w:spacing w:line="315" w:lineRule="auto"/>
              <w:rPr>
                <w:rFonts w:ascii="Arial"/>
                <w:sz w:val="21"/>
              </w:rPr>
            </w:pPr>
          </w:p>
          <w:p w14:paraId="70738594">
            <w:pPr>
              <w:pStyle w:val="213"/>
              <w:spacing w:before="61" w:line="229" w:lineRule="auto"/>
              <w:ind w:left="15"/>
            </w:pPr>
            <w:r>
              <w:rPr>
                <w:spacing w:val="8"/>
              </w:rPr>
              <w:t>燃气热水器</w:t>
            </w:r>
          </w:p>
        </w:tc>
        <w:tc>
          <w:tcPr>
            <w:tcW w:w="2969" w:type="dxa"/>
            <w:vAlign w:val="top"/>
          </w:tcPr>
          <w:p w14:paraId="4A0B5633">
            <w:pPr>
              <w:pStyle w:val="213"/>
              <w:spacing w:before="68" w:line="283" w:lineRule="auto"/>
              <w:ind w:left="25" w:hanging="2"/>
              <w:jc w:val="both"/>
            </w:pPr>
            <w:r>
              <w:rPr>
                <w:spacing w:val="17"/>
              </w:rPr>
              <w:t>《家用燃气快速热水器和燃气采</w:t>
            </w:r>
            <w:r>
              <w:t xml:space="preserve"> </w:t>
            </w:r>
            <w:r>
              <w:rPr>
                <w:spacing w:val="5"/>
              </w:rPr>
              <w:t>暖热水炉能效限定值及能效等级》</w:t>
            </w:r>
            <w:r>
              <w:rPr>
                <w:spacing w:val="12"/>
              </w:rPr>
              <w:t xml:space="preserve"> </w:t>
            </w:r>
            <w:r>
              <w:rPr>
                <w:spacing w:val="1"/>
              </w:rPr>
              <w:t>（</w:t>
            </w:r>
            <w:r>
              <w:t>GB</w:t>
            </w:r>
            <w:r>
              <w:rPr>
                <w:spacing w:val="18"/>
              </w:rPr>
              <w:t xml:space="preserve"> </w:t>
            </w:r>
            <w:r>
              <w:rPr>
                <w:spacing w:val="1"/>
              </w:rPr>
              <w:t>20665）</w:t>
            </w:r>
          </w:p>
        </w:tc>
      </w:tr>
      <w:tr w14:paraId="7C2431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578" w:type="dxa"/>
            <w:vMerge w:val="continue"/>
            <w:tcBorders>
              <w:top w:val="nil"/>
              <w:bottom w:val="nil"/>
            </w:tcBorders>
            <w:vAlign w:val="top"/>
          </w:tcPr>
          <w:p w14:paraId="2B5A8A2A">
            <w:pPr>
              <w:rPr>
                <w:rFonts w:ascii="Arial"/>
                <w:sz w:val="21"/>
              </w:rPr>
            </w:pPr>
          </w:p>
        </w:tc>
        <w:tc>
          <w:tcPr>
            <w:tcW w:w="1166" w:type="dxa"/>
            <w:vMerge w:val="continue"/>
            <w:tcBorders>
              <w:top w:val="nil"/>
              <w:bottom w:val="nil"/>
            </w:tcBorders>
            <w:vAlign w:val="top"/>
          </w:tcPr>
          <w:p w14:paraId="0B3E6B5E">
            <w:pPr>
              <w:rPr>
                <w:rFonts w:ascii="Arial"/>
                <w:sz w:val="21"/>
              </w:rPr>
            </w:pPr>
          </w:p>
        </w:tc>
        <w:tc>
          <w:tcPr>
            <w:tcW w:w="1799" w:type="dxa"/>
            <w:vMerge w:val="continue"/>
            <w:tcBorders>
              <w:top w:val="nil"/>
              <w:bottom w:val="nil"/>
            </w:tcBorders>
            <w:vAlign w:val="top"/>
          </w:tcPr>
          <w:p w14:paraId="31AE8D92">
            <w:pPr>
              <w:rPr>
                <w:rFonts w:ascii="Arial"/>
                <w:sz w:val="21"/>
              </w:rPr>
            </w:pPr>
          </w:p>
        </w:tc>
        <w:tc>
          <w:tcPr>
            <w:tcW w:w="1914" w:type="dxa"/>
            <w:vAlign w:val="top"/>
          </w:tcPr>
          <w:p w14:paraId="6FD46B1C">
            <w:pPr>
              <w:spacing w:line="248" w:lineRule="auto"/>
              <w:rPr>
                <w:rFonts w:ascii="Arial"/>
                <w:sz w:val="21"/>
              </w:rPr>
            </w:pPr>
          </w:p>
          <w:p w14:paraId="0CA164E9">
            <w:pPr>
              <w:pStyle w:val="213"/>
              <w:spacing w:before="62" w:line="229" w:lineRule="auto"/>
              <w:ind w:left="20"/>
            </w:pPr>
            <w:r>
              <w:rPr>
                <w:spacing w:val="7"/>
              </w:rPr>
              <w:t>热泵热水器</w:t>
            </w:r>
          </w:p>
        </w:tc>
        <w:tc>
          <w:tcPr>
            <w:tcW w:w="2969" w:type="dxa"/>
            <w:vAlign w:val="top"/>
          </w:tcPr>
          <w:p w14:paraId="73FE9B8A">
            <w:pPr>
              <w:pStyle w:val="213"/>
              <w:spacing w:before="156" w:line="304" w:lineRule="auto"/>
              <w:ind w:left="25" w:right="13" w:hanging="2"/>
            </w:pPr>
            <w:r>
              <w:rPr>
                <w:spacing w:val="5"/>
              </w:rPr>
              <w:t>《热泵热水机（器）能效限定值及</w:t>
            </w:r>
            <w:r>
              <w:rPr>
                <w:spacing w:val="1"/>
              </w:rPr>
              <w:t xml:space="preserve"> </w:t>
            </w:r>
            <w:r>
              <w:rPr>
                <w:spacing w:val="6"/>
              </w:rPr>
              <w:t>能效等级》（</w:t>
            </w:r>
            <w:r>
              <w:t>GB</w:t>
            </w:r>
            <w:r>
              <w:rPr>
                <w:spacing w:val="6"/>
              </w:rPr>
              <w:t xml:space="preserve"> 29541）</w:t>
            </w:r>
          </w:p>
        </w:tc>
      </w:tr>
      <w:tr w14:paraId="3CE22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continue"/>
            <w:tcBorders>
              <w:top w:val="nil"/>
            </w:tcBorders>
            <w:vAlign w:val="top"/>
          </w:tcPr>
          <w:p w14:paraId="748CE7B1">
            <w:pPr>
              <w:rPr>
                <w:rFonts w:ascii="Arial"/>
                <w:sz w:val="21"/>
              </w:rPr>
            </w:pPr>
          </w:p>
        </w:tc>
        <w:tc>
          <w:tcPr>
            <w:tcW w:w="1166" w:type="dxa"/>
            <w:vMerge w:val="continue"/>
            <w:tcBorders>
              <w:top w:val="nil"/>
            </w:tcBorders>
            <w:vAlign w:val="top"/>
          </w:tcPr>
          <w:p w14:paraId="2AA3A1D4">
            <w:pPr>
              <w:rPr>
                <w:rFonts w:ascii="Arial"/>
                <w:sz w:val="21"/>
              </w:rPr>
            </w:pPr>
          </w:p>
        </w:tc>
        <w:tc>
          <w:tcPr>
            <w:tcW w:w="1799" w:type="dxa"/>
            <w:vMerge w:val="continue"/>
            <w:tcBorders>
              <w:top w:val="nil"/>
            </w:tcBorders>
            <w:vAlign w:val="top"/>
          </w:tcPr>
          <w:p w14:paraId="6895AE21">
            <w:pPr>
              <w:rPr>
                <w:rFonts w:ascii="Arial"/>
                <w:sz w:val="21"/>
              </w:rPr>
            </w:pPr>
          </w:p>
        </w:tc>
        <w:tc>
          <w:tcPr>
            <w:tcW w:w="1914" w:type="dxa"/>
            <w:vAlign w:val="top"/>
          </w:tcPr>
          <w:p w14:paraId="774FBF49">
            <w:pPr>
              <w:pStyle w:val="213"/>
              <w:spacing w:before="271" w:line="229" w:lineRule="auto"/>
              <w:ind w:left="16"/>
            </w:pPr>
            <w:r>
              <w:rPr>
                <w:spacing w:val="8"/>
              </w:rPr>
              <w:t>太阳能热水系统</w:t>
            </w:r>
          </w:p>
        </w:tc>
        <w:tc>
          <w:tcPr>
            <w:tcW w:w="2969" w:type="dxa"/>
            <w:vAlign w:val="top"/>
          </w:tcPr>
          <w:p w14:paraId="5EDA258B">
            <w:pPr>
              <w:pStyle w:val="213"/>
              <w:spacing w:before="114" w:line="297" w:lineRule="auto"/>
              <w:ind w:left="17" w:right="11" w:firstLine="5"/>
            </w:pPr>
            <w:r>
              <w:rPr>
                <w:spacing w:val="19"/>
              </w:rPr>
              <w:t>《家用太阳能热水系统能效限定</w:t>
            </w:r>
            <w:r>
              <w:rPr>
                <w:spacing w:val="2"/>
              </w:rPr>
              <w:t xml:space="preserve"> </w:t>
            </w:r>
            <w:r>
              <w:rPr>
                <w:spacing w:val="7"/>
              </w:rPr>
              <w:t>值及能效等级》（</w:t>
            </w:r>
            <w:r>
              <w:t>GB</w:t>
            </w:r>
            <w:r>
              <w:rPr>
                <w:spacing w:val="7"/>
              </w:rPr>
              <w:t xml:space="preserve"> 26969）</w:t>
            </w:r>
          </w:p>
        </w:tc>
      </w:tr>
      <w:tr w14:paraId="1B03C7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trPr>
        <w:tc>
          <w:tcPr>
            <w:tcW w:w="578" w:type="dxa"/>
            <w:vMerge w:val="restart"/>
            <w:tcBorders>
              <w:bottom w:val="nil"/>
            </w:tcBorders>
            <w:vAlign w:val="top"/>
          </w:tcPr>
          <w:p w14:paraId="5EB53C24">
            <w:pPr>
              <w:spacing w:line="269" w:lineRule="auto"/>
              <w:rPr>
                <w:rFonts w:ascii="Arial"/>
                <w:sz w:val="21"/>
              </w:rPr>
            </w:pPr>
          </w:p>
          <w:p w14:paraId="74E7D8B3">
            <w:pPr>
              <w:spacing w:line="269" w:lineRule="auto"/>
              <w:rPr>
                <w:rFonts w:ascii="Arial"/>
                <w:sz w:val="21"/>
              </w:rPr>
            </w:pPr>
          </w:p>
          <w:p w14:paraId="3925A389">
            <w:pPr>
              <w:spacing w:line="269" w:lineRule="auto"/>
              <w:rPr>
                <w:rFonts w:ascii="Arial"/>
                <w:sz w:val="21"/>
              </w:rPr>
            </w:pPr>
          </w:p>
          <w:p w14:paraId="64684425">
            <w:pPr>
              <w:spacing w:line="269" w:lineRule="auto"/>
              <w:rPr>
                <w:rFonts w:ascii="Arial"/>
                <w:sz w:val="21"/>
              </w:rPr>
            </w:pPr>
          </w:p>
          <w:p w14:paraId="37BDCB2E">
            <w:pPr>
              <w:spacing w:line="269" w:lineRule="auto"/>
              <w:rPr>
                <w:rFonts w:ascii="Arial"/>
                <w:sz w:val="21"/>
              </w:rPr>
            </w:pPr>
          </w:p>
          <w:p w14:paraId="1D5F833E">
            <w:pPr>
              <w:spacing w:line="269" w:lineRule="auto"/>
              <w:rPr>
                <w:rFonts w:ascii="Arial"/>
                <w:sz w:val="21"/>
              </w:rPr>
            </w:pPr>
          </w:p>
          <w:p w14:paraId="2E1A2EBE">
            <w:pPr>
              <w:pStyle w:val="213"/>
              <w:spacing w:before="61" w:line="258" w:lineRule="exact"/>
              <w:ind w:left="209"/>
            </w:pPr>
            <w:r>
              <w:rPr>
                <w:spacing w:val="-7"/>
                <w:position w:val="1"/>
              </w:rPr>
              <w:t>11</w:t>
            </w:r>
          </w:p>
        </w:tc>
        <w:tc>
          <w:tcPr>
            <w:tcW w:w="1166" w:type="dxa"/>
            <w:vMerge w:val="restart"/>
            <w:tcBorders>
              <w:bottom w:val="nil"/>
            </w:tcBorders>
            <w:vAlign w:val="top"/>
          </w:tcPr>
          <w:p w14:paraId="56A14D05">
            <w:pPr>
              <w:spacing w:line="243" w:lineRule="auto"/>
              <w:rPr>
                <w:rFonts w:ascii="Arial"/>
                <w:sz w:val="21"/>
              </w:rPr>
            </w:pPr>
          </w:p>
          <w:p w14:paraId="0BCC3ABE">
            <w:pPr>
              <w:spacing w:line="243" w:lineRule="auto"/>
              <w:rPr>
                <w:rFonts w:ascii="Arial"/>
                <w:sz w:val="21"/>
              </w:rPr>
            </w:pPr>
          </w:p>
          <w:p w14:paraId="32242E13">
            <w:pPr>
              <w:spacing w:line="243" w:lineRule="auto"/>
              <w:rPr>
                <w:rFonts w:ascii="Arial"/>
                <w:sz w:val="21"/>
              </w:rPr>
            </w:pPr>
          </w:p>
          <w:p w14:paraId="711CB489">
            <w:pPr>
              <w:spacing w:line="243" w:lineRule="auto"/>
              <w:rPr>
                <w:rFonts w:ascii="Arial"/>
                <w:sz w:val="21"/>
              </w:rPr>
            </w:pPr>
          </w:p>
          <w:p w14:paraId="0E854077">
            <w:pPr>
              <w:spacing w:line="243" w:lineRule="auto"/>
              <w:rPr>
                <w:rFonts w:ascii="Arial"/>
                <w:sz w:val="21"/>
              </w:rPr>
            </w:pPr>
          </w:p>
          <w:p w14:paraId="0969A93B">
            <w:pPr>
              <w:spacing w:line="244" w:lineRule="auto"/>
              <w:rPr>
                <w:rFonts w:ascii="Arial"/>
                <w:sz w:val="21"/>
              </w:rPr>
            </w:pPr>
          </w:p>
          <w:p w14:paraId="2D3F9A27">
            <w:pPr>
              <w:pStyle w:val="213"/>
              <w:spacing w:before="61" w:line="305" w:lineRule="auto"/>
              <w:ind w:left="18" w:right="8" w:hanging="9"/>
            </w:pPr>
            <w:r>
              <w:rPr>
                <w:spacing w:val="5"/>
              </w:rPr>
              <w:t>A020619</w:t>
            </w:r>
            <w:r>
              <w:rPr>
                <w:spacing w:val="-43"/>
              </w:rPr>
              <w:t xml:space="preserve"> </w:t>
            </w:r>
            <w:r>
              <w:rPr>
                <w:spacing w:val="5"/>
              </w:rPr>
              <w:t>照明</w:t>
            </w:r>
            <w:r>
              <w:t xml:space="preserve"> </w:t>
            </w:r>
            <w:r>
              <w:rPr>
                <w:spacing w:val="3"/>
              </w:rPr>
              <w:t>设备</w:t>
            </w:r>
          </w:p>
        </w:tc>
        <w:tc>
          <w:tcPr>
            <w:tcW w:w="1799" w:type="dxa"/>
            <w:vAlign w:val="top"/>
          </w:tcPr>
          <w:p w14:paraId="2B28A870">
            <w:pPr>
              <w:pStyle w:val="213"/>
              <w:spacing w:before="198" w:line="304" w:lineRule="auto"/>
              <w:ind w:left="20" w:right="12" w:hanging="2"/>
            </w:pPr>
            <w:r>
              <w:rPr>
                <w:spacing w:val="19"/>
              </w:rPr>
              <w:t>★</w:t>
            </w:r>
            <w:r>
              <w:rPr>
                <w:spacing w:val="-59"/>
              </w:rPr>
              <w:t xml:space="preserve"> </w:t>
            </w:r>
            <w:r>
              <w:rPr>
                <w:spacing w:val="19"/>
              </w:rPr>
              <w:t>普通照</w:t>
            </w:r>
            <w:r>
              <w:rPr>
                <w:spacing w:val="-42"/>
              </w:rPr>
              <w:t xml:space="preserve"> </w:t>
            </w:r>
            <w:r>
              <w:rPr>
                <w:spacing w:val="19"/>
              </w:rPr>
              <w:t>明用双端</w:t>
            </w:r>
            <w:r>
              <w:t xml:space="preserve"> </w:t>
            </w:r>
            <w:r>
              <w:rPr>
                <w:spacing w:val="4"/>
              </w:rPr>
              <w:t>荧光灯</w:t>
            </w:r>
          </w:p>
        </w:tc>
        <w:tc>
          <w:tcPr>
            <w:tcW w:w="1914" w:type="dxa"/>
            <w:vAlign w:val="top"/>
          </w:tcPr>
          <w:p w14:paraId="2ED8761F">
            <w:pPr>
              <w:rPr>
                <w:rFonts w:ascii="Arial"/>
                <w:sz w:val="21"/>
              </w:rPr>
            </w:pPr>
          </w:p>
        </w:tc>
        <w:tc>
          <w:tcPr>
            <w:tcW w:w="2969" w:type="dxa"/>
            <w:vAlign w:val="top"/>
          </w:tcPr>
          <w:p w14:paraId="08486711">
            <w:pPr>
              <w:pStyle w:val="213"/>
              <w:spacing w:before="198" w:line="304" w:lineRule="auto"/>
              <w:ind w:left="22" w:right="11"/>
            </w:pPr>
            <w:r>
              <w:rPr>
                <w:spacing w:val="19"/>
              </w:rPr>
              <w:t>《普通照明用双端荧光灯能效限</w:t>
            </w:r>
            <w:r>
              <w:rPr>
                <w:spacing w:val="2"/>
              </w:rPr>
              <w:t xml:space="preserve"> </w:t>
            </w:r>
            <w:r>
              <w:rPr>
                <w:spacing w:val="5"/>
              </w:rPr>
              <w:t>定值及能效等级》（</w:t>
            </w:r>
            <w:r>
              <w:t>GB</w:t>
            </w:r>
            <w:r>
              <w:rPr>
                <w:spacing w:val="42"/>
              </w:rPr>
              <w:t xml:space="preserve"> </w:t>
            </w:r>
            <w:r>
              <w:rPr>
                <w:spacing w:val="5"/>
              </w:rPr>
              <w:t>19043）</w:t>
            </w:r>
          </w:p>
        </w:tc>
      </w:tr>
      <w:tr w14:paraId="7BA47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578" w:type="dxa"/>
            <w:vMerge w:val="continue"/>
            <w:tcBorders>
              <w:top w:val="nil"/>
              <w:bottom w:val="nil"/>
            </w:tcBorders>
            <w:vAlign w:val="top"/>
          </w:tcPr>
          <w:p w14:paraId="78B9F2AA">
            <w:pPr>
              <w:rPr>
                <w:rFonts w:ascii="Arial"/>
                <w:sz w:val="21"/>
              </w:rPr>
            </w:pPr>
          </w:p>
        </w:tc>
        <w:tc>
          <w:tcPr>
            <w:tcW w:w="1166" w:type="dxa"/>
            <w:vMerge w:val="continue"/>
            <w:tcBorders>
              <w:top w:val="nil"/>
              <w:bottom w:val="nil"/>
            </w:tcBorders>
            <w:vAlign w:val="top"/>
          </w:tcPr>
          <w:p w14:paraId="20FF4058">
            <w:pPr>
              <w:rPr>
                <w:rFonts w:ascii="Arial"/>
                <w:sz w:val="21"/>
              </w:rPr>
            </w:pPr>
          </w:p>
        </w:tc>
        <w:tc>
          <w:tcPr>
            <w:tcW w:w="1799" w:type="dxa"/>
            <w:vAlign w:val="top"/>
          </w:tcPr>
          <w:p w14:paraId="5D6B13E4">
            <w:pPr>
              <w:pStyle w:val="213"/>
              <w:spacing w:before="156" w:line="305" w:lineRule="auto"/>
              <w:ind w:left="14" w:right="7" w:hanging="1"/>
            </w:pPr>
            <w:r>
              <w:t>LED</w:t>
            </w:r>
            <w:r>
              <w:rPr>
                <w:spacing w:val="23"/>
              </w:rPr>
              <w:t xml:space="preserve"> </w:t>
            </w:r>
            <w:r>
              <w:rPr>
                <w:spacing w:val="19"/>
              </w:rPr>
              <w:t>道路/隧道照明</w:t>
            </w:r>
            <w:r>
              <w:t xml:space="preserve"> </w:t>
            </w:r>
            <w:r>
              <w:rPr>
                <w:spacing w:val="5"/>
              </w:rPr>
              <w:t>产品</w:t>
            </w:r>
          </w:p>
        </w:tc>
        <w:tc>
          <w:tcPr>
            <w:tcW w:w="1914" w:type="dxa"/>
            <w:vAlign w:val="top"/>
          </w:tcPr>
          <w:p w14:paraId="3CE345D1">
            <w:pPr>
              <w:rPr>
                <w:rFonts w:ascii="Arial"/>
                <w:sz w:val="21"/>
              </w:rPr>
            </w:pPr>
          </w:p>
        </w:tc>
        <w:tc>
          <w:tcPr>
            <w:tcW w:w="2969" w:type="dxa"/>
            <w:vAlign w:val="top"/>
          </w:tcPr>
          <w:p w14:paraId="241D4861">
            <w:pPr>
              <w:pStyle w:val="213"/>
              <w:spacing w:before="156" w:line="305" w:lineRule="auto"/>
              <w:ind w:left="22"/>
            </w:pPr>
            <w:r>
              <w:rPr>
                <w:spacing w:val="7"/>
              </w:rPr>
              <w:t xml:space="preserve">《道路和隧道照明用 </w:t>
            </w:r>
            <w:r>
              <w:t>LED</w:t>
            </w:r>
            <w:r>
              <w:rPr>
                <w:spacing w:val="7"/>
              </w:rPr>
              <w:t xml:space="preserve"> 灯具能</w:t>
            </w:r>
            <w:r>
              <w:t xml:space="preserve">  </w:t>
            </w:r>
            <w:r>
              <w:rPr>
                <w:spacing w:val="-4"/>
              </w:rPr>
              <w:t>效限定值及能效等级》（GB</w:t>
            </w:r>
            <w:r>
              <w:rPr>
                <w:spacing w:val="-24"/>
              </w:rPr>
              <w:t xml:space="preserve"> </w:t>
            </w:r>
            <w:r>
              <w:rPr>
                <w:spacing w:val="-4"/>
              </w:rPr>
              <w:t>37478）</w:t>
            </w:r>
          </w:p>
        </w:tc>
      </w:tr>
      <w:tr w14:paraId="6B5ED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578" w:type="dxa"/>
            <w:vMerge w:val="continue"/>
            <w:tcBorders>
              <w:top w:val="nil"/>
              <w:bottom w:val="nil"/>
            </w:tcBorders>
            <w:vAlign w:val="top"/>
          </w:tcPr>
          <w:p w14:paraId="038DD605">
            <w:pPr>
              <w:rPr>
                <w:rFonts w:ascii="Arial"/>
                <w:sz w:val="21"/>
              </w:rPr>
            </w:pPr>
          </w:p>
        </w:tc>
        <w:tc>
          <w:tcPr>
            <w:tcW w:w="1166" w:type="dxa"/>
            <w:vMerge w:val="continue"/>
            <w:tcBorders>
              <w:top w:val="nil"/>
              <w:bottom w:val="nil"/>
            </w:tcBorders>
            <w:vAlign w:val="top"/>
          </w:tcPr>
          <w:p w14:paraId="7ECD9DDA">
            <w:pPr>
              <w:rPr>
                <w:rFonts w:ascii="Arial"/>
                <w:sz w:val="21"/>
              </w:rPr>
            </w:pPr>
          </w:p>
        </w:tc>
        <w:tc>
          <w:tcPr>
            <w:tcW w:w="1799" w:type="dxa"/>
            <w:vAlign w:val="top"/>
          </w:tcPr>
          <w:p w14:paraId="43633CFA">
            <w:pPr>
              <w:rPr>
                <w:rFonts w:ascii="Arial"/>
                <w:sz w:val="21"/>
              </w:rPr>
            </w:pPr>
          </w:p>
          <w:p w14:paraId="493C90A2">
            <w:pPr>
              <w:pStyle w:val="213"/>
              <w:spacing w:before="62" w:line="229" w:lineRule="auto"/>
              <w:ind w:left="13"/>
            </w:pPr>
            <w:r>
              <w:t>LED</w:t>
            </w:r>
            <w:r>
              <w:rPr>
                <w:spacing w:val="-32"/>
              </w:rPr>
              <w:t xml:space="preserve"> </w:t>
            </w:r>
            <w:r>
              <w:rPr>
                <w:spacing w:val="8"/>
              </w:rPr>
              <w:t>筒灯</w:t>
            </w:r>
          </w:p>
        </w:tc>
        <w:tc>
          <w:tcPr>
            <w:tcW w:w="1914" w:type="dxa"/>
            <w:vAlign w:val="top"/>
          </w:tcPr>
          <w:p w14:paraId="3B0070CD">
            <w:pPr>
              <w:rPr>
                <w:rFonts w:ascii="Arial"/>
                <w:sz w:val="21"/>
              </w:rPr>
            </w:pPr>
          </w:p>
        </w:tc>
        <w:tc>
          <w:tcPr>
            <w:tcW w:w="2969" w:type="dxa"/>
            <w:vAlign w:val="top"/>
          </w:tcPr>
          <w:p w14:paraId="41F25484">
            <w:pPr>
              <w:pStyle w:val="213"/>
              <w:spacing w:before="148" w:line="304" w:lineRule="auto"/>
              <w:ind w:left="17" w:right="13" w:firstLine="5"/>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1DE4C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trPr>
        <w:tc>
          <w:tcPr>
            <w:tcW w:w="578" w:type="dxa"/>
            <w:vMerge w:val="continue"/>
            <w:tcBorders>
              <w:top w:val="nil"/>
            </w:tcBorders>
            <w:vAlign w:val="top"/>
          </w:tcPr>
          <w:p w14:paraId="724F1B39">
            <w:pPr>
              <w:rPr>
                <w:rFonts w:ascii="Arial"/>
                <w:sz w:val="21"/>
              </w:rPr>
            </w:pPr>
          </w:p>
        </w:tc>
        <w:tc>
          <w:tcPr>
            <w:tcW w:w="1166" w:type="dxa"/>
            <w:vMerge w:val="continue"/>
            <w:tcBorders>
              <w:top w:val="nil"/>
            </w:tcBorders>
            <w:vAlign w:val="top"/>
          </w:tcPr>
          <w:p w14:paraId="1C182A65">
            <w:pPr>
              <w:rPr>
                <w:rFonts w:ascii="Arial"/>
                <w:sz w:val="21"/>
              </w:rPr>
            </w:pPr>
          </w:p>
        </w:tc>
        <w:tc>
          <w:tcPr>
            <w:tcW w:w="1799" w:type="dxa"/>
            <w:vAlign w:val="top"/>
          </w:tcPr>
          <w:p w14:paraId="350DC787">
            <w:pPr>
              <w:pStyle w:val="213"/>
              <w:spacing w:before="265" w:line="304" w:lineRule="auto"/>
              <w:ind w:left="47" w:right="12" w:hanging="33"/>
            </w:pPr>
            <w:r>
              <w:rPr>
                <w:spacing w:val="30"/>
              </w:rPr>
              <w:t>普通照明用非定向</w:t>
            </w:r>
            <w:r>
              <w:rPr>
                <w:spacing w:val="5"/>
              </w:rPr>
              <w:t xml:space="preserve"> </w:t>
            </w:r>
            <w:r>
              <w:rPr>
                <w:spacing w:val="-1"/>
              </w:rPr>
              <w:t>自镇流</w:t>
            </w:r>
            <w:r>
              <w:rPr>
                <w:spacing w:val="-33"/>
              </w:rPr>
              <w:t xml:space="preserve"> </w:t>
            </w:r>
            <w:r>
              <w:rPr>
                <w:spacing w:val="-1"/>
              </w:rPr>
              <w:t>LED</w:t>
            </w:r>
            <w:r>
              <w:rPr>
                <w:spacing w:val="-37"/>
              </w:rPr>
              <w:t xml:space="preserve"> </w:t>
            </w:r>
            <w:r>
              <w:rPr>
                <w:spacing w:val="-1"/>
              </w:rPr>
              <w:t>灯</w:t>
            </w:r>
          </w:p>
        </w:tc>
        <w:tc>
          <w:tcPr>
            <w:tcW w:w="1914" w:type="dxa"/>
            <w:vAlign w:val="top"/>
          </w:tcPr>
          <w:p w14:paraId="660D9771">
            <w:pPr>
              <w:rPr>
                <w:rFonts w:ascii="Arial"/>
                <w:sz w:val="21"/>
              </w:rPr>
            </w:pPr>
          </w:p>
        </w:tc>
        <w:tc>
          <w:tcPr>
            <w:tcW w:w="2969" w:type="dxa"/>
            <w:vAlign w:val="top"/>
          </w:tcPr>
          <w:p w14:paraId="218E746A">
            <w:pPr>
              <w:pStyle w:val="213"/>
              <w:spacing w:before="265" w:line="304" w:lineRule="auto"/>
              <w:ind w:left="17" w:right="13" w:firstLine="5"/>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4C749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578" w:type="dxa"/>
            <w:vAlign w:val="top"/>
          </w:tcPr>
          <w:p w14:paraId="1A5D257B">
            <w:pPr>
              <w:pStyle w:val="213"/>
              <w:spacing w:before="301" w:line="258" w:lineRule="exact"/>
              <w:ind w:left="209"/>
            </w:pPr>
            <w:r>
              <w:rPr>
                <w:spacing w:val="-7"/>
                <w:position w:val="1"/>
              </w:rPr>
              <w:t>12</w:t>
            </w:r>
          </w:p>
        </w:tc>
        <w:tc>
          <w:tcPr>
            <w:tcW w:w="1166" w:type="dxa"/>
            <w:vAlign w:val="top"/>
          </w:tcPr>
          <w:p w14:paraId="23DC9EF0">
            <w:pPr>
              <w:pStyle w:val="213"/>
              <w:spacing w:before="145" w:line="305" w:lineRule="auto"/>
              <w:ind w:left="14" w:right="8" w:firstLine="3"/>
            </w:pPr>
            <w:r>
              <w:rPr>
                <w:spacing w:val="1"/>
              </w:rPr>
              <w:t>★A020910</w:t>
            </w:r>
            <w:r>
              <w:rPr>
                <w:spacing w:val="-17"/>
              </w:rPr>
              <w:t xml:space="preserve"> </w:t>
            </w:r>
            <w:r>
              <w:rPr>
                <w:spacing w:val="1"/>
              </w:rPr>
              <w:t>电</w:t>
            </w:r>
            <w:r>
              <w:t xml:space="preserve"> </w:t>
            </w:r>
            <w:r>
              <w:rPr>
                <w:spacing w:val="6"/>
              </w:rPr>
              <w:t>视设备</w:t>
            </w:r>
          </w:p>
        </w:tc>
        <w:tc>
          <w:tcPr>
            <w:tcW w:w="1799" w:type="dxa"/>
            <w:vAlign w:val="top"/>
          </w:tcPr>
          <w:p w14:paraId="602A962D">
            <w:pPr>
              <w:pStyle w:val="213"/>
              <w:spacing w:before="145" w:line="304" w:lineRule="auto"/>
              <w:ind w:left="18" w:right="10" w:hanging="9"/>
            </w:pPr>
            <w:r>
              <w:rPr>
                <w:spacing w:val="4"/>
              </w:rPr>
              <w:t>A02091001 普通电视</w:t>
            </w:r>
            <w:r>
              <w:rPr>
                <w:spacing w:val="7"/>
              </w:rPr>
              <w:t xml:space="preserve"> </w:t>
            </w:r>
            <w:r>
              <w:rPr>
                <w:spacing w:val="6"/>
              </w:rPr>
              <w:t>设备（电视机）</w:t>
            </w:r>
          </w:p>
        </w:tc>
        <w:tc>
          <w:tcPr>
            <w:tcW w:w="1914" w:type="dxa"/>
            <w:vAlign w:val="top"/>
          </w:tcPr>
          <w:p w14:paraId="687D4C5B">
            <w:pPr>
              <w:rPr>
                <w:rFonts w:ascii="Arial"/>
                <w:sz w:val="21"/>
              </w:rPr>
            </w:pPr>
          </w:p>
        </w:tc>
        <w:tc>
          <w:tcPr>
            <w:tcW w:w="2969" w:type="dxa"/>
            <w:vAlign w:val="top"/>
          </w:tcPr>
          <w:p w14:paraId="6D852FF4">
            <w:pPr>
              <w:pStyle w:val="213"/>
              <w:spacing w:before="146" w:line="305" w:lineRule="auto"/>
              <w:ind w:left="21" w:right="11" w:firstLine="2"/>
            </w:pPr>
            <w:r>
              <w:rPr>
                <w:spacing w:val="19"/>
              </w:rPr>
              <w:t>《平板电视能效限定值及能效等</w:t>
            </w:r>
            <w:r>
              <w:rPr>
                <w:spacing w:val="2"/>
              </w:rPr>
              <w:t xml:space="preserve"> </w:t>
            </w:r>
            <w:r>
              <w:rPr>
                <w:spacing w:val="4"/>
              </w:rPr>
              <w:t>级》（</w:t>
            </w:r>
            <w:r>
              <w:t>GB</w:t>
            </w:r>
            <w:r>
              <w:rPr>
                <w:spacing w:val="23"/>
              </w:rPr>
              <w:t xml:space="preserve"> </w:t>
            </w:r>
            <w:r>
              <w:rPr>
                <w:spacing w:val="4"/>
              </w:rPr>
              <w:t>24850）</w:t>
            </w:r>
          </w:p>
        </w:tc>
      </w:tr>
      <w:tr w14:paraId="17B47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6" w:hRule="atLeast"/>
        </w:trPr>
        <w:tc>
          <w:tcPr>
            <w:tcW w:w="578" w:type="dxa"/>
            <w:vAlign w:val="top"/>
          </w:tcPr>
          <w:p w14:paraId="0B7C1DC1">
            <w:pPr>
              <w:spacing w:line="268" w:lineRule="auto"/>
              <w:rPr>
                <w:rFonts w:ascii="Arial"/>
                <w:sz w:val="21"/>
              </w:rPr>
            </w:pPr>
          </w:p>
          <w:p w14:paraId="4937BACC">
            <w:pPr>
              <w:spacing w:line="269" w:lineRule="auto"/>
              <w:rPr>
                <w:rFonts w:ascii="Arial"/>
                <w:sz w:val="21"/>
              </w:rPr>
            </w:pPr>
          </w:p>
          <w:p w14:paraId="35A6CC62">
            <w:pPr>
              <w:spacing w:line="269" w:lineRule="auto"/>
              <w:rPr>
                <w:rFonts w:ascii="Arial"/>
                <w:sz w:val="21"/>
              </w:rPr>
            </w:pPr>
          </w:p>
          <w:p w14:paraId="48B9F6FC">
            <w:pPr>
              <w:pStyle w:val="213"/>
              <w:spacing w:before="62" w:line="256" w:lineRule="exact"/>
              <w:ind w:left="209"/>
            </w:pPr>
            <w:r>
              <w:rPr>
                <w:spacing w:val="-7"/>
                <w:position w:val="1"/>
              </w:rPr>
              <w:t>13</w:t>
            </w:r>
          </w:p>
        </w:tc>
        <w:tc>
          <w:tcPr>
            <w:tcW w:w="1166" w:type="dxa"/>
            <w:vAlign w:val="top"/>
          </w:tcPr>
          <w:p w14:paraId="6A2C27E7">
            <w:pPr>
              <w:spacing w:line="325" w:lineRule="auto"/>
              <w:rPr>
                <w:rFonts w:ascii="Arial"/>
                <w:sz w:val="21"/>
              </w:rPr>
            </w:pPr>
          </w:p>
          <w:p w14:paraId="1B1074DF">
            <w:pPr>
              <w:spacing w:line="326" w:lineRule="auto"/>
              <w:rPr>
                <w:rFonts w:ascii="Arial"/>
                <w:sz w:val="21"/>
              </w:rPr>
            </w:pPr>
          </w:p>
          <w:p w14:paraId="162AA68E">
            <w:pPr>
              <w:pStyle w:val="213"/>
              <w:spacing w:before="62" w:line="305" w:lineRule="auto"/>
              <w:ind w:left="16" w:right="8" w:firstLine="2"/>
            </w:pPr>
            <w:r>
              <w:rPr>
                <w:spacing w:val="4"/>
              </w:rPr>
              <w:t>★A020911</w:t>
            </w:r>
            <w:r>
              <w:rPr>
                <w:spacing w:val="-44"/>
              </w:rPr>
              <w:t xml:space="preserve"> </w:t>
            </w:r>
            <w:r>
              <w:rPr>
                <w:spacing w:val="4"/>
              </w:rPr>
              <w:t>视</w:t>
            </w:r>
            <w:r>
              <w:t xml:space="preserve"> </w:t>
            </w:r>
            <w:r>
              <w:rPr>
                <w:spacing w:val="6"/>
              </w:rPr>
              <w:t>频设备</w:t>
            </w:r>
          </w:p>
        </w:tc>
        <w:tc>
          <w:tcPr>
            <w:tcW w:w="1799" w:type="dxa"/>
            <w:vAlign w:val="top"/>
          </w:tcPr>
          <w:p w14:paraId="40E984F6">
            <w:pPr>
              <w:spacing w:line="325" w:lineRule="auto"/>
              <w:rPr>
                <w:rFonts w:ascii="Arial"/>
                <w:sz w:val="21"/>
              </w:rPr>
            </w:pPr>
          </w:p>
          <w:p w14:paraId="0E87A601">
            <w:pPr>
              <w:spacing w:line="326" w:lineRule="auto"/>
              <w:rPr>
                <w:rFonts w:ascii="Arial"/>
                <w:sz w:val="21"/>
              </w:rPr>
            </w:pPr>
          </w:p>
          <w:p w14:paraId="5E79B368">
            <w:pPr>
              <w:pStyle w:val="213"/>
              <w:spacing w:before="62" w:line="305" w:lineRule="auto"/>
              <w:ind w:left="18" w:right="10" w:hanging="9"/>
            </w:pPr>
            <w:r>
              <w:rPr>
                <w:spacing w:val="4"/>
              </w:rPr>
              <w:t>A02091107 视频监控</w:t>
            </w:r>
            <w:r>
              <w:rPr>
                <w:spacing w:val="7"/>
              </w:rPr>
              <w:t xml:space="preserve"> </w:t>
            </w:r>
            <w:r>
              <w:rPr>
                <w:spacing w:val="3"/>
              </w:rPr>
              <w:t>设备</w:t>
            </w:r>
          </w:p>
        </w:tc>
        <w:tc>
          <w:tcPr>
            <w:tcW w:w="1914" w:type="dxa"/>
            <w:vAlign w:val="top"/>
          </w:tcPr>
          <w:p w14:paraId="7E981341">
            <w:pPr>
              <w:spacing w:line="268" w:lineRule="auto"/>
              <w:rPr>
                <w:rFonts w:ascii="Arial"/>
                <w:sz w:val="21"/>
              </w:rPr>
            </w:pPr>
          </w:p>
          <w:p w14:paraId="6FB42634">
            <w:pPr>
              <w:spacing w:line="269" w:lineRule="auto"/>
              <w:rPr>
                <w:rFonts w:ascii="Arial"/>
                <w:sz w:val="21"/>
              </w:rPr>
            </w:pPr>
          </w:p>
          <w:p w14:paraId="6B6291C4">
            <w:pPr>
              <w:spacing w:line="269" w:lineRule="auto"/>
              <w:rPr>
                <w:rFonts w:ascii="Arial"/>
                <w:sz w:val="21"/>
              </w:rPr>
            </w:pPr>
          </w:p>
          <w:p w14:paraId="144E9D4D">
            <w:pPr>
              <w:pStyle w:val="213"/>
              <w:spacing w:before="62" w:line="230" w:lineRule="auto"/>
              <w:ind w:left="17"/>
            </w:pPr>
            <w:r>
              <w:rPr>
                <w:spacing w:val="6"/>
              </w:rPr>
              <w:t>监视器</w:t>
            </w:r>
          </w:p>
        </w:tc>
        <w:tc>
          <w:tcPr>
            <w:tcW w:w="2969" w:type="dxa"/>
            <w:vAlign w:val="top"/>
          </w:tcPr>
          <w:p w14:paraId="29162634">
            <w:pPr>
              <w:pStyle w:val="213"/>
              <w:spacing w:before="93" w:line="303" w:lineRule="auto"/>
              <w:ind w:left="17" w:right="11" w:firstLine="23"/>
            </w:pPr>
            <w:r>
              <w:rPr>
                <w:spacing w:val="18"/>
              </w:rPr>
              <w:t>以射频信号为主要信号输入的监</w:t>
            </w:r>
            <w:r>
              <w:t xml:space="preserve"> </w:t>
            </w:r>
            <w:r>
              <w:rPr>
                <w:spacing w:val="5"/>
              </w:rPr>
              <w:t>视器应符合《平板电视能效限定值</w:t>
            </w:r>
            <w:r>
              <w:rPr>
                <w:spacing w:val="7"/>
              </w:rPr>
              <w:t xml:space="preserve"> </w:t>
            </w:r>
            <w:r>
              <w:rPr>
                <w:spacing w:val="8"/>
              </w:rPr>
              <w:t>及能效等级》（</w:t>
            </w:r>
            <w:r>
              <w:t>GB</w:t>
            </w:r>
            <w:r>
              <w:rPr>
                <w:spacing w:val="8"/>
              </w:rPr>
              <w:t xml:space="preserve"> 24850</w:t>
            </w:r>
            <w:r>
              <w:t>），</w:t>
            </w:r>
          </w:p>
          <w:p w14:paraId="78C3DB6A">
            <w:pPr>
              <w:pStyle w:val="213"/>
              <w:spacing w:before="1" w:line="290" w:lineRule="auto"/>
              <w:ind w:left="17" w:right="11" w:firstLine="23"/>
            </w:pPr>
            <w:r>
              <w:rPr>
                <w:spacing w:val="18"/>
              </w:rPr>
              <w:t>以数字信号为主要信号输入的监</w:t>
            </w:r>
            <w:r>
              <w:t xml:space="preserve"> </w:t>
            </w:r>
            <w:r>
              <w:rPr>
                <w:spacing w:val="5"/>
              </w:rPr>
              <w:t>视器应符合《计算机显示器能效限</w:t>
            </w:r>
            <w:r>
              <w:rPr>
                <w:spacing w:val="7"/>
              </w:rPr>
              <w:t xml:space="preserve"> 定值及能效等级》（</w:t>
            </w:r>
            <w:r>
              <w:t>GB</w:t>
            </w:r>
            <w:r>
              <w:rPr>
                <w:spacing w:val="7"/>
              </w:rPr>
              <w:t xml:space="preserve"> 21520）</w:t>
            </w:r>
          </w:p>
        </w:tc>
      </w:tr>
      <w:tr w14:paraId="43CAF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78" w:type="dxa"/>
            <w:vAlign w:val="top"/>
          </w:tcPr>
          <w:p w14:paraId="1A735296">
            <w:pPr>
              <w:pStyle w:val="213"/>
              <w:spacing w:before="298" w:line="258" w:lineRule="exact"/>
              <w:ind w:left="209"/>
            </w:pPr>
            <w:r>
              <w:rPr>
                <w:spacing w:val="-7"/>
                <w:position w:val="1"/>
              </w:rPr>
              <w:t>14</w:t>
            </w:r>
          </w:p>
        </w:tc>
        <w:tc>
          <w:tcPr>
            <w:tcW w:w="1166" w:type="dxa"/>
            <w:vAlign w:val="top"/>
          </w:tcPr>
          <w:p w14:paraId="0BA5D3DF">
            <w:pPr>
              <w:pStyle w:val="213"/>
              <w:spacing w:before="142" w:line="304" w:lineRule="auto"/>
              <w:ind w:left="15" w:right="8" w:hanging="6"/>
            </w:pPr>
            <w:r>
              <w:rPr>
                <w:spacing w:val="5"/>
              </w:rPr>
              <w:t>A031210</w:t>
            </w:r>
            <w:r>
              <w:rPr>
                <w:spacing w:val="-43"/>
              </w:rPr>
              <w:t xml:space="preserve"> </w:t>
            </w:r>
            <w:r>
              <w:rPr>
                <w:spacing w:val="5"/>
              </w:rPr>
              <w:t>饮食</w:t>
            </w:r>
            <w:r>
              <w:t xml:space="preserve"> </w:t>
            </w:r>
            <w:r>
              <w:rPr>
                <w:spacing w:val="7"/>
              </w:rPr>
              <w:t>炊事机械</w:t>
            </w:r>
          </w:p>
        </w:tc>
        <w:tc>
          <w:tcPr>
            <w:tcW w:w="1799" w:type="dxa"/>
            <w:vAlign w:val="top"/>
          </w:tcPr>
          <w:p w14:paraId="78B39F26">
            <w:pPr>
              <w:pStyle w:val="213"/>
              <w:spacing w:before="297" w:line="230" w:lineRule="auto"/>
              <w:ind w:left="19"/>
            </w:pPr>
            <w:r>
              <w:rPr>
                <w:spacing w:val="7"/>
              </w:rPr>
              <w:t>商用燃气灶具</w:t>
            </w:r>
          </w:p>
        </w:tc>
        <w:tc>
          <w:tcPr>
            <w:tcW w:w="1914" w:type="dxa"/>
            <w:vAlign w:val="top"/>
          </w:tcPr>
          <w:p w14:paraId="39261D56">
            <w:pPr>
              <w:rPr>
                <w:rFonts w:ascii="Arial"/>
                <w:sz w:val="21"/>
              </w:rPr>
            </w:pPr>
          </w:p>
        </w:tc>
        <w:tc>
          <w:tcPr>
            <w:tcW w:w="2969" w:type="dxa"/>
            <w:vAlign w:val="top"/>
          </w:tcPr>
          <w:p w14:paraId="0A69EBF9">
            <w:pPr>
              <w:pStyle w:val="213"/>
              <w:spacing w:before="142" w:line="304" w:lineRule="auto"/>
              <w:ind w:left="22" w:right="11"/>
            </w:pPr>
            <w:r>
              <w:rPr>
                <w:spacing w:val="19"/>
              </w:rPr>
              <w:t>《商用燃气灶具能效限定值及能</w:t>
            </w:r>
            <w:r>
              <w:rPr>
                <w:spacing w:val="2"/>
              </w:rPr>
              <w:t xml:space="preserve"> </w:t>
            </w:r>
            <w:r>
              <w:rPr>
                <w:spacing w:val="6"/>
              </w:rPr>
              <w:t>效等级》（</w:t>
            </w:r>
            <w:r>
              <w:t>GB</w:t>
            </w:r>
            <w:r>
              <w:rPr>
                <w:spacing w:val="6"/>
              </w:rPr>
              <w:t xml:space="preserve"> 30531）</w:t>
            </w:r>
          </w:p>
        </w:tc>
      </w:tr>
      <w:tr w14:paraId="1F4A8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578" w:type="dxa"/>
            <w:vMerge w:val="restart"/>
            <w:tcBorders>
              <w:bottom w:val="nil"/>
            </w:tcBorders>
            <w:vAlign w:val="top"/>
          </w:tcPr>
          <w:p w14:paraId="379A88BA">
            <w:pPr>
              <w:spacing w:line="290" w:lineRule="auto"/>
              <w:rPr>
                <w:rFonts w:ascii="Arial"/>
                <w:sz w:val="21"/>
              </w:rPr>
            </w:pPr>
          </w:p>
          <w:p w14:paraId="415710B0">
            <w:pPr>
              <w:spacing w:line="290" w:lineRule="auto"/>
              <w:rPr>
                <w:rFonts w:ascii="Arial"/>
                <w:sz w:val="21"/>
              </w:rPr>
            </w:pPr>
          </w:p>
          <w:p w14:paraId="1DF74F26">
            <w:pPr>
              <w:spacing w:line="291" w:lineRule="auto"/>
              <w:rPr>
                <w:rFonts w:ascii="Arial"/>
                <w:sz w:val="21"/>
              </w:rPr>
            </w:pPr>
          </w:p>
          <w:p w14:paraId="73A08F93">
            <w:pPr>
              <w:spacing w:line="291" w:lineRule="auto"/>
              <w:rPr>
                <w:rFonts w:ascii="Arial"/>
                <w:sz w:val="21"/>
              </w:rPr>
            </w:pPr>
          </w:p>
          <w:p w14:paraId="6679BED7">
            <w:pPr>
              <w:pStyle w:val="213"/>
              <w:spacing w:before="62" w:line="257" w:lineRule="exact"/>
              <w:ind w:left="209"/>
            </w:pPr>
            <w:r>
              <w:rPr>
                <w:spacing w:val="-7"/>
                <w:position w:val="1"/>
              </w:rPr>
              <w:t>15</w:t>
            </w:r>
          </w:p>
        </w:tc>
        <w:tc>
          <w:tcPr>
            <w:tcW w:w="1166" w:type="dxa"/>
            <w:vMerge w:val="restart"/>
            <w:tcBorders>
              <w:bottom w:val="nil"/>
            </w:tcBorders>
            <w:vAlign w:val="top"/>
          </w:tcPr>
          <w:p w14:paraId="3C83F983">
            <w:pPr>
              <w:spacing w:line="251" w:lineRule="auto"/>
              <w:rPr>
                <w:rFonts w:ascii="Arial"/>
                <w:sz w:val="21"/>
              </w:rPr>
            </w:pPr>
          </w:p>
          <w:p w14:paraId="33D15EF4">
            <w:pPr>
              <w:spacing w:line="251" w:lineRule="auto"/>
              <w:rPr>
                <w:rFonts w:ascii="Arial"/>
                <w:sz w:val="21"/>
              </w:rPr>
            </w:pPr>
          </w:p>
          <w:p w14:paraId="556E7C59">
            <w:pPr>
              <w:spacing w:line="252" w:lineRule="auto"/>
              <w:rPr>
                <w:rFonts w:ascii="Arial"/>
                <w:sz w:val="21"/>
              </w:rPr>
            </w:pPr>
          </w:p>
          <w:p w14:paraId="2C86B078">
            <w:pPr>
              <w:pStyle w:val="213"/>
              <w:spacing w:before="62" w:line="307" w:lineRule="auto"/>
              <w:ind w:left="15" w:right="8" w:firstLine="3"/>
            </w:pPr>
            <w:r>
              <w:rPr>
                <w:spacing w:val="3"/>
              </w:rPr>
              <w:t>★A060805</w:t>
            </w:r>
            <w:r>
              <w:rPr>
                <w:spacing w:val="-35"/>
              </w:rPr>
              <w:t xml:space="preserve"> </w:t>
            </w:r>
            <w:r>
              <w:rPr>
                <w:spacing w:val="3"/>
              </w:rPr>
              <w:t>便</w:t>
            </w:r>
            <w:r>
              <w:t xml:space="preserve"> </w:t>
            </w:r>
            <w:r>
              <w:rPr>
                <w:spacing w:val="1"/>
              </w:rPr>
              <w:t>器</w:t>
            </w:r>
          </w:p>
        </w:tc>
        <w:tc>
          <w:tcPr>
            <w:tcW w:w="1799" w:type="dxa"/>
            <w:vAlign w:val="top"/>
          </w:tcPr>
          <w:p w14:paraId="69264CCD">
            <w:pPr>
              <w:spacing w:line="282" w:lineRule="auto"/>
              <w:rPr>
                <w:rFonts w:ascii="Arial"/>
                <w:sz w:val="21"/>
              </w:rPr>
            </w:pPr>
          </w:p>
          <w:p w14:paraId="75C4A866">
            <w:pPr>
              <w:pStyle w:val="213"/>
              <w:spacing w:before="62" w:line="229" w:lineRule="auto"/>
              <w:ind w:left="16"/>
            </w:pPr>
            <w:r>
              <w:rPr>
                <w:spacing w:val="6"/>
              </w:rPr>
              <w:t>坐便器</w:t>
            </w:r>
          </w:p>
        </w:tc>
        <w:tc>
          <w:tcPr>
            <w:tcW w:w="1914" w:type="dxa"/>
            <w:vAlign w:val="top"/>
          </w:tcPr>
          <w:p w14:paraId="06D6FE26">
            <w:pPr>
              <w:rPr>
                <w:rFonts w:ascii="Arial"/>
                <w:sz w:val="21"/>
              </w:rPr>
            </w:pPr>
          </w:p>
        </w:tc>
        <w:tc>
          <w:tcPr>
            <w:tcW w:w="2969" w:type="dxa"/>
            <w:vAlign w:val="top"/>
          </w:tcPr>
          <w:p w14:paraId="550503C2">
            <w:pPr>
              <w:pStyle w:val="213"/>
              <w:spacing w:before="189" w:line="311" w:lineRule="auto"/>
              <w:ind w:left="27" w:hanging="4"/>
            </w:pPr>
            <w:r>
              <w:rPr>
                <w:spacing w:val="6"/>
              </w:rPr>
              <w:t>《坐便器水效限定值及水效等级》</w:t>
            </w:r>
            <w:r>
              <w:t xml:space="preserve"> </w:t>
            </w:r>
            <w:r>
              <w:rPr>
                <w:spacing w:val="1"/>
              </w:rPr>
              <w:t>（</w:t>
            </w:r>
            <w:r>
              <w:t>GB</w:t>
            </w:r>
            <w:r>
              <w:rPr>
                <w:spacing w:val="15"/>
              </w:rPr>
              <w:t xml:space="preserve"> </w:t>
            </w:r>
            <w:r>
              <w:rPr>
                <w:spacing w:val="1"/>
              </w:rPr>
              <w:t>25502）</w:t>
            </w:r>
          </w:p>
        </w:tc>
      </w:tr>
      <w:tr w14:paraId="6FC46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trPr>
        <w:tc>
          <w:tcPr>
            <w:tcW w:w="578" w:type="dxa"/>
            <w:vMerge w:val="continue"/>
            <w:tcBorders>
              <w:top w:val="nil"/>
              <w:bottom w:val="nil"/>
            </w:tcBorders>
            <w:vAlign w:val="top"/>
          </w:tcPr>
          <w:p w14:paraId="0774E339">
            <w:pPr>
              <w:rPr>
                <w:rFonts w:ascii="Arial"/>
                <w:sz w:val="21"/>
              </w:rPr>
            </w:pPr>
          </w:p>
        </w:tc>
        <w:tc>
          <w:tcPr>
            <w:tcW w:w="1166" w:type="dxa"/>
            <w:vMerge w:val="continue"/>
            <w:tcBorders>
              <w:top w:val="nil"/>
              <w:bottom w:val="nil"/>
            </w:tcBorders>
            <w:vAlign w:val="top"/>
          </w:tcPr>
          <w:p w14:paraId="47573F4F">
            <w:pPr>
              <w:rPr>
                <w:rFonts w:ascii="Arial"/>
                <w:sz w:val="21"/>
              </w:rPr>
            </w:pPr>
          </w:p>
        </w:tc>
        <w:tc>
          <w:tcPr>
            <w:tcW w:w="1799" w:type="dxa"/>
            <w:vAlign w:val="top"/>
          </w:tcPr>
          <w:p w14:paraId="27ADEF01">
            <w:pPr>
              <w:spacing w:line="283" w:lineRule="auto"/>
              <w:rPr>
                <w:rFonts w:ascii="Arial"/>
                <w:sz w:val="21"/>
              </w:rPr>
            </w:pPr>
          </w:p>
          <w:p w14:paraId="002A8B1C">
            <w:pPr>
              <w:pStyle w:val="213"/>
              <w:spacing w:before="62" w:line="229" w:lineRule="auto"/>
              <w:ind w:left="14"/>
            </w:pPr>
            <w:r>
              <w:rPr>
                <w:spacing w:val="6"/>
              </w:rPr>
              <w:t>蹲便器</w:t>
            </w:r>
          </w:p>
        </w:tc>
        <w:tc>
          <w:tcPr>
            <w:tcW w:w="1914" w:type="dxa"/>
            <w:vAlign w:val="top"/>
          </w:tcPr>
          <w:p w14:paraId="155CD212">
            <w:pPr>
              <w:rPr>
                <w:rFonts w:ascii="Arial"/>
                <w:sz w:val="21"/>
              </w:rPr>
            </w:pPr>
          </w:p>
        </w:tc>
        <w:tc>
          <w:tcPr>
            <w:tcW w:w="2969" w:type="dxa"/>
            <w:vAlign w:val="top"/>
          </w:tcPr>
          <w:p w14:paraId="33F60332">
            <w:pPr>
              <w:pStyle w:val="213"/>
              <w:spacing w:before="191" w:line="304" w:lineRule="auto"/>
              <w:ind w:left="22" w:right="11"/>
            </w:pPr>
            <w:r>
              <w:rPr>
                <w:spacing w:val="19"/>
              </w:rPr>
              <w:t>《蹲便器用水效率限定值及用水</w:t>
            </w:r>
            <w:r>
              <w:rPr>
                <w:spacing w:val="2"/>
              </w:rPr>
              <w:t xml:space="preserve"> </w:t>
            </w:r>
            <w:r>
              <w:rPr>
                <w:spacing w:val="6"/>
              </w:rPr>
              <w:t>效率等级》（</w:t>
            </w:r>
            <w:r>
              <w:t>GB</w:t>
            </w:r>
            <w:r>
              <w:rPr>
                <w:spacing w:val="6"/>
              </w:rPr>
              <w:t xml:space="preserve"> 30717）</w:t>
            </w:r>
          </w:p>
        </w:tc>
      </w:tr>
      <w:tr w14:paraId="01E4D4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 w:hRule="atLeast"/>
        </w:trPr>
        <w:tc>
          <w:tcPr>
            <w:tcW w:w="578" w:type="dxa"/>
            <w:vMerge w:val="continue"/>
            <w:tcBorders>
              <w:top w:val="nil"/>
            </w:tcBorders>
            <w:vAlign w:val="top"/>
          </w:tcPr>
          <w:p w14:paraId="1DECC5AB">
            <w:pPr>
              <w:rPr>
                <w:rFonts w:ascii="Arial"/>
                <w:sz w:val="21"/>
              </w:rPr>
            </w:pPr>
          </w:p>
        </w:tc>
        <w:tc>
          <w:tcPr>
            <w:tcW w:w="1166" w:type="dxa"/>
            <w:vMerge w:val="continue"/>
            <w:tcBorders>
              <w:top w:val="nil"/>
            </w:tcBorders>
            <w:vAlign w:val="top"/>
          </w:tcPr>
          <w:p w14:paraId="0B15BC4C">
            <w:pPr>
              <w:rPr>
                <w:rFonts w:ascii="Arial"/>
                <w:sz w:val="21"/>
              </w:rPr>
            </w:pPr>
          </w:p>
        </w:tc>
        <w:tc>
          <w:tcPr>
            <w:tcW w:w="1799" w:type="dxa"/>
            <w:vAlign w:val="top"/>
          </w:tcPr>
          <w:p w14:paraId="0C655CC8">
            <w:pPr>
              <w:spacing w:line="284" w:lineRule="auto"/>
              <w:rPr>
                <w:rFonts w:ascii="Arial"/>
                <w:sz w:val="21"/>
              </w:rPr>
            </w:pPr>
          </w:p>
          <w:p w14:paraId="2EADDFBF">
            <w:pPr>
              <w:pStyle w:val="213"/>
              <w:spacing w:before="61" w:line="229" w:lineRule="auto"/>
              <w:ind w:left="20"/>
            </w:pPr>
            <w:r>
              <w:rPr>
                <w:spacing w:val="4"/>
              </w:rPr>
              <w:t>小便器</w:t>
            </w:r>
          </w:p>
        </w:tc>
        <w:tc>
          <w:tcPr>
            <w:tcW w:w="1914" w:type="dxa"/>
            <w:vAlign w:val="top"/>
          </w:tcPr>
          <w:p w14:paraId="026836EF">
            <w:pPr>
              <w:rPr>
                <w:rFonts w:ascii="Arial"/>
                <w:sz w:val="21"/>
              </w:rPr>
            </w:pPr>
          </w:p>
        </w:tc>
        <w:tc>
          <w:tcPr>
            <w:tcW w:w="2969" w:type="dxa"/>
            <w:vAlign w:val="top"/>
          </w:tcPr>
          <w:p w14:paraId="75C671BE">
            <w:pPr>
              <w:pStyle w:val="213"/>
              <w:spacing w:before="192" w:line="304" w:lineRule="auto"/>
              <w:ind w:left="22" w:right="11"/>
            </w:pPr>
            <w:r>
              <w:rPr>
                <w:spacing w:val="19"/>
              </w:rPr>
              <w:t>《小便器用水效率限定值及用水</w:t>
            </w:r>
            <w:r>
              <w:rPr>
                <w:spacing w:val="2"/>
              </w:rPr>
              <w:t xml:space="preserve"> </w:t>
            </w:r>
            <w:r>
              <w:rPr>
                <w:spacing w:val="6"/>
              </w:rPr>
              <w:t>效率等级》（</w:t>
            </w:r>
            <w:r>
              <w:t>GB</w:t>
            </w:r>
            <w:r>
              <w:rPr>
                <w:spacing w:val="6"/>
              </w:rPr>
              <w:t xml:space="preserve"> 28377）</w:t>
            </w:r>
          </w:p>
        </w:tc>
      </w:tr>
    </w:tbl>
    <w:p w14:paraId="08876F07">
      <w:pPr>
        <w:rPr>
          <w:rFonts w:ascii="Arial"/>
          <w:sz w:val="21"/>
        </w:rPr>
      </w:pPr>
    </w:p>
    <w:p w14:paraId="638FF41C">
      <w:pPr>
        <w:rPr>
          <w:rFonts w:ascii="Arial" w:hAnsi="Arial" w:eastAsia="Arial" w:cs="Arial"/>
          <w:sz w:val="21"/>
          <w:szCs w:val="21"/>
        </w:rPr>
        <w:sectPr>
          <w:pgSz w:w="11906" w:h="16838"/>
          <w:pgMar w:top="1431" w:right="1691" w:bottom="1134" w:left="1783" w:header="850" w:footer="992" w:gutter="0"/>
          <w:pgBorders>
            <w:top w:val="none" w:sz="0" w:space="0"/>
            <w:left w:val="none" w:sz="0" w:space="0"/>
            <w:bottom w:val="none" w:sz="0" w:space="0"/>
            <w:right w:val="none" w:sz="0" w:space="0"/>
          </w:pgBorders>
          <w:cols w:space="720" w:num="1"/>
        </w:sectPr>
      </w:pPr>
    </w:p>
    <w:p w14:paraId="65F2A7F9">
      <w:pPr>
        <w:spacing w:line="91" w:lineRule="auto"/>
        <w:rPr>
          <w:rFonts w:ascii="Arial"/>
          <w:sz w:val="2"/>
        </w:rPr>
      </w:pPr>
    </w:p>
    <w:tbl>
      <w:tblPr>
        <w:tblStyle w:val="214"/>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701D4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578" w:type="dxa"/>
            <w:vAlign w:val="top"/>
          </w:tcPr>
          <w:p w14:paraId="2F24B473">
            <w:pPr>
              <w:spacing w:line="312" w:lineRule="auto"/>
              <w:rPr>
                <w:rFonts w:ascii="Arial"/>
                <w:sz w:val="21"/>
              </w:rPr>
            </w:pPr>
          </w:p>
          <w:p w14:paraId="530FAF58">
            <w:pPr>
              <w:pStyle w:val="213"/>
              <w:spacing w:before="61" w:line="257" w:lineRule="exact"/>
              <w:ind w:left="209"/>
            </w:pPr>
            <w:r>
              <w:rPr>
                <w:spacing w:val="-7"/>
                <w:position w:val="1"/>
              </w:rPr>
              <w:t>16</w:t>
            </w:r>
          </w:p>
        </w:tc>
        <w:tc>
          <w:tcPr>
            <w:tcW w:w="1166" w:type="dxa"/>
            <w:vAlign w:val="top"/>
          </w:tcPr>
          <w:p w14:paraId="2A464D7B">
            <w:pPr>
              <w:pStyle w:val="213"/>
              <w:spacing w:before="220" w:line="304" w:lineRule="auto"/>
              <w:ind w:left="22" w:right="8" w:hanging="4"/>
            </w:pPr>
            <w:r>
              <w:rPr>
                <w:spacing w:val="3"/>
              </w:rPr>
              <w:t>★A060806</w:t>
            </w:r>
            <w:r>
              <w:rPr>
                <w:spacing w:val="-35"/>
              </w:rPr>
              <w:t xml:space="preserve"> </w:t>
            </w:r>
            <w:r>
              <w:rPr>
                <w:spacing w:val="3"/>
              </w:rPr>
              <w:t>水</w:t>
            </w:r>
            <w:r>
              <w:t xml:space="preserve"> 嘴</w:t>
            </w:r>
          </w:p>
        </w:tc>
        <w:tc>
          <w:tcPr>
            <w:tcW w:w="1799" w:type="dxa"/>
            <w:vAlign w:val="top"/>
          </w:tcPr>
          <w:p w14:paraId="7CE072FE">
            <w:pPr>
              <w:rPr>
                <w:rFonts w:ascii="Arial"/>
                <w:sz w:val="21"/>
              </w:rPr>
            </w:pPr>
          </w:p>
        </w:tc>
        <w:tc>
          <w:tcPr>
            <w:tcW w:w="1914" w:type="dxa"/>
            <w:vAlign w:val="top"/>
          </w:tcPr>
          <w:p w14:paraId="7A575F13">
            <w:pPr>
              <w:rPr>
                <w:rFonts w:ascii="Arial"/>
                <w:sz w:val="21"/>
              </w:rPr>
            </w:pPr>
          </w:p>
        </w:tc>
        <w:tc>
          <w:tcPr>
            <w:tcW w:w="2969" w:type="dxa"/>
            <w:vAlign w:val="top"/>
          </w:tcPr>
          <w:p w14:paraId="3BFC4085">
            <w:pPr>
              <w:pStyle w:val="213"/>
              <w:spacing w:before="220" w:line="304" w:lineRule="auto"/>
              <w:ind w:left="19" w:right="11" w:firstLine="3"/>
            </w:pPr>
            <w:r>
              <w:rPr>
                <w:spacing w:val="19"/>
              </w:rPr>
              <w:t>《水嘴用水效率限定值及用水效</w:t>
            </w:r>
            <w:r>
              <w:rPr>
                <w:spacing w:val="2"/>
              </w:rPr>
              <w:t xml:space="preserve"> </w:t>
            </w:r>
            <w:r>
              <w:rPr>
                <w:spacing w:val="6"/>
              </w:rPr>
              <w:t>率等级》（</w:t>
            </w:r>
            <w:r>
              <w:t>GB</w:t>
            </w:r>
            <w:r>
              <w:rPr>
                <w:spacing w:val="6"/>
              </w:rPr>
              <w:t xml:space="preserve"> 25501）</w:t>
            </w:r>
          </w:p>
        </w:tc>
      </w:tr>
      <w:tr w14:paraId="0E6787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78" w:type="dxa"/>
            <w:vAlign w:val="top"/>
          </w:tcPr>
          <w:p w14:paraId="1E1F548C">
            <w:pPr>
              <w:spacing w:line="268" w:lineRule="auto"/>
              <w:rPr>
                <w:rFonts w:ascii="Arial"/>
                <w:sz w:val="21"/>
              </w:rPr>
            </w:pPr>
          </w:p>
          <w:p w14:paraId="7D2FA1D8">
            <w:pPr>
              <w:pStyle w:val="213"/>
              <w:spacing w:before="62" w:line="257" w:lineRule="exact"/>
              <w:ind w:left="209"/>
            </w:pPr>
            <w:r>
              <w:rPr>
                <w:spacing w:val="-7"/>
                <w:position w:val="1"/>
              </w:rPr>
              <w:t>17</w:t>
            </w:r>
          </w:p>
        </w:tc>
        <w:tc>
          <w:tcPr>
            <w:tcW w:w="1166" w:type="dxa"/>
            <w:vAlign w:val="top"/>
          </w:tcPr>
          <w:p w14:paraId="54053D7A">
            <w:pPr>
              <w:pStyle w:val="213"/>
              <w:spacing w:before="176" w:line="305" w:lineRule="auto"/>
              <w:ind w:left="15" w:right="8" w:hanging="6"/>
            </w:pPr>
            <w:r>
              <w:rPr>
                <w:spacing w:val="5"/>
              </w:rPr>
              <w:t>A060807</w:t>
            </w:r>
            <w:r>
              <w:rPr>
                <w:spacing w:val="-43"/>
              </w:rPr>
              <w:t xml:space="preserve"> </w:t>
            </w:r>
            <w:r>
              <w:rPr>
                <w:spacing w:val="5"/>
              </w:rPr>
              <w:t>便器</w:t>
            </w:r>
            <w:r>
              <w:t xml:space="preserve"> </w:t>
            </w:r>
            <w:r>
              <w:rPr>
                <w:spacing w:val="6"/>
              </w:rPr>
              <w:t>冲洗阀</w:t>
            </w:r>
          </w:p>
        </w:tc>
        <w:tc>
          <w:tcPr>
            <w:tcW w:w="1799" w:type="dxa"/>
            <w:vAlign w:val="top"/>
          </w:tcPr>
          <w:p w14:paraId="186AD530">
            <w:pPr>
              <w:rPr>
                <w:rFonts w:ascii="Arial"/>
                <w:sz w:val="21"/>
              </w:rPr>
            </w:pPr>
          </w:p>
        </w:tc>
        <w:tc>
          <w:tcPr>
            <w:tcW w:w="1914" w:type="dxa"/>
            <w:vAlign w:val="top"/>
          </w:tcPr>
          <w:p w14:paraId="7C785CB7">
            <w:pPr>
              <w:rPr>
                <w:rFonts w:ascii="Arial"/>
                <w:sz w:val="21"/>
              </w:rPr>
            </w:pPr>
          </w:p>
        </w:tc>
        <w:tc>
          <w:tcPr>
            <w:tcW w:w="2969" w:type="dxa"/>
            <w:vAlign w:val="top"/>
          </w:tcPr>
          <w:p w14:paraId="1FA131D8">
            <w:pPr>
              <w:pStyle w:val="213"/>
              <w:spacing w:before="177" w:line="304" w:lineRule="auto"/>
              <w:ind w:left="19" w:right="11" w:firstLine="3"/>
            </w:pPr>
            <w:r>
              <w:rPr>
                <w:spacing w:val="19"/>
              </w:rPr>
              <w:t>《便器冲洗阀用水效率限定值及</w:t>
            </w:r>
            <w:r>
              <w:rPr>
                <w:spacing w:val="2"/>
              </w:rPr>
              <w:t xml:space="preserve"> </w:t>
            </w:r>
            <w:r>
              <w:rPr>
                <w:spacing w:val="7"/>
              </w:rPr>
              <w:t>用水效率等级》（</w:t>
            </w:r>
            <w:r>
              <w:t>GB</w:t>
            </w:r>
            <w:r>
              <w:rPr>
                <w:spacing w:val="7"/>
              </w:rPr>
              <w:t xml:space="preserve"> 28379）</w:t>
            </w:r>
          </w:p>
        </w:tc>
      </w:tr>
      <w:tr w14:paraId="25733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578" w:type="dxa"/>
            <w:vAlign w:val="top"/>
          </w:tcPr>
          <w:p w14:paraId="5E9BF0E2">
            <w:pPr>
              <w:spacing w:line="289" w:lineRule="auto"/>
              <w:rPr>
                <w:rFonts w:ascii="Arial"/>
                <w:sz w:val="21"/>
              </w:rPr>
            </w:pPr>
          </w:p>
          <w:p w14:paraId="6C20F59C">
            <w:pPr>
              <w:pStyle w:val="213"/>
              <w:spacing w:before="62" w:line="256" w:lineRule="exact"/>
              <w:ind w:left="209"/>
            </w:pPr>
            <w:r>
              <w:rPr>
                <w:spacing w:val="-7"/>
                <w:position w:val="1"/>
              </w:rPr>
              <w:t>18</w:t>
            </w:r>
          </w:p>
        </w:tc>
        <w:tc>
          <w:tcPr>
            <w:tcW w:w="1166" w:type="dxa"/>
            <w:vAlign w:val="top"/>
          </w:tcPr>
          <w:p w14:paraId="6479A66C">
            <w:pPr>
              <w:pStyle w:val="213"/>
              <w:spacing w:before="196" w:line="307" w:lineRule="auto"/>
              <w:ind w:left="15" w:right="8" w:hanging="6"/>
            </w:pPr>
            <w:r>
              <w:rPr>
                <w:spacing w:val="4"/>
              </w:rPr>
              <w:t>A060810</w:t>
            </w:r>
            <w:r>
              <w:rPr>
                <w:spacing w:val="-34"/>
              </w:rPr>
              <w:t xml:space="preserve"> </w:t>
            </w:r>
            <w:r>
              <w:rPr>
                <w:spacing w:val="4"/>
              </w:rPr>
              <w:t>淋浴</w:t>
            </w:r>
            <w:r>
              <w:t xml:space="preserve"> </w:t>
            </w:r>
            <w:r>
              <w:rPr>
                <w:spacing w:val="1"/>
              </w:rPr>
              <w:t>器</w:t>
            </w:r>
          </w:p>
        </w:tc>
        <w:tc>
          <w:tcPr>
            <w:tcW w:w="1799" w:type="dxa"/>
            <w:vAlign w:val="top"/>
          </w:tcPr>
          <w:p w14:paraId="15A8BA2D">
            <w:pPr>
              <w:rPr>
                <w:rFonts w:ascii="Arial"/>
                <w:sz w:val="21"/>
              </w:rPr>
            </w:pPr>
          </w:p>
        </w:tc>
        <w:tc>
          <w:tcPr>
            <w:tcW w:w="1914" w:type="dxa"/>
            <w:vAlign w:val="top"/>
          </w:tcPr>
          <w:p w14:paraId="1A84F050">
            <w:pPr>
              <w:rPr>
                <w:rFonts w:ascii="Arial"/>
                <w:sz w:val="21"/>
              </w:rPr>
            </w:pPr>
          </w:p>
        </w:tc>
        <w:tc>
          <w:tcPr>
            <w:tcW w:w="2969" w:type="dxa"/>
            <w:vAlign w:val="top"/>
          </w:tcPr>
          <w:p w14:paraId="763D7EC2">
            <w:pPr>
              <w:pStyle w:val="213"/>
              <w:spacing w:before="197" w:line="304" w:lineRule="auto"/>
              <w:ind w:left="22" w:right="11"/>
            </w:pPr>
            <w:r>
              <w:rPr>
                <w:spacing w:val="19"/>
              </w:rPr>
              <w:t>《淋浴器用水效率限定值及用水</w:t>
            </w:r>
            <w:r>
              <w:rPr>
                <w:spacing w:val="2"/>
              </w:rPr>
              <w:t xml:space="preserve"> </w:t>
            </w:r>
            <w:r>
              <w:rPr>
                <w:spacing w:val="6"/>
              </w:rPr>
              <w:t>效率等级》（</w:t>
            </w:r>
            <w:r>
              <w:t>GB</w:t>
            </w:r>
            <w:r>
              <w:rPr>
                <w:spacing w:val="6"/>
              </w:rPr>
              <w:t xml:space="preserve"> 28378）</w:t>
            </w:r>
          </w:p>
        </w:tc>
      </w:tr>
    </w:tbl>
    <w:p w14:paraId="514CDACB">
      <w:pPr>
        <w:spacing w:after="120" w:line="360" w:lineRule="auto"/>
        <w:rPr>
          <w:rFonts w:hint="eastAsia" w:ascii="宋体" w:hAnsi="宋体" w:eastAsia="宋体"/>
          <w:szCs w:val="21"/>
          <w:lang w:eastAsia="zh-CN"/>
        </w:rPr>
      </w:pPr>
      <w:r>
        <w:rPr>
          <w:rFonts w:hint="eastAsia" w:ascii="宋体" w:hAnsi="宋体"/>
          <w:spacing w:val="-3"/>
          <w:szCs w:val="21"/>
        </w:rPr>
        <w:t>注：1.节能产品认证应依据相关国家标准的最新版本</w:t>
      </w:r>
      <w:r>
        <w:rPr>
          <w:rFonts w:hint="eastAsia" w:ascii="宋体" w:hAnsi="宋体"/>
          <w:spacing w:val="-3"/>
          <w:szCs w:val="21"/>
          <w:lang w:eastAsia="zh-CN"/>
        </w:rPr>
        <w:t>。</w:t>
      </w:r>
    </w:p>
    <w:p w14:paraId="34839CC1">
      <w:pPr>
        <w:spacing w:after="120" w:line="360" w:lineRule="auto"/>
        <w:ind w:firstLine="465"/>
        <w:sectPr>
          <w:footerReference r:id="rId10" w:type="first"/>
          <w:footerReference r:id="rId9" w:type="default"/>
          <w:pgSz w:w="11906" w:h="16838"/>
          <w:pgMar w:top="993" w:right="1689" w:bottom="1246" w:left="1786" w:header="851" w:footer="99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szCs w:val="21"/>
        </w:rPr>
        <w:t>2.以“★”标注的为政府强制采购产品。</w:t>
      </w:r>
    </w:p>
    <w:p w14:paraId="5198B984">
      <w:pPr>
        <w:spacing w:line="528" w:lineRule="exact"/>
        <w:jc w:val="left"/>
        <w:rPr>
          <w:rFonts w:hint="eastAsia"/>
          <w:sz w:val="28"/>
          <w:szCs w:val="28"/>
        </w:rPr>
      </w:pPr>
      <w:r>
        <w:rPr>
          <w:rFonts w:hint="eastAsia"/>
          <w:sz w:val="28"/>
          <w:szCs w:val="28"/>
        </w:rPr>
        <w:t>附件4：</w:t>
      </w:r>
    </w:p>
    <w:p w14:paraId="13383190">
      <w:pPr>
        <w:spacing w:line="528" w:lineRule="exact"/>
        <w:ind w:firstLine="280" w:firstLineChars="100"/>
        <w:jc w:val="center"/>
        <w:rPr>
          <w:rFonts w:hint="eastAsia" w:ascii="Times New Roman" w:hAnsi="Times New Roman" w:eastAsia="宋体" w:cs="Times New Roman"/>
          <w:sz w:val="28"/>
          <w:szCs w:val="28"/>
        </w:rPr>
      </w:pPr>
      <w:r>
        <w:rPr>
          <w:rFonts w:hint="eastAsia" w:ascii="Times New Roman" w:hAnsi="Times New Roman" w:eastAsia="宋体" w:cs="Times New Roman"/>
          <w:sz w:val="28"/>
          <w:szCs w:val="28"/>
        </w:rPr>
        <w:t>环境标志产品政府采购品目清单</w:t>
      </w:r>
    </w:p>
    <w:tbl>
      <w:tblPr>
        <w:tblStyle w:val="214"/>
        <w:tblW w:w="105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542"/>
        <w:gridCol w:w="2672"/>
        <w:gridCol w:w="2248"/>
        <w:gridCol w:w="3543"/>
      </w:tblGrid>
      <w:tr w14:paraId="7148F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Borders>
              <w:top w:val="single" w:color="auto" w:sz="4" w:space="0"/>
              <w:left w:val="single" w:color="auto" w:sz="4" w:space="0"/>
              <w:bottom w:val="single" w:color="auto" w:sz="4" w:space="0"/>
              <w:right w:val="single" w:color="auto" w:sz="4" w:space="0"/>
            </w:tcBorders>
            <w:vAlign w:val="top"/>
          </w:tcPr>
          <w:p w14:paraId="0FAF02D6">
            <w:pPr>
              <w:pStyle w:val="213"/>
              <w:spacing w:before="70" w:line="223" w:lineRule="auto"/>
              <w:ind w:left="129"/>
            </w:pPr>
            <w:r>
              <w:rPr>
                <w:b/>
                <w:bCs/>
                <w:spacing w:val="-12"/>
              </w:rPr>
              <w:t>品目</w:t>
            </w:r>
          </w:p>
          <w:p w14:paraId="141F03ED">
            <w:pPr>
              <w:pStyle w:val="213"/>
              <w:spacing w:before="91" w:line="222" w:lineRule="auto"/>
              <w:ind w:left="114"/>
            </w:pPr>
            <w:r>
              <w:rPr>
                <w:b/>
                <w:bCs/>
                <w:spacing w:val="-4"/>
              </w:rPr>
              <w:t>序号</w:t>
            </w:r>
          </w:p>
        </w:tc>
        <w:tc>
          <w:tcPr>
            <w:tcW w:w="6462" w:type="dxa"/>
            <w:gridSpan w:val="3"/>
            <w:tcBorders>
              <w:top w:val="single" w:color="auto" w:sz="4" w:space="0"/>
              <w:left w:val="single" w:color="auto" w:sz="4" w:space="0"/>
              <w:bottom w:val="single" w:color="auto" w:sz="4" w:space="0"/>
              <w:right w:val="single" w:color="auto" w:sz="4" w:space="0"/>
            </w:tcBorders>
            <w:vAlign w:val="top"/>
          </w:tcPr>
          <w:p w14:paraId="4900C852">
            <w:pPr>
              <w:pStyle w:val="213"/>
              <w:spacing w:before="224" w:line="222" w:lineRule="auto"/>
              <w:ind w:left="3054"/>
            </w:pPr>
            <w:r>
              <w:rPr>
                <w:b/>
                <w:bCs/>
                <w:spacing w:val="-6"/>
              </w:rPr>
              <w:t>名称</w:t>
            </w:r>
          </w:p>
        </w:tc>
        <w:tc>
          <w:tcPr>
            <w:tcW w:w="3543" w:type="dxa"/>
            <w:tcBorders>
              <w:top w:val="single" w:color="auto" w:sz="4" w:space="0"/>
              <w:left w:val="single" w:color="auto" w:sz="4" w:space="0"/>
              <w:bottom w:val="single" w:color="auto" w:sz="4" w:space="0"/>
              <w:right w:val="single" w:color="auto" w:sz="4" w:space="0"/>
            </w:tcBorders>
            <w:vAlign w:val="top"/>
          </w:tcPr>
          <w:p w14:paraId="4AACD77E">
            <w:pPr>
              <w:pStyle w:val="213"/>
              <w:spacing w:before="224" w:line="219" w:lineRule="auto"/>
              <w:ind w:left="1325"/>
            </w:pPr>
            <w:r>
              <w:rPr>
                <w:b/>
                <w:bCs/>
                <w:spacing w:val="-4"/>
              </w:rPr>
              <w:t>依据的标准</w:t>
            </w:r>
          </w:p>
        </w:tc>
      </w:tr>
      <w:tr w14:paraId="10F117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1583F73B">
            <w:pPr>
              <w:pStyle w:val="213"/>
              <w:spacing w:before="66" w:line="242" w:lineRule="auto"/>
              <w:ind w:left="128"/>
            </w:pPr>
            <w:r>
              <w:t>1</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71078CD">
            <w:pPr>
              <w:pStyle w:val="213"/>
              <w:spacing w:before="65" w:line="323" w:lineRule="auto"/>
              <w:ind w:left="110" w:right="108" w:hanging="8"/>
            </w:pPr>
            <w:r>
              <w:rPr>
                <w:spacing w:val="3"/>
              </w:rPr>
              <w:t>A020101</w:t>
            </w:r>
            <w:r>
              <w:rPr>
                <w:spacing w:val="34"/>
              </w:rPr>
              <w:t xml:space="preserve"> </w:t>
            </w:r>
            <w:r>
              <w:rPr>
                <w:spacing w:val="3"/>
              </w:rPr>
              <w:t>计算机</w:t>
            </w:r>
            <w:r>
              <w:t xml:space="preserve"> </w:t>
            </w:r>
            <w:r>
              <w:rPr>
                <w:spacing w:val="-3"/>
              </w:rPr>
              <w:t>设备</w:t>
            </w:r>
          </w:p>
        </w:tc>
        <w:tc>
          <w:tcPr>
            <w:tcW w:w="2672" w:type="dxa"/>
            <w:tcBorders>
              <w:top w:val="single" w:color="auto" w:sz="4" w:space="0"/>
              <w:left w:val="single" w:color="auto" w:sz="4" w:space="0"/>
              <w:bottom w:val="single" w:color="auto" w:sz="4" w:space="0"/>
              <w:right w:val="single" w:color="auto" w:sz="4" w:space="0"/>
            </w:tcBorders>
            <w:vAlign w:val="top"/>
          </w:tcPr>
          <w:p w14:paraId="0F33466F">
            <w:pPr>
              <w:pStyle w:val="213"/>
              <w:spacing w:before="66" w:line="220" w:lineRule="auto"/>
              <w:ind w:left="103"/>
            </w:pPr>
            <w:r>
              <w:rPr>
                <w:spacing w:val="-1"/>
              </w:rPr>
              <w:t>A02010103</w:t>
            </w:r>
            <w:r>
              <w:rPr>
                <w:spacing w:val="-32"/>
              </w:rPr>
              <w:t xml:space="preserve"> </w:t>
            </w:r>
            <w:r>
              <w:rPr>
                <w:spacing w:val="-1"/>
              </w:rPr>
              <w:t>服务器</w:t>
            </w:r>
          </w:p>
        </w:tc>
        <w:tc>
          <w:tcPr>
            <w:tcW w:w="2248" w:type="dxa"/>
            <w:tcBorders>
              <w:top w:val="single" w:color="auto" w:sz="4" w:space="0"/>
              <w:left w:val="single" w:color="auto" w:sz="4" w:space="0"/>
              <w:bottom w:val="single" w:color="auto" w:sz="4" w:space="0"/>
              <w:right w:val="single" w:color="auto" w:sz="4" w:space="0"/>
            </w:tcBorders>
            <w:vAlign w:val="top"/>
          </w:tcPr>
          <w:p w14:paraId="2A755ED7">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21022B4E">
            <w:pPr>
              <w:pStyle w:val="213"/>
              <w:spacing w:before="66" w:line="219" w:lineRule="auto"/>
              <w:ind w:left="109"/>
            </w:pPr>
            <w:r>
              <w:rPr>
                <w:spacing w:val="-2"/>
              </w:rPr>
              <w:t>HJ2507</w:t>
            </w:r>
            <w:r>
              <w:rPr>
                <w:spacing w:val="-20"/>
              </w:rPr>
              <w:t xml:space="preserve"> </w:t>
            </w:r>
            <w:r>
              <w:rPr>
                <w:spacing w:val="-2"/>
              </w:rPr>
              <w:t>网络服务器</w:t>
            </w:r>
          </w:p>
        </w:tc>
      </w:tr>
      <w:tr w14:paraId="6627B6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7E18E1B">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2A27DE12">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6BC65539">
            <w:pPr>
              <w:pStyle w:val="213"/>
              <w:spacing w:before="65" w:line="219" w:lineRule="auto"/>
              <w:ind w:left="103"/>
            </w:pPr>
            <w:r>
              <w:rPr>
                <w:spacing w:val="-2"/>
              </w:rPr>
              <w:t>A02010104</w:t>
            </w:r>
            <w:r>
              <w:rPr>
                <w:spacing w:val="-14"/>
              </w:rPr>
              <w:t xml:space="preserve"> </w:t>
            </w:r>
            <w:r>
              <w:rPr>
                <w:spacing w:val="-2"/>
              </w:rPr>
              <w:t>台式计算机</w:t>
            </w:r>
          </w:p>
        </w:tc>
        <w:tc>
          <w:tcPr>
            <w:tcW w:w="2248" w:type="dxa"/>
            <w:tcBorders>
              <w:top w:val="single" w:color="auto" w:sz="4" w:space="0"/>
              <w:left w:val="single" w:color="auto" w:sz="4" w:space="0"/>
              <w:bottom w:val="single" w:color="auto" w:sz="4" w:space="0"/>
              <w:right w:val="single" w:color="auto" w:sz="4" w:space="0"/>
            </w:tcBorders>
            <w:vAlign w:val="top"/>
          </w:tcPr>
          <w:p w14:paraId="057A59D6">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67E13A12">
            <w:pPr>
              <w:pStyle w:val="213"/>
              <w:spacing w:before="64" w:line="219" w:lineRule="auto"/>
              <w:ind w:left="109"/>
            </w:pPr>
            <w:r>
              <w:rPr>
                <w:spacing w:val="-1"/>
              </w:rPr>
              <w:t>HJ2536</w:t>
            </w:r>
            <w:r>
              <w:rPr>
                <w:spacing w:val="-28"/>
              </w:rPr>
              <w:t xml:space="preserve"> </w:t>
            </w:r>
            <w:r>
              <w:rPr>
                <w:spacing w:val="-1"/>
              </w:rPr>
              <w:t>微型计算机、显示器</w:t>
            </w:r>
          </w:p>
        </w:tc>
      </w:tr>
      <w:tr w14:paraId="29F73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CC2B9AB">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835A11A">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2586937D">
            <w:pPr>
              <w:pStyle w:val="213"/>
              <w:spacing w:before="64" w:line="219" w:lineRule="auto"/>
              <w:ind w:left="103"/>
            </w:pPr>
            <w:r>
              <w:rPr>
                <w:spacing w:val="-1"/>
              </w:rPr>
              <w:t>A02010105</w:t>
            </w:r>
            <w:r>
              <w:rPr>
                <w:spacing w:val="-30"/>
              </w:rPr>
              <w:t xml:space="preserve"> </w:t>
            </w:r>
            <w:r>
              <w:rPr>
                <w:spacing w:val="-1"/>
              </w:rPr>
              <w:t>便携式计算机</w:t>
            </w:r>
          </w:p>
        </w:tc>
        <w:tc>
          <w:tcPr>
            <w:tcW w:w="2248" w:type="dxa"/>
            <w:tcBorders>
              <w:top w:val="single" w:color="auto" w:sz="4" w:space="0"/>
              <w:left w:val="single" w:color="auto" w:sz="4" w:space="0"/>
              <w:bottom w:val="single" w:color="auto" w:sz="4" w:space="0"/>
              <w:right w:val="single" w:color="auto" w:sz="4" w:space="0"/>
            </w:tcBorders>
            <w:vAlign w:val="top"/>
          </w:tcPr>
          <w:p w14:paraId="07AAF5EB">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69CFD470">
            <w:pPr>
              <w:pStyle w:val="213"/>
              <w:spacing w:before="64" w:line="219" w:lineRule="auto"/>
              <w:ind w:left="109"/>
            </w:pPr>
            <w:r>
              <w:rPr>
                <w:spacing w:val="-1"/>
              </w:rPr>
              <w:t>HJ2536</w:t>
            </w:r>
            <w:r>
              <w:rPr>
                <w:spacing w:val="-28"/>
              </w:rPr>
              <w:t xml:space="preserve"> </w:t>
            </w:r>
            <w:r>
              <w:rPr>
                <w:spacing w:val="-1"/>
              </w:rPr>
              <w:t>微型计算机、显示器</w:t>
            </w:r>
          </w:p>
        </w:tc>
      </w:tr>
      <w:tr w14:paraId="00AE1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5CD2D516">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87B538D">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07A3820E">
            <w:pPr>
              <w:pStyle w:val="213"/>
              <w:spacing w:before="64" w:line="219" w:lineRule="auto"/>
              <w:ind w:left="103"/>
            </w:pPr>
            <w:r>
              <w:rPr>
                <w:spacing w:val="-1"/>
              </w:rPr>
              <w:t>A02010107</w:t>
            </w:r>
            <w:r>
              <w:rPr>
                <w:spacing w:val="-28"/>
              </w:rPr>
              <w:t xml:space="preserve"> </w:t>
            </w:r>
            <w:r>
              <w:rPr>
                <w:spacing w:val="-1"/>
              </w:rPr>
              <w:t>平板式微型计算机</w:t>
            </w:r>
          </w:p>
        </w:tc>
        <w:tc>
          <w:tcPr>
            <w:tcW w:w="2248" w:type="dxa"/>
            <w:tcBorders>
              <w:top w:val="single" w:color="auto" w:sz="4" w:space="0"/>
              <w:left w:val="single" w:color="auto" w:sz="4" w:space="0"/>
              <w:bottom w:val="single" w:color="auto" w:sz="4" w:space="0"/>
              <w:right w:val="single" w:color="auto" w:sz="4" w:space="0"/>
            </w:tcBorders>
            <w:vAlign w:val="top"/>
          </w:tcPr>
          <w:p w14:paraId="1B748563">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747EECB8">
            <w:pPr>
              <w:pStyle w:val="213"/>
              <w:spacing w:before="63" w:line="219" w:lineRule="auto"/>
              <w:ind w:left="109"/>
            </w:pPr>
            <w:r>
              <w:rPr>
                <w:spacing w:val="-1"/>
              </w:rPr>
              <w:t>HJ2536</w:t>
            </w:r>
            <w:r>
              <w:rPr>
                <w:spacing w:val="-28"/>
              </w:rPr>
              <w:t xml:space="preserve"> </w:t>
            </w:r>
            <w:r>
              <w:rPr>
                <w:spacing w:val="-1"/>
              </w:rPr>
              <w:t>微型计算机、显示器</w:t>
            </w:r>
          </w:p>
        </w:tc>
      </w:tr>
      <w:tr w14:paraId="3A7CA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7E04A968">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28AA29B5">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672A73F4">
            <w:pPr>
              <w:pStyle w:val="213"/>
              <w:spacing w:before="65" w:line="219" w:lineRule="auto"/>
              <w:ind w:left="103"/>
            </w:pPr>
            <w:r>
              <w:rPr>
                <w:spacing w:val="-2"/>
              </w:rPr>
              <w:t>A02010108</w:t>
            </w:r>
            <w:r>
              <w:rPr>
                <w:spacing w:val="32"/>
              </w:rPr>
              <w:t xml:space="preserve"> </w:t>
            </w:r>
            <w:r>
              <w:rPr>
                <w:spacing w:val="-2"/>
              </w:rPr>
              <w:t>网络计算机</w:t>
            </w:r>
          </w:p>
        </w:tc>
        <w:tc>
          <w:tcPr>
            <w:tcW w:w="2248" w:type="dxa"/>
            <w:tcBorders>
              <w:top w:val="single" w:color="auto" w:sz="4" w:space="0"/>
              <w:left w:val="single" w:color="auto" w:sz="4" w:space="0"/>
              <w:bottom w:val="single" w:color="auto" w:sz="4" w:space="0"/>
              <w:right w:val="single" w:color="auto" w:sz="4" w:space="0"/>
            </w:tcBorders>
            <w:vAlign w:val="top"/>
          </w:tcPr>
          <w:p w14:paraId="652D58F5">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56260D36">
            <w:pPr>
              <w:pStyle w:val="213"/>
              <w:spacing w:before="64" w:line="219" w:lineRule="auto"/>
              <w:ind w:left="109"/>
            </w:pPr>
            <w:r>
              <w:rPr>
                <w:spacing w:val="-1"/>
              </w:rPr>
              <w:t>HJ2536</w:t>
            </w:r>
            <w:r>
              <w:rPr>
                <w:spacing w:val="-28"/>
              </w:rPr>
              <w:t xml:space="preserve"> </w:t>
            </w:r>
            <w:r>
              <w:rPr>
                <w:spacing w:val="-1"/>
              </w:rPr>
              <w:t>微型计算机、显示器</w:t>
            </w:r>
          </w:p>
        </w:tc>
      </w:tr>
      <w:tr w14:paraId="375FF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3E6D6D3">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3E82BE0D">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1336E76F">
            <w:pPr>
              <w:pStyle w:val="213"/>
              <w:spacing w:before="64" w:line="219" w:lineRule="auto"/>
              <w:ind w:left="103"/>
            </w:pPr>
            <w:r>
              <w:t>A02010109 计算机工作站</w:t>
            </w:r>
          </w:p>
        </w:tc>
        <w:tc>
          <w:tcPr>
            <w:tcW w:w="2248" w:type="dxa"/>
            <w:tcBorders>
              <w:top w:val="single" w:color="auto" w:sz="4" w:space="0"/>
              <w:left w:val="single" w:color="auto" w:sz="4" w:space="0"/>
              <w:bottom w:val="single" w:color="auto" w:sz="4" w:space="0"/>
              <w:right w:val="single" w:color="auto" w:sz="4" w:space="0"/>
            </w:tcBorders>
            <w:vAlign w:val="top"/>
          </w:tcPr>
          <w:p w14:paraId="34C7AF7D">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58008142">
            <w:pPr>
              <w:pStyle w:val="213"/>
              <w:spacing w:before="64" w:line="219" w:lineRule="auto"/>
              <w:ind w:left="109"/>
            </w:pPr>
            <w:r>
              <w:rPr>
                <w:spacing w:val="-1"/>
              </w:rPr>
              <w:t>HJ2536</w:t>
            </w:r>
            <w:r>
              <w:rPr>
                <w:spacing w:val="-28"/>
              </w:rPr>
              <w:t xml:space="preserve"> </w:t>
            </w:r>
            <w:r>
              <w:rPr>
                <w:spacing w:val="-1"/>
              </w:rPr>
              <w:t>微型计算机、显示器</w:t>
            </w:r>
          </w:p>
        </w:tc>
      </w:tr>
      <w:tr w14:paraId="01BDF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532E45BE">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14F57387">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47CA96C1">
            <w:pPr>
              <w:pStyle w:val="213"/>
              <w:spacing w:before="64" w:line="219" w:lineRule="auto"/>
              <w:ind w:left="103"/>
            </w:pPr>
            <w:r>
              <w:rPr>
                <w:spacing w:val="-1"/>
              </w:rPr>
              <w:t>A02010199</w:t>
            </w:r>
            <w:r>
              <w:rPr>
                <w:spacing w:val="-29"/>
              </w:rPr>
              <w:t xml:space="preserve"> </w:t>
            </w:r>
            <w:r>
              <w:rPr>
                <w:spacing w:val="-1"/>
              </w:rPr>
              <w:t>其他计算机设备</w:t>
            </w:r>
          </w:p>
        </w:tc>
        <w:tc>
          <w:tcPr>
            <w:tcW w:w="2248" w:type="dxa"/>
            <w:tcBorders>
              <w:top w:val="single" w:color="auto" w:sz="4" w:space="0"/>
              <w:left w:val="single" w:color="auto" w:sz="4" w:space="0"/>
              <w:bottom w:val="single" w:color="auto" w:sz="4" w:space="0"/>
              <w:right w:val="single" w:color="auto" w:sz="4" w:space="0"/>
            </w:tcBorders>
            <w:vAlign w:val="top"/>
          </w:tcPr>
          <w:p w14:paraId="74F29028">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774281FE">
            <w:pPr>
              <w:pStyle w:val="213"/>
              <w:spacing w:before="64" w:line="219" w:lineRule="auto"/>
              <w:ind w:left="109"/>
            </w:pPr>
            <w:r>
              <w:rPr>
                <w:spacing w:val="-1"/>
              </w:rPr>
              <w:t>HJ2536</w:t>
            </w:r>
            <w:r>
              <w:rPr>
                <w:spacing w:val="-28"/>
              </w:rPr>
              <w:t xml:space="preserve"> </w:t>
            </w:r>
            <w:r>
              <w:rPr>
                <w:spacing w:val="-1"/>
              </w:rPr>
              <w:t>微型计算机、显示器</w:t>
            </w:r>
          </w:p>
        </w:tc>
      </w:tr>
      <w:tr w14:paraId="1A8EF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41746529">
            <w:pPr>
              <w:pStyle w:val="213"/>
              <w:spacing w:before="64" w:line="242" w:lineRule="auto"/>
              <w:ind w:left="116"/>
            </w:pPr>
            <w:r>
              <w:t>2</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2B88E24D">
            <w:pPr>
              <w:pStyle w:val="213"/>
              <w:spacing w:before="64" w:line="323" w:lineRule="auto"/>
              <w:ind w:left="123" w:right="108" w:hanging="21"/>
            </w:pPr>
            <w:r>
              <w:rPr>
                <w:spacing w:val="3"/>
              </w:rPr>
              <w:t>A020106</w:t>
            </w:r>
            <w:r>
              <w:rPr>
                <w:spacing w:val="34"/>
              </w:rPr>
              <w:t xml:space="preserve"> </w:t>
            </w:r>
            <w:r>
              <w:rPr>
                <w:spacing w:val="3"/>
              </w:rPr>
              <w:t>输入输</w:t>
            </w:r>
            <w:r>
              <w:t xml:space="preserve"> </w:t>
            </w:r>
            <w:r>
              <w:rPr>
                <w:spacing w:val="-5"/>
              </w:rPr>
              <w:t>出设备</w:t>
            </w:r>
          </w:p>
        </w:tc>
        <w:tc>
          <w:tcPr>
            <w:tcW w:w="2672" w:type="dxa"/>
            <w:vMerge w:val="restart"/>
            <w:tcBorders>
              <w:top w:val="single" w:color="auto" w:sz="4" w:space="0"/>
              <w:left w:val="single" w:color="auto" w:sz="4" w:space="0"/>
              <w:bottom w:val="single" w:color="auto" w:sz="4" w:space="0"/>
              <w:right w:val="single" w:color="auto" w:sz="4" w:space="0"/>
            </w:tcBorders>
            <w:vAlign w:val="top"/>
          </w:tcPr>
          <w:p w14:paraId="3888E4E5">
            <w:pPr>
              <w:pStyle w:val="213"/>
              <w:spacing w:before="64" w:line="220" w:lineRule="auto"/>
              <w:ind w:left="103"/>
            </w:pPr>
            <w:r>
              <w:rPr>
                <w:spacing w:val="-1"/>
              </w:rPr>
              <w:t>A02010601</w:t>
            </w:r>
            <w:r>
              <w:rPr>
                <w:spacing w:val="-31"/>
              </w:rPr>
              <w:t xml:space="preserve"> </w:t>
            </w:r>
            <w:r>
              <w:rPr>
                <w:spacing w:val="-1"/>
              </w:rPr>
              <w:t>打印设备</w:t>
            </w:r>
          </w:p>
        </w:tc>
        <w:tc>
          <w:tcPr>
            <w:tcW w:w="2248" w:type="dxa"/>
            <w:tcBorders>
              <w:top w:val="single" w:color="auto" w:sz="4" w:space="0"/>
              <w:left w:val="single" w:color="auto" w:sz="4" w:space="0"/>
              <w:bottom w:val="single" w:color="auto" w:sz="4" w:space="0"/>
              <w:right w:val="single" w:color="auto" w:sz="4" w:space="0"/>
            </w:tcBorders>
            <w:vAlign w:val="top"/>
          </w:tcPr>
          <w:p w14:paraId="79B7E31D">
            <w:pPr>
              <w:pStyle w:val="213"/>
              <w:spacing w:before="65" w:line="219" w:lineRule="auto"/>
              <w:ind w:left="105"/>
            </w:pPr>
            <w:r>
              <w:t>A0201060101 喷墨打印机</w:t>
            </w:r>
          </w:p>
        </w:tc>
        <w:tc>
          <w:tcPr>
            <w:tcW w:w="3543" w:type="dxa"/>
            <w:tcBorders>
              <w:top w:val="single" w:color="auto" w:sz="4" w:space="0"/>
              <w:left w:val="single" w:color="auto" w:sz="4" w:space="0"/>
              <w:bottom w:val="single" w:color="auto" w:sz="4" w:space="0"/>
              <w:right w:val="single" w:color="auto" w:sz="4" w:space="0"/>
            </w:tcBorders>
            <w:vAlign w:val="top"/>
          </w:tcPr>
          <w:p w14:paraId="0C380A52">
            <w:pPr>
              <w:pStyle w:val="213"/>
              <w:spacing w:before="64" w:line="219" w:lineRule="auto"/>
              <w:ind w:left="109"/>
            </w:pPr>
            <w:r>
              <w:rPr>
                <w:spacing w:val="-1"/>
              </w:rPr>
              <w:t>HJ2512</w:t>
            </w:r>
            <w:r>
              <w:rPr>
                <w:spacing w:val="-29"/>
              </w:rPr>
              <w:t xml:space="preserve"> </w:t>
            </w:r>
            <w:r>
              <w:rPr>
                <w:spacing w:val="-1"/>
              </w:rPr>
              <w:t>打印机、传真机及多功能一体机</w:t>
            </w:r>
          </w:p>
        </w:tc>
      </w:tr>
      <w:tr w14:paraId="794DE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061AA105">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3E214BEB">
            <w:pPr>
              <w:rPr>
                <w:rFonts w:ascii="Arial"/>
                <w:sz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53CF0BA8">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342A6BC1">
            <w:pPr>
              <w:pStyle w:val="213"/>
              <w:spacing w:before="64" w:line="219" w:lineRule="auto"/>
              <w:ind w:left="105"/>
            </w:pPr>
            <w:r>
              <w:t>A0201060102 激光打印机</w:t>
            </w:r>
          </w:p>
        </w:tc>
        <w:tc>
          <w:tcPr>
            <w:tcW w:w="3543" w:type="dxa"/>
            <w:tcBorders>
              <w:top w:val="single" w:color="auto" w:sz="4" w:space="0"/>
              <w:left w:val="single" w:color="auto" w:sz="4" w:space="0"/>
              <w:bottom w:val="single" w:color="auto" w:sz="4" w:space="0"/>
              <w:right w:val="single" w:color="auto" w:sz="4" w:space="0"/>
            </w:tcBorders>
            <w:vAlign w:val="top"/>
          </w:tcPr>
          <w:p w14:paraId="492DADB3">
            <w:pPr>
              <w:pStyle w:val="213"/>
              <w:spacing w:before="64" w:line="219" w:lineRule="auto"/>
              <w:ind w:left="109"/>
            </w:pPr>
            <w:r>
              <w:rPr>
                <w:spacing w:val="-1"/>
              </w:rPr>
              <w:t>HJ2512</w:t>
            </w:r>
            <w:r>
              <w:rPr>
                <w:spacing w:val="-29"/>
              </w:rPr>
              <w:t xml:space="preserve"> </w:t>
            </w:r>
            <w:r>
              <w:rPr>
                <w:spacing w:val="-1"/>
              </w:rPr>
              <w:t>打印机、传真机及多功能一体机</w:t>
            </w:r>
          </w:p>
        </w:tc>
      </w:tr>
      <w:tr w14:paraId="2EF80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32A00ED6">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03961196">
            <w:pPr>
              <w:rPr>
                <w:rFonts w:ascii="Arial"/>
                <w:sz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51F68492">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40A34612">
            <w:pPr>
              <w:pStyle w:val="213"/>
              <w:spacing w:before="64" w:line="219" w:lineRule="auto"/>
              <w:ind w:left="105"/>
            </w:pPr>
            <w:r>
              <w:t>A0201060103 热式打印机</w:t>
            </w:r>
          </w:p>
        </w:tc>
        <w:tc>
          <w:tcPr>
            <w:tcW w:w="3543" w:type="dxa"/>
            <w:tcBorders>
              <w:top w:val="single" w:color="auto" w:sz="4" w:space="0"/>
              <w:left w:val="single" w:color="auto" w:sz="4" w:space="0"/>
              <w:bottom w:val="single" w:color="auto" w:sz="4" w:space="0"/>
              <w:right w:val="single" w:color="auto" w:sz="4" w:space="0"/>
            </w:tcBorders>
            <w:vAlign w:val="top"/>
          </w:tcPr>
          <w:p w14:paraId="75B59CAF">
            <w:pPr>
              <w:pStyle w:val="213"/>
              <w:spacing w:before="64" w:line="219" w:lineRule="auto"/>
              <w:ind w:left="109"/>
            </w:pPr>
            <w:r>
              <w:rPr>
                <w:spacing w:val="-1"/>
              </w:rPr>
              <w:t>HJ2512</w:t>
            </w:r>
            <w:r>
              <w:rPr>
                <w:spacing w:val="-29"/>
              </w:rPr>
              <w:t xml:space="preserve"> </w:t>
            </w:r>
            <w:r>
              <w:rPr>
                <w:spacing w:val="-1"/>
              </w:rPr>
              <w:t>打印机、传真机及多功能一体机</w:t>
            </w:r>
          </w:p>
        </w:tc>
      </w:tr>
      <w:tr w14:paraId="3F97A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493F545F">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153A9C97">
            <w:pPr>
              <w:rPr>
                <w:rFonts w:ascii="Arial"/>
                <w:sz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6E66013F">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6139EF36">
            <w:pPr>
              <w:pStyle w:val="213"/>
              <w:spacing w:before="65" w:line="219" w:lineRule="auto"/>
              <w:ind w:left="105"/>
            </w:pPr>
            <w:r>
              <w:t>A0201060104 针式打印机</w:t>
            </w:r>
          </w:p>
        </w:tc>
        <w:tc>
          <w:tcPr>
            <w:tcW w:w="3543" w:type="dxa"/>
            <w:tcBorders>
              <w:top w:val="single" w:color="auto" w:sz="4" w:space="0"/>
              <w:left w:val="single" w:color="auto" w:sz="4" w:space="0"/>
              <w:bottom w:val="single" w:color="auto" w:sz="4" w:space="0"/>
              <w:right w:val="single" w:color="auto" w:sz="4" w:space="0"/>
            </w:tcBorders>
            <w:vAlign w:val="top"/>
          </w:tcPr>
          <w:p w14:paraId="0E43265F">
            <w:pPr>
              <w:pStyle w:val="213"/>
              <w:spacing w:before="64" w:line="219" w:lineRule="auto"/>
              <w:ind w:left="109"/>
            </w:pPr>
            <w:r>
              <w:rPr>
                <w:spacing w:val="-1"/>
              </w:rPr>
              <w:t>HJ2512</w:t>
            </w:r>
            <w:r>
              <w:rPr>
                <w:spacing w:val="-29"/>
              </w:rPr>
              <w:t xml:space="preserve"> </w:t>
            </w:r>
            <w:r>
              <w:rPr>
                <w:spacing w:val="-1"/>
              </w:rPr>
              <w:t>打印机、传真机及多功能一体机</w:t>
            </w:r>
          </w:p>
        </w:tc>
      </w:tr>
      <w:tr w14:paraId="18564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196689D3">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026152ED">
            <w:pPr>
              <w:rPr>
                <w:rFonts w:ascii="Arial"/>
                <w:sz w:val="21"/>
              </w:rPr>
            </w:pPr>
          </w:p>
        </w:tc>
        <w:tc>
          <w:tcPr>
            <w:tcW w:w="2672" w:type="dxa"/>
            <w:vMerge w:val="restart"/>
            <w:tcBorders>
              <w:top w:val="single" w:color="auto" w:sz="4" w:space="0"/>
              <w:left w:val="single" w:color="auto" w:sz="4" w:space="0"/>
              <w:bottom w:val="single" w:color="auto" w:sz="4" w:space="0"/>
              <w:right w:val="single" w:color="auto" w:sz="4" w:space="0"/>
            </w:tcBorders>
            <w:vAlign w:val="top"/>
          </w:tcPr>
          <w:p w14:paraId="2BE9A888">
            <w:pPr>
              <w:pStyle w:val="213"/>
              <w:spacing w:before="64" w:line="222" w:lineRule="auto"/>
              <w:ind w:left="103"/>
            </w:pPr>
            <w:r>
              <w:t>A02010604 显示设备</w:t>
            </w:r>
          </w:p>
        </w:tc>
        <w:tc>
          <w:tcPr>
            <w:tcW w:w="2248" w:type="dxa"/>
            <w:tcBorders>
              <w:top w:val="single" w:color="auto" w:sz="4" w:space="0"/>
              <w:left w:val="single" w:color="auto" w:sz="4" w:space="0"/>
              <w:bottom w:val="single" w:color="auto" w:sz="4" w:space="0"/>
              <w:right w:val="single" w:color="auto" w:sz="4" w:space="0"/>
            </w:tcBorders>
            <w:vAlign w:val="top"/>
          </w:tcPr>
          <w:p w14:paraId="56C53EEC">
            <w:pPr>
              <w:pStyle w:val="213"/>
              <w:spacing w:before="64" w:line="221" w:lineRule="auto"/>
              <w:ind w:left="105"/>
            </w:pPr>
            <w:r>
              <w:t>A0201060401 液晶显示器</w:t>
            </w:r>
          </w:p>
        </w:tc>
        <w:tc>
          <w:tcPr>
            <w:tcW w:w="3543" w:type="dxa"/>
            <w:tcBorders>
              <w:top w:val="single" w:color="auto" w:sz="4" w:space="0"/>
              <w:left w:val="single" w:color="auto" w:sz="4" w:space="0"/>
              <w:bottom w:val="single" w:color="auto" w:sz="4" w:space="0"/>
              <w:right w:val="single" w:color="auto" w:sz="4" w:space="0"/>
            </w:tcBorders>
            <w:vAlign w:val="top"/>
          </w:tcPr>
          <w:p w14:paraId="6E7A0CFC">
            <w:pPr>
              <w:pStyle w:val="213"/>
              <w:spacing w:before="64" w:line="219" w:lineRule="auto"/>
              <w:ind w:left="109"/>
            </w:pPr>
            <w:r>
              <w:rPr>
                <w:spacing w:val="-1"/>
              </w:rPr>
              <w:t>HJ2536</w:t>
            </w:r>
            <w:r>
              <w:rPr>
                <w:spacing w:val="-28"/>
              </w:rPr>
              <w:t xml:space="preserve"> </w:t>
            </w:r>
            <w:r>
              <w:rPr>
                <w:spacing w:val="-1"/>
              </w:rPr>
              <w:t>微型计算机、显示器</w:t>
            </w:r>
          </w:p>
        </w:tc>
      </w:tr>
      <w:tr w14:paraId="5B4869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0F2EB8AF">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3C6D1D1D">
            <w:pPr>
              <w:rPr>
                <w:rFonts w:ascii="Arial"/>
                <w:sz w:val="21"/>
              </w:rPr>
            </w:pPr>
          </w:p>
        </w:tc>
        <w:tc>
          <w:tcPr>
            <w:tcW w:w="2672" w:type="dxa"/>
            <w:vMerge w:val="continue"/>
            <w:tcBorders>
              <w:top w:val="single" w:color="auto" w:sz="4" w:space="0"/>
              <w:left w:val="single" w:color="auto" w:sz="4" w:space="0"/>
              <w:bottom w:val="single" w:color="auto" w:sz="4" w:space="0"/>
              <w:right w:val="single" w:color="auto" w:sz="4" w:space="0"/>
            </w:tcBorders>
            <w:vAlign w:val="top"/>
          </w:tcPr>
          <w:p w14:paraId="15C930B2">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13E3C0AE">
            <w:pPr>
              <w:pStyle w:val="213"/>
              <w:spacing w:before="64" w:line="221" w:lineRule="auto"/>
              <w:ind w:left="105"/>
            </w:pPr>
            <w:r>
              <w:t>A0201060499 其他显示器</w:t>
            </w:r>
          </w:p>
        </w:tc>
        <w:tc>
          <w:tcPr>
            <w:tcW w:w="3543" w:type="dxa"/>
            <w:tcBorders>
              <w:top w:val="single" w:color="auto" w:sz="4" w:space="0"/>
              <w:left w:val="single" w:color="auto" w:sz="4" w:space="0"/>
              <w:bottom w:val="single" w:color="auto" w:sz="4" w:space="0"/>
              <w:right w:val="single" w:color="auto" w:sz="4" w:space="0"/>
            </w:tcBorders>
            <w:vAlign w:val="top"/>
          </w:tcPr>
          <w:p w14:paraId="1912BFA5">
            <w:pPr>
              <w:pStyle w:val="213"/>
              <w:spacing w:before="63" w:line="219" w:lineRule="auto"/>
              <w:ind w:left="109"/>
            </w:pPr>
            <w:r>
              <w:rPr>
                <w:spacing w:val="-1"/>
              </w:rPr>
              <w:t>HJ2536</w:t>
            </w:r>
            <w:r>
              <w:rPr>
                <w:spacing w:val="-28"/>
              </w:rPr>
              <w:t xml:space="preserve"> </w:t>
            </w:r>
            <w:r>
              <w:rPr>
                <w:spacing w:val="-1"/>
              </w:rPr>
              <w:t>微型计算机、显示器</w:t>
            </w:r>
          </w:p>
        </w:tc>
      </w:tr>
      <w:tr w14:paraId="490F1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7C489C00">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4B5CC7B6">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5402E358">
            <w:pPr>
              <w:pStyle w:val="213"/>
              <w:spacing w:before="64" w:line="220" w:lineRule="auto"/>
              <w:ind w:left="103"/>
            </w:pPr>
            <w:r>
              <w:rPr>
                <w:spacing w:val="-2"/>
              </w:rPr>
              <w:t>A02010609</w:t>
            </w:r>
            <w:r>
              <w:rPr>
                <w:spacing w:val="-9"/>
              </w:rPr>
              <w:t xml:space="preserve"> </w:t>
            </w:r>
            <w:r>
              <w:rPr>
                <w:spacing w:val="-2"/>
              </w:rPr>
              <w:t>图形图像输入设备</w:t>
            </w:r>
          </w:p>
        </w:tc>
        <w:tc>
          <w:tcPr>
            <w:tcW w:w="2248" w:type="dxa"/>
            <w:tcBorders>
              <w:top w:val="single" w:color="auto" w:sz="4" w:space="0"/>
              <w:left w:val="single" w:color="auto" w:sz="4" w:space="0"/>
              <w:bottom w:val="single" w:color="auto" w:sz="4" w:space="0"/>
              <w:right w:val="single" w:color="auto" w:sz="4" w:space="0"/>
            </w:tcBorders>
            <w:vAlign w:val="top"/>
          </w:tcPr>
          <w:p w14:paraId="248DC2C8">
            <w:pPr>
              <w:pStyle w:val="213"/>
              <w:spacing w:before="64" w:line="220" w:lineRule="auto"/>
              <w:ind w:left="105"/>
            </w:pPr>
            <w:r>
              <w:t>A0201060901 扫描仪</w:t>
            </w:r>
          </w:p>
        </w:tc>
        <w:tc>
          <w:tcPr>
            <w:tcW w:w="3543" w:type="dxa"/>
            <w:tcBorders>
              <w:top w:val="single" w:color="auto" w:sz="4" w:space="0"/>
              <w:left w:val="single" w:color="auto" w:sz="4" w:space="0"/>
              <w:bottom w:val="single" w:color="auto" w:sz="4" w:space="0"/>
              <w:right w:val="single" w:color="auto" w:sz="4" w:space="0"/>
            </w:tcBorders>
            <w:vAlign w:val="top"/>
          </w:tcPr>
          <w:p w14:paraId="5359BA85">
            <w:pPr>
              <w:pStyle w:val="213"/>
              <w:spacing w:before="64" w:line="219" w:lineRule="auto"/>
              <w:ind w:left="109"/>
            </w:pPr>
            <w:r>
              <w:rPr>
                <w:spacing w:val="-1"/>
              </w:rPr>
              <w:t>HJ2517</w:t>
            </w:r>
            <w:r>
              <w:rPr>
                <w:spacing w:val="-34"/>
              </w:rPr>
              <w:t xml:space="preserve"> </w:t>
            </w:r>
            <w:r>
              <w:rPr>
                <w:spacing w:val="-1"/>
              </w:rPr>
              <w:t>扫描仪</w:t>
            </w:r>
          </w:p>
        </w:tc>
      </w:tr>
      <w:tr w14:paraId="0D7641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tcBorders>
              <w:top w:val="single" w:color="auto" w:sz="4" w:space="0"/>
              <w:left w:val="single" w:color="auto" w:sz="4" w:space="0"/>
              <w:bottom w:val="single" w:color="auto" w:sz="4" w:space="0"/>
              <w:right w:val="single" w:color="auto" w:sz="4" w:space="0"/>
            </w:tcBorders>
            <w:vAlign w:val="top"/>
          </w:tcPr>
          <w:p w14:paraId="174B4DA0">
            <w:pPr>
              <w:pStyle w:val="213"/>
              <w:spacing w:before="64"/>
              <w:ind w:left="118"/>
            </w:pPr>
            <w:r>
              <w:t>3</w:t>
            </w:r>
          </w:p>
        </w:tc>
        <w:tc>
          <w:tcPr>
            <w:tcW w:w="1542" w:type="dxa"/>
            <w:tcBorders>
              <w:top w:val="single" w:color="auto" w:sz="4" w:space="0"/>
              <w:left w:val="single" w:color="auto" w:sz="4" w:space="0"/>
              <w:bottom w:val="single" w:color="auto" w:sz="4" w:space="0"/>
              <w:right w:val="single" w:color="auto" w:sz="4" w:space="0"/>
            </w:tcBorders>
            <w:vAlign w:val="top"/>
          </w:tcPr>
          <w:p w14:paraId="093DC6B6">
            <w:pPr>
              <w:pStyle w:val="213"/>
              <w:spacing w:before="64" w:line="220" w:lineRule="auto"/>
              <w:ind w:left="102"/>
            </w:pPr>
            <w:r>
              <w:rPr>
                <w:spacing w:val="-1"/>
              </w:rPr>
              <w:t>A020202</w:t>
            </w:r>
            <w:r>
              <w:rPr>
                <w:spacing w:val="-33"/>
              </w:rPr>
              <w:t xml:space="preserve"> </w:t>
            </w:r>
            <w:r>
              <w:rPr>
                <w:spacing w:val="-1"/>
              </w:rPr>
              <w:t>投影仪</w:t>
            </w:r>
          </w:p>
        </w:tc>
        <w:tc>
          <w:tcPr>
            <w:tcW w:w="2672" w:type="dxa"/>
            <w:tcBorders>
              <w:top w:val="single" w:color="auto" w:sz="4" w:space="0"/>
              <w:left w:val="single" w:color="auto" w:sz="4" w:space="0"/>
              <w:bottom w:val="single" w:color="auto" w:sz="4" w:space="0"/>
              <w:right w:val="single" w:color="auto" w:sz="4" w:space="0"/>
            </w:tcBorders>
            <w:vAlign w:val="top"/>
          </w:tcPr>
          <w:p w14:paraId="47E6A5AF">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77787557">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68D4D474">
            <w:pPr>
              <w:pStyle w:val="213"/>
              <w:spacing w:before="64" w:line="219" w:lineRule="auto"/>
              <w:ind w:left="109"/>
            </w:pPr>
            <w:r>
              <w:rPr>
                <w:spacing w:val="-1"/>
              </w:rPr>
              <w:t>HJ2516</w:t>
            </w:r>
            <w:r>
              <w:rPr>
                <w:spacing w:val="-34"/>
              </w:rPr>
              <w:t xml:space="preserve"> </w:t>
            </w:r>
            <w:r>
              <w:rPr>
                <w:spacing w:val="-1"/>
              </w:rPr>
              <w:t>投影仪</w:t>
            </w:r>
          </w:p>
        </w:tc>
      </w:tr>
      <w:tr w14:paraId="5D238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tcBorders>
              <w:top w:val="single" w:color="auto" w:sz="4" w:space="0"/>
              <w:left w:val="single" w:color="auto" w:sz="4" w:space="0"/>
              <w:bottom w:val="single" w:color="auto" w:sz="4" w:space="0"/>
              <w:right w:val="single" w:color="auto" w:sz="4" w:space="0"/>
            </w:tcBorders>
            <w:vAlign w:val="top"/>
          </w:tcPr>
          <w:p w14:paraId="04E1DC29">
            <w:pPr>
              <w:pStyle w:val="213"/>
              <w:spacing w:before="64" w:line="242" w:lineRule="auto"/>
              <w:ind w:left="114"/>
            </w:pPr>
            <w:r>
              <w:t>4</w:t>
            </w:r>
          </w:p>
        </w:tc>
        <w:tc>
          <w:tcPr>
            <w:tcW w:w="1542" w:type="dxa"/>
            <w:tcBorders>
              <w:top w:val="single" w:color="auto" w:sz="4" w:space="0"/>
              <w:left w:val="single" w:color="auto" w:sz="4" w:space="0"/>
              <w:bottom w:val="single" w:color="auto" w:sz="4" w:space="0"/>
              <w:right w:val="single" w:color="auto" w:sz="4" w:space="0"/>
            </w:tcBorders>
            <w:vAlign w:val="top"/>
          </w:tcPr>
          <w:p w14:paraId="646BDCAC">
            <w:pPr>
              <w:pStyle w:val="213"/>
              <w:spacing w:before="64" w:line="219" w:lineRule="auto"/>
              <w:ind w:left="102"/>
            </w:pPr>
            <w:r>
              <w:rPr>
                <w:spacing w:val="-1"/>
              </w:rPr>
              <w:t>A020201</w:t>
            </w:r>
            <w:r>
              <w:rPr>
                <w:spacing w:val="-32"/>
              </w:rPr>
              <w:t xml:space="preserve"> </w:t>
            </w:r>
            <w:r>
              <w:rPr>
                <w:spacing w:val="-1"/>
              </w:rPr>
              <w:t>复印机</w:t>
            </w:r>
          </w:p>
        </w:tc>
        <w:tc>
          <w:tcPr>
            <w:tcW w:w="2672" w:type="dxa"/>
            <w:tcBorders>
              <w:top w:val="single" w:color="auto" w:sz="4" w:space="0"/>
              <w:left w:val="single" w:color="auto" w:sz="4" w:space="0"/>
              <w:bottom w:val="single" w:color="auto" w:sz="4" w:space="0"/>
              <w:right w:val="single" w:color="auto" w:sz="4" w:space="0"/>
            </w:tcBorders>
            <w:vAlign w:val="top"/>
          </w:tcPr>
          <w:p w14:paraId="2CCBF178">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519F0800">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09C4AC9C">
            <w:pPr>
              <w:pStyle w:val="213"/>
              <w:spacing w:before="64" w:line="219" w:lineRule="auto"/>
              <w:ind w:left="109"/>
            </w:pPr>
            <w:r>
              <w:t>HJ424 数字式复印（包括多功能）设备</w:t>
            </w:r>
          </w:p>
        </w:tc>
      </w:tr>
      <w:tr w14:paraId="02A6AA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left w:val="single" w:color="auto" w:sz="4" w:space="0"/>
              <w:bottom w:val="single" w:color="auto" w:sz="4" w:space="0"/>
              <w:right w:val="single" w:color="auto" w:sz="4" w:space="0"/>
            </w:tcBorders>
            <w:vAlign w:val="top"/>
          </w:tcPr>
          <w:p w14:paraId="593DF631">
            <w:pPr>
              <w:pStyle w:val="213"/>
              <w:spacing w:before="65"/>
              <w:ind w:left="118"/>
            </w:pPr>
            <w:r>
              <w:t>5</w:t>
            </w:r>
          </w:p>
        </w:tc>
        <w:tc>
          <w:tcPr>
            <w:tcW w:w="1542" w:type="dxa"/>
            <w:tcBorders>
              <w:top w:val="single" w:color="auto" w:sz="4" w:space="0"/>
              <w:left w:val="single" w:color="auto" w:sz="4" w:space="0"/>
              <w:bottom w:val="single" w:color="auto" w:sz="4" w:space="0"/>
              <w:right w:val="single" w:color="auto" w:sz="4" w:space="0"/>
            </w:tcBorders>
            <w:vAlign w:val="top"/>
          </w:tcPr>
          <w:p w14:paraId="6AA7F443">
            <w:pPr>
              <w:pStyle w:val="213"/>
              <w:spacing w:before="64" w:line="284" w:lineRule="auto"/>
              <w:ind w:left="110" w:right="108" w:hanging="8"/>
            </w:pPr>
            <w:r>
              <w:rPr>
                <w:spacing w:val="2"/>
              </w:rPr>
              <w:t>A020204</w:t>
            </w:r>
            <w:r>
              <w:rPr>
                <w:spacing w:val="44"/>
              </w:rPr>
              <w:t xml:space="preserve"> </w:t>
            </w:r>
            <w:r>
              <w:rPr>
                <w:spacing w:val="2"/>
              </w:rPr>
              <w:t>多功能</w:t>
            </w:r>
            <w:r>
              <w:t xml:space="preserve"> </w:t>
            </w:r>
            <w:r>
              <w:rPr>
                <w:spacing w:val="-4"/>
              </w:rPr>
              <w:t>一体机</w:t>
            </w:r>
          </w:p>
        </w:tc>
        <w:tc>
          <w:tcPr>
            <w:tcW w:w="2672" w:type="dxa"/>
            <w:tcBorders>
              <w:top w:val="single" w:color="auto" w:sz="4" w:space="0"/>
              <w:left w:val="single" w:color="auto" w:sz="4" w:space="0"/>
              <w:bottom w:val="single" w:color="auto" w:sz="4" w:space="0"/>
              <w:right w:val="single" w:color="auto" w:sz="4" w:space="0"/>
            </w:tcBorders>
            <w:vAlign w:val="top"/>
          </w:tcPr>
          <w:p w14:paraId="62E7C00D">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529157F6">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3B112540">
            <w:pPr>
              <w:pStyle w:val="213"/>
              <w:spacing w:before="64" w:line="219" w:lineRule="auto"/>
              <w:ind w:left="109"/>
            </w:pPr>
            <w:r>
              <w:t>HJ424 数字式复印（包括多功能）设备</w:t>
            </w:r>
          </w:p>
        </w:tc>
      </w:tr>
      <w:tr w14:paraId="17566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left w:val="single" w:color="auto" w:sz="4" w:space="0"/>
              <w:bottom w:val="single" w:color="auto" w:sz="4" w:space="0"/>
              <w:right w:val="single" w:color="auto" w:sz="4" w:space="0"/>
            </w:tcBorders>
            <w:vAlign w:val="top"/>
          </w:tcPr>
          <w:p w14:paraId="78E6A396">
            <w:pPr>
              <w:pStyle w:val="213"/>
              <w:spacing w:before="65"/>
              <w:ind w:left="116"/>
            </w:pPr>
            <w:r>
              <w:t>6</w:t>
            </w:r>
          </w:p>
        </w:tc>
        <w:tc>
          <w:tcPr>
            <w:tcW w:w="1542" w:type="dxa"/>
            <w:tcBorders>
              <w:top w:val="single" w:color="auto" w:sz="4" w:space="0"/>
              <w:left w:val="single" w:color="auto" w:sz="4" w:space="0"/>
              <w:bottom w:val="single" w:color="auto" w:sz="4" w:space="0"/>
              <w:right w:val="single" w:color="auto" w:sz="4" w:space="0"/>
            </w:tcBorders>
            <w:vAlign w:val="top"/>
          </w:tcPr>
          <w:p w14:paraId="224197F9">
            <w:pPr>
              <w:pStyle w:val="213"/>
              <w:spacing w:before="66" w:line="283" w:lineRule="auto"/>
              <w:ind w:left="109" w:right="108" w:hanging="7"/>
            </w:pPr>
            <w:r>
              <w:rPr>
                <w:spacing w:val="-1"/>
              </w:rPr>
              <w:t>A020210</w:t>
            </w:r>
            <w:r>
              <w:rPr>
                <w:spacing w:val="32"/>
              </w:rPr>
              <w:t xml:space="preserve"> </w:t>
            </w:r>
            <w:r>
              <w:rPr>
                <w:spacing w:val="-1"/>
              </w:rPr>
              <w:t>文</w:t>
            </w:r>
            <w:r>
              <w:rPr>
                <w:spacing w:val="-48"/>
              </w:rPr>
              <w:t xml:space="preserve"> </w:t>
            </w:r>
            <w:r>
              <w:rPr>
                <w:spacing w:val="-1"/>
              </w:rPr>
              <w:t>印设</w:t>
            </w:r>
            <w:r>
              <w:t xml:space="preserve"> 备</w:t>
            </w:r>
          </w:p>
        </w:tc>
        <w:tc>
          <w:tcPr>
            <w:tcW w:w="2672" w:type="dxa"/>
            <w:tcBorders>
              <w:top w:val="single" w:color="auto" w:sz="4" w:space="0"/>
              <w:left w:val="single" w:color="auto" w:sz="4" w:space="0"/>
              <w:bottom w:val="single" w:color="auto" w:sz="4" w:space="0"/>
              <w:right w:val="single" w:color="auto" w:sz="4" w:space="0"/>
            </w:tcBorders>
            <w:vAlign w:val="top"/>
          </w:tcPr>
          <w:p w14:paraId="15811672">
            <w:pPr>
              <w:pStyle w:val="213"/>
              <w:spacing w:before="65" w:line="219" w:lineRule="auto"/>
              <w:ind w:left="103"/>
            </w:pPr>
            <w:r>
              <w:t>A02021001 速印机</w:t>
            </w:r>
          </w:p>
        </w:tc>
        <w:tc>
          <w:tcPr>
            <w:tcW w:w="2248" w:type="dxa"/>
            <w:tcBorders>
              <w:top w:val="single" w:color="auto" w:sz="4" w:space="0"/>
              <w:left w:val="single" w:color="auto" w:sz="4" w:space="0"/>
              <w:bottom w:val="single" w:color="auto" w:sz="4" w:space="0"/>
              <w:right w:val="single" w:color="auto" w:sz="4" w:space="0"/>
            </w:tcBorders>
            <w:vAlign w:val="top"/>
          </w:tcPr>
          <w:p w14:paraId="704445D9">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7A0D4053">
            <w:pPr>
              <w:pStyle w:val="213"/>
              <w:spacing w:before="65" w:line="219" w:lineRule="auto"/>
              <w:ind w:left="109"/>
            </w:pPr>
            <w:r>
              <w:rPr>
                <w:spacing w:val="-1"/>
              </w:rPr>
              <w:t>HJ472 数字式一体化速印机</w:t>
            </w:r>
          </w:p>
        </w:tc>
      </w:tr>
      <w:tr w14:paraId="17686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583" w:type="dxa"/>
            <w:tcBorders>
              <w:top w:val="single" w:color="auto" w:sz="4" w:space="0"/>
              <w:left w:val="single" w:color="auto" w:sz="4" w:space="0"/>
              <w:bottom w:val="single" w:color="auto" w:sz="4" w:space="0"/>
              <w:right w:val="single" w:color="auto" w:sz="4" w:space="0"/>
            </w:tcBorders>
            <w:vAlign w:val="top"/>
          </w:tcPr>
          <w:p w14:paraId="324220DC">
            <w:pPr>
              <w:pStyle w:val="213"/>
              <w:spacing w:before="66"/>
              <w:ind w:left="119"/>
            </w:pPr>
            <w:r>
              <w:t>7</w:t>
            </w:r>
          </w:p>
        </w:tc>
        <w:tc>
          <w:tcPr>
            <w:tcW w:w="1542" w:type="dxa"/>
            <w:tcBorders>
              <w:top w:val="single" w:color="auto" w:sz="4" w:space="0"/>
              <w:left w:val="single" w:color="auto" w:sz="4" w:space="0"/>
              <w:bottom w:val="single" w:color="auto" w:sz="4" w:space="0"/>
              <w:right w:val="single" w:color="auto" w:sz="4" w:space="0"/>
            </w:tcBorders>
            <w:vAlign w:val="top"/>
          </w:tcPr>
          <w:p w14:paraId="7FF68FD9">
            <w:pPr>
              <w:pStyle w:val="213"/>
              <w:spacing w:before="67" w:line="301" w:lineRule="auto"/>
              <w:ind w:left="109" w:right="32" w:hanging="7"/>
            </w:pPr>
            <w:r>
              <w:rPr>
                <w:spacing w:val="3"/>
              </w:rPr>
              <w:t>A020301</w:t>
            </w:r>
            <w:r>
              <w:rPr>
                <w:spacing w:val="34"/>
              </w:rPr>
              <w:t xml:space="preserve"> </w:t>
            </w:r>
            <w:r>
              <w:rPr>
                <w:spacing w:val="3"/>
              </w:rPr>
              <w:t>载货汽</w:t>
            </w:r>
            <w:r>
              <w:t xml:space="preserve">  </w:t>
            </w:r>
            <w:r>
              <w:rPr>
                <w:spacing w:val="-6"/>
              </w:rPr>
              <w:t>车（含自卸汽车）</w:t>
            </w:r>
          </w:p>
        </w:tc>
        <w:tc>
          <w:tcPr>
            <w:tcW w:w="2672" w:type="dxa"/>
            <w:tcBorders>
              <w:top w:val="single" w:color="auto" w:sz="4" w:space="0"/>
              <w:left w:val="single" w:color="auto" w:sz="4" w:space="0"/>
              <w:bottom w:val="single" w:color="auto" w:sz="4" w:space="0"/>
              <w:right w:val="single" w:color="auto" w:sz="4" w:space="0"/>
            </w:tcBorders>
            <w:vAlign w:val="top"/>
          </w:tcPr>
          <w:p w14:paraId="32E2E777">
            <w:pPr>
              <w:rPr>
                <w:rFonts w:ascii="Arial"/>
                <w:sz w:val="21"/>
              </w:rPr>
            </w:pPr>
          </w:p>
        </w:tc>
        <w:tc>
          <w:tcPr>
            <w:tcW w:w="2248" w:type="dxa"/>
            <w:tcBorders>
              <w:top w:val="single" w:color="auto" w:sz="4" w:space="0"/>
              <w:left w:val="single" w:color="auto" w:sz="4" w:space="0"/>
              <w:bottom w:val="single" w:color="auto" w:sz="4" w:space="0"/>
              <w:right w:val="single" w:color="auto" w:sz="4" w:space="0"/>
            </w:tcBorders>
            <w:vAlign w:val="top"/>
          </w:tcPr>
          <w:p w14:paraId="180782C2">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612A7A2C">
            <w:pPr>
              <w:pStyle w:val="213"/>
              <w:spacing w:before="65" w:line="219" w:lineRule="auto"/>
              <w:ind w:left="109"/>
            </w:pPr>
            <w:r>
              <w:rPr>
                <w:spacing w:val="-1"/>
              </w:rPr>
              <w:t>HJ2532</w:t>
            </w:r>
            <w:r>
              <w:rPr>
                <w:spacing w:val="-35"/>
              </w:rPr>
              <w:t xml:space="preserve"> </w:t>
            </w:r>
            <w:r>
              <w:rPr>
                <w:spacing w:val="-1"/>
              </w:rPr>
              <w:t>轻型汽车</w:t>
            </w:r>
          </w:p>
        </w:tc>
      </w:tr>
      <w:tr w14:paraId="6F196B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22CD03D4">
            <w:pPr>
              <w:pStyle w:val="213"/>
              <w:spacing w:before="67"/>
              <w:ind w:left="115"/>
            </w:pPr>
            <w:r>
              <w:t>8</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1C6A4D7">
            <w:pPr>
              <w:pStyle w:val="213"/>
              <w:spacing w:before="66" w:line="322" w:lineRule="auto"/>
              <w:ind w:left="112" w:right="108" w:hanging="10"/>
            </w:pPr>
            <w:r>
              <w:rPr>
                <w:spacing w:val="3"/>
              </w:rPr>
              <w:t>A020305</w:t>
            </w:r>
            <w:r>
              <w:rPr>
                <w:spacing w:val="34"/>
              </w:rPr>
              <w:t xml:space="preserve"> </w:t>
            </w:r>
            <w:r>
              <w:rPr>
                <w:spacing w:val="3"/>
              </w:rPr>
              <w:t>乘用车</w:t>
            </w:r>
            <w:r>
              <w:t xml:space="preserve"> </w:t>
            </w:r>
            <w:r>
              <w:rPr>
                <w:spacing w:val="-3"/>
              </w:rPr>
              <w:t>（轿车）</w:t>
            </w:r>
          </w:p>
        </w:tc>
        <w:tc>
          <w:tcPr>
            <w:tcW w:w="2672" w:type="dxa"/>
            <w:tcBorders>
              <w:top w:val="single" w:color="auto" w:sz="4" w:space="0"/>
              <w:left w:val="single" w:color="auto" w:sz="4" w:space="0"/>
              <w:bottom w:val="single" w:color="auto" w:sz="4" w:space="0"/>
              <w:right w:val="single" w:color="auto" w:sz="4" w:space="0"/>
            </w:tcBorders>
            <w:vAlign w:val="top"/>
          </w:tcPr>
          <w:p w14:paraId="1C131087">
            <w:pPr>
              <w:pStyle w:val="213"/>
              <w:spacing w:before="66" w:line="220" w:lineRule="auto"/>
              <w:ind w:left="103"/>
            </w:pPr>
            <w:r>
              <w:t>A02030501 轿车</w:t>
            </w:r>
          </w:p>
        </w:tc>
        <w:tc>
          <w:tcPr>
            <w:tcW w:w="2248" w:type="dxa"/>
            <w:tcBorders>
              <w:top w:val="single" w:color="auto" w:sz="4" w:space="0"/>
              <w:left w:val="single" w:color="auto" w:sz="4" w:space="0"/>
              <w:bottom w:val="single" w:color="auto" w:sz="4" w:space="0"/>
              <w:right w:val="single" w:color="auto" w:sz="4" w:space="0"/>
            </w:tcBorders>
            <w:vAlign w:val="top"/>
          </w:tcPr>
          <w:p w14:paraId="2AFF20BC">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218E7781">
            <w:pPr>
              <w:pStyle w:val="213"/>
              <w:spacing w:before="66" w:line="219" w:lineRule="auto"/>
              <w:ind w:left="109"/>
            </w:pPr>
            <w:r>
              <w:rPr>
                <w:spacing w:val="-1"/>
              </w:rPr>
              <w:t>HJ2532</w:t>
            </w:r>
            <w:r>
              <w:rPr>
                <w:spacing w:val="-35"/>
              </w:rPr>
              <w:t xml:space="preserve"> </w:t>
            </w:r>
            <w:r>
              <w:rPr>
                <w:spacing w:val="-1"/>
              </w:rPr>
              <w:t>轻型汽车</w:t>
            </w:r>
          </w:p>
        </w:tc>
      </w:tr>
      <w:tr w14:paraId="5972F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10F9F322">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413D969B">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3A041302">
            <w:pPr>
              <w:pStyle w:val="213"/>
              <w:spacing w:before="66" w:line="220" w:lineRule="auto"/>
              <w:ind w:left="103"/>
            </w:pPr>
            <w:r>
              <w:rPr>
                <w:spacing w:val="-1"/>
              </w:rPr>
              <w:t>A02030599</w:t>
            </w:r>
            <w:r>
              <w:rPr>
                <w:spacing w:val="-28"/>
              </w:rPr>
              <w:t xml:space="preserve"> </w:t>
            </w:r>
            <w:r>
              <w:rPr>
                <w:spacing w:val="-1"/>
              </w:rPr>
              <w:t>其他乘用车（轿车）</w:t>
            </w:r>
          </w:p>
        </w:tc>
        <w:tc>
          <w:tcPr>
            <w:tcW w:w="2248" w:type="dxa"/>
            <w:tcBorders>
              <w:top w:val="single" w:color="auto" w:sz="4" w:space="0"/>
              <w:left w:val="single" w:color="auto" w:sz="4" w:space="0"/>
              <w:bottom w:val="single" w:color="auto" w:sz="4" w:space="0"/>
              <w:right w:val="single" w:color="auto" w:sz="4" w:space="0"/>
            </w:tcBorders>
            <w:vAlign w:val="top"/>
          </w:tcPr>
          <w:p w14:paraId="33318B3D">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4EF66A1A">
            <w:pPr>
              <w:pStyle w:val="213"/>
              <w:spacing w:before="66" w:line="219" w:lineRule="auto"/>
              <w:ind w:left="109"/>
            </w:pPr>
            <w:r>
              <w:rPr>
                <w:spacing w:val="-1"/>
              </w:rPr>
              <w:t>HJ2532</w:t>
            </w:r>
            <w:r>
              <w:rPr>
                <w:spacing w:val="-35"/>
              </w:rPr>
              <w:t xml:space="preserve"> </w:t>
            </w:r>
            <w:r>
              <w:rPr>
                <w:spacing w:val="-1"/>
              </w:rPr>
              <w:t>轻型汽车</w:t>
            </w:r>
          </w:p>
        </w:tc>
      </w:tr>
      <w:tr w14:paraId="70481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tcBorders>
              <w:top w:val="single" w:color="auto" w:sz="4" w:space="0"/>
              <w:left w:val="single" w:color="auto" w:sz="4" w:space="0"/>
              <w:bottom w:val="single" w:color="auto" w:sz="4" w:space="0"/>
              <w:right w:val="single" w:color="auto" w:sz="4" w:space="0"/>
            </w:tcBorders>
            <w:vAlign w:val="top"/>
          </w:tcPr>
          <w:p w14:paraId="587FF261">
            <w:pPr>
              <w:pStyle w:val="213"/>
              <w:spacing w:before="66"/>
              <w:ind w:left="115"/>
            </w:pPr>
            <w:r>
              <w:t>9</w:t>
            </w:r>
          </w:p>
        </w:tc>
        <w:tc>
          <w:tcPr>
            <w:tcW w:w="1542" w:type="dxa"/>
            <w:tcBorders>
              <w:top w:val="single" w:color="auto" w:sz="4" w:space="0"/>
              <w:left w:val="single" w:color="auto" w:sz="4" w:space="0"/>
              <w:bottom w:val="single" w:color="auto" w:sz="4" w:space="0"/>
              <w:right w:val="single" w:color="auto" w:sz="4" w:space="0"/>
            </w:tcBorders>
            <w:vAlign w:val="top"/>
          </w:tcPr>
          <w:p w14:paraId="4C7E3C82">
            <w:pPr>
              <w:pStyle w:val="213"/>
              <w:spacing w:before="66" w:line="220" w:lineRule="auto"/>
              <w:ind w:left="102"/>
            </w:pPr>
            <w:r>
              <w:rPr>
                <w:spacing w:val="-1"/>
              </w:rPr>
              <w:t>A020306</w:t>
            </w:r>
            <w:r>
              <w:rPr>
                <w:spacing w:val="-33"/>
              </w:rPr>
              <w:t xml:space="preserve"> </w:t>
            </w:r>
            <w:r>
              <w:rPr>
                <w:spacing w:val="-1"/>
              </w:rPr>
              <w:t>客车</w:t>
            </w:r>
          </w:p>
        </w:tc>
        <w:tc>
          <w:tcPr>
            <w:tcW w:w="2672" w:type="dxa"/>
            <w:tcBorders>
              <w:top w:val="single" w:color="auto" w:sz="4" w:space="0"/>
              <w:left w:val="single" w:color="auto" w:sz="4" w:space="0"/>
              <w:bottom w:val="single" w:color="auto" w:sz="4" w:space="0"/>
              <w:right w:val="single" w:color="auto" w:sz="4" w:space="0"/>
            </w:tcBorders>
            <w:vAlign w:val="top"/>
          </w:tcPr>
          <w:p w14:paraId="2FD6A6AB">
            <w:pPr>
              <w:pStyle w:val="213"/>
              <w:spacing w:before="66" w:line="220" w:lineRule="auto"/>
              <w:ind w:left="103"/>
            </w:pPr>
            <w:r>
              <w:rPr>
                <w:spacing w:val="-1"/>
              </w:rPr>
              <w:t>A02030601</w:t>
            </w:r>
            <w:r>
              <w:rPr>
                <w:spacing w:val="-30"/>
              </w:rPr>
              <w:t xml:space="preserve"> </w:t>
            </w:r>
            <w:r>
              <w:rPr>
                <w:spacing w:val="-1"/>
              </w:rPr>
              <w:t>小型客车</w:t>
            </w:r>
          </w:p>
        </w:tc>
        <w:tc>
          <w:tcPr>
            <w:tcW w:w="2248" w:type="dxa"/>
            <w:tcBorders>
              <w:top w:val="single" w:color="auto" w:sz="4" w:space="0"/>
              <w:left w:val="single" w:color="auto" w:sz="4" w:space="0"/>
              <w:bottom w:val="single" w:color="auto" w:sz="4" w:space="0"/>
              <w:right w:val="single" w:color="auto" w:sz="4" w:space="0"/>
            </w:tcBorders>
            <w:vAlign w:val="top"/>
          </w:tcPr>
          <w:p w14:paraId="7DE58688">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03FBE764">
            <w:pPr>
              <w:pStyle w:val="213"/>
              <w:spacing w:before="66" w:line="219" w:lineRule="auto"/>
              <w:ind w:left="109"/>
            </w:pPr>
            <w:r>
              <w:rPr>
                <w:spacing w:val="-1"/>
              </w:rPr>
              <w:t>HJ2532</w:t>
            </w:r>
            <w:r>
              <w:rPr>
                <w:spacing w:val="-35"/>
              </w:rPr>
              <w:t xml:space="preserve"> </w:t>
            </w:r>
            <w:r>
              <w:rPr>
                <w:spacing w:val="-1"/>
              </w:rPr>
              <w:t>轻型汽车</w:t>
            </w:r>
          </w:p>
        </w:tc>
      </w:tr>
      <w:tr w14:paraId="0FEA3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left w:val="single" w:color="auto" w:sz="4" w:space="0"/>
              <w:bottom w:val="single" w:color="auto" w:sz="4" w:space="0"/>
              <w:right w:val="single" w:color="auto" w:sz="4" w:space="0"/>
            </w:tcBorders>
            <w:vAlign w:val="top"/>
          </w:tcPr>
          <w:p w14:paraId="2068AC49">
            <w:pPr>
              <w:pStyle w:val="213"/>
              <w:spacing w:before="67"/>
              <w:ind w:left="128"/>
            </w:pPr>
            <w:r>
              <w:rPr>
                <w:spacing w:val="-10"/>
              </w:rPr>
              <w:t>10</w:t>
            </w:r>
          </w:p>
        </w:tc>
        <w:tc>
          <w:tcPr>
            <w:tcW w:w="1542" w:type="dxa"/>
            <w:tcBorders>
              <w:top w:val="single" w:color="auto" w:sz="4" w:space="0"/>
              <w:left w:val="single" w:color="auto" w:sz="4" w:space="0"/>
              <w:bottom w:val="single" w:color="auto" w:sz="4" w:space="0"/>
              <w:right w:val="single" w:color="auto" w:sz="4" w:space="0"/>
            </w:tcBorders>
            <w:vAlign w:val="top"/>
          </w:tcPr>
          <w:p w14:paraId="3D36BFA1">
            <w:pPr>
              <w:pStyle w:val="213"/>
              <w:spacing w:before="66" w:line="283" w:lineRule="auto"/>
              <w:ind w:left="106" w:right="108" w:hanging="4"/>
            </w:pPr>
            <w:r>
              <w:rPr>
                <w:spacing w:val="3"/>
              </w:rPr>
              <w:t>A020307</w:t>
            </w:r>
            <w:r>
              <w:rPr>
                <w:spacing w:val="34"/>
              </w:rPr>
              <w:t xml:space="preserve"> </w:t>
            </w:r>
            <w:r>
              <w:rPr>
                <w:spacing w:val="3"/>
              </w:rPr>
              <w:t>专用车</w:t>
            </w:r>
            <w:r>
              <w:t xml:space="preserve"> 辆</w:t>
            </w:r>
          </w:p>
        </w:tc>
        <w:tc>
          <w:tcPr>
            <w:tcW w:w="2672" w:type="dxa"/>
            <w:tcBorders>
              <w:top w:val="single" w:color="auto" w:sz="4" w:space="0"/>
              <w:left w:val="single" w:color="auto" w:sz="4" w:space="0"/>
              <w:bottom w:val="single" w:color="auto" w:sz="4" w:space="0"/>
              <w:right w:val="single" w:color="auto" w:sz="4" w:space="0"/>
            </w:tcBorders>
            <w:vAlign w:val="top"/>
          </w:tcPr>
          <w:p w14:paraId="2B73F5B6">
            <w:pPr>
              <w:pStyle w:val="213"/>
              <w:spacing w:before="66" w:line="220" w:lineRule="auto"/>
              <w:ind w:left="103"/>
            </w:pPr>
            <w:r>
              <w:rPr>
                <w:spacing w:val="-1"/>
              </w:rPr>
              <w:t>A02030799</w:t>
            </w:r>
            <w:r>
              <w:rPr>
                <w:spacing w:val="-30"/>
              </w:rPr>
              <w:t xml:space="preserve"> </w:t>
            </w:r>
            <w:r>
              <w:rPr>
                <w:spacing w:val="-1"/>
              </w:rPr>
              <w:t>其他专用汽车</w:t>
            </w:r>
          </w:p>
        </w:tc>
        <w:tc>
          <w:tcPr>
            <w:tcW w:w="2248" w:type="dxa"/>
            <w:tcBorders>
              <w:top w:val="single" w:color="auto" w:sz="4" w:space="0"/>
              <w:left w:val="single" w:color="auto" w:sz="4" w:space="0"/>
              <w:bottom w:val="single" w:color="auto" w:sz="4" w:space="0"/>
              <w:right w:val="single" w:color="auto" w:sz="4" w:space="0"/>
            </w:tcBorders>
            <w:vAlign w:val="top"/>
          </w:tcPr>
          <w:p w14:paraId="3F4C7A2E">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5BAF2E39">
            <w:pPr>
              <w:pStyle w:val="213"/>
              <w:spacing w:before="66" w:line="219" w:lineRule="auto"/>
              <w:ind w:left="109"/>
            </w:pPr>
            <w:r>
              <w:rPr>
                <w:spacing w:val="-1"/>
              </w:rPr>
              <w:t>HJ2532</w:t>
            </w:r>
            <w:r>
              <w:rPr>
                <w:spacing w:val="-35"/>
              </w:rPr>
              <w:t xml:space="preserve"> </w:t>
            </w:r>
            <w:r>
              <w:rPr>
                <w:spacing w:val="-1"/>
              </w:rPr>
              <w:t>轻型汽车</w:t>
            </w:r>
          </w:p>
        </w:tc>
      </w:tr>
      <w:tr w14:paraId="03CB4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1E81AA5F">
            <w:pPr>
              <w:pStyle w:val="213"/>
              <w:spacing w:before="69" w:line="242" w:lineRule="auto"/>
              <w:ind w:left="128"/>
            </w:pPr>
            <w:r>
              <w:rPr>
                <w:spacing w:val="-10"/>
              </w:rPr>
              <w:t>11</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B4E53E3">
            <w:pPr>
              <w:pStyle w:val="213"/>
              <w:spacing w:before="69" w:line="323" w:lineRule="auto"/>
              <w:ind w:left="109" w:right="108" w:hanging="7"/>
            </w:pPr>
            <w:r>
              <w:rPr>
                <w:spacing w:val="3"/>
              </w:rPr>
              <w:t>A020523</w:t>
            </w:r>
            <w:r>
              <w:rPr>
                <w:spacing w:val="34"/>
              </w:rPr>
              <w:t xml:space="preserve"> </w:t>
            </w:r>
            <w:r>
              <w:rPr>
                <w:spacing w:val="3"/>
              </w:rPr>
              <w:t>制冷空</w:t>
            </w:r>
            <w:r>
              <w:t xml:space="preserve"> </w:t>
            </w:r>
            <w:r>
              <w:rPr>
                <w:spacing w:val="-2"/>
              </w:rPr>
              <w:t>调设备</w:t>
            </w:r>
          </w:p>
        </w:tc>
        <w:tc>
          <w:tcPr>
            <w:tcW w:w="2672" w:type="dxa"/>
            <w:tcBorders>
              <w:top w:val="single" w:color="auto" w:sz="4" w:space="0"/>
              <w:left w:val="single" w:color="auto" w:sz="4" w:space="0"/>
              <w:bottom w:val="single" w:color="auto" w:sz="4" w:space="0"/>
              <w:right w:val="single" w:color="auto" w:sz="4" w:space="0"/>
            </w:tcBorders>
            <w:vAlign w:val="top"/>
          </w:tcPr>
          <w:p w14:paraId="75034FAA">
            <w:pPr>
              <w:pStyle w:val="213"/>
              <w:spacing w:before="70" w:line="219" w:lineRule="auto"/>
              <w:ind w:left="103"/>
            </w:pPr>
            <w:r>
              <w:t>A02052301 制冷压缩机</w:t>
            </w:r>
          </w:p>
        </w:tc>
        <w:tc>
          <w:tcPr>
            <w:tcW w:w="2248" w:type="dxa"/>
            <w:tcBorders>
              <w:top w:val="single" w:color="auto" w:sz="4" w:space="0"/>
              <w:left w:val="single" w:color="auto" w:sz="4" w:space="0"/>
              <w:bottom w:val="single" w:color="auto" w:sz="4" w:space="0"/>
              <w:right w:val="single" w:color="auto" w:sz="4" w:space="0"/>
            </w:tcBorders>
            <w:vAlign w:val="top"/>
          </w:tcPr>
          <w:p w14:paraId="42B3E425">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7C5E54B3">
            <w:pPr>
              <w:pStyle w:val="213"/>
              <w:spacing w:before="69" w:line="219" w:lineRule="auto"/>
              <w:ind w:left="109"/>
            </w:pPr>
            <w:r>
              <w:rPr>
                <w:spacing w:val="-1"/>
              </w:rPr>
              <w:t>HJ2531</w:t>
            </w:r>
            <w:r>
              <w:rPr>
                <w:spacing w:val="-32"/>
              </w:rPr>
              <w:t xml:space="preserve"> </w:t>
            </w:r>
            <w:r>
              <w:rPr>
                <w:spacing w:val="-1"/>
              </w:rPr>
              <w:t>工商用制冷设备</w:t>
            </w:r>
          </w:p>
        </w:tc>
      </w:tr>
      <w:tr w14:paraId="1D2BC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6098646A">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11C3850">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24D0D540">
            <w:pPr>
              <w:pStyle w:val="213"/>
              <w:spacing w:before="67" w:line="219" w:lineRule="auto"/>
              <w:ind w:left="103"/>
            </w:pPr>
            <w:r>
              <w:t>A02052305 空调机组</w:t>
            </w:r>
          </w:p>
        </w:tc>
        <w:tc>
          <w:tcPr>
            <w:tcW w:w="2248" w:type="dxa"/>
            <w:tcBorders>
              <w:top w:val="single" w:color="auto" w:sz="4" w:space="0"/>
              <w:left w:val="single" w:color="auto" w:sz="4" w:space="0"/>
              <w:bottom w:val="single" w:color="auto" w:sz="4" w:space="0"/>
              <w:right w:val="single" w:color="auto" w:sz="4" w:space="0"/>
            </w:tcBorders>
            <w:vAlign w:val="top"/>
          </w:tcPr>
          <w:p w14:paraId="207988E8">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27D8CB60">
            <w:pPr>
              <w:pStyle w:val="213"/>
              <w:spacing w:before="67" w:line="219" w:lineRule="auto"/>
              <w:ind w:left="109"/>
            </w:pPr>
            <w:r>
              <w:rPr>
                <w:spacing w:val="-1"/>
              </w:rPr>
              <w:t>HJ2531</w:t>
            </w:r>
            <w:r>
              <w:rPr>
                <w:spacing w:val="-32"/>
              </w:rPr>
              <w:t xml:space="preserve"> </w:t>
            </w:r>
            <w:r>
              <w:rPr>
                <w:spacing w:val="-1"/>
              </w:rPr>
              <w:t>工商用制冷设备</w:t>
            </w:r>
          </w:p>
        </w:tc>
      </w:tr>
      <w:tr w14:paraId="041E9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099D8D18">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86BEE88">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41A23B9E">
            <w:pPr>
              <w:pStyle w:val="213"/>
              <w:spacing w:before="67" w:line="221" w:lineRule="auto"/>
              <w:ind w:left="103"/>
            </w:pPr>
            <w:r>
              <w:rPr>
                <w:spacing w:val="-2"/>
              </w:rPr>
              <w:t>A02052309</w:t>
            </w:r>
            <w:r>
              <w:rPr>
                <w:spacing w:val="-27"/>
              </w:rPr>
              <w:t xml:space="preserve"> </w:t>
            </w:r>
            <w:r>
              <w:rPr>
                <w:spacing w:val="-2"/>
              </w:rPr>
              <w:t>专用制冷、空调设备</w:t>
            </w:r>
          </w:p>
        </w:tc>
        <w:tc>
          <w:tcPr>
            <w:tcW w:w="2248" w:type="dxa"/>
            <w:tcBorders>
              <w:top w:val="single" w:color="auto" w:sz="4" w:space="0"/>
              <w:left w:val="single" w:color="auto" w:sz="4" w:space="0"/>
              <w:bottom w:val="single" w:color="auto" w:sz="4" w:space="0"/>
              <w:right w:val="single" w:color="auto" w:sz="4" w:space="0"/>
            </w:tcBorders>
            <w:vAlign w:val="top"/>
          </w:tcPr>
          <w:p w14:paraId="22EBF57D">
            <w:pPr>
              <w:rPr>
                <w:rFonts w:ascii="Arial"/>
                <w:sz w:val="21"/>
              </w:rPr>
            </w:pPr>
          </w:p>
        </w:tc>
        <w:tc>
          <w:tcPr>
            <w:tcW w:w="3543" w:type="dxa"/>
            <w:tcBorders>
              <w:top w:val="single" w:color="auto" w:sz="4" w:space="0"/>
              <w:left w:val="single" w:color="auto" w:sz="4" w:space="0"/>
              <w:bottom w:val="single" w:color="auto" w:sz="4" w:space="0"/>
              <w:right w:val="single" w:color="auto" w:sz="4" w:space="0"/>
            </w:tcBorders>
            <w:vAlign w:val="top"/>
          </w:tcPr>
          <w:p w14:paraId="3F91AEA3">
            <w:pPr>
              <w:pStyle w:val="213"/>
              <w:spacing w:before="67" w:line="219" w:lineRule="auto"/>
              <w:ind w:left="109"/>
            </w:pPr>
            <w:r>
              <w:rPr>
                <w:spacing w:val="-1"/>
              </w:rPr>
              <w:t>HJ2531</w:t>
            </w:r>
            <w:r>
              <w:rPr>
                <w:spacing w:val="-32"/>
              </w:rPr>
              <w:t xml:space="preserve"> </w:t>
            </w:r>
            <w:r>
              <w:rPr>
                <w:spacing w:val="-1"/>
              </w:rPr>
              <w:t>工商用制冷设备</w:t>
            </w:r>
          </w:p>
        </w:tc>
      </w:tr>
      <w:tr w14:paraId="54DBF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08DC120C">
            <w:pPr>
              <w:pStyle w:val="213"/>
              <w:spacing w:before="68" w:line="242" w:lineRule="auto"/>
              <w:ind w:left="128"/>
            </w:pPr>
            <w:r>
              <w:rPr>
                <w:spacing w:val="-10"/>
              </w:rPr>
              <w:t>12</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005BB3DC">
            <w:pPr>
              <w:pStyle w:val="213"/>
              <w:spacing w:before="69" w:line="324" w:lineRule="auto"/>
              <w:ind w:left="128" w:right="108" w:hanging="26"/>
            </w:pPr>
            <w:r>
              <w:rPr>
                <w:spacing w:val="3"/>
              </w:rPr>
              <w:t>A020618</w:t>
            </w:r>
            <w:r>
              <w:rPr>
                <w:spacing w:val="34"/>
              </w:rPr>
              <w:t xml:space="preserve"> </w:t>
            </w:r>
            <w:r>
              <w:rPr>
                <w:spacing w:val="3"/>
              </w:rPr>
              <w:t>生活用</w:t>
            </w:r>
            <w:r>
              <w:t xml:space="preserve"> </w:t>
            </w:r>
            <w:r>
              <w:rPr>
                <w:spacing w:val="-8"/>
              </w:rPr>
              <w:t>电器</w:t>
            </w:r>
          </w:p>
        </w:tc>
        <w:tc>
          <w:tcPr>
            <w:tcW w:w="2672" w:type="dxa"/>
            <w:tcBorders>
              <w:top w:val="single" w:color="auto" w:sz="4" w:space="0"/>
              <w:left w:val="single" w:color="auto" w:sz="4" w:space="0"/>
              <w:bottom w:val="single" w:color="auto" w:sz="4" w:space="0"/>
              <w:right w:val="single" w:color="auto" w:sz="4" w:space="0"/>
            </w:tcBorders>
            <w:vAlign w:val="top"/>
          </w:tcPr>
          <w:p w14:paraId="18F01712">
            <w:pPr>
              <w:pStyle w:val="213"/>
              <w:spacing w:before="68" w:line="221" w:lineRule="auto"/>
              <w:ind w:left="103"/>
            </w:pPr>
            <w:r>
              <w:rPr>
                <w:spacing w:val="-1"/>
              </w:rPr>
              <w:t>A02061802</w:t>
            </w:r>
            <w:r>
              <w:rPr>
                <w:spacing w:val="-29"/>
              </w:rPr>
              <w:t xml:space="preserve"> </w:t>
            </w:r>
            <w:r>
              <w:rPr>
                <w:spacing w:val="-1"/>
              </w:rPr>
              <w:t>空气调节电器</w:t>
            </w:r>
          </w:p>
        </w:tc>
        <w:tc>
          <w:tcPr>
            <w:tcW w:w="2248" w:type="dxa"/>
            <w:tcBorders>
              <w:top w:val="single" w:color="auto" w:sz="4" w:space="0"/>
              <w:left w:val="single" w:color="auto" w:sz="4" w:space="0"/>
              <w:bottom w:val="single" w:color="auto" w:sz="4" w:space="0"/>
              <w:right w:val="single" w:color="auto" w:sz="4" w:space="0"/>
            </w:tcBorders>
            <w:vAlign w:val="top"/>
          </w:tcPr>
          <w:p w14:paraId="2104163D">
            <w:pPr>
              <w:pStyle w:val="213"/>
              <w:spacing w:before="68" w:line="219" w:lineRule="auto"/>
              <w:ind w:left="105"/>
            </w:pPr>
            <w:r>
              <w:rPr>
                <w:spacing w:val="-1"/>
              </w:rPr>
              <w:t>A0206180203</w:t>
            </w:r>
            <w:r>
              <w:rPr>
                <w:spacing w:val="-28"/>
              </w:rPr>
              <w:t xml:space="preserve"> </w:t>
            </w:r>
            <w:r>
              <w:rPr>
                <w:spacing w:val="-1"/>
              </w:rPr>
              <w:t>空调机</w:t>
            </w:r>
          </w:p>
        </w:tc>
        <w:tc>
          <w:tcPr>
            <w:tcW w:w="3543" w:type="dxa"/>
            <w:tcBorders>
              <w:top w:val="single" w:color="auto" w:sz="4" w:space="0"/>
              <w:left w:val="single" w:color="auto" w:sz="4" w:space="0"/>
              <w:bottom w:val="single" w:color="auto" w:sz="4" w:space="0"/>
              <w:right w:val="single" w:color="auto" w:sz="4" w:space="0"/>
            </w:tcBorders>
            <w:vAlign w:val="top"/>
          </w:tcPr>
          <w:p w14:paraId="4A4B3FCF">
            <w:pPr>
              <w:pStyle w:val="213"/>
              <w:spacing w:before="68" w:line="219" w:lineRule="auto"/>
              <w:ind w:left="109"/>
            </w:pPr>
            <w:r>
              <w:rPr>
                <w:spacing w:val="-1"/>
              </w:rPr>
              <w:t>HJ2535</w:t>
            </w:r>
            <w:r>
              <w:rPr>
                <w:spacing w:val="-32"/>
              </w:rPr>
              <w:t xml:space="preserve"> </w:t>
            </w:r>
            <w:r>
              <w:rPr>
                <w:spacing w:val="-1"/>
              </w:rPr>
              <w:t>房间空气调节器</w:t>
            </w:r>
          </w:p>
        </w:tc>
      </w:tr>
      <w:tr w14:paraId="7AB99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583" w:type="dxa"/>
            <w:vMerge w:val="continue"/>
            <w:tcBorders>
              <w:top w:val="single" w:color="auto" w:sz="4" w:space="0"/>
              <w:left w:val="single" w:color="auto" w:sz="4" w:space="0"/>
            </w:tcBorders>
            <w:vAlign w:val="top"/>
          </w:tcPr>
          <w:p w14:paraId="103064E2">
            <w:pPr>
              <w:rPr>
                <w:rFonts w:ascii="Arial"/>
                <w:sz w:val="21"/>
              </w:rPr>
            </w:pPr>
          </w:p>
        </w:tc>
        <w:tc>
          <w:tcPr>
            <w:tcW w:w="1542" w:type="dxa"/>
            <w:vMerge w:val="continue"/>
            <w:tcBorders>
              <w:top w:val="single" w:color="auto" w:sz="4" w:space="0"/>
            </w:tcBorders>
            <w:vAlign w:val="top"/>
          </w:tcPr>
          <w:p w14:paraId="063BF49C">
            <w:pPr>
              <w:rPr>
                <w:rFonts w:ascii="Arial"/>
                <w:sz w:val="21"/>
              </w:rPr>
            </w:pPr>
          </w:p>
        </w:tc>
        <w:tc>
          <w:tcPr>
            <w:tcW w:w="2672" w:type="dxa"/>
            <w:tcBorders>
              <w:top w:val="single" w:color="auto" w:sz="4" w:space="0"/>
            </w:tcBorders>
            <w:vAlign w:val="top"/>
          </w:tcPr>
          <w:p w14:paraId="4AB223C5">
            <w:pPr>
              <w:pStyle w:val="213"/>
              <w:spacing w:before="68" w:line="220" w:lineRule="auto"/>
              <w:ind w:left="103"/>
            </w:pPr>
            <w:r>
              <w:rPr>
                <w:spacing w:val="-1"/>
              </w:rPr>
              <w:t>A02061808</w:t>
            </w:r>
            <w:r>
              <w:rPr>
                <w:spacing w:val="-31"/>
              </w:rPr>
              <w:t xml:space="preserve"> </w:t>
            </w:r>
            <w:r>
              <w:rPr>
                <w:spacing w:val="-1"/>
              </w:rPr>
              <w:t>热水器</w:t>
            </w:r>
          </w:p>
        </w:tc>
        <w:tc>
          <w:tcPr>
            <w:tcW w:w="2248" w:type="dxa"/>
            <w:tcBorders>
              <w:top w:val="single" w:color="auto" w:sz="4" w:space="0"/>
            </w:tcBorders>
            <w:vAlign w:val="top"/>
          </w:tcPr>
          <w:p w14:paraId="0E02BDFE">
            <w:pPr>
              <w:rPr>
                <w:rFonts w:ascii="Arial"/>
                <w:sz w:val="21"/>
              </w:rPr>
            </w:pPr>
          </w:p>
        </w:tc>
        <w:tc>
          <w:tcPr>
            <w:tcW w:w="3543" w:type="dxa"/>
            <w:tcBorders>
              <w:top w:val="single" w:color="auto" w:sz="4" w:space="0"/>
            </w:tcBorders>
            <w:vAlign w:val="top"/>
          </w:tcPr>
          <w:p w14:paraId="7BDA8F06">
            <w:pPr>
              <w:pStyle w:val="213"/>
              <w:spacing w:before="67" w:line="219" w:lineRule="auto"/>
              <w:ind w:left="109"/>
            </w:pPr>
            <w:r>
              <w:rPr>
                <w:spacing w:val="-1"/>
              </w:rPr>
              <w:t>HJ/T362</w:t>
            </w:r>
            <w:r>
              <w:rPr>
                <w:spacing w:val="-33"/>
              </w:rPr>
              <w:t xml:space="preserve"> </w:t>
            </w:r>
            <w:r>
              <w:rPr>
                <w:spacing w:val="-1"/>
              </w:rPr>
              <w:t>太阳能集热器</w:t>
            </w:r>
          </w:p>
        </w:tc>
      </w:tr>
    </w:tbl>
    <w:p w14:paraId="1EEBC845">
      <w:pPr>
        <w:spacing w:line="91" w:lineRule="auto"/>
        <w:rPr>
          <w:rFonts w:ascii="Arial"/>
          <w:sz w:val="2"/>
        </w:rPr>
      </w:pPr>
    </w:p>
    <w:tbl>
      <w:tblPr>
        <w:tblStyle w:val="214"/>
        <w:tblW w:w="1058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3"/>
        <w:gridCol w:w="1542"/>
        <w:gridCol w:w="2672"/>
        <w:gridCol w:w="2248"/>
        <w:gridCol w:w="3543"/>
      </w:tblGrid>
      <w:tr w14:paraId="2A3CB0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Align w:val="top"/>
          </w:tcPr>
          <w:p w14:paraId="0B49EE33">
            <w:pPr>
              <w:pStyle w:val="213"/>
              <w:spacing w:before="68"/>
              <w:ind w:left="128"/>
            </w:pPr>
            <w:r>
              <w:rPr>
                <w:spacing w:val="-10"/>
              </w:rPr>
              <w:t>13</w:t>
            </w:r>
          </w:p>
        </w:tc>
        <w:tc>
          <w:tcPr>
            <w:tcW w:w="1542" w:type="dxa"/>
            <w:vAlign w:val="top"/>
          </w:tcPr>
          <w:p w14:paraId="6E43FC51">
            <w:pPr>
              <w:pStyle w:val="213"/>
              <w:spacing w:before="69" w:line="284" w:lineRule="auto"/>
              <w:ind w:left="109" w:right="108" w:hanging="7"/>
            </w:pPr>
            <w:r>
              <w:rPr>
                <w:spacing w:val="-2"/>
              </w:rPr>
              <w:t>A020619</w:t>
            </w:r>
            <w:r>
              <w:rPr>
                <w:spacing w:val="39"/>
              </w:rPr>
              <w:t xml:space="preserve"> </w:t>
            </w:r>
            <w:r>
              <w:rPr>
                <w:spacing w:val="-2"/>
              </w:rPr>
              <w:t>照</w:t>
            </w:r>
            <w:r>
              <w:rPr>
                <w:spacing w:val="-45"/>
              </w:rPr>
              <w:t xml:space="preserve"> </w:t>
            </w:r>
            <w:r>
              <w:rPr>
                <w:spacing w:val="-2"/>
              </w:rPr>
              <w:t>明设</w:t>
            </w:r>
            <w:r>
              <w:t xml:space="preserve"> 备</w:t>
            </w:r>
          </w:p>
        </w:tc>
        <w:tc>
          <w:tcPr>
            <w:tcW w:w="2672" w:type="dxa"/>
            <w:vAlign w:val="top"/>
          </w:tcPr>
          <w:p w14:paraId="2D34DCC8">
            <w:pPr>
              <w:pStyle w:val="213"/>
              <w:spacing w:before="68" w:line="220" w:lineRule="auto"/>
              <w:ind w:left="103"/>
            </w:pPr>
            <w:r>
              <w:rPr>
                <w:spacing w:val="-1"/>
              </w:rPr>
              <w:t>A02061908</w:t>
            </w:r>
            <w:r>
              <w:rPr>
                <w:spacing w:val="-29"/>
              </w:rPr>
              <w:t xml:space="preserve"> </w:t>
            </w:r>
            <w:r>
              <w:rPr>
                <w:spacing w:val="-1"/>
              </w:rPr>
              <w:t>室内照明灯具</w:t>
            </w:r>
          </w:p>
        </w:tc>
        <w:tc>
          <w:tcPr>
            <w:tcW w:w="2248" w:type="dxa"/>
            <w:vAlign w:val="top"/>
          </w:tcPr>
          <w:p w14:paraId="074F9CEF">
            <w:pPr>
              <w:rPr>
                <w:rFonts w:ascii="Arial"/>
                <w:sz w:val="21"/>
              </w:rPr>
            </w:pPr>
          </w:p>
        </w:tc>
        <w:tc>
          <w:tcPr>
            <w:tcW w:w="3543" w:type="dxa"/>
            <w:vAlign w:val="top"/>
          </w:tcPr>
          <w:p w14:paraId="6A0E61DF">
            <w:pPr>
              <w:pStyle w:val="213"/>
              <w:spacing w:before="67" w:line="219" w:lineRule="auto"/>
              <w:ind w:left="109"/>
            </w:pPr>
            <w:r>
              <w:rPr>
                <w:spacing w:val="-1"/>
              </w:rPr>
              <w:t>HJ2518</w:t>
            </w:r>
            <w:r>
              <w:rPr>
                <w:spacing w:val="-35"/>
              </w:rPr>
              <w:t xml:space="preserve"> </w:t>
            </w:r>
            <w:r>
              <w:rPr>
                <w:spacing w:val="-1"/>
              </w:rPr>
              <w:t>照明光源</w:t>
            </w:r>
          </w:p>
        </w:tc>
      </w:tr>
      <w:tr w14:paraId="2DBCC9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83" w:type="dxa"/>
            <w:vAlign w:val="top"/>
          </w:tcPr>
          <w:p w14:paraId="0745A86B">
            <w:pPr>
              <w:pStyle w:val="213"/>
              <w:spacing w:before="63" w:line="242" w:lineRule="auto"/>
              <w:ind w:left="128"/>
            </w:pPr>
            <w:r>
              <w:rPr>
                <w:spacing w:val="-10"/>
              </w:rPr>
              <w:t>14</w:t>
            </w:r>
          </w:p>
        </w:tc>
        <w:tc>
          <w:tcPr>
            <w:tcW w:w="1542" w:type="dxa"/>
            <w:vAlign w:val="top"/>
          </w:tcPr>
          <w:p w14:paraId="2CFBB27D">
            <w:pPr>
              <w:pStyle w:val="213"/>
              <w:spacing w:before="64" w:line="296" w:lineRule="auto"/>
              <w:ind w:left="109" w:right="106" w:hanging="7"/>
              <w:jc w:val="both"/>
            </w:pPr>
            <w:r>
              <w:rPr>
                <w:spacing w:val="3"/>
              </w:rPr>
              <w:t>A020810</w:t>
            </w:r>
            <w:r>
              <w:rPr>
                <w:spacing w:val="34"/>
              </w:rPr>
              <w:t xml:space="preserve"> </w:t>
            </w:r>
            <w:r>
              <w:rPr>
                <w:spacing w:val="3"/>
              </w:rPr>
              <w:t>传真及</w:t>
            </w:r>
            <w:r>
              <w:t xml:space="preserve"> </w:t>
            </w:r>
            <w:r>
              <w:rPr>
                <w:spacing w:val="8"/>
              </w:rPr>
              <w:t>数据数字通信设</w:t>
            </w:r>
            <w:r>
              <w:rPr>
                <w:spacing w:val="4"/>
              </w:rPr>
              <w:t xml:space="preserve"> </w:t>
            </w:r>
            <w:r>
              <w:t>备</w:t>
            </w:r>
          </w:p>
        </w:tc>
        <w:tc>
          <w:tcPr>
            <w:tcW w:w="2672" w:type="dxa"/>
            <w:vAlign w:val="top"/>
          </w:tcPr>
          <w:p w14:paraId="61B4E0B1">
            <w:pPr>
              <w:pStyle w:val="213"/>
              <w:spacing w:before="64" w:line="219" w:lineRule="auto"/>
              <w:ind w:left="103"/>
            </w:pPr>
            <w:r>
              <w:rPr>
                <w:spacing w:val="-1"/>
              </w:rPr>
              <w:t>A02081001</w:t>
            </w:r>
            <w:r>
              <w:rPr>
                <w:spacing w:val="-30"/>
              </w:rPr>
              <w:t xml:space="preserve"> </w:t>
            </w:r>
            <w:r>
              <w:rPr>
                <w:spacing w:val="-1"/>
              </w:rPr>
              <w:t>传真通信设备</w:t>
            </w:r>
          </w:p>
        </w:tc>
        <w:tc>
          <w:tcPr>
            <w:tcW w:w="2248" w:type="dxa"/>
            <w:vAlign w:val="top"/>
          </w:tcPr>
          <w:p w14:paraId="7DA17ACF">
            <w:pPr>
              <w:rPr>
                <w:rFonts w:ascii="Arial"/>
                <w:sz w:val="21"/>
              </w:rPr>
            </w:pPr>
          </w:p>
        </w:tc>
        <w:tc>
          <w:tcPr>
            <w:tcW w:w="3543" w:type="dxa"/>
            <w:vAlign w:val="top"/>
          </w:tcPr>
          <w:p w14:paraId="157BEBC2">
            <w:pPr>
              <w:pStyle w:val="213"/>
              <w:spacing w:before="63" w:line="219" w:lineRule="auto"/>
              <w:ind w:left="109"/>
            </w:pPr>
            <w:r>
              <w:rPr>
                <w:spacing w:val="-1"/>
              </w:rPr>
              <w:t>HJ2512</w:t>
            </w:r>
            <w:r>
              <w:rPr>
                <w:spacing w:val="-29"/>
              </w:rPr>
              <w:t xml:space="preserve"> </w:t>
            </w:r>
            <w:r>
              <w:rPr>
                <w:spacing w:val="-1"/>
              </w:rPr>
              <w:t>打印机、传真机及多功能一体机</w:t>
            </w:r>
          </w:p>
        </w:tc>
      </w:tr>
      <w:tr w14:paraId="5BD73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vAlign w:val="top"/>
          </w:tcPr>
          <w:p w14:paraId="410EF02D">
            <w:pPr>
              <w:pStyle w:val="213"/>
              <w:spacing w:before="64"/>
              <w:ind w:left="128"/>
            </w:pPr>
            <w:r>
              <w:rPr>
                <w:spacing w:val="-10"/>
              </w:rPr>
              <w:t>15</w:t>
            </w:r>
          </w:p>
        </w:tc>
        <w:tc>
          <w:tcPr>
            <w:tcW w:w="1542" w:type="dxa"/>
            <w:vMerge w:val="restart"/>
            <w:tcBorders>
              <w:bottom w:val="nil"/>
            </w:tcBorders>
            <w:vAlign w:val="top"/>
          </w:tcPr>
          <w:p w14:paraId="26E8370D">
            <w:pPr>
              <w:pStyle w:val="213"/>
              <w:spacing w:before="64" w:line="323" w:lineRule="auto"/>
              <w:ind w:left="109" w:right="108" w:hanging="7"/>
            </w:pPr>
            <w:r>
              <w:rPr>
                <w:spacing w:val="1"/>
              </w:rPr>
              <w:t>A020910</w:t>
            </w:r>
            <w:r>
              <w:rPr>
                <w:spacing w:val="54"/>
              </w:rPr>
              <w:t xml:space="preserve"> </w:t>
            </w:r>
            <w:r>
              <w:rPr>
                <w:spacing w:val="1"/>
              </w:rPr>
              <w:t>电视设</w:t>
            </w:r>
            <w:r>
              <w:t xml:space="preserve"> 备</w:t>
            </w:r>
          </w:p>
        </w:tc>
        <w:tc>
          <w:tcPr>
            <w:tcW w:w="2672" w:type="dxa"/>
            <w:vAlign w:val="top"/>
          </w:tcPr>
          <w:p w14:paraId="631B3CB1">
            <w:pPr>
              <w:pStyle w:val="213"/>
              <w:spacing w:before="64" w:line="284" w:lineRule="auto"/>
              <w:ind w:left="107" w:right="107" w:hanging="4"/>
            </w:pPr>
            <w:r>
              <w:rPr>
                <w:spacing w:val="-2"/>
              </w:rPr>
              <w:t>A02091001</w:t>
            </w:r>
            <w:r>
              <w:rPr>
                <w:spacing w:val="-29"/>
              </w:rPr>
              <w:t xml:space="preserve"> </w:t>
            </w:r>
            <w:r>
              <w:rPr>
                <w:spacing w:val="-2"/>
              </w:rPr>
              <w:t>普通电视设备（电视</w:t>
            </w:r>
            <w:r>
              <w:t xml:space="preserve"> </w:t>
            </w:r>
            <w:r>
              <w:rPr>
                <w:spacing w:val="-4"/>
              </w:rPr>
              <w:t>机）</w:t>
            </w:r>
          </w:p>
        </w:tc>
        <w:tc>
          <w:tcPr>
            <w:tcW w:w="2248" w:type="dxa"/>
            <w:vAlign w:val="top"/>
          </w:tcPr>
          <w:p w14:paraId="20AA4966">
            <w:pPr>
              <w:rPr>
                <w:rFonts w:ascii="Arial"/>
                <w:sz w:val="21"/>
              </w:rPr>
            </w:pPr>
          </w:p>
        </w:tc>
        <w:tc>
          <w:tcPr>
            <w:tcW w:w="3543" w:type="dxa"/>
            <w:vAlign w:val="top"/>
          </w:tcPr>
          <w:p w14:paraId="1D43B566">
            <w:pPr>
              <w:pStyle w:val="213"/>
              <w:spacing w:before="64" w:line="219" w:lineRule="auto"/>
              <w:ind w:left="109"/>
            </w:pPr>
            <w:r>
              <w:rPr>
                <w:spacing w:val="-1"/>
              </w:rPr>
              <w:t>HJ2506</w:t>
            </w:r>
            <w:r>
              <w:rPr>
                <w:spacing w:val="-31"/>
              </w:rPr>
              <w:t xml:space="preserve"> </w:t>
            </w:r>
            <w:r>
              <w:rPr>
                <w:spacing w:val="-1"/>
              </w:rPr>
              <w:t>彩色电视广播接收机</w:t>
            </w:r>
          </w:p>
        </w:tc>
      </w:tr>
      <w:tr w14:paraId="15C36C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Merge w:val="continue"/>
            <w:tcBorders>
              <w:top w:val="nil"/>
            </w:tcBorders>
            <w:vAlign w:val="top"/>
          </w:tcPr>
          <w:p w14:paraId="4643E191">
            <w:pPr>
              <w:rPr>
                <w:rFonts w:ascii="Arial"/>
                <w:sz w:val="21"/>
              </w:rPr>
            </w:pPr>
          </w:p>
        </w:tc>
        <w:tc>
          <w:tcPr>
            <w:tcW w:w="1542" w:type="dxa"/>
            <w:vMerge w:val="continue"/>
            <w:tcBorders>
              <w:top w:val="nil"/>
            </w:tcBorders>
            <w:vAlign w:val="top"/>
          </w:tcPr>
          <w:p w14:paraId="4E36F452">
            <w:pPr>
              <w:rPr>
                <w:rFonts w:ascii="Arial"/>
                <w:sz w:val="21"/>
              </w:rPr>
            </w:pPr>
          </w:p>
        </w:tc>
        <w:tc>
          <w:tcPr>
            <w:tcW w:w="2672" w:type="dxa"/>
            <w:vAlign w:val="top"/>
          </w:tcPr>
          <w:p w14:paraId="192CDB2C">
            <w:pPr>
              <w:pStyle w:val="213"/>
              <w:spacing w:before="67" w:line="284" w:lineRule="auto"/>
              <w:ind w:left="111" w:right="107" w:hanging="8"/>
            </w:pPr>
            <w:r>
              <w:rPr>
                <w:spacing w:val="6"/>
              </w:rPr>
              <w:t>A02091003 特殊功能应用电视</w:t>
            </w:r>
            <w:r>
              <w:rPr>
                <w:spacing w:val="7"/>
              </w:rPr>
              <w:t xml:space="preserve"> </w:t>
            </w:r>
            <w:r>
              <w:rPr>
                <w:spacing w:val="-3"/>
              </w:rPr>
              <w:t>设备</w:t>
            </w:r>
          </w:p>
        </w:tc>
        <w:tc>
          <w:tcPr>
            <w:tcW w:w="2248" w:type="dxa"/>
            <w:vAlign w:val="top"/>
          </w:tcPr>
          <w:p w14:paraId="1810E7D8">
            <w:pPr>
              <w:rPr>
                <w:rFonts w:ascii="Arial"/>
                <w:sz w:val="21"/>
              </w:rPr>
            </w:pPr>
          </w:p>
        </w:tc>
        <w:tc>
          <w:tcPr>
            <w:tcW w:w="3543" w:type="dxa"/>
            <w:vAlign w:val="top"/>
          </w:tcPr>
          <w:p w14:paraId="40354154">
            <w:pPr>
              <w:pStyle w:val="213"/>
              <w:spacing w:before="67" w:line="219" w:lineRule="auto"/>
              <w:ind w:left="109"/>
            </w:pPr>
            <w:r>
              <w:rPr>
                <w:spacing w:val="-1"/>
              </w:rPr>
              <w:t>HJ2506</w:t>
            </w:r>
            <w:r>
              <w:rPr>
                <w:spacing w:val="-31"/>
              </w:rPr>
              <w:t xml:space="preserve"> </w:t>
            </w:r>
            <w:r>
              <w:rPr>
                <w:spacing w:val="-1"/>
              </w:rPr>
              <w:t>彩色电视广播接收机</w:t>
            </w:r>
          </w:p>
        </w:tc>
      </w:tr>
      <w:tr w14:paraId="2ADF6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restart"/>
            <w:tcBorders>
              <w:bottom w:val="nil"/>
            </w:tcBorders>
            <w:vAlign w:val="top"/>
          </w:tcPr>
          <w:p w14:paraId="7DC6975A">
            <w:pPr>
              <w:pStyle w:val="213"/>
              <w:spacing w:before="65"/>
              <w:ind w:left="128"/>
            </w:pPr>
            <w:r>
              <w:rPr>
                <w:spacing w:val="-10"/>
              </w:rPr>
              <w:t>16</w:t>
            </w:r>
          </w:p>
        </w:tc>
        <w:tc>
          <w:tcPr>
            <w:tcW w:w="1542" w:type="dxa"/>
            <w:vMerge w:val="restart"/>
            <w:tcBorders>
              <w:bottom w:val="nil"/>
            </w:tcBorders>
            <w:vAlign w:val="top"/>
          </w:tcPr>
          <w:p w14:paraId="5FEF690E">
            <w:pPr>
              <w:pStyle w:val="213"/>
              <w:spacing w:before="65" w:line="220" w:lineRule="auto"/>
              <w:ind w:left="193"/>
            </w:pPr>
            <w:r>
              <w:rPr>
                <w:spacing w:val="-1"/>
              </w:rPr>
              <w:t>A0601</w:t>
            </w:r>
            <w:r>
              <w:rPr>
                <w:spacing w:val="-36"/>
              </w:rPr>
              <w:t xml:space="preserve"> </w:t>
            </w:r>
            <w:r>
              <w:rPr>
                <w:spacing w:val="-1"/>
              </w:rPr>
              <w:t>床类</w:t>
            </w:r>
          </w:p>
        </w:tc>
        <w:tc>
          <w:tcPr>
            <w:tcW w:w="2672" w:type="dxa"/>
            <w:vAlign w:val="top"/>
          </w:tcPr>
          <w:p w14:paraId="1E642A8B">
            <w:pPr>
              <w:pStyle w:val="213"/>
              <w:spacing w:before="65" w:line="220" w:lineRule="auto"/>
              <w:ind w:left="103"/>
            </w:pPr>
            <w:r>
              <w:rPr>
                <w:spacing w:val="-1"/>
              </w:rPr>
              <w:t>A060101</w:t>
            </w:r>
            <w:r>
              <w:rPr>
                <w:spacing w:val="-34"/>
              </w:rPr>
              <w:t xml:space="preserve"> </w:t>
            </w:r>
            <w:r>
              <w:rPr>
                <w:spacing w:val="-1"/>
              </w:rPr>
              <w:t>钢木床类</w:t>
            </w:r>
          </w:p>
        </w:tc>
        <w:tc>
          <w:tcPr>
            <w:tcW w:w="2248" w:type="dxa"/>
            <w:vAlign w:val="top"/>
          </w:tcPr>
          <w:p w14:paraId="46156D67">
            <w:pPr>
              <w:rPr>
                <w:rFonts w:ascii="Arial"/>
                <w:sz w:val="21"/>
              </w:rPr>
            </w:pPr>
          </w:p>
        </w:tc>
        <w:tc>
          <w:tcPr>
            <w:tcW w:w="3543" w:type="dxa"/>
            <w:vAlign w:val="top"/>
          </w:tcPr>
          <w:p w14:paraId="653439C0">
            <w:pPr>
              <w:pStyle w:val="213"/>
              <w:spacing w:before="64"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8538B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trPr>
        <w:tc>
          <w:tcPr>
            <w:tcW w:w="583" w:type="dxa"/>
            <w:vMerge w:val="continue"/>
            <w:tcBorders>
              <w:top w:val="nil"/>
              <w:bottom w:val="nil"/>
            </w:tcBorders>
            <w:vAlign w:val="top"/>
          </w:tcPr>
          <w:p w14:paraId="196591F5">
            <w:pPr>
              <w:rPr>
                <w:rFonts w:ascii="Arial"/>
                <w:sz w:val="21"/>
              </w:rPr>
            </w:pPr>
          </w:p>
        </w:tc>
        <w:tc>
          <w:tcPr>
            <w:tcW w:w="1542" w:type="dxa"/>
            <w:vMerge w:val="continue"/>
            <w:tcBorders>
              <w:top w:val="nil"/>
              <w:bottom w:val="nil"/>
            </w:tcBorders>
            <w:vAlign w:val="top"/>
          </w:tcPr>
          <w:p w14:paraId="7F4A9CF9">
            <w:pPr>
              <w:rPr>
                <w:rFonts w:ascii="Arial"/>
                <w:sz w:val="21"/>
              </w:rPr>
            </w:pPr>
          </w:p>
        </w:tc>
        <w:tc>
          <w:tcPr>
            <w:tcW w:w="2672" w:type="dxa"/>
            <w:vAlign w:val="top"/>
          </w:tcPr>
          <w:p w14:paraId="3C53E63A">
            <w:pPr>
              <w:pStyle w:val="213"/>
              <w:spacing w:before="65" w:line="220" w:lineRule="auto"/>
              <w:ind w:left="103"/>
            </w:pPr>
            <w:r>
              <w:rPr>
                <w:spacing w:val="-1"/>
              </w:rPr>
              <w:t>A060104</w:t>
            </w:r>
            <w:r>
              <w:rPr>
                <w:spacing w:val="-33"/>
              </w:rPr>
              <w:t xml:space="preserve"> </w:t>
            </w:r>
            <w:r>
              <w:rPr>
                <w:spacing w:val="-1"/>
              </w:rPr>
              <w:t>木制床类</w:t>
            </w:r>
          </w:p>
        </w:tc>
        <w:tc>
          <w:tcPr>
            <w:tcW w:w="2248" w:type="dxa"/>
            <w:vAlign w:val="top"/>
          </w:tcPr>
          <w:p w14:paraId="53FC7E23">
            <w:pPr>
              <w:rPr>
                <w:rFonts w:ascii="Arial"/>
                <w:sz w:val="21"/>
              </w:rPr>
            </w:pPr>
          </w:p>
        </w:tc>
        <w:tc>
          <w:tcPr>
            <w:tcW w:w="3543" w:type="dxa"/>
            <w:vAlign w:val="top"/>
          </w:tcPr>
          <w:p w14:paraId="52649647">
            <w:pPr>
              <w:pStyle w:val="213"/>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5376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25C97FAC">
            <w:pPr>
              <w:rPr>
                <w:rFonts w:ascii="Arial"/>
                <w:sz w:val="21"/>
              </w:rPr>
            </w:pPr>
          </w:p>
        </w:tc>
        <w:tc>
          <w:tcPr>
            <w:tcW w:w="1542" w:type="dxa"/>
            <w:vMerge w:val="continue"/>
            <w:tcBorders>
              <w:top w:val="nil"/>
            </w:tcBorders>
            <w:vAlign w:val="top"/>
          </w:tcPr>
          <w:p w14:paraId="4C47414E">
            <w:pPr>
              <w:rPr>
                <w:rFonts w:ascii="Arial"/>
                <w:sz w:val="21"/>
              </w:rPr>
            </w:pPr>
          </w:p>
        </w:tc>
        <w:tc>
          <w:tcPr>
            <w:tcW w:w="2672" w:type="dxa"/>
            <w:vAlign w:val="top"/>
          </w:tcPr>
          <w:p w14:paraId="2D9D08FB">
            <w:pPr>
              <w:pStyle w:val="213"/>
              <w:spacing w:before="65" w:line="220" w:lineRule="auto"/>
              <w:ind w:left="103"/>
            </w:pPr>
            <w:r>
              <w:rPr>
                <w:spacing w:val="-1"/>
              </w:rPr>
              <w:t>A060199</w:t>
            </w:r>
            <w:r>
              <w:rPr>
                <w:spacing w:val="-33"/>
              </w:rPr>
              <w:t xml:space="preserve"> </w:t>
            </w:r>
            <w:r>
              <w:rPr>
                <w:spacing w:val="-1"/>
              </w:rPr>
              <w:t>其他床类</w:t>
            </w:r>
          </w:p>
        </w:tc>
        <w:tc>
          <w:tcPr>
            <w:tcW w:w="2248" w:type="dxa"/>
            <w:vAlign w:val="top"/>
          </w:tcPr>
          <w:p w14:paraId="26DA5D59">
            <w:pPr>
              <w:rPr>
                <w:rFonts w:ascii="Arial"/>
                <w:sz w:val="21"/>
              </w:rPr>
            </w:pPr>
          </w:p>
        </w:tc>
        <w:tc>
          <w:tcPr>
            <w:tcW w:w="3543" w:type="dxa"/>
            <w:vAlign w:val="top"/>
          </w:tcPr>
          <w:p w14:paraId="4B52C3C6">
            <w:pPr>
              <w:pStyle w:val="213"/>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2B7730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00FF68E8">
            <w:pPr>
              <w:pStyle w:val="213"/>
              <w:spacing w:before="66"/>
              <w:ind w:left="128"/>
            </w:pPr>
            <w:r>
              <w:rPr>
                <w:spacing w:val="-10"/>
              </w:rPr>
              <w:t>17</w:t>
            </w:r>
          </w:p>
        </w:tc>
        <w:tc>
          <w:tcPr>
            <w:tcW w:w="1542" w:type="dxa"/>
            <w:vMerge w:val="restart"/>
            <w:tcBorders>
              <w:bottom w:val="nil"/>
            </w:tcBorders>
            <w:vAlign w:val="top"/>
          </w:tcPr>
          <w:p w14:paraId="46AB660E">
            <w:pPr>
              <w:pStyle w:val="213"/>
              <w:spacing w:before="65" w:line="220" w:lineRule="auto"/>
              <w:ind w:left="102"/>
            </w:pPr>
            <w:r>
              <w:rPr>
                <w:spacing w:val="-2"/>
              </w:rPr>
              <w:t>A0602</w:t>
            </w:r>
            <w:r>
              <w:rPr>
                <w:spacing w:val="-22"/>
              </w:rPr>
              <w:t xml:space="preserve"> </w:t>
            </w:r>
            <w:r>
              <w:rPr>
                <w:spacing w:val="-2"/>
              </w:rPr>
              <w:t>台、桌类</w:t>
            </w:r>
          </w:p>
        </w:tc>
        <w:tc>
          <w:tcPr>
            <w:tcW w:w="2672" w:type="dxa"/>
            <w:vAlign w:val="top"/>
          </w:tcPr>
          <w:p w14:paraId="0E8D4756">
            <w:pPr>
              <w:pStyle w:val="213"/>
              <w:spacing w:before="65" w:line="220" w:lineRule="auto"/>
              <w:ind w:left="103"/>
            </w:pPr>
            <w:r>
              <w:rPr>
                <w:spacing w:val="-1"/>
              </w:rPr>
              <w:t>A060201</w:t>
            </w:r>
            <w:r>
              <w:rPr>
                <w:spacing w:val="-29"/>
              </w:rPr>
              <w:t xml:space="preserve"> </w:t>
            </w:r>
            <w:r>
              <w:rPr>
                <w:spacing w:val="-1"/>
              </w:rPr>
              <w:t>钢木台、桌类</w:t>
            </w:r>
          </w:p>
        </w:tc>
        <w:tc>
          <w:tcPr>
            <w:tcW w:w="2248" w:type="dxa"/>
            <w:vAlign w:val="top"/>
          </w:tcPr>
          <w:p w14:paraId="50B7C193">
            <w:pPr>
              <w:rPr>
                <w:rFonts w:ascii="Arial"/>
                <w:sz w:val="21"/>
              </w:rPr>
            </w:pPr>
          </w:p>
        </w:tc>
        <w:tc>
          <w:tcPr>
            <w:tcW w:w="3543" w:type="dxa"/>
            <w:vAlign w:val="top"/>
          </w:tcPr>
          <w:p w14:paraId="0D667D18">
            <w:pPr>
              <w:pStyle w:val="213"/>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1B56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nil"/>
              <w:bottom w:val="nil"/>
            </w:tcBorders>
            <w:vAlign w:val="top"/>
          </w:tcPr>
          <w:p w14:paraId="6DD718B9">
            <w:pPr>
              <w:rPr>
                <w:rFonts w:ascii="Arial"/>
                <w:sz w:val="21"/>
              </w:rPr>
            </w:pPr>
          </w:p>
        </w:tc>
        <w:tc>
          <w:tcPr>
            <w:tcW w:w="1542" w:type="dxa"/>
            <w:vMerge w:val="continue"/>
            <w:tcBorders>
              <w:top w:val="nil"/>
              <w:bottom w:val="nil"/>
            </w:tcBorders>
            <w:vAlign w:val="top"/>
          </w:tcPr>
          <w:p w14:paraId="386792F2">
            <w:pPr>
              <w:rPr>
                <w:rFonts w:ascii="Arial"/>
                <w:sz w:val="21"/>
              </w:rPr>
            </w:pPr>
          </w:p>
        </w:tc>
        <w:tc>
          <w:tcPr>
            <w:tcW w:w="2672" w:type="dxa"/>
            <w:vAlign w:val="top"/>
          </w:tcPr>
          <w:p w14:paraId="04D01AD8">
            <w:pPr>
              <w:pStyle w:val="213"/>
              <w:spacing w:before="65" w:line="220" w:lineRule="auto"/>
              <w:ind w:left="103"/>
            </w:pPr>
            <w:r>
              <w:rPr>
                <w:spacing w:val="-1"/>
              </w:rPr>
              <w:t>A060205</w:t>
            </w:r>
            <w:r>
              <w:rPr>
                <w:spacing w:val="-29"/>
              </w:rPr>
              <w:t xml:space="preserve"> </w:t>
            </w:r>
            <w:r>
              <w:rPr>
                <w:spacing w:val="-1"/>
              </w:rPr>
              <w:t>木制台、桌类</w:t>
            </w:r>
          </w:p>
        </w:tc>
        <w:tc>
          <w:tcPr>
            <w:tcW w:w="2248" w:type="dxa"/>
            <w:vAlign w:val="top"/>
          </w:tcPr>
          <w:p w14:paraId="09D44818">
            <w:pPr>
              <w:rPr>
                <w:rFonts w:ascii="Arial"/>
                <w:sz w:val="21"/>
              </w:rPr>
            </w:pPr>
          </w:p>
        </w:tc>
        <w:tc>
          <w:tcPr>
            <w:tcW w:w="3543" w:type="dxa"/>
            <w:vAlign w:val="top"/>
          </w:tcPr>
          <w:p w14:paraId="63EF0849">
            <w:pPr>
              <w:pStyle w:val="213"/>
              <w:spacing w:before="65"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6572D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212D3AC2">
            <w:pPr>
              <w:rPr>
                <w:rFonts w:ascii="Arial"/>
                <w:sz w:val="21"/>
              </w:rPr>
            </w:pPr>
          </w:p>
        </w:tc>
        <w:tc>
          <w:tcPr>
            <w:tcW w:w="1542" w:type="dxa"/>
            <w:vMerge w:val="continue"/>
            <w:tcBorders>
              <w:top w:val="nil"/>
            </w:tcBorders>
            <w:vAlign w:val="top"/>
          </w:tcPr>
          <w:p w14:paraId="71A5ADDB">
            <w:pPr>
              <w:rPr>
                <w:rFonts w:ascii="Arial"/>
                <w:sz w:val="21"/>
              </w:rPr>
            </w:pPr>
          </w:p>
        </w:tc>
        <w:tc>
          <w:tcPr>
            <w:tcW w:w="2672" w:type="dxa"/>
            <w:vAlign w:val="top"/>
          </w:tcPr>
          <w:p w14:paraId="2F744242">
            <w:pPr>
              <w:pStyle w:val="213"/>
              <w:spacing w:before="66" w:line="220" w:lineRule="auto"/>
              <w:ind w:left="103"/>
            </w:pPr>
            <w:r>
              <w:rPr>
                <w:spacing w:val="-1"/>
              </w:rPr>
              <w:t>A060299</w:t>
            </w:r>
            <w:r>
              <w:rPr>
                <w:spacing w:val="-29"/>
              </w:rPr>
              <w:t xml:space="preserve"> </w:t>
            </w:r>
            <w:r>
              <w:rPr>
                <w:spacing w:val="-1"/>
              </w:rPr>
              <w:t>其他台、桌类</w:t>
            </w:r>
          </w:p>
        </w:tc>
        <w:tc>
          <w:tcPr>
            <w:tcW w:w="2248" w:type="dxa"/>
            <w:vAlign w:val="top"/>
          </w:tcPr>
          <w:p w14:paraId="514F29F5">
            <w:pPr>
              <w:rPr>
                <w:rFonts w:ascii="Arial"/>
                <w:sz w:val="21"/>
              </w:rPr>
            </w:pPr>
          </w:p>
        </w:tc>
        <w:tc>
          <w:tcPr>
            <w:tcW w:w="3543" w:type="dxa"/>
            <w:vAlign w:val="top"/>
          </w:tcPr>
          <w:p w14:paraId="7BBDF894">
            <w:pPr>
              <w:pStyle w:val="213"/>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6F35C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75FEF03B">
            <w:pPr>
              <w:pStyle w:val="213"/>
              <w:spacing w:before="67"/>
              <w:ind w:left="128"/>
            </w:pPr>
            <w:r>
              <w:rPr>
                <w:spacing w:val="-10"/>
              </w:rPr>
              <w:t>18</w:t>
            </w:r>
          </w:p>
        </w:tc>
        <w:tc>
          <w:tcPr>
            <w:tcW w:w="1542" w:type="dxa"/>
            <w:vMerge w:val="restart"/>
            <w:tcBorders>
              <w:bottom w:val="nil"/>
            </w:tcBorders>
            <w:vAlign w:val="top"/>
          </w:tcPr>
          <w:p w14:paraId="6F4AA3DB">
            <w:pPr>
              <w:pStyle w:val="213"/>
              <w:spacing w:before="66" w:line="220" w:lineRule="auto"/>
              <w:ind w:left="102"/>
            </w:pPr>
            <w:r>
              <w:rPr>
                <w:spacing w:val="-1"/>
              </w:rPr>
              <w:t>A0603</w:t>
            </w:r>
            <w:r>
              <w:rPr>
                <w:spacing w:val="-36"/>
              </w:rPr>
              <w:t xml:space="preserve"> </w:t>
            </w:r>
            <w:r>
              <w:rPr>
                <w:spacing w:val="-1"/>
              </w:rPr>
              <w:t>椅凳类</w:t>
            </w:r>
          </w:p>
        </w:tc>
        <w:tc>
          <w:tcPr>
            <w:tcW w:w="2672" w:type="dxa"/>
            <w:vAlign w:val="top"/>
          </w:tcPr>
          <w:p w14:paraId="448DD27A">
            <w:pPr>
              <w:pStyle w:val="213"/>
              <w:spacing w:before="66" w:line="220" w:lineRule="auto"/>
              <w:ind w:left="103"/>
            </w:pPr>
            <w:r>
              <w:rPr>
                <w:spacing w:val="-1"/>
              </w:rPr>
              <w:t>A060301</w:t>
            </w:r>
            <w:r>
              <w:rPr>
                <w:spacing w:val="-46"/>
              </w:rPr>
              <w:t xml:space="preserve"> </w:t>
            </w:r>
            <w:r>
              <w:rPr>
                <w:spacing w:val="-1"/>
              </w:rPr>
              <w:t>金属骨架为主的椅凳类</w:t>
            </w:r>
          </w:p>
        </w:tc>
        <w:tc>
          <w:tcPr>
            <w:tcW w:w="2248" w:type="dxa"/>
            <w:vAlign w:val="top"/>
          </w:tcPr>
          <w:p w14:paraId="35146366">
            <w:pPr>
              <w:rPr>
                <w:rFonts w:ascii="Arial"/>
                <w:sz w:val="21"/>
              </w:rPr>
            </w:pPr>
          </w:p>
        </w:tc>
        <w:tc>
          <w:tcPr>
            <w:tcW w:w="3543" w:type="dxa"/>
            <w:vAlign w:val="top"/>
          </w:tcPr>
          <w:p w14:paraId="656C7958">
            <w:pPr>
              <w:pStyle w:val="213"/>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AB33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nil"/>
              <w:bottom w:val="nil"/>
            </w:tcBorders>
            <w:vAlign w:val="top"/>
          </w:tcPr>
          <w:p w14:paraId="37CF7095">
            <w:pPr>
              <w:rPr>
                <w:rFonts w:ascii="Arial"/>
                <w:sz w:val="21"/>
              </w:rPr>
            </w:pPr>
          </w:p>
        </w:tc>
        <w:tc>
          <w:tcPr>
            <w:tcW w:w="1542" w:type="dxa"/>
            <w:vMerge w:val="continue"/>
            <w:tcBorders>
              <w:top w:val="nil"/>
              <w:bottom w:val="nil"/>
            </w:tcBorders>
            <w:vAlign w:val="top"/>
          </w:tcPr>
          <w:p w14:paraId="28DE269E">
            <w:pPr>
              <w:rPr>
                <w:rFonts w:ascii="Arial"/>
                <w:sz w:val="21"/>
              </w:rPr>
            </w:pPr>
          </w:p>
        </w:tc>
        <w:tc>
          <w:tcPr>
            <w:tcW w:w="2672" w:type="dxa"/>
            <w:vAlign w:val="top"/>
          </w:tcPr>
          <w:p w14:paraId="0279AA59">
            <w:pPr>
              <w:pStyle w:val="213"/>
              <w:spacing w:before="66" w:line="220" w:lineRule="auto"/>
              <w:ind w:left="103"/>
            </w:pPr>
            <w:r>
              <w:rPr>
                <w:spacing w:val="-1"/>
              </w:rPr>
              <w:t>A060302</w:t>
            </w:r>
            <w:r>
              <w:rPr>
                <w:spacing w:val="-29"/>
              </w:rPr>
              <w:t xml:space="preserve"> </w:t>
            </w:r>
            <w:r>
              <w:rPr>
                <w:spacing w:val="-1"/>
              </w:rPr>
              <w:t>木骨架为主的椅凳类</w:t>
            </w:r>
          </w:p>
        </w:tc>
        <w:tc>
          <w:tcPr>
            <w:tcW w:w="2248" w:type="dxa"/>
            <w:vAlign w:val="top"/>
          </w:tcPr>
          <w:p w14:paraId="4EEED532">
            <w:pPr>
              <w:rPr>
                <w:rFonts w:ascii="Arial"/>
                <w:sz w:val="21"/>
              </w:rPr>
            </w:pPr>
          </w:p>
        </w:tc>
        <w:tc>
          <w:tcPr>
            <w:tcW w:w="3543" w:type="dxa"/>
            <w:vAlign w:val="top"/>
          </w:tcPr>
          <w:p w14:paraId="6E78AC05">
            <w:pPr>
              <w:pStyle w:val="213"/>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903D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02A76264">
            <w:pPr>
              <w:rPr>
                <w:rFonts w:ascii="Arial"/>
                <w:sz w:val="21"/>
              </w:rPr>
            </w:pPr>
          </w:p>
        </w:tc>
        <w:tc>
          <w:tcPr>
            <w:tcW w:w="1542" w:type="dxa"/>
            <w:vMerge w:val="continue"/>
            <w:tcBorders>
              <w:top w:val="nil"/>
            </w:tcBorders>
            <w:vAlign w:val="top"/>
          </w:tcPr>
          <w:p w14:paraId="2004F5D5">
            <w:pPr>
              <w:rPr>
                <w:rFonts w:ascii="Arial"/>
                <w:sz w:val="21"/>
              </w:rPr>
            </w:pPr>
          </w:p>
        </w:tc>
        <w:tc>
          <w:tcPr>
            <w:tcW w:w="2672" w:type="dxa"/>
            <w:vAlign w:val="top"/>
          </w:tcPr>
          <w:p w14:paraId="0E8D949F">
            <w:pPr>
              <w:pStyle w:val="213"/>
              <w:spacing w:before="67" w:line="220" w:lineRule="auto"/>
              <w:ind w:left="103"/>
            </w:pPr>
            <w:r>
              <w:rPr>
                <w:spacing w:val="-1"/>
              </w:rPr>
              <w:t>A060399</w:t>
            </w:r>
            <w:r>
              <w:rPr>
                <w:spacing w:val="-33"/>
              </w:rPr>
              <w:t xml:space="preserve"> </w:t>
            </w:r>
            <w:r>
              <w:rPr>
                <w:spacing w:val="-1"/>
              </w:rPr>
              <w:t>其他椅凳类</w:t>
            </w:r>
          </w:p>
        </w:tc>
        <w:tc>
          <w:tcPr>
            <w:tcW w:w="2248" w:type="dxa"/>
            <w:vAlign w:val="top"/>
          </w:tcPr>
          <w:p w14:paraId="24CEDEBE">
            <w:pPr>
              <w:rPr>
                <w:rFonts w:ascii="Arial"/>
                <w:sz w:val="21"/>
              </w:rPr>
            </w:pPr>
          </w:p>
        </w:tc>
        <w:tc>
          <w:tcPr>
            <w:tcW w:w="3543" w:type="dxa"/>
            <w:vAlign w:val="top"/>
          </w:tcPr>
          <w:p w14:paraId="1841F1AE">
            <w:pPr>
              <w:pStyle w:val="213"/>
              <w:spacing w:before="66"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7AF9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Align w:val="top"/>
          </w:tcPr>
          <w:p w14:paraId="4A551B1F">
            <w:pPr>
              <w:pStyle w:val="213"/>
              <w:spacing w:before="67"/>
              <w:ind w:left="128"/>
            </w:pPr>
            <w:r>
              <w:rPr>
                <w:spacing w:val="-10"/>
              </w:rPr>
              <w:t>19</w:t>
            </w:r>
          </w:p>
        </w:tc>
        <w:tc>
          <w:tcPr>
            <w:tcW w:w="1542" w:type="dxa"/>
            <w:vAlign w:val="top"/>
          </w:tcPr>
          <w:p w14:paraId="02A3D41F">
            <w:pPr>
              <w:pStyle w:val="213"/>
              <w:spacing w:before="67" w:line="220" w:lineRule="auto"/>
              <w:ind w:left="102"/>
            </w:pPr>
            <w:r>
              <w:rPr>
                <w:spacing w:val="-1"/>
              </w:rPr>
              <w:t>A0604</w:t>
            </w:r>
            <w:r>
              <w:rPr>
                <w:spacing w:val="-35"/>
              </w:rPr>
              <w:t xml:space="preserve"> </w:t>
            </w:r>
            <w:r>
              <w:rPr>
                <w:spacing w:val="-1"/>
              </w:rPr>
              <w:t>沙发类</w:t>
            </w:r>
          </w:p>
        </w:tc>
        <w:tc>
          <w:tcPr>
            <w:tcW w:w="2672" w:type="dxa"/>
            <w:vAlign w:val="top"/>
          </w:tcPr>
          <w:p w14:paraId="46D25991">
            <w:pPr>
              <w:pStyle w:val="213"/>
              <w:spacing w:before="67" w:line="220" w:lineRule="auto"/>
              <w:ind w:left="103"/>
            </w:pPr>
            <w:r>
              <w:rPr>
                <w:spacing w:val="-1"/>
              </w:rPr>
              <w:t>A060499</w:t>
            </w:r>
            <w:r>
              <w:rPr>
                <w:spacing w:val="-33"/>
              </w:rPr>
              <w:t xml:space="preserve"> </w:t>
            </w:r>
            <w:r>
              <w:rPr>
                <w:spacing w:val="-1"/>
              </w:rPr>
              <w:t>其他沙发类</w:t>
            </w:r>
          </w:p>
        </w:tc>
        <w:tc>
          <w:tcPr>
            <w:tcW w:w="2248" w:type="dxa"/>
            <w:vAlign w:val="top"/>
          </w:tcPr>
          <w:p w14:paraId="431A2D2C">
            <w:pPr>
              <w:rPr>
                <w:rFonts w:ascii="Arial"/>
                <w:sz w:val="21"/>
              </w:rPr>
            </w:pPr>
          </w:p>
        </w:tc>
        <w:tc>
          <w:tcPr>
            <w:tcW w:w="3543" w:type="dxa"/>
            <w:vAlign w:val="top"/>
          </w:tcPr>
          <w:p w14:paraId="78253D8C">
            <w:pPr>
              <w:pStyle w:val="213"/>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087F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0A0D9E9B">
            <w:pPr>
              <w:pStyle w:val="213"/>
              <w:spacing w:before="67"/>
              <w:ind w:left="116"/>
            </w:pPr>
            <w:r>
              <w:rPr>
                <w:spacing w:val="-4"/>
              </w:rPr>
              <w:t>20</w:t>
            </w:r>
          </w:p>
        </w:tc>
        <w:tc>
          <w:tcPr>
            <w:tcW w:w="1542" w:type="dxa"/>
            <w:vMerge w:val="restart"/>
            <w:tcBorders>
              <w:bottom w:val="nil"/>
            </w:tcBorders>
            <w:vAlign w:val="top"/>
          </w:tcPr>
          <w:p w14:paraId="1A2C27BF">
            <w:pPr>
              <w:pStyle w:val="213"/>
              <w:spacing w:before="67" w:line="220" w:lineRule="auto"/>
              <w:ind w:left="193"/>
            </w:pPr>
            <w:r>
              <w:rPr>
                <w:spacing w:val="-1"/>
              </w:rPr>
              <w:t>A0605</w:t>
            </w:r>
            <w:r>
              <w:rPr>
                <w:spacing w:val="-36"/>
              </w:rPr>
              <w:t xml:space="preserve"> </w:t>
            </w:r>
            <w:r>
              <w:rPr>
                <w:spacing w:val="-1"/>
              </w:rPr>
              <w:t>柜类</w:t>
            </w:r>
          </w:p>
        </w:tc>
        <w:tc>
          <w:tcPr>
            <w:tcW w:w="2672" w:type="dxa"/>
            <w:vAlign w:val="top"/>
          </w:tcPr>
          <w:p w14:paraId="079653E6">
            <w:pPr>
              <w:pStyle w:val="213"/>
              <w:spacing w:before="67" w:line="220" w:lineRule="auto"/>
              <w:ind w:left="103"/>
            </w:pPr>
            <w:r>
              <w:rPr>
                <w:spacing w:val="-1"/>
              </w:rPr>
              <w:t>A060501</w:t>
            </w:r>
            <w:r>
              <w:rPr>
                <w:spacing w:val="-33"/>
              </w:rPr>
              <w:t xml:space="preserve"> </w:t>
            </w:r>
            <w:r>
              <w:rPr>
                <w:spacing w:val="-1"/>
              </w:rPr>
              <w:t>木质柜类</w:t>
            </w:r>
          </w:p>
        </w:tc>
        <w:tc>
          <w:tcPr>
            <w:tcW w:w="2248" w:type="dxa"/>
            <w:vAlign w:val="top"/>
          </w:tcPr>
          <w:p w14:paraId="2C52F27B">
            <w:pPr>
              <w:rPr>
                <w:rFonts w:ascii="Arial"/>
                <w:sz w:val="21"/>
              </w:rPr>
            </w:pPr>
          </w:p>
        </w:tc>
        <w:tc>
          <w:tcPr>
            <w:tcW w:w="3543" w:type="dxa"/>
            <w:vAlign w:val="top"/>
          </w:tcPr>
          <w:p w14:paraId="0879F0B3">
            <w:pPr>
              <w:pStyle w:val="213"/>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D3DBA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vAlign w:val="top"/>
          </w:tcPr>
          <w:p w14:paraId="57EAEF2C">
            <w:pPr>
              <w:rPr>
                <w:rFonts w:ascii="Arial"/>
                <w:sz w:val="21"/>
              </w:rPr>
            </w:pPr>
          </w:p>
        </w:tc>
        <w:tc>
          <w:tcPr>
            <w:tcW w:w="1542" w:type="dxa"/>
            <w:vMerge w:val="continue"/>
            <w:tcBorders>
              <w:top w:val="nil"/>
              <w:bottom w:val="nil"/>
            </w:tcBorders>
            <w:vAlign w:val="top"/>
          </w:tcPr>
          <w:p w14:paraId="76C15929">
            <w:pPr>
              <w:rPr>
                <w:rFonts w:ascii="Arial"/>
                <w:sz w:val="21"/>
              </w:rPr>
            </w:pPr>
          </w:p>
        </w:tc>
        <w:tc>
          <w:tcPr>
            <w:tcW w:w="2672" w:type="dxa"/>
            <w:vAlign w:val="top"/>
          </w:tcPr>
          <w:p w14:paraId="560F5189">
            <w:pPr>
              <w:pStyle w:val="213"/>
              <w:spacing w:before="67" w:line="220" w:lineRule="auto"/>
              <w:ind w:left="103"/>
            </w:pPr>
            <w:r>
              <w:rPr>
                <w:spacing w:val="-1"/>
              </w:rPr>
              <w:t>A060503</w:t>
            </w:r>
            <w:r>
              <w:rPr>
                <w:spacing w:val="-32"/>
              </w:rPr>
              <w:t xml:space="preserve"> </w:t>
            </w:r>
            <w:r>
              <w:rPr>
                <w:spacing w:val="-1"/>
              </w:rPr>
              <w:t>金属质柜类</w:t>
            </w:r>
          </w:p>
        </w:tc>
        <w:tc>
          <w:tcPr>
            <w:tcW w:w="2248" w:type="dxa"/>
            <w:vAlign w:val="top"/>
          </w:tcPr>
          <w:p w14:paraId="148476BE">
            <w:pPr>
              <w:rPr>
                <w:rFonts w:ascii="Arial"/>
                <w:sz w:val="21"/>
              </w:rPr>
            </w:pPr>
          </w:p>
        </w:tc>
        <w:tc>
          <w:tcPr>
            <w:tcW w:w="3543" w:type="dxa"/>
            <w:vAlign w:val="top"/>
          </w:tcPr>
          <w:p w14:paraId="4E6C8272">
            <w:pPr>
              <w:pStyle w:val="213"/>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CD4D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58727A63">
            <w:pPr>
              <w:rPr>
                <w:rFonts w:ascii="Arial"/>
                <w:sz w:val="21"/>
              </w:rPr>
            </w:pPr>
          </w:p>
        </w:tc>
        <w:tc>
          <w:tcPr>
            <w:tcW w:w="1542" w:type="dxa"/>
            <w:vMerge w:val="continue"/>
            <w:tcBorders>
              <w:top w:val="nil"/>
            </w:tcBorders>
            <w:vAlign w:val="top"/>
          </w:tcPr>
          <w:p w14:paraId="51A81438">
            <w:pPr>
              <w:rPr>
                <w:rFonts w:ascii="Arial"/>
                <w:sz w:val="21"/>
              </w:rPr>
            </w:pPr>
          </w:p>
        </w:tc>
        <w:tc>
          <w:tcPr>
            <w:tcW w:w="2672" w:type="dxa"/>
            <w:vAlign w:val="top"/>
          </w:tcPr>
          <w:p w14:paraId="2F3C16A4">
            <w:pPr>
              <w:pStyle w:val="213"/>
              <w:spacing w:before="67" w:line="220" w:lineRule="auto"/>
              <w:ind w:left="103"/>
            </w:pPr>
            <w:r>
              <w:rPr>
                <w:spacing w:val="-1"/>
              </w:rPr>
              <w:t>A060599</w:t>
            </w:r>
            <w:r>
              <w:rPr>
                <w:spacing w:val="-33"/>
              </w:rPr>
              <w:t xml:space="preserve"> </w:t>
            </w:r>
            <w:r>
              <w:rPr>
                <w:spacing w:val="-1"/>
              </w:rPr>
              <w:t>其他柜类</w:t>
            </w:r>
          </w:p>
        </w:tc>
        <w:tc>
          <w:tcPr>
            <w:tcW w:w="2248" w:type="dxa"/>
            <w:vAlign w:val="top"/>
          </w:tcPr>
          <w:p w14:paraId="6C660BD2">
            <w:pPr>
              <w:rPr>
                <w:rFonts w:ascii="Arial"/>
                <w:sz w:val="21"/>
              </w:rPr>
            </w:pPr>
          </w:p>
        </w:tc>
        <w:tc>
          <w:tcPr>
            <w:tcW w:w="3543" w:type="dxa"/>
            <w:vAlign w:val="top"/>
          </w:tcPr>
          <w:p w14:paraId="65C6D44F">
            <w:pPr>
              <w:pStyle w:val="213"/>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356E2E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734FF5A3">
            <w:pPr>
              <w:pStyle w:val="213"/>
              <w:spacing w:before="67" w:line="242" w:lineRule="auto"/>
              <w:ind w:left="116"/>
            </w:pPr>
            <w:r>
              <w:rPr>
                <w:spacing w:val="-4"/>
              </w:rPr>
              <w:t>21</w:t>
            </w:r>
          </w:p>
        </w:tc>
        <w:tc>
          <w:tcPr>
            <w:tcW w:w="1542" w:type="dxa"/>
            <w:vMerge w:val="restart"/>
            <w:tcBorders>
              <w:bottom w:val="nil"/>
            </w:tcBorders>
            <w:vAlign w:val="top"/>
          </w:tcPr>
          <w:p w14:paraId="17451FDD">
            <w:pPr>
              <w:pStyle w:val="213"/>
              <w:spacing w:before="67" w:line="220" w:lineRule="auto"/>
              <w:ind w:left="102"/>
            </w:pPr>
            <w:r>
              <w:rPr>
                <w:spacing w:val="-1"/>
              </w:rPr>
              <w:t>A0606</w:t>
            </w:r>
            <w:r>
              <w:rPr>
                <w:spacing w:val="-35"/>
              </w:rPr>
              <w:t xml:space="preserve"> </w:t>
            </w:r>
            <w:r>
              <w:rPr>
                <w:spacing w:val="-1"/>
              </w:rPr>
              <w:t>架类</w:t>
            </w:r>
          </w:p>
        </w:tc>
        <w:tc>
          <w:tcPr>
            <w:tcW w:w="2672" w:type="dxa"/>
            <w:vAlign w:val="top"/>
          </w:tcPr>
          <w:p w14:paraId="39BD185F">
            <w:pPr>
              <w:pStyle w:val="213"/>
              <w:spacing w:before="67" w:line="220" w:lineRule="auto"/>
              <w:ind w:left="103"/>
            </w:pPr>
            <w:r>
              <w:rPr>
                <w:spacing w:val="-1"/>
              </w:rPr>
              <w:t>A060601</w:t>
            </w:r>
            <w:r>
              <w:rPr>
                <w:spacing w:val="-33"/>
              </w:rPr>
              <w:t xml:space="preserve"> </w:t>
            </w:r>
            <w:r>
              <w:rPr>
                <w:spacing w:val="-1"/>
              </w:rPr>
              <w:t>木质架类</w:t>
            </w:r>
          </w:p>
        </w:tc>
        <w:tc>
          <w:tcPr>
            <w:tcW w:w="2248" w:type="dxa"/>
            <w:vAlign w:val="top"/>
          </w:tcPr>
          <w:p w14:paraId="113F056E">
            <w:pPr>
              <w:rPr>
                <w:rFonts w:ascii="Arial"/>
                <w:sz w:val="21"/>
              </w:rPr>
            </w:pPr>
          </w:p>
        </w:tc>
        <w:tc>
          <w:tcPr>
            <w:tcW w:w="3543" w:type="dxa"/>
            <w:vAlign w:val="top"/>
          </w:tcPr>
          <w:p w14:paraId="737D280A">
            <w:pPr>
              <w:pStyle w:val="213"/>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4BBD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254EB3F1">
            <w:pPr>
              <w:rPr>
                <w:rFonts w:ascii="Arial"/>
                <w:sz w:val="21"/>
              </w:rPr>
            </w:pPr>
          </w:p>
        </w:tc>
        <w:tc>
          <w:tcPr>
            <w:tcW w:w="1542" w:type="dxa"/>
            <w:vMerge w:val="continue"/>
            <w:tcBorders>
              <w:top w:val="nil"/>
            </w:tcBorders>
            <w:vAlign w:val="top"/>
          </w:tcPr>
          <w:p w14:paraId="14D6D0F7">
            <w:pPr>
              <w:rPr>
                <w:rFonts w:ascii="Arial"/>
                <w:sz w:val="21"/>
              </w:rPr>
            </w:pPr>
          </w:p>
        </w:tc>
        <w:tc>
          <w:tcPr>
            <w:tcW w:w="2672" w:type="dxa"/>
            <w:vAlign w:val="top"/>
          </w:tcPr>
          <w:p w14:paraId="2EDBCD8E">
            <w:pPr>
              <w:pStyle w:val="213"/>
              <w:spacing w:before="67" w:line="220" w:lineRule="auto"/>
              <w:ind w:left="103"/>
            </w:pPr>
            <w:r>
              <w:rPr>
                <w:spacing w:val="-1"/>
              </w:rPr>
              <w:t>A060602</w:t>
            </w:r>
            <w:r>
              <w:rPr>
                <w:spacing w:val="-32"/>
              </w:rPr>
              <w:t xml:space="preserve"> </w:t>
            </w:r>
            <w:r>
              <w:rPr>
                <w:spacing w:val="-1"/>
              </w:rPr>
              <w:t>金属质架类</w:t>
            </w:r>
          </w:p>
        </w:tc>
        <w:tc>
          <w:tcPr>
            <w:tcW w:w="2248" w:type="dxa"/>
            <w:vAlign w:val="top"/>
          </w:tcPr>
          <w:p w14:paraId="04E4E431">
            <w:pPr>
              <w:rPr>
                <w:rFonts w:ascii="Arial"/>
                <w:sz w:val="21"/>
              </w:rPr>
            </w:pPr>
          </w:p>
        </w:tc>
        <w:tc>
          <w:tcPr>
            <w:tcW w:w="3543" w:type="dxa"/>
            <w:vAlign w:val="top"/>
          </w:tcPr>
          <w:p w14:paraId="1DD8CCD5">
            <w:pPr>
              <w:pStyle w:val="213"/>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D549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601BD665">
            <w:pPr>
              <w:pStyle w:val="213"/>
              <w:spacing w:before="67" w:line="242" w:lineRule="auto"/>
              <w:ind w:left="116"/>
            </w:pPr>
            <w:r>
              <w:rPr>
                <w:spacing w:val="-4"/>
              </w:rPr>
              <w:t>22</w:t>
            </w:r>
          </w:p>
        </w:tc>
        <w:tc>
          <w:tcPr>
            <w:tcW w:w="1542" w:type="dxa"/>
            <w:vMerge w:val="restart"/>
            <w:tcBorders>
              <w:bottom w:val="nil"/>
            </w:tcBorders>
            <w:vAlign w:val="top"/>
          </w:tcPr>
          <w:p w14:paraId="20C7F9F0">
            <w:pPr>
              <w:pStyle w:val="213"/>
              <w:spacing w:before="67" w:line="220" w:lineRule="auto"/>
              <w:ind w:left="102"/>
            </w:pPr>
            <w:r>
              <w:rPr>
                <w:spacing w:val="-1"/>
              </w:rPr>
              <w:t>A0607</w:t>
            </w:r>
            <w:r>
              <w:rPr>
                <w:spacing w:val="-35"/>
              </w:rPr>
              <w:t xml:space="preserve"> </w:t>
            </w:r>
            <w:r>
              <w:rPr>
                <w:spacing w:val="-1"/>
              </w:rPr>
              <w:t>屏风类</w:t>
            </w:r>
          </w:p>
        </w:tc>
        <w:tc>
          <w:tcPr>
            <w:tcW w:w="2672" w:type="dxa"/>
            <w:vAlign w:val="top"/>
          </w:tcPr>
          <w:p w14:paraId="1B6C4671">
            <w:pPr>
              <w:pStyle w:val="213"/>
              <w:spacing w:before="67" w:line="220" w:lineRule="auto"/>
              <w:ind w:left="103"/>
            </w:pPr>
            <w:r>
              <w:rPr>
                <w:spacing w:val="-1"/>
              </w:rPr>
              <w:t>A060701</w:t>
            </w:r>
            <w:r>
              <w:rPr>
                <w:spacing w:val="-33"/>
              </w:rPr>
              <w:t xml:space="preserve"> </w:t>
            </w:r>
            <w:r>
              <w:rPr>
                <w:spacing w:val="-1"/>
              </w:rPr>
              <w:t>木质屏风类</w:t>
            </w:r>
          </w:p>
        </w:tc>
        <w:tc>
          <w:tcPr>
            <w:tcW w:w="2248" w:type="dxa"/>
            <w:vAlign w:val="top"/>
          </w:tcPr>
          <w:p w14:paraId="07737F18">
            <w:pPr>
              <w:rPr>
                <w:rFonts w:ascii="Arial"/>
                <w:sz w:val="21"/>
              </w:rPr>
            </w:pPr>
          </w:p>
        </w:tc>
        <w:tc>
          <w:tcPr>
            <w:tcW w:w="3543" w:type="dxa"/>
            <w:vAlign w:val="top"/>
          </w:tcPr>
          <w:p w14:paraId="36DCE271">
            <w:pPr>
              <w:pStyle w:val="213"/>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44F893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5AEC504D">
            <w:pPr>
              <w:rPr>
                <w:rFonts w:ascii="Arial"/>
                <w:sz w:val="21"/>
              </w:rPr>
            </w:pPr>
          </w:p>
        </w:tc>
        <w:tc>
          <w:tcPr>
            <w:tcW w:w="1542" w:type="dxa"/>
            <w:vMerge w:val="continue"/>
            <w:tcBorders>
              <w:top w:val="nil"/>
            </w:tcBorders>
            <w:vAlign w:val="top"/>
          </w:tcPr>
          <w:p w14:paraId="0F221205">
            <w:pPr>
              <w:rPr>
                <w:rFonts w:ascii="Arial"/>
                <w:sz w:val="21"/>
              </w:rPr>
            </w:pPr>
          </w:p>
        </w:tc>
        <w:tc>
          <w:tcPr>
            <w:tcW w:w="2672" w:type="dxa"/>
            <w:vAlign w:val="top"/>
          </w:tcPr>
          <w:p w14:paraId="2A77DD58">
            <w:pPr>
              <w:pStyle w:val="213"/>
              <w:spacing w:before="67" w:line="220" w:lineRule="auto"/>
              <w:ind w:left="103"/>
            </w:pPr>
            <w:r>
              <w:rPr>
                <w:spacing w:val="-1"/>
              </w:rPr>
              <w:t>A060702</w:t>
            </w:r>
            <w:r>
              <w:rPr>
                <w:spacing w:val="-32"/>
              </w:rPr>
              <w:t xml:space="preserve"> </w:t>
            </w:r>
            <w:r>
              <w:rPr>
                <w:spacing w:val="-1"/>
              </w:rPr>
              <w:t>金属质屏风类</w:t>
            </w:r>
          </w:p>
        </w:tc>
        <w:tc>
          <w:tcPr>
            <w:tcW w:w="2248" w:type="dxa"/>
            <w:vAlign w:val="top"/>
          </w:tcPr>
          <w:p w14:paraId="0E3222A3">
            <w:pPr>
              <w:rPr>
                <w:rFonts w:ascii="Arial"/>
                <w:sz w:val="21"/>
              </w:rPr>
            </w:pPr>
          </w:p>
        </w:tc>
        <w:tc>
          <w:tcPr>
            <w:tcW w:w="3543" w:type="dxa"/>
            <w:vAlign w:val="top"/>
          </w:tcPr>
          <w:p w14:paraId="62DDFB02">
            <w:pPr>
              <w:pStyle w:val="213"/>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29253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Align w:val="top"/>
          </w:tcPr>
          <w:p w14:paraId="7BDFB1A2">
            <w:pPr>
              <w:pStyle w:val="213"/>
              <w:spacing w:before="67"/>
              <w:ind w:left="116"/>
            </w:pPr>
            <w:r>
              <w:rPr>
                <w:spacing w:val="-4"/>
              </w:rPr>
              <w:t>23</w:t>
            </w:r>
          </w:p>
        </w:tc>
        <w:tc>
          <w:tcPr>
            <w:tcW w:w="1542" w:type="dxa"/>
            <w:vAlign w:val="top"/>
          </w:tcPr>
          <w:p w14:paraId="5EF004DB">
            <w:pPr>
              <w:pStyle w:val="213"/>
              <w:spacing w:before="67" w:line="220" w:lineRule="auto"/>
              <w:ind w:left="102"/>
            </w:pPr>
            <w:r>
              <w:rPr>
                <w:spacing w:val="-1"/>
              </w:rPr>
              <w:t>A060804</w:t>
            </w:r>
            <w:r>
              <w:rPr>
                <w:spacing w:val="-32"/>
              </w:rPr>
              <w:t xml:space="preserve"> </w:t>
            </w:r>
            <w:r>
              <w:rPr>
                <w:spacing w:val="-1"/>
              </w:rPr>
              <w:t>水池</w:t>
            </w:r>
          </w:p>
        </w:tc>
        <w:tc>
          <w:tcPr>
            <w:tcW w:w="2672" w:type="dxa"/>
            <w:vAlign w:val="top"/>
          </w:tcPr>
          <w:p w14:paraId="2A7A3C0A">
            <w:pPr>
              <w:rPr>
                <w:rFonts w:ascii="Arial"/>
                <w:sz w:val="21"/>
              </w:rPr>
            </w:pPr>
          </w:p>
        </w:tc>
        <w:tc>
          <w:tcPr>
            <w:tcW w:w="2248" w:type="dxa"/>
            <w:vAlign w:val="top"/>
          </w:tcPr>
          <w:p w14:paraId="7428587C">
            <w:pPr>
              <w:rPr>
                <w:rFonts w:ascii="Arial"/>
                <w:sz w:val="21"/>
              </w:rPr>
            </w:pPr>
          </w:p>
        </w:tc>
        <w:tc>
          <w:tcPr>
            <w:tcW w:w="3543" w:type="dxa"/>
            <w:vAlign w:val="top"/>
          </w:tcPr>
          <w:p w14:paraId="1D1BE762">
            <w:pPr>
              <w:pStyle w:val="213"/>
              <w:spacing w:before="66" w:line="219" w:lineRule="auto"/>
              <w:ind w:left="109"/>
            </w:pPr>
            <w:r>
              <w:rPr>
                <w:spacing w:val="-1"/>
              </w:rPr>
              <w:t>HJ/T296</w:t>
            </w:r>
            <w:r>
              <w:rPr>
                <w:spacing w:val="-34"/>
              </w:rPr>
              <w:t xml:space="preserve"> </w:t>
            </w:r>
            <w:r>
              <w:rPr>
                <w:spacing w:val="-1"/>
              </w:rPr>
              <w:t>卫生陶瓷</w:t>
            </w:r>
          </w:p>
        </w:tc>
      </w:tr>
      <w:tr w14:paraId="10269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Align w:val="top"/>
          </w:tcPr>
          <w:p w14:paraId="28BA4AB4">
            <w:pPr>
              <w:pStyle w:val="213"/>
              <w:spacing w:before="67" w:line="242" w:lineRule="auto"/>
              <w:ind w:left="116"/>
            </w:pPr>
            <w:r>
              <w:rPr>
                <w:spacing w:val="-4"/>
              </w:rPr>
              <w:t>24</w:t>
            </w:r>
          </w:p>
        </w:tc>
        <w:tc>
          <w:tcPr>
            <w:tcW w:w="1542" w:type="dxa"/>
            <w:vAlign w:val="top"/>
          </w:tcPr>
          <w:p w14:paraId="13B86564">
            <w:pPr>
              <w:pStyle w:val="213"/>
              <w:spacing w:before="67" w:line="220" w:lineRule="auto"/>
              <w:ind w:left="102"/>
            </w:pPr>
            <w:r>
              <w:rPr>
                <w:spacing w:val="-1"/>
              </w:rPr>
              <w:t>A060805</w:t>
            </w:r>
            <w:r>
              <w:rPr>
                <w:spacing w:val="-33"/>
              </w:rPr>
              <w:t xml:space="preserve"> </w:t>
            </w:r>
            <w:r>
              <w:rPr>
                <w:spacing w:val="-1"/>
              </w:rPr>
              <w:t>便器</w:t>
            </w:r>
          </w:p>
        </w:tc>
        <w:tc>
          <w:tcPr>
            <w:tcW w:w="2672" w:type="dxa"/>
            <w:vAlign w:val="top"/>
          </w:tcPr>
          <w:p w14:paraId="0A345D3C">
            <w:pPr>
              <w:rPr>
                <w:rFonts w:ascii="Arial"/>
                <w:sz w:val="21"/>
              </w:rPr>
            </w:pPr>
          </w:p>
        </w:tc>
        <w:tc>
          <w:tcPr>
            <w:tcW w:w="2248" w:type="dxa"/>
            <w:vAlign w:val="top"/>
          </w:tcPr>
          <w:p w14:paraId="25286809">
            <w:pPr>
              <w:rPr>
                <w:rFonts w:ascii="Arial"/>
                <w:sz w:val="21"/>
              </w:rPr>
            </w:pPr>
          </w:p>
        </w:tc>
        <w:tc>
          <w:tcPr>
            <w:tcW w:w="3543" w:type="dxa"/>
            <w:vAlign w:val="top"/>
          </w:tcPr>
          <w:p w14:paraId="2AF1460E">
            <w:pPr>
              <w:pStyle w:val="213"/>
              <w:spacing w:before="67" w:line="219" w:lineRule="auto"/>
              <w:ind w:left="109"/>
            </w:pPr>
            <w:r>
              <w:rPr>
                <w:spacing w:val="-1"/>
              </w:rPr>
              <w:t>HJ/T296</w:t>
            </w:r>
            <w:r>
              <w:rPr>
                <w:spacing w:val="-34"/>
              </w:rPr>
              <w:t xml:space="preserve"> </w:t>
            </w:r>
            <w:r>
              <w:rPr>
                <w:spacing w:val="-1"/>
              </w:rPr>
              <w:t>卫生陶瓷</w:t>
            </w:r>
          </w:p>
        </w:tc>
      </w:tr>
      <w:tr w14:paraId="1B0236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Align w:val="top"/>
          </w:tcPr>
          <w:p w14:paraId="76F2D7CB">
            <w:pPr>
              <w:pStyle w:val="213"/>
              <w:spacing w:before="67"/>
              <w:ind w:left="116"/>
            </w:pPr>
            <w:r>
              <w:rPr>
                <w:spacing w:val="-4"/>
              </w:rPr>
              <w:t>25</w:t>
            </w:r>
          </w:p>
        </w:tc>
        <w:tc>
          <w:tcPr>
            <w:tcW w:w="1542" w:type="dxa"/>
            <w:vAlign w:val="top"/>
          </w:tcPr>
          <w:p w14:paraId="039CE1D4">
            <w:pPr>
              <w:pStyle w:val="213"/>
              <w:spacing w:before="67" w:line="220" w:lineRule="auto"/>
              <w:ind w:left="102"/>
            </w:pPr>
            <w:r>
              <w:rPr>
                <w:spacing w:val="-1"/>
              </w:rPr>
              <w:t>A060806</w:t>
            </w:r>
            <w:r>
              <w:rPr>
                <w:spacing w:val="-32"/>
              </w:rPr>
              <w:t xml:space="preserve"> </w:t>
            </w:r>
            <w:r>
              <w:rPr>
                <w:spacing w:val="-1"/>
              </w:rPr>
              <w:t>水嘴</w:t>
            </w:r>
          </w:p>
        </w:tc>
        <w:tc>
          <w:tcPr>
            <w:tcW w:w="2672" w:type="dxa"/>
            <w:vAlign w:val="top"/>
          </w:tcPr>
          <w:p w14:paraId="0CC6FB2B">
            <w:pPr>
              <w:rPr>
                <w:rFonts w:ascii="Arial"/>
                <w:sz w:val="21"/>
              </w:rPr>
            </w:pPr>
          </w:p>
        </w:tc>
        <w:tc>
          <w:tcPr>
            <w:tcW w:w="2248" w:type="dxa"/>
            <w:vAlign w:val="top"/>
          </w:tcPr>
          <w:p w14:paraId="2D40E176">
            <w:pPr>
              <w:rPr>
                <w:rFonts w:ascii="Arial"/>
                <w:sz w:val="21"/>
              </w:rPr>
            </w:pPr>
          </w:p>
        </w:tc>
        <w:tc>
          <w:tcPr>
            <w:tcW w:w="3543" w:type="dxa"/>
            <w:vAlign w:val="top"/>
          </w:tcPr>
          <w:p w14:paraId="00DA36D5">
            <w:pPr>
              <w:pStyle w:val="213"/>
              <w:spacing w:before="67" w:line="219" w:lineRule="auto"/>
              <w:ind w:left="109"/>
            </w:pPr>
            <w:r>
              <w:rPr>
                <w:spacing w:val="-1"/>
              </w:rPr>
              <w:t>HJ/T411</w:t>
            </w:r>
            <w:r>
              <w:rPr>
                <w:spacing w:val="-34"/>
              </w:rPr>
              <w:t xml:space="preserve"> </w:t>
            </w:r>
            <w:r>
              <w:rPr>
                <w:spacing w:val="-1"/>
              </w:rPr>
              <w:t>水嘴</w:t>
            </w:r>
          </w:p>
        </w:tc>
      </w:tr>
      <w:tr w14:paraId="284A5A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Align w:val="top"/>
          </w:tcPr>
          <w:p w14:paraId="6E076AE4">
            <w:pPr>
              <w:pStyle w:val="213"/>
              <w:spacing w:before="67"/>
              <w:ind w:left="116"/>
            </w:pPr>
            <w:r>
              <w:rPr>
                <w:spacing w:val="-4"/>
              </w:rPr>
              <w:t>26</w:t>
            </w:r>
          </w:p>
        </w:tc>
        <w:tc>
          <w:tcPr>
            <w:tcW w:w="1542" w:type="dxa"/>
            <w:vAlign w:val="top"/>
          </w:tcPr>
          <w:p w14:paraId="4560D868">
            <w:pPr>
              <w:pStyle w:val="213"/>
              <w:spacing w:before="67" w:line="221" w:lineRule="auto"/>
              <w:ind w:left="102"/>
            </w:pPr>
            <w:r>
              <w:rPr>
                <w:spacing w:val="-1"/>
              </w:rPr>
              <w:t>A0609</w:t>
            </w:r>
            <w:r>
              <w:rPr>
                <w:spacing w:val="-34"/>
              </w:rPr>
              <w:t xml:space="preserve"> </w:t>
            </w:r>
            <w:r>
              <w:rPr>
                <w:spacing w:val="-1"/>
              </w:rPr>
              <w:t>组合家具</w:t>
            </w:r>
          </w:p>
        </w:tc>
        <w:tc>
          <w:tcPr>
            <w:tcW w:w="2672" w:type="dxa"/>
            <w:vAlign w:val="top"/>
          </w:tcPr>
          <w:p w14:paraId="08CA595B">
            <w:pPr>
              <w:rPr>
                <w:rFonts w:ascii="Arial"/>
                <w:sz w:val="21"/>
              </w:rPr>
            </w:pPr>
          </w:p>
        </w:tc>
        <w:tc>
          <w:tcPr>
            <w:tcW w:w="2248" w:type="dxa"/>
            <w:vAlign w:val="top"/>
          </w:tcPr>
          <w:p w14:paraId="19A743E3">
            <w:pPr>
              <w:rPr>
                <w:rFonts w:ascii="Arial"/>
                <w:sz w:val="21"/>
              </w:rPr>
            </w:pPr>
          </w:p>
        </w:tc>
        <w:tc>
          <w:tcPr>
            <w:tcW w:w="3543" w:type="dxa"/>
            <w:vAlign w:val="top"/>
          </w:tcPr>
          <w:p w14:paraId="2497681D">
            <w:pPr>
              <w:pStyle w:val="213"/>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1FECC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2A6CA83F">
            <w:pPr>
              <w:pStyle w:val="213"/>
              <w:spacing w:before="68"/>
              <w:ind w:left="116"/>
            </w:pPr>
            <w:r>
              <w:rPr>
                <w:spacing w:val="-4"/>
              </w:rPr>
              <w:t>27</w:t>
            </w:r>
          </w:p>
        </w:tc>
        <w:tc>
          <w:tcPr>
            <w:tcW w:w="1542" w:type="dxa"/>
            <w:vAlign w:val="top"/>
          </w:tcPr>
          <w:p w14:paraId="0C3E956E">
            <w:pPr>
              <w:pStyle w:val="213"/>
              <w:spacing w:before="68" w:line="282" w:lineRule="auto"/>
              <w:ind w:left="108" w:right="106" w:hanging="6"/>
            </w:pPr>
            <w:r>
              <w:rPr>
                <w:spacing w:val="4"/>
              </w:rPr>
              <w:t>A0610</w:t>
            </w:r>
            <w:r>
              <w:rPr>
                <w:spacing w:val="31"/>
              </w:rPr>
              <w:t xml:space="preserve"> </w:t>
            </w:r>
            <w:r>
              <w:rPr>
                <w:spacing w:val="4"/>
              </w:rPr>
              <w:t>家用家具</w:t>
            </w:r>
            <w:r>
              <w:t xml:space="preserve"> </w:t>
            </w:r>
            <w:r>
              <w:rPr>
                <w:spacing w:val="-2"/>
              </w:rPr>
              <w:t>零配件</w:t>
            </w:r>
          </w:p>
        </w:tc>
        <w:tc>
          <w:tcPr>
            <w:tcW w:w="2672" w:type="dxa"/>
            <w:vAlign w:val="top"/>
          </w:tcPr>
          <w:p w14:paraId="06C3341D">
            <w:pPr>
              <w:rPr>
                <w:rFonts w:ascii="Arial"/>
                <w:sz w:val="21"/>
              </w:rPr>
            </w:pPr>
          </w:p>
        </w:tc>
        <w:tc>
          <w:tcPr>
            <w:tcW w:w="2248" w:type="dxa"/>
            <w:vAlign w:val="top"/>
          </w:tcPr>
          <w:p w14:paraId="2C05A014">
            <w:pPr>
              <w:rPr>
                <w:rFonts w:ascii="Arial"/>
                <w:sz w:val="21"/>
              </w:rPr>
            </w:pPr>
          </w:p>
        </w:tc>
        <w:tc>
          <w:tcPr>
            <w:tcW w:w="3543" w:type="dxa"/>
            <w:vAlign w:val="top"/>
          </w:tcPr>
          <w:p w14:paraId="0DE5E9DB">
            <w:pPr>
              <w:pStyle w:val="213"/>
              <w:spacing w:before="67"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53DB8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Align w:val="top"/>
          </w:tcPr>
          <w:p w14:paraId="71B3BA7A">
            <w:pPr>
              <w:pStyle w:val="213"/>
              <w:spacing w:before="70"/>
              <w:ind w:left="116"/>
            </w:pPr>
            <w:r>
              <w:rPr>
                <w:spacing w:val="-4"/>
              </w:rPr>
              <w:t>28</w:t>
            </w:r>
          </w:p>
        </w:tc>
        <w:tc>
          <w:tcPr>
            <w:tcW w:w="1542" w:type="dxa"/>
            <w:vAlign w:val="top"/>
          </w:tcPr>
          <w:p w14:paraId="47FE6AA2">
            <w:pPr>
              <w:pStyle w:val="213"/>
              <w:spacing w:before="71" w:line="282" w:lineRule="auto"/>
              <w:ind w:left="109" w:right="106" w:hanging="7"/>
            </w:pPr>
            <w:r>
              <w:rPr>
                <w:spacing w:val="4"/>
              </w:rPr>
              <w:t>A0699</w:t>
            </w:r>
            <w:r>
              <w:rPr>
                <w:spacing w:val="31"/>
              </w:rPr>
              <w:t xml:space="preserve"> </w:t>
            </w:r>
            <w:r>
              <w:rPr>
                <w:spacing w:val="4"/>
              </w:rPr>
              <w:t>其他家具</w:t>
            </w:r>
            <w:r>
              <w:t xml:space="preserve"> </w:t>
            </w:r>
            <w:r>
              <w:rPr>
                <w:spacing w:val="-3"/>
              </w:rPr>
              <w:t>用具</w:t>
            </w:r>
          </w:p>
        </w:tc>
        <w:tc>
          <w:tcPr>
            <w:tcW w:w="2672" w:type="dxa"/>
            <w:vAlign w:val="top"/>
          </w:tcPr>
          <w:p w14:paraId="62297FA8">
            <w:pPr>
              <w:rPr>
                <w:rFonts w:ascii="Arial"/>
                <w:sz w:val="21"/>
              </w:rPr>
            </w:pPr>
          </w:p>
        </w:tc>
        <w:tc>
          <w:tcPr>
            <w:tcW w:w="2248" w:type="dxa"/>
            <w:vAlign w:val="top"/>
          </w:tcPr>
          <w:p w14:paraId="1D1E7241">
            <w:pPr>
              <w:rPr>
                <w:rFonts w:ascii="Arial"/>
                <w:sz w:val="21"/>
              </w:rPr>
            </w:pPr>
          </w:p>
        </w:tc>
        <w:tc>
          <w:tcPr>
            <w:tcW w:w="3543" w:type="dxa"/>
            <w:vAlign w:val="top"/>
          </w:tcPr>
          <w:p w14:paraId="3CD9A822">
            <w:pPr>
              <w:pStyle w:val="213"/>
              <w:spacing w:before="70" w:line="219" w:lineRule="auto"/>
              <w:ind w:left="109"/>
            </w:pPr>
            <w:r>
              <w:rPr>
                <w:spacing w:val="-1"/>
              </w:rPr>
              <w:t>HJ2547</w:t>
            </w:r>
            <w:r>
              <w:rPr>
                <w:spacing w:val="-34"/>
              </w:rPr>
              <w:t xml:space="preserve"> </w:t>
            </w:r>
            <w:r>
              <w:rPr>
                <w:spacing w:val="-1"/>
              </w:rPr>
              <w:t>家具/HJ2540</w:t>
            </w:r>
            <w:r>
              <w:rPr>
                <w:spacing w:val="-37"/>
              </w:rPr>
              <w:t xml:space="preserve"> </w:t>
            </w:r>
            <w:r>
              <w:rPr>
                <w:spacing w:val="-1"/>
              </w:rPr>
              <w:t>木塑制品</w:t>
            </w:r>
          </w:p>
        </w:tc>
      </w:tr>
      <w:tr w14:paraId="0C781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Align w:val="top"/>
          </w:tcPr>
          <w:p w14:paraId="6C085D3E">
            <w:pPr>
              <w:pStyle w:val="213"/>
              <w:spacing w:before="68"/>
              <w:ind w:left="116"/>
            </w:pPr>
            <w:r>
              <w:rPr>
                <w:spacing w:val="-4"/>
              </w:rPr>
              <w:t>29</w:t>
            </w:r>
          </w:p>
        </w:tc>
        <w:tc>
          <w:tcPr>
            <w:tcW w:w="1542" w:type="dxa"/>
            <w:vAlign w:val="top"/>
          </w:tcPr>
          <w:p w14:paraId="663F829A">
            <w:pPr>
              <w:pStyle w:val="213"/>
              <w:spacing w:before="69" w:line="284" w:lineRule="auto"/>
              <w:ind w:left="111" w:right="106" w:hanging="9"/>
            </w:pPr>
            <w:r>
              <w:rPr>
                <w:spacing w:val="-7"/>
              </w:rPr>
              <w:t>A070101</w:t>
            </w:r>
            <w:r>
              <w:rPr>
                <w:spacing w:val="-36"/>
              </w:rPr>
              <w:t xml:space="preserve"> </w:t>
            </w:r>
            <w:r>
              <w:rPr>
                <w:spacing w:val="-7"/>
              </w:rPr>
              <w:t>棉、化纤</w:t>
            </w:r>
            <w:r>
              <w:t xml:space="preserve"> </w:t>
            </w:r>
            <w:r>
              <w:rPr>
                <w:spacing w:val="-2"/>
              </w:rPr>
              <w:t>纺织及印染原料</w:t>
            </w:r>
          </w:p>
        </w:tc>
        <w:tc>
          <w:tcPr>
            <w:tcW w:w="2672" w:type="dxa"/>
            <w:vAlign w:val="top"/>
          </w:tcPr>
          <w:p w14:paraId="0330E98B">
            <w:pPr>
              <w:rPr>
                <w:rFonts w:ascii="Arial"/>
                <w:sz w:val="21"/>
              </w:rPr>
            </w:pPr>
          </w:p>
        </w:tc>
        <w:tc>
          <w:tcPr>
            <w:tcW w:w="2248" w:type="dxa"/>
            <w:vAlign w:val="top"/>
          </w:tcPr>
          <w:p w14:paraId="62FF6221">
            <w:pPr>
              <w:rPr>
                <w:rFonts w:ascii="Arial"/>
                <w:sz w:val="21"/>
              </w:rPr>
            </w:pPr>
          </w:p>
        </w:tc>
        <w:tc>
          <w:tcPr>
            <w:tcW w:w="3543" w:type="dxa"/>
            <w:vAlign w:val="top"/>
          </w:tcPr>
          <w:p w14:paraId="27AFCC61">
            <w:pPr>
              <w:pStyle w:val="213"/>
              <w:spacing w:before="67" w:line="219" w:lineRule="auto"/>
              <w:ind w:left="109"/>
            </w:pPr>
            <w:r>
              <w:rPr>
                <w:spacing w:val="-1"/>
              </w:rPr>
              <w:t>HJ2546</w:t>
            </w:r>
            <w:r>
              <w:rPr>
                <w:spacing w:val="-34"/>
              </w:rPr>
              <w:t xml:space="preserve"> </w:t>
            </w:r>
            <w:r>
              <w:rPr>
                <w:spacing w:val="-1"/>
              </w:rPr>
              <w:t>纺织产品</w:t>
            </w:r>
          </w:p>
        </w:tc>
      </w:tr>
      <w:tr w14:paraId="36044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583" w:type="dxa"/>
            <w:vAlign w:val="top"/>
          </w:tcPr>
          <w:p w14:paraId="6B9759D3">
            <w:pPr>
              <w:pStyle w:val="213"/>
              <w:spacing w:before="68"/>
              <w:ind w:left="118"/>
            </w:pPr>
            <w:r>
              <w:rPr>
                <w:spacing w:val="-5"/>
              </w:rPr>
              <w:t>30</w:t>
            </w:r>
          </w:p>
        </w:tc>
        <w:tc>
          <w:tcPr>
            <w:tcW w:w="1542" w:type="dxa"/>
            <w:vAlign w:val="top"/>
          </w:tcPr>
          <w:p w14:paraId="71EB6A48">
            <w:pPr>
              <w:pStyle w:val="213"/>
              <w:spacing w:before="69" w:line="296" w:lineRule="auto"/>
              <w:ind w:left="109" w:right="106" w:hanging="7"/>
              <w:jc w:val="both"/>
            </w:pPr>
            <w:r>
              <w:rPr>
                <w:spacing w:val="-2"/>
              </w:rPr>
              <w:t>A090101</w:t>
            </w:r>
            <w:r>
              <w:rPr>
                <w:spacing w:val="42"/>
              </w:rPr>
              <w:t xml:space="preserve"> </w:t>
            </w:r>
            <w:r>
              <w:rPr>
                <w:spacing w:val="-2"/>
              </w:rPr>
              <w:t>复</w:t>
            </w:r>
            <w:r>
              <w:rPr>
                <w:spacing w:val="-48"/>
              </w:rPr>
              <w:t xml:space="preserve"> </w:t>
            </w:r>
            <w:r>
              <w:rPr>
                <w:spacing w:val="-2"/>
              </w:rPr>
              <w:t>印纸</w:t>
            </w:r>
            <w:r>
              <w:t xml:space="preserve"> </w:t>
            </w:r>
            <w:r>
              <w:rPr>
                <w:spacing w:val="8"/>
              </w:rPr>
              <w:t>（包括再生复印</w:t>
            </w:r>
            <w:r>
              <w:rPr>
                <w:spacing w:val="4"/>
              </w:rPr>
              <w:t xml:space="preserve"> </w:t>
            </w:r>
            <w:r>
              <w:rPr>
                <w:spacing w:val="-5"/>
              </w:rPr>
              <w:t>纸）</w:t>
            </w:r>
          </w:p>
        </w:tc>
        <w:tc>
          <w:tcPr>
            <w:tcW w:w="2672" w:type="dxa"/>
            <w:vAlign w:val="top"/>
          </w:tcPr>
          <w:p w14:paraId="0D2FD32E">
            <w:pPr>
              <w:rPr>
                <w:rFonts w:ascii="Arial"/>
                <w:sz w:val="21"/>
              </w:rPr>
            </w:pPr>
          </w:p>
        </w:tc>
        <w:tc>
          <w:tcPr>
            <w:tcW w:w="2248" w:type="dxa"/>
            <w:vAlign w:val="top"/>
          </w:tcPr>
          <w:p w14:paraId="27BA282D">
            <w:pPr>
              <w:rPr>
                <w:rFonts w:ascii="Arial"/>
                <w:sz w:val="21"/>
              </w:rPr>
            </w:pPr>
          </w:p>
        </w:tc>
        <w:tc>
          <w:tcPr>
            <w:tcW w:w="3543" w:type="dxa"/>
            <w:vAlign w:val="top"/>
          </w:tcPr>
          <w:p w14:paraId="5279D6C1">
            <w:pPr>
              <w:pStyle w:val="213"/>
              <w:spacing w:before="67" w:line="219" w:lineRule="auto"/>
              <w:ind w:left="109"/>
            </w:pPr>
            <w:r>
              <w:rPr>
                <w:spacing w:val="-2"/>
              </w:rPr>
              <w:t>HJ410</w:t>
            </w:r>
            <w:r>
              <w:rPr>
                <w:spacing w:val="-27"/>
              </w:rPr>
              <w:t xml:space="preserve"> </w:t>
            </w:r>
            <w:r>
              <w:rPr>
                <w:spacing w:val="-2"/>
              </w:rPr>
              <w:t>文化用纸</w:t>
            </w:r>
          </w:p>
        </w:tc>
      </w:tr>
      <w:tr w14:paraId="6F09B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583" w:type="dxa"/>
            <w:vAlign w:val="top"/>
          </w:tcPr>
          <w:p w14:paraId="5AE20200">
            <w:pPr>
              <w:pStyle w:val="213"/>
              <w:spacing w:before="64"/>
              <w:ind w:left="118"/>
            </w:pPr>
            <w:r>
              <w:rPr>
                <w:spacing w:val="-5"/>
              </w:rPr>
              <w:t>31</w:t>
            </w:r>
          </w:p>
        </w:tc>
        <w:tc>
          <w:tcPr>
            <w:tcW w:w="1542" w:type="dxa"/>
            <w:vAlign w:val="top"/>
          </w:tcPr>
          <w:p w14:paraId="18CEB351">
            <w:pPr>
              <w:pStyle w:val="213"/>
              <w:spacing w:before="64" w:line="296" w:lineRule="auto"/>
              <w:ind w:left="109" w:right="106" w:hanging="7"/>
              <w:jc w:val="both"/>
            </w:pPr>
            <w:r>
              <w:rPr>
                <w:spacing w:val="3"/>
              </w:rPr>
              <w:t>A090201</w:t>
            </w:r>
            <w:r>
              <w:rPr>
                <w:spacing w:val="34"/>
              </w:rPr>
              <w:t xml:space="preserve"> </w:t>
            </w:r>
            <w:r>
              <w:rPr>
                <w:spacing w:val="3"/>
              </w:rPr>
              <w:t>鼓粉盒</w:t>
            </w:r>
            <w:r>
              <w:t xml:space="preserve"> </w:t>
            </w:r>
            <w:r>
              <w:rPr>
                <w:spacing w:val="8"/>
              </w:rPr>
              <w:t>（包括再生鼓粉</w:t>
            </w:r>
            <w:r>
              <w:rPr>
                <w:spacing w:val="4"/>
              </w:rPr>
              <w:t xml:space="preserve"> </w:t>
            </w:r>
            <w:r>
              <w:rPr>
                <w:spacing w:val="-5"/>
              </w:rPr>
              <w:t>盒）</w:t>
            </w:r>
          </w:p>
        </w:tc>
        <w:tc>
          <w:tcPr>
            <w:tcW w:w="2672" w:type="dxa"/>
            <w:vAlign w:val="top"/>
          </w:tcPr>
          <w:p w14:paraId="02C5799D">
            <w:pPr>
              <w:rPr>
                <w:rFonts w:ascii="Arial"/>
                <w:sz w:val="21"/>
              </w:rPr>
            </w:pPr>
          </w:p>
        </w:tc>
        <w:tc>
          <w:tcPr>
            <w:tcW w:w="2248" w:type="dxa"/>
            <w:vAlign w:val="top"/>
          </w:tcPr>
          <w:p w14:paraId="24D7525A">
            <w:pPr>
              <w:rPr>
                <w:rFonts w:ascii="Arial"/>
                <w:sz w:val="21"/>
              </w:rPr>
            </w:pPr>
          </w:p>
        </w:tc>
        <w:tc>
          <w:tcPr>
            <w:tcW w:w="3543" w:type="dxa"/>
            <w:vAlign w:val="top"/>
          </w:tcPr>
          <w:p w14:paraId="4B489F3D">
            <w:pPr>
              <w:pStyle w:val="213"/>
              <w:spacing w:before="63" w:line="219" w:lineRule="auto"/>
              <w:ind w:left="109"/>
            </w:pPr>
            <w:r>
              <w:rPr>
                <w:spacing w:val="-1"/>
              </w:rPr>
              <w:t>HJ/T413</w:t>
            </w:r>
            <w:r>
              <w:rPr>
                <w:spacing w:val="-34"/>
              </w:rPr>
              <w:t xml:space="preserve"> </w:t>
            </w:r>
            <w:r>
              <w:rPr>
                <w:spacing w:val="-1"/>
              </w:rPr>
              <w:t>再生鼓粉盒</w:t>
            </w:r>
          </w:p>
        </w:tc>
      </w:tr>
      <w:tr w14:paraId="5460C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83" w:type="dxa"/>
            <w:vMerge w:val="restart"/>
            <w:tcBorders>
              <w:bottom w:val="nil"/>
            </w:tcBorders>
            <w:vAlign w:val="top"/>
          </w:tcPr>
          <w:p w14:paraId="73D20A8E">
            <w:pPr>
              <w:pStyle w:val="213"/>
              <w:spacing w:before="64"/>
              <w:ind w:left="118"/>
            </w:pPr>
            <w:r>
              <w:rPr>
                <w:spacing w:val="-5"/>
              </w:rPr>
              <w:t>32</w:t>
            </w:r>
          </w:p>
        </w:tc>
        <w:tc>
          <w:tcPr>
            <w:tcW w:w="1542" w:type="dxa"/>
            <w:vMerge w:val="restart"/>
            <w:tcBorders>
              <w:bottom w:val="nil"/>
            </w:tcBorders>
            <w:vAlign w:val="top"/>
          </w:tcPr>
          <w:p w14:paraId="60247062">
            <w:pPr>
              <w:pStyle w:val="213"/>
              <w:spacing w:before="64" w:line="219" w:lineRule="auto"/>
              <w:ind w:left="102"/>
            </w:pPr>
            <w:r>
              <w:rPr>
                <w:spacing w:val="-1"/>
              </w:rPr>
              <w:t>A100203</w:t>
            </w:r>
            <w:r>
              <w:rPr>
                <w:spacing w:val="-33"/>
              </w:rPr>
              <w:t xml:space="preserve"> </w:t>
            </w:r>
            <w:r>
              <w:rPr>
                <w:spacing w:val="-1"/>
              </w:rPr>
              <w:t>人造板</w:t>
            </w:r>
          </w:p>
        </w:tc>
        <w:tc>
          <w:tcPr>
            <w:tcW w:w="2672" w:type="dxa"/>
            <w:vAlign w:val="top"/>
          </w:tcPr>
          <w:p w14:paraId="7EFC192F">
            <w:pPr>
              <w:pStyle w:val="213"/>
              <w:spacing w:before="64" w:line="219" w:lineRule="auto"/>
              <w:ind w:left="103"/>
            </w:pPr>
            <w:r>
              <w:rPr>
                <w:spacing w:val="-1"/>
              </w:rPr>
              <w:t>A10020301</w:t>
            </w:r>
            <w:r>
              <w:rPr>
                <w:spacing w:val="-32"/>
              </w:rPr>
              <w:t xml:space="preserve"> </w:t>
            </w:r>
            <w:r>
              <w:rPr>
                <w:spacing w:val="-1"/>
              </w:rPr>
              <w:t>胶合板</w:t>
            </w:r>
          </w:p>
        </w:tc>
        <w:tc>
          <w:tcPr>
            <w:tcW w:w="2248" w:type="dxa"/>
            <w:vAlign w:val="top"/>
          </w:tcPr>
          <w:p w14:paraId="5D0C019B">
            <w:pPr>
              <w:rPr>
                <w:rFonts w:ascii="Arial"/>
                <w:sz w:val="21"/>
              </w:rPr>
            </w:pPr>
          </w:p>
        </w:tc>
        <w:tc>
          <w:tcPr>
            <w:tcW w:w="3543" w:type="dxa"/>
            <w:vAlign w:val="top"/>
          </w:tcPr>
          <w:p w14:paraId="02BA6B7E">
            <w:pPr>
              <w:pStyle w:val="213"/>
              <w:spacing w:before="64" w:line="219" w:lineRule="auto"/>
              <w:ind w:left="109"/>
            </w:pPr>
            <w:r>
              <w:rPr>
                <w:spacing w:val="-1"/>
              </w:rPr>
              <w:t>HJ571</w:t>
            </w:r>
            <w:r>
              <w:rPr>
                <w:spacing w:val="-34"/>
              </w:rPr>
              <w:t xml:space="preserve"> </w:t>
            </w:r>
            <w:r>
              <w:rPr>
                <w:spacing w:val="-1"/>
              </w:rPr>
              <w:t>人造板及其制品</w:t>
            </w:r>
          </w:p>
        </w:tc>
      </w:tr>
      <w:tr w14:paraId="1DDE0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7A586619">
            <w:pPr>
              <w:rPr>
                <w:rFonts w:ascii="Arial"/>
                <w:sz w:val="21"/>
              </w:rPr>
            </w:pPr>
          </w:p>
        </w:tc>
        <w:tc>
          <w:tcPr>
            <w:tcW w:w="1542" w:type="dxa"/>
            <w:vMerge w:val="continue"/>
            <w:tcBorders>
              <w:top w:val="nil"/>
              <w:bottom w:val="nil"/>
            </w:tcBorders>
            <w:vAlign w:val="top"/>
          </w:tcPr>
          <w:p w14:paraId="5C7CE7E4">
            <w:pPr>
              <w:rPr>
                <w:rFonts w:ascii="Arial"/>
                <w:sz w:val="21"/>
              </w:rPr>
            </w:pPr>
          </w:p>
        </w:tc>
        <w:tc>
          <w:tcPr>
            <w:tcW w:w="2672" w:type="dxa"/>
            <w:vAlign w:val="top"/>
          </w:tcPr>
          <w:p w14:paraId="4C42CE39">
            <w:pPr>
              <w:pStyle w:val="213"/>
              <w:spacing w:before="65" w:line="219" w:lineRule="auto"/>
              <w:ind w:left="103"/>
            </w:pPr>
            <w:r>
              <w:rPr>
                <w:spacing w:val="-1"/>
              </w:rPr>
              <w:t>A10020302</w:t>
            </w:r>
            <w:r>
              <w:rPr>
                <w:spacing w:val="-30"/>
              </w:rPr>
              <w:t xml:space="preserve"> </w:t>
            </w:r>
            <w:r>
              <w:rPr>
                <w:spacing w:val="-1"/>
              </w:rPr>
              <w:t>纤维板</w:t>
            </w:r>
          </w:p>
        </w:tc>
        <w:tc>
          <w:tcPr>
            <w:tcW w:w="2248" w:type="dxa"/>
            <w:vAlign w:val="top"/>
          </w:tcPr>
          <w:p w14:paraId="730D3B7A">
            <w:pPr>
              <w:rPr>
                <w:rFonts w:ascii="Arial"/>
                <w:sz w:val="21"/>
              </w:rPr>
            </w:pPr>
          </w:p>
        </w:tc>
        <w:tc>
          <w:tcPr>
            <w:tcW w:w="3543" w:type="dxa"/>
            <w:vAlign w:val="top"/>
          </w:tcPr>
          <w:p w14:paraId="4D87B76C">
            <w:pPr>
              <w:pStyle w:val="213"/>
              <w:spacing w:before="64" w:line="219" w:lineRule="auto"/>
              <w:ind w:left="109"/>
            </w:pPr>
            <w:r>
              <w:rPr>
                <w:spacing w:val="-1"/>
              </w:rPr>
              <w:t>HJ571</w:t>
            </w:r>
            <w:r>
              <w:rPr>
                <w:spacing w:val="-34"/>
              </w:rPr>
              <w:t xml:space="preserve"> </w:t>
            </w:r>
            <w:r>
              <w:rPr>
                <w:spacing w:val="-1"/>
              </w:rPr>
              <w:t>人造板及其制品</w:t>
            </w:r>
          </w:p>
        </w:tc>
      </w:tr>
      <w:tr w14:paraId="3ACD4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vAlign w:val="top"/>
          </w:tcPr>
          <w:p w14:paraId="2C31392A">
            <w:pPr>
              <w:rPr>
                <w:rFonts w:ascii="Arial"/>
                <w:sz w:val="21"/>
              </w:rPr>
            </w:pPr>
          </w:p>
        </w:tc>
        <w:tc>
          <w:tcPr>
            <w:tcW w:w="1542" w:type="dxa"/>
            <w:vMerge w:val="continue"/>
            <w:tcBorders>
              <w:top w:val="nil"/>
              <w:bottom w:val="nil"/>
            </w:tcBorders>
            <w:vAlign w:val="top"/>
          </w:tcPr>
          <w:p w14:paraId="1F004592">
            <w:pPr>
              <w:rPr>
                <w:rFonts w:ascii="Arial"/>
                <w:sz w:val="21"/>
              </w:rPr>
            </w:pPr>
          </w:p>
        </w:tc>
        <w:tc>
          <w:tcPr>
            <w:tcW w:w="2672" w:type="dxa"/>
            <w:vAlign w:val="top"/>
          </w:tcPr>
          <w:p w14:paraId="716CE41D">
            <w:pPr>
              <w:pStyle w:val="213"/>
              <w:spacing w:before="65" w:line="219" w:lineRule="auto"/>
              <w:ind w:left="103"/>
            </w:pPr>
            <w:r>
              <w:rPr>
                <w:spacing w:val="-1"/>
              </w:rPr>
              <w:t>A10020303</w:t>
            </w:r>
            <w:r>
              <w:rPr>
                <w:spacing w:val="-32"/>
              </w:rPr>
              <w:t xml:space="preserve"> </w:t>
            </w:r>
            <w:r>
              <w:rPr>
                <w:spacing w:val="-1"/>
              </w:rPr>
              <w:t>刨花板</w:t>
            </w:r>
          </w:p>
        </w:tc>
        <w:tc>
          <w:tcPr>
            <w:tcW w:w="2248" w:type="dxa"/>
            <w:vAlign w:val="top"/>
          </w:tcPr>
          <w:p w14:paraId="7DE9B386">
            <w:pPr>
              <w:rPr>
                <w:rFonts w:ascii="Arial"/>
                <w:sz w:val="21"/>
              </w:rPr>
            </w:pPr>
          </w:p>
        </w:tc>
        <w:tc>
          <w:tcPr>
            <w:tcW w:w="3543" w:type="dxa"/>
            <w:vAlign w:val="top"/>
          </w:tcPr>
          <w:p w14:paraId="51394242">
            <w:pPr>
              <w:pStyle w:val="213"/>
              <w:spacing w:before="64" w:line="219" w:lineRule="auto"/>
              <w:ind w:left="109"/>
            </w:pPr>
            <w:r>
              <w:rPr>
                <w:spacing w:val="-1"/>
              </w:rPr>
              <w:t>HJ571</w:t>
            </w:r>
            <w:r>
              <w:rPr>
                <w:spacing w:val="-34"/>
              </w:rPr>
              <w:t xml:space="preserve"> </w:t>
            </w:r>
            <w:r>
              <w:rPr>
                <w:spacing w:val="-1"/>
              </w:rPr>
              <w:t>人造板及其制品</w:t>
            </w:r>
          </w:p>
        </w:tc>
      </w:tr>
      <w:tr w14:paraId="0099C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25773387">
            <w:pPr>
              <w:rPr>
                <w:rFonts w:ascii="Arial"/>
                <w:sz w:val="21"/>
              </w:rPr>
            </w:pPr>
          </w:p>
        </w:tc>
        <w:tc>
          <w:tcPr>
            <w:tcW w:w="1542" w:type="dxa"/>
            <w:vMerge w:val="continue"/>
            <w:tcBorders>
              <w:top w:val="nil"/>
              <w:bottom w:val="nil"/>
            </w:tcBorders>
            <w:vAlign w:val="top"/>
          </w:tcPr>
          <w:p w14:paraId="11B1FCC9">
            <w:pPr>
              <w:rPr>
                <w:rFonts w:ascii="Arial"/>
                <w:sz w:val="21"/>
              </w:rPr>
            </w:pPr>
          </w:p>
        </w:tc>
        <w:tc>
          <w:tcPr>
            <w:tcW w:w="2672" w:type="dxa"/>
            <w:vAlign w:val="top"/>
          </w:tcPr>
          <w:p w14:paraId="2DAAB28E">
            <w:pPr>
              <w:pStyle w:val="213"/>
              <w:spacing w:before="68" w:line="219" w:lineRule="auto"/>
              <w:ind w:left="103"/>
            </w:pPr>
            <w:r>
              <w:rPr>
                <w:spacing w:val="-1"/>
              </w:rPr>
              <w:t>A10020304</w:t>
            </w:r>
            <w:r>
              <w:rPr>
                <w:spacing w:val="-31"/>
              </w:rPr>
              <w:t xml:space="preserve"> </w:t>
            </w:r>
            <w:r>
              <w:rPr>
                <w:spacing w:val="-1"/>
              </w:rPr>
              <w:t>细木工板</w:t>
            </w:r>
          </w:p>
        </w:tc>
        <w:tc>
          <w:tcPr>
            <w:tcW w:w="2248" w:type="dxa"/>
            <w:vAlign w:val="top"/>
          </w:tcPr>
          <w:p w14:paraId="5AA641E9">
            <w:pPr>
              <w:rPr>
                <w:rFonts w:ascii="Arial"/>
                <w:sz w:val="21"/>
              </w:rPr>
            </w:pPr>
          </w:p>
        </w:tc>
        <w:tc>
          <w:tcPr>
            <w:tcW w:w="3543" w:type="dxa"/>
            <w:vAlign w:val="top"/>
          </w:tcPr>
          <w:p w14:paraId="23D010C9">
            <w:pPr>
              <w:pStyle w:val="213"/>
              <w:spacing w:before="67" w:line="219" w:lineRule="auto"/>
              <w:ind w:left="109"/>
            </w:pPr>
            <w:r>
              <w:rPr>
                <w:spacing w:val="-1"/>
              </w:rPr>
              <w:t>HJ571</w:t>
            </w:r>
            <w:r>
              <w:rPr>
                <w:spacing w:val="-34"/>
              </w:rPr>
              <w:t xml:space="preserve"> </w:t>
            </w:r>
            <w:r>
              <w:rPr>
                <w:spacing w:val="-1"/>
              </w:rPr>
              <w:t>人造板及其制品</w:t>
            </w:r>
          </w:p>
        </w:tc>
      </w:tr>
      <w:tr w14:paraId="1A883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4D2ADE76">
            <w:pPr>
              <w:rPr>
                <w:rFonts w:ascii="Arial"/>
                <w:sz w:val="21"/>
              </w:rPr>
            </w:pPr>
          </w:p>
        </w:tc>
        <w:tc>
          <w:tcPr>
            <w:tcW w:w="1542" w:type="dxa"/>
            <w:vMerge w:val="continue"/>
            <w:tcBorders>
              <w:top w:val="nil"/>
            </w:tcBorders>
            <w:vAlign w:val="top"/>
          </w:tcPr>
          <w:p w14:paraId="3995B404">
            <w:pPr>
              <w:rPr>
                <w:rFonts w:ascii="Arial"/>
                <w:sz w:val="21"/>
              </w:rPr>
            </w:pPr>
          </w:p>
        </w:tc>
        <w:tc>
          <w:tcPr>
            <w:tcW w:w="2672" w:type="dxa"/>
            <w:vAlign w:val="top"/>
          </w:tcPr>
          <w:p w14:paraId="7440858E">
            <w:pPr>
              <w:pStyle w:val="213"/>
              <w:spacing w:before="65" w:line="219" w:lineRule="auto"/>
              <w:ind w:left="103"/>
            </w:pPr>
            <w:r>
              <w:rPr>
                <w:spacing w:val="-1"/>
              </w:rPr>
              <w:t>A10020399</w:t>
            </w:r>
            <w:r>
              <w:rPr>
                <w:spacing w:val="-31"/>
              </w:rPr>
              <w:t xml:space="preserve"> </w:t>
            </w:r>
            <w:r>
              <w:rPr>
                <w:spacing w:val="-1"/>
              </w:rPr>
              <w:t>其他人造板</w:t>
            </w:r>
          </w:p>
        </w:tc>
        <w:tc>
          <w:tcPr>
            <w:tcW w:w="2248" w:type="dxa"/>
            <w:vAlign w:val="top"/>
          </w:tcPr>
          <w:p w14:paraId="56B92C13">
            <w:pPr>
              <w:rPr>
                <w:rFonts w:ascii="Arial"/>
                <w:sz w:val="21"/>
              </w:rPr>
            </w:pPr>
          </w:p>
        </w:tc>
        <w:tc>
          <w:tcPr>
            <w:tcW w:w="3543" w:type="dxa"/>
            <w:vAlign w:val="top"/>
          </w:tcPr>
          <w:p w14:paraId="7BFF304A">
            <w:pPr>
              <w:pStyle w:val="213"/>
              <w:spacing w:before="64" w:line="219" w:lineRule="auto"/>
              <w:ind w:left="109"/>
            </w:pPr>
            <w:r>
              <w:rPr>
                <w:spacing w:val="-1"/>
              </w:rPr>
              <w:t>HJ571</w:t>
            </w:r>
            <w:r>
              <w:rPr>
                <w:spacing w:val="-34"/>
              </w:rPr>
              <w:t xml:space="preserve"> </w:t>
            </w:r>
            <w:r>
              <w:rPr>
                <w:spacing w:val="-1"/>
              </w:rPr>
              <w:t>人造板及其制品</w:t>
            </w:r>
          </w:p>
        </w:tc>
      </w:tr>
      <w:tr w14:paraId="3C665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83" w:type="dxa"/>
            <w:vMerge w:val="restart"/>
            <w:tcBorders>
              <w:bottom w:val="nil"/>
            </w:tcBorders>
            <w:vAlign w:val="top"/>
          </w:tcPr>
          <w:p w14:paraId="239BEB6C">
            <w:pPr>
              <w:pStyle w:val="213"/>
              <w:spacing w:before="65"/>
              <w:ind w:left="118"/>
            </w:pPr>
            <w:r>
              <w:rPr>
                <w:spacing w:val="-5"/>
              </w:rPr>
              <w:t>33</w:t>
            </w:r>
          </w:p>
        </w:tc>
        <w:tc>
          <w:tcPr>
            <w:tcW w:w="1542" w:type="dxa"/>
            <w:vMerge w:val="restart"/>
            <w:tcBorders>
              <w:bottom w:val="nil"/>
            </w:tcBorders>
            <w:vAlign w:val="top"/>
          </w:tcPr>
          <w:p w14:paraId="5FB21499">
            <w:pPr>
              <w:pStyle w:val="213"/>
              <w:spacing w:before="64" w:line="321" w:lineRule="auto"/>
              <w:ind w:left="109" w:right="108" w:hanging="7"/>
            </w:pPr>
            <w:r>
              <w:rPr>
                <w:spacing w:val="3"/>
              </w:rPr>
              <w:t>A100204</w:t>
            </w:r>
            <w:r>
              <w:rPr>
                <w:spacing w:val="34"/>
              </w:rPr>
              <w:t xml:space="preserve"> </w:t>
            </w:r>
            <w:r>
              <w:rPr>
                <w:spacing w:val="3"/>
              </w:rPr>
              <w:t>二次加</w:t>
            </w:r>
            <w:r>
              <w:t xml:space="preserve"> </w:t>
            </w:r>
            <w:r>
              <w:rPr>
                <w:spacing w:val="-2"/>
              </w:rPr>
              <w:t>工材,相关板材</w:t>
            </w:r>
          </w:p>
        </w:tc>
        <w:tc>
          <w:tcPr>
            <w:tcW w:w="2672" w:type="dxa"/>
            <w:vAlign w:val="top"/>
          </w:tcPr>
          <w:p w14:paraId="17ED21B3">
            <w:pPr>
              <w:pStyle w:val="213"/>
              <w:spacing w:before="65" w:line="219" w:lineRule="auto"/>
              <w:ind w:left="103"/>
            </w:pPr>
            <w:r>
              <w:rPr>
                <w:spacing w:val="-1"/>
              </w:rPr>
              <w:t>A10020404</w:t>
            </w:r>
            <w:r>
              <w:rPr>
                <w:spacing w:val="-28"/>
              </w:rPr>
              <w:t xml:space="preserve"> </w:t>
            </w:r>
            <w:r>
              <w:rPr>
                <w:spacing w:val="-1"/>
              </w:rPr>
              <w:t>人造板表面装饰板</w:t>
            </w:r>
          </w:p>
        </w:tc>
        <w:tc>
          <w:tcPr>
            <w:tcW w:w="2248" w:type="dxa"/>
            <w:vAlign w:val="top"/>
          </w:tcPr>
          <w:p w14:paraId="671F7172">
            <w:pPr>
              <w:rPr>
                <w:rFonts w:ascii="Arial"/>
                <w:sz w:val="21"/>
              </w:rPr>
            </w:pPr>
          </w:p>
        </w:tc>
        <w:tc>
          <w:tcPr>
            <w:tcW w:w="3543" w:type="dxa"/>
            <w:vAlign w:val="top"/>
          </w:tcPr>
          <w:p w14:paraId="742D8B9D">
            <w:pPr>
              <w:pStyle w:val="213"/>
              <w:spacing w:before="64" w:line="219" w:lineRule="auto"/>
              <w:ind w:left="109"/>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2C82F1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83" w:type="dxa"/>
            <w:vMerge w:val="continue"/>
            <w:tcBorders>
              <w:top w:val="nil"/>
            </w:tcBorders>
            <w:vAlign w:val="top"/>
          </w:tcPr>
          <w:p w14:paraId="137CE8B9">
            <w:pPr>
              <w:rPr>
                <w:rFonts w:ascii="Arial"/>
                <w:sz w:val="21"/>
              </w:rPr>
            </w:pPr>
          </w:p>
        </w:tc>
        <w:tc>
          <w:tcPr>
            <w:tcW w:w="1542" w:type="dxa"/>
            <w:vMerge w:val="continue"/>
            <w:tcBorders>
              <w:top w:val="nil"/>
            </w:tcBorders>
            <w:vAlign w:val="top"/>
          </w:tcPr>
          <w:p w14:paraId="67BF376E">
            <w:pPr>
              <w:rPr>
                <w:rFonts w:ascii="Arial"/>
                <w:sz w:val="21"/>
              </w:rPr>
            </w:pPr>
          </w:p>
        </w:tc>
        <w:tc>
          <w:tcPr>
            <w:tcW w:w="2672" w:type="dxa"/>
            <w:vAlign w:val="top"/>
          </w:tcPr>
          <w:p w14:paraId="6ECA7361">
            <w:pPr>
              <w:pStyle w:val="213"/>
              <w:spacing w:before="67" w:line="284" w:lineRule="auto"/>
              <w:ind w:left="113" w:right="107" w:hanging="10"/>
            </w:pPr>
            <w:r>
              <w:rPr>
                <w:spacing w:val="5"/>
              </w:rPr>
              <w:t>A10020404</w:t>
            </w:r>
            <w:r>
              <w:rPr>
                <w:spacing w:val="30"/>
              </w:rPr>
              <w:t xml:space="preserve"> </w:t>
            </w:r>
            <w:r>
              <w:rPr>
                <w:spacing w:val="5"/>
              </w:rPr>
              <w:t>人造板表面装饰板</w:t>
            </w:r>
            <w:r>
              <w:t xml:space="preserve"> </w:t>
            </w:r>
            <w:r>
              <w:rPr>
                <w:spacing w:val="-3"/>
              </w:rPr>
              <w:t>（地板）</w:t>
            </w:r>
          </w:p>
        </w:tc>
        <w:tc>
          <w:tcPr>
            <w:tcW w:w="2248" w:type="dxa"/>
            <w:vAlign w:val="top"/>
          </w:tcPr>
          <w:p w14:paraId="6E863972">
            <w:pPr>
              <w:rPr>
                <w:rFonts w:ascii="Arial"/>
                <w:sz w:val="21"/>
              </w:rPr>
            </w:pPr>
          </w:p>
        </w:tc>
        <w:tc>
          <w:tcPr>
            <w:tcW w:w="3543" w:type="dxa"/>
            <w:vAlign w:val="top"/>
          </w:tcPr>
          <w:p w14:paraId="5CD24ADF">
            <w:pPr>
              <w:pStyle w:val="213"/>
              <w:spacing w:before="67" w:line="219" w:lineRule="auto"/>
              <w:ind w:left="109"/>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33A9B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1B0908CB">
            <w:pPr>
              <w:pStyle w:val="213"/>
              <w:spacing w:before="65"/>
              <w:ind w:left="118"/>
            </w:pPr>
            <w:r>
              <w:rPr>
                <w:spacing w:val="-5"/>
              </w:rPr>
              <w:t>34</w:t>
            </w:r>
          </w:p>
        </w:tc>
        <w:tc>
          <w:tcPr>
            <w:tcW w:w="1542" w:type="dxa"/>
            <w:vAlign w:val="top"/>
          </w:tcPr>
          <w:p w14:paraId="74C8304D">
            <w:pPr>
              <w:pStyle w:val="213"/>
              <w:spacing w:before="66" w:line="283" w:lineRule="auto"/>
              <w:ind w:left="107" w:right="108" w:hanging="5"/>
            </w:pPr>
            <w:r>
              <w:rPr>
                <w:spacing w:val="3"/>
              </w:rPr>
              <w:t>A100301</w:t>
            </w:r>
            <w:r>
              <w:rPr>
                <w:spacing w:val="34"/>
              </w:rPr>
              <w:t xml:space="preserve"> </w:t>
            </w:r>
            <w:r>
              <w:rPr>
                <w:spacing w:val="3"/>
              </w:rPr>
              <w:t>水泥熟</w:t>
            </w:r>
            <w:r>
              <w:t xml:space="preserve"> </w:t>
            </w:r>
            <w:r>
              <w:rPr>
                <w:spacing w:val="-2"/>
              </w:rPr>
              <w:t>料及水泥</w:t>
            </w:r>
          </w:p>
        </w:tc>
        <w:tc>
          <w:tcPr>
            <w:tcW w:w="2672" w:type="dxa"/>
            <w:vAlign w:val="top"/>
          </w:tcPr>
          <w:p w14:paraId="3314F35F">
            <w:pPr>
              <w:pStyle w:val="213"/>
              <w:spacing w:before="65" w:line="220" w:lineRule="auto"/>
              <w:ind w:left="103"/>
            </w:pPr>
            <w:r>
              <w:rPr>
                <w:spacing w:val="-1"/>
              </w:rPr>
              <w:t>A10030102</w:t>
            </w:r>
            <w:r>
              <w:rPr>
                <w:spacing w:val="-31"/>
              </w:rPr>
              <w:t xml:space="preserve"> </w:t>
            </w:r>
            <w:r>
              <w:rPr>
                <w:spacing w:val="-1"/>
              </w:rPr>
              <w:t>水泥</w:t>
            </w:r>
          </w:p>
        </w:tc>
        <w:tc>
          <w:tcPr>
            <w:tcW w:w="2248" w:type="dxa"/>
            <w:vAlign w:val="top"/>
          </w:tcPr>
          <w:p w14:paraId="25356875">
            <w:pPr>
              <w:rPr>
                <w:rFonts w:ascii="Arial"/>
                <w:sz w:val="21"/>
              </w:rPr>
            </w:pPr>
          </w:p>
        </w:tc>
        <w:tc>
          <w:tcPr>
            <w:tcW w:w="3543" w:type="dxa"/>
            <w:vAlign w:val="top"/>
          </w:tcPr>
          <w:p w14:paraId="58FEE2FB">
            <w:pPr>
              <w:pStyle w:val="213"/>
              <w:spacing w:before="64" w:line="219" w:lineRule="auto"/>
              <w:ind w:left="109"/>
            </w:pPr>
            <w:r>
              <w:rPr>
                <w:spacing w:val="-1"/>
              </w:rPr>
              <w:t>HJ2519</w:t>
            </w:r>
            <w:r>
              <w:rPr>
                <w:spacing w:val="-34"/>
              </w:rPr>
              <w:t xml:space="preserve"> </w:t>
            </w:r>
            <w:r>
              <w:rPr>
                <w:spacing w:val="-1"/>
              </w:rPr>
              <w:t>水泥</w:t>
            </w:r>
          </w:p>
        </w:tc>
      </w:tr>
      <w:tr w14:paraId="47BBAB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6DAA5275">
            <w:pPr>
              <w:pStyle w:val="213"/>
              <w:spacing w:before="66"/>
              <w:ind w:left="118"/>
            </w:pPr>
            <w:r>
              <w:rPr>
                <w:spacing w:val="-5"/>
              </w:rPr>
              <w:t>35</w:t>
            </w:r>
          </w:p>
        </w:tc>
        <w:tc>
          <w:tcPr>
            <w:tcW w:w="1542" w:type="dxa"/>
            <w:vAlign w:val="top"/>
          </w:tcPr>
          <w:p w14:paraId="1C589A6B">
            <w:pPr>
              <w:pStyle w:val="213"/>
              <w:spacing w:before="66" w:line="283" w:lineRule="auto"/>
              <w:ind w:left="106" w:right="108" w:hanging="4"/>
            </w:pPr>
            <w:r>
              <w:rPr>
                <w:spacing w:val="3"/>
              </w:rPr>
              <w:t>A100303</w:t>
            </w:r>
            <w:r>
              <w:rPr>
                <w:spacing w:val="34"/>
              </w:rPr>
              <w:t xml:space="preserve"> </w:t>
            </w:r>
            <w:r>
              <w:rPr>
                <w:spacing w:val="3"/>
              </w:rPr>
              <w:t>水泥混</w:t>
            </w:r>
            <w:r>
              <w:t xml:space="preserve"> </w:t>
            </w:r>
            <w:r>
              <w:rPr>
                <w:spacing w:val="-2"/>
              </w:rPr>
              <w:t>凝土制品</w:t>
            </w:r>
          </w:p>
        </w:tc>
        <w:tc>
          <w:tcPr>
            <w:tcW w:w="2672" w:type="dxa"/>
            <w:vAlign w:val="top"/>
          </w:tcPr>
          <w:p w14:paraId="08A33F38">
            <w:pPr>
              <w:pStyle w:val="213"/>
              <w:spacing w:before="65" w:line="221" w:lineRule="auto"/>
              <w:ind w:left="103"/>
            </w:pPr>
            <w:r>
              <w:rPr>
                <w:spacing w:val="-1"/>
              </w:rPr>
              <w:t>A10030301</w:t>
            </w:r>
            <w:r>
              <w:rPr>
                <w:spacing w:val="-30"/>
              </w:rPr>
              <w:t xml:space="preserve"> </w:t>
            </w:r>
            <w:r>
              <w:rPr>
                <w:spacing w:val="-1"/>
              </w:rPr>
              <w:t>商品混凝土</w:t>
            </w:r>
          </w:p>
        </w:tc>
        <w:tc>
          <w:tcPr>
            <w:tcW w:w="2248" w:type="dxa"/>
            <w:vAlign w:val="top"/>
          </w:tcPr>
          <w:p w14:paraId="0B265018">
            <w:pPr>
              <w:rPr>
                <w:rFonts w:ascii="Arial"/>
                <w:sz w:val="21"/>
              </w:rPr>
            </w:pPr>
          </w:p>
        </w:tc>
        <w:tc>
          <w:tcPr>
            <w:tcW w:w="3543" w:type="dxa"/>
            <w:vAlign w:val="top"/>
          </w:tcPr>
          <w:p w14:paraId="0063C434">
            <w:pPr>
              <w:pStyle w:val="213"/>
              <w:spacing w:before="65" w:line="219" w:lineRule="auto"/>
              <w:ind w:left="109"/>
            </w:pPr>
            <w:r>
              <w:rPr>
                <w:spacing w:val="-1"/>
              </w:rPr>
              <w:t>HJ/T412</w:t>
            </w:r>
            <w:r>
              <w:rPr>
                <w:spacing w:val="-34"/>
              </w:rPr>
              <w:t xml:space="preserve"> </w:t>
            </w:r>
            <w:r>
              <w:rPr>
                <w:spacing w:val="-1"/>
              </w:rPr>
              <w:t>预拌混凝土</w:t>
            </w:r>
          </w:p>
        </w:tc>
      </w:tr>
      <w:tr w14:paraId="5A972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0B83C9DB">
            <w:pPr>
              <w:pStyle w:val="213"/>
              <w:spacing w:before="66"/>
              <w:ind w:left="118"/>
            </w:pPr>
            <w:r>
              <w:rPr>
                <w:spacing w:val="-5"/>
              </w:rPr>
              <w:t>36</w:t>
            </w:r>
          </w:p>
        </w:tc>
        <w:tc>
          <w:tcPr>
            <w:tcW w:w="1542" w:type="dxa"/>
            <w:vMerge w:val="restart"/>
            <w:tcBorders>
              <w:bottom w:val="nil"/>
            </w:tcBorders>
            <w:vAlign w:val="top"/>
          </w:tcPr>
          <w:p w14:paraId="6BBBD180">
            <w:pPr>
              <w:pStyle w:val="213"/>
              <w:spacing w:before="66" w:line="322" w:lineRule="auto"/>
              <w:ind w:left="111" w:right="108" w:hanging="9"/>
            </w:pPr>
            <w:r>
              <w:rPr>
                <w:spacing w:val="3"/>
              </w:rPr>
              <w:t>A100304</w:t>
            </w:r>
            <w:r>
              <w:rPr>
                <w:spacing w:val="35"/>
              </w:rPr>
              <w:t xml:space="preserve"> </w:t>
            </w:r>
            <w:r>
              <w:rPr>
                <w:spacing w:val="3"/>
              </w:rPr>
              <w:t>纤维增</w:t>
            </w:r>
            <w:r>
              <w:t xml:space="preserve"> </w:t>
            </w:r>
            <w:r>
              <w:rPr>
                <w:spacing w:val="-2"/>
              </w:rPr>
              <w:t>强水泥制品</w:t>
            </w:r>
          </w:p>
        </w:tc>
        <w:tc>
          <w:tcPr>
            <w:tcW w:w="2672" w:type="dxa"/>
            <w:vAlign w:val="top"/>
          </w:tcPr>
          <w:p w14:paraId="603F2296">
            <w:pPr>
              <w:pStyle w:val="213"/>
              <w:spacing w:before="66" w:line="219" w:lineRule="auto"/>
              <w:ind w:left="103"/>
            </w:pPr>
            <w:r>
              <w:rPr>
                <w:spacing w:val="-1"/>
              </w:rPr>
              <w:t>A10030402</w:t>
            </w:r>
            <w:r>
              <w:rPr>
                <w:spacing w:val="-28"/>
              </w:rPr>
              <w:t xml:space="preserve"> </w:t>
            </w:r>
            <w:r>
              <w:rPr>
                <w:spacing w:val="-1"/>
              </w:rPr>
              <w:t>纤维增强硅酸钙板</w:t>
            </w:r>
          </w:p>
        </w:tc>
        <w:tc>
          <w:tcPr>
            <w:tcW w:w="2248" w:type="dxa"/>
            <w:vAlign w:val="top"/>
          </w:tcPr>
          <w:p w14:paraId="54E76511">
            <w:pPr>
              <w:rPr>
                <w:rFonts w:ascii="Arial"/>
                <w:sz w:val="21"/>
              </w:rPr>
            </w:pPr>
          </w:p>
        </w:tc>
        <w:tc>
          <w:tcPr>
            <w:tcW w:w="3543" w:type="dxa"/>
            <w:vAlign w:val="top"/>
          </w:tcPr>
          <w:p w14:paraId="7DB76559">
            <w:pPr>
              <w:pStyle w:val="213"/>
              <w:spacing w:before="66" w:line="219" w:lineRule="auto"/>
              <w:ind w:left="109"/>
            </w:pPr>
            <w:r>
              <w:rPr>
                <w:spacing w:val="-1"/>
              </w:rPr>
              <w:t>HJ/T223</w:t>
            </w:r>
            <w:r>
              <w:rPr>
                <w:spacing w:val="-33"/>
              </w:rPr>
              <w:t xml:space="preserve"> </w:t>
            </w:r>
            <w:r>
              <w:rPr>
                <w:spacing w:val="-1"/>
              </w:rPr>
              <w:t>轻质墙体板材</w:t>
            </w:r>
          </w:p>
        </w:tc>
      </w:tr>
      <w:tr w14:paraId="4747B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tcBorders>
            <w:vAlign w:val="top"/>
          </w:tcPr>
          <w:p w14:paraId="1C250FD4">
            <w:pPr>
              <w:rPr>
                <w:rFonts w:ascii="Arial"/>
                <w:sz w:val="21"/>
              </w:rPr>
            </w:pPr>
          </w:p>
        </w:tc>
        <w:tc>
          <w:tcPr>
            <w:tcW w:w="1542" w:type="dxa"/>
            <w:vMerge w:val="continue"/>
            <w:tcBorders>
              <w:top w:val="nil"/>
            </w:tcBorders>
            <w:vAlign w:val="top"/>
          </w:tcPr>
          <w:p w14:paraId="2E8EFD2B">
            <w:pPr>
              <w:rPr>
                <w:rFonts w:ascii="Arial"/>
                <w:sz w:val="21"/>
              </w:rPr>
            </w:pPr>
          </w:p>
        </w:tc>
        <w:tc>
          <w:tcPr>
            <w:tcW w:w="2672" w:type="dxa"/>
            <w:vAlign w:val="top"/>
          </w:tcPr>
          <w:p w14:paraId="0C6EE681">
            <w:pPr>
              <w:pStyle w:val="213"/>
              <w:spacing w:before="66" w:line="220" w:lineRule="auto"/>
              <w:ind w:left="103"/>
            </w:pPr>
            <w:r>
              <w:rPr>
                <w:spacing w:val="-1"/>
              </w:rPr>
              <w:t>A10030403</w:t>
            </w:r>
            <w:r>
              <w:rPr>
                <w:spacing w:val="-45"/>
              </w:rPr>
              <w:t xml:space="preserve"> </w:t>
            </w:r>
            <w:r>
              <w:rPr>
                <w:spacing w:val="-1"/>
              </w:rPr>
              <w:t>无石棉纤维水泥制品</w:t>
            </w:r>
          </w:p>
        </w:tc>
        <w:tc>
          <w:tcPr>
            <w:tcW w:w="2248" w:type="dxa"/>
            <w:vAlign w:val="top"/>
          </w:tcPr>
          <w:p w14:paraId="365F4AAD">
            <w:pPr>
              <w:rPr>
                <w:rFonts w:ascii="Arial"/>
                <w:sz w:val="21"/>
              </w:rPr>
            </w:pPr>
          </w:p>
        </w:tc>
        <w:tc>
          <w:tcPr>
            <w:tcW w:w="3543" w:type="dxa"/>
            <w:vAlign w:val="top"/>
          </w:tcPr>
          <w:p w14:paraId="66573A6B">
            <w:pPr>
              <w:pStyle w:val="213"/>
              <w:spacing w:before="66" w:line="219" w:lineRule="auto"/>
              <w:ind w:left="109"/>
            </w:pPr>
            <w:r>
              <w:rPr>
                <w:spacing w:val="-1"/>
              </w:rPr>
              <w:t>HJ/T223</w:t>
            </w:r>
            <w:r>
              <w:rPr>
                <w:spacing w:val="-33"/>
              </w:rPr>
              <w:t xml:space="preserve"> </w:t>
            </w:r>
            <w:r>
              <w:rPr>
                <w:spacing w:val="-1"/>
              </w:rPr>
              <w:t>轻质墙体板材</w:t>
            </w:r>
          </w:p>
        </w:tc>
      </w:tr>
      <w:tr w14:paraId="5D83D4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334D0AE4">
            <w:pPr>
              <w:pStyle w:val="213"/>
              <w:spacing w:before="67"/>
              <w:ind w:left="118"/>
            </w:pPr>
            <w:r>
              <w:rPr>
                <w:spacing w:val="-5"/>
              </w:rPr>
              <w:t>37</w:t>
            </w:r>
          </w:p>
        </w:tc>
        <w:tc>
          <w:tcPr>
            <w:tcW w:w="1542" w:type="dxa"/>
            <w:vMerge w:val="restart"/>
            <w:tcBorders>
              <w:bottom w:val="nil"/>
            </w:tcBorders>
            <w:vAlign w:val="top"/>
          </w:tcPr>
          <w:p w14:paraId="50FFF942">
            <w:pPr>
              <w:pStyle w:val="213"/>
              <w:spacing w:before="66" w:line="322" w:lineRule="auto"/>
              <w:ind w:left="109" w:right="108" w:hanging="7"/>
            </w:pPr>
            <w:r>
              <w:rPr>
                <w:spacing w:val="3"/>
              </w:rPr>
              <w:t>A100305</w:t>
            </w:r>
            <w:r>
              <w:rPr>
                <w:spacing w:val="34"/>
              </w:rPr>
              <w:t xml:space="preserve"> </w:t>
            </w:r>
            <w:r>
              <w:rPr>
                <w:spacing w:val="3"/>
              </w:rPr>
              <w:t>轻质建</w:t>
            </w:r>
            <w:r>
              <w:t xml:space="preserve"> </w:t>
            </w:r>
            <w:r>
              <w:rPr>
                <w:spacing w:val="-2"/>
              </w:rPr>
              <w:t>筑材料及制品</w:t>
            </w:r>
          </w:p>
        </w:tc>
        <w:tc>
          <w:tcPr>
            <w:tcW w:w="2672" w:type="dxa"/>
            <w:vAlign w:val="top"/>
          </w:tcPr>
          <w:p w14:paraId="22715C66">
            <w:pPr>
              <w:pStyle w:val="213"/>
              <w:spacing w:before="67" w:line="219" w:lineRule="auto"/>
              <w:ind w:left="103"/>
            </w:pPr>
            <w:r>
              <w:rPr>
                <w:spacing w:val="-1"/>
              </w:rPr>
              <w:t>A10030501</w:t>
            </w:r>
            <w:r>
              <w:rPr>
                <w:spacing w:val="-32"/>
              </w:rPr>
              <w:t xml:space="preserve"> </w:t>
            </w:r>
            <w:r>
              <w:rPr>
                <w:spacing w:val="-1"/>
              </w:rPr>
              <w:t>石膏板</w:t>
            </w:r>
          </w:p>
        </w:tc>
        <w:tc>
          <w:tcPr>
            <w:tcW w:w="2248" w:type="dxa"/>
            <w:vAlign w:val="top"/>
          </w:tcPr>
          <w:p w14:paraId="2011796B">
            <w:pPr>
              <w:rPr>
                <w:rFonts w:ascii="Arial"/>
                <w:sz w:val="21"/>
              </w:rPr>
            </w:pPr>
          </w:p>
        </w:tc>
        <w:tc>
          <w:tcPr>
            <w:tcW w:w="3543" w:type="dxa"/>
            <w:vAlign w:val="top"/>
          </w:tcPr>
          <w:p w14:paraId="0F10D724">
            <w:pPr>
              <w:pStyle w:val="213"/>
              <w:spacing w:before="66" w:line="219" w:lineRule="auto"/>
              <w:ind w:left="109"/>
            </w:pPr>
            <w:r>
              <w:rPr>
                <w:spacing w:val="-1"/>
              </w:rPr>
              <w:t>HJ/T223</w:t>
            </w:r>
            <w:r>
              <w:rPr>
                <w:spacing w:val="-33"/>
              </w:rPr>
              <w:t xml:space="preserve"> </w:t>
            </w:r>
            <w:r>
              <w:rPr>
                <w:spacing w:val="-1"/>
              </w:rPr>
              <w:t>轻质墙体板材</w:t>
            </w:r>
          </w:p>
        </w:tc>
      </w:tr>
      <w:tr w14:paraId="6B2F0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583" w:type="dxa"/>
            <w:vMerge w:val="continue"/>
            <w:tcBorders>
              <w:top w:val="nil"/>
            </w:tcBorders>
            <w:vAlign w:val="top"/>
          </w:tcPr>
          <w:p w14:paraId="042470B2">
            <w:pPr>
              <w:rPr>
                <w:rFonts w:ascii="Arial"/>
                <w:sz w:val="21"/>
              </w:rPr>
            </w:pPr>
          </w:p>
        </w:tc>
        <w:tc>
          <w:tcPr>
            <w:tcW w:w="1542" w:type="dxa"/>
            <w:vMerge w:val="continue"/>
            <w:tcBorders>
              <w:top w:val="nil"/>
            </w:tcBorders>
            <w:vAlign w:val="top"/>
          </w:tcPr>
          <w:p w14:paraId="003F1632">
            <w:pPr>
              <w:rPr>
                <w:rFonts w:ascii="Arial"/>
                <w:sz w:val="21"/>
              </w:rPr>
            </w:pPr>
          </w:p>
        </w:tc>
        <w:tc>
          <w:tcPr>
            <w:tcW w:w="2672" w:type="dxa"/>
            <w:vAlign w:val="top"/>
          </w:tcPr>
          <w:p w14:paraId="79DB65BF">
            <w:pPr>
              <w:pStyle w:val="213"/>
              <w:spacing w:before="66" w:line="219" w:lineRule="auto"/>
              <w:ind w:left="103"/>
            </w:pPr>
            <w:r>
              <w:rPr>
                <w:spacing w:val="-1"/>
              </w:rPr>
              <w:t>A10030503</w:t>
            </w:r>
            <w:r>
              <w:rPr>
                <w:spacing w:val="-30"/>
              </w:rPr>
              <w:t xml:space="preserve"> </w:t>
            </w:r>
            <w:r>
              <w:rPr>
                <w:spacing w:val="-1"/>
              </w:rPr>
              <w:t>轻质隔墙条板</w:t>
            </w:r>
          </w:p>
        </w:tc>
        <w:tc>
          <w:tcPr>
            <w:tcW w:w="2248" w:type="dxa"/>
            <w:vAlign w:val="top"/>
          </w:tcPr>
          <w:p w14:paraId="44A2CFD1">
            <w:pPr>
              <w:rPr>
                <w:rFonts w:ascii="Arial"/>
                <w:sz w:val="21"/>
              </w:rPr>
            </w:pPr>
          </w:p>
        </w:tc>
        <w:tc>
          <w:tcPr>
            <w:tcW w:w="3543" w:type="dxa"/>
            <w:vAlign w:val="top"/>
          </w:tcPr>
          <w:p w14:paraId="5CC71AD9">
            <w:pPr>
              <w:pStyle w:val="213"/>
              <w:spacing w:before="66" w:line="219" w:lineRule="auto"/>
              <w:ind w:left="109"/>
            </w:pPr>
            <w:r>
              <w:rPr>
                <w:spacing w:val="-1"/>
              </w:rPr>
              <w:t>HJ/T223</w:t>
            </w:r>
            <w:r>
              <w:rPr>
                <w:spacing w:val="-33"/>
              </w:rPr>
              <w:t xml:space="preserve"> </w:t>
            </w:r>
            <w:r>
              <w:rPr>
                <w:spacing w:val="-1"/>
              </w:rPr>
              <w:t>轻质墙体板材</w:t>
            </w:r>
          </w:p>
        </w:tc>
      </w:tr>
      <w:tr w14:paraId="21967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restart"/>
            <w:tcBorders>
              <w:bottom w:val="nil"/>
            </w:tcBorders>
            <w:vAlign w:val="top"/>
          </w:tcPr>
          <w:p w14:paraId="7284EA9F">
            <w:pPr>
              <w:pStyle w:val="213"/>
              <w:spacing w:before="67"/>
              <w:ind w:left="118"/>
            </w:pPr>
            <w:r>
              <w:rPr>
                <w:spacing w:val="-5"/>
              </w:rPr>
              <w:t>38</w:t>
            </w:r>
          </w:p>
        </w:tc>
        <w:tc>
          <w:tcPr>
            <w:tcW w:w="1542" w:type="dxa"/>
            <w:vMerge w:val="restart"/>
            <w:tcBorders>
              <w:bottom w:val="nil"/>
            </w:tcBorders>
            <w:vAlign w:val="top"/>
          </w:tcPr>
          <w:p w14:paraId="2DF50A0C">
            <w:pPr>
              <w:pStyle w:val="213"/>
              <w:spacing w:before="67" w:line="322" w:lineRule="auto"/>
              <w:ind w:left="111" w:right="108" w:hanging="9"/>
            </w:pPr>
            <w:r>
              <w:rPr>
                <w:spacing w:val="-1"/>
              </w:rPr>
              <w:t>A100307</w:t>
            </w:r>
            <w:r>
              <w:rPr>
                <w:spacing w:val="36"/>
              </w:rPr>
              <w:t xml:space="preserve"> </w:t>
            </w:r>
            <w:r>
              <w:rPr>
                <w:spacing w:val="-1"/>
              </w:rPr>
              <w:t>建筑</w:t>
            </w:r>
            <w:r>
              <w:rPr>
                <w:spacing w:val="-52"/>
              </w:rPr>
              <w:t xml:space="preserve"> </w:t>
            </w:r>
            <w:r>
              <w:rPr>
                <w:spacing w:val="-1"/>
              </w:rPr>
              <w:t>陶</w:t>
            </w:r>
            <w:r>
              <w:t xml:space="preserve"> </w:t>
            </w:r>
            <w:r>
              <w:rPr>
                <w:spacing w:val="-3"/>
              </w:rPr>
              <w:t>瓷制品</w:t>
            </w:r>
          </w:p>
        </w:tc>
        <w:tc>
          <w:tcPr>
            <w:tcW w:w="2672" w:type="dxa"/>
            <w:vAlign w:val="top"/>
          </w:tcPr>
          <w:p w14:paraId="248CE171">
            <w:pPr>
              <w:pStyle w:val="213"/>
              <w:spacing w:before="66" w:line="221" w:lineRule="auto"/>
              <w:ind w:left="103"/>
            </w:pPr>
            <w:r>
              <w:rPr>
                <w:spacing w:val="-1"/>
              </w:rPr>
              <w:t>A10030701</w:t>
            </w:r>
            <w:r>
              <w:rPr>
                <w:spacing w:val="-30"/>
              </w:rPr>
              <w:t xml:space="preserve"> </w:t>
            </w:r>
            <w:r>
              <w:rPr>
                <w:spacing w:val="-1"/>
              </w:rPr>
              <w:t>瓷质砖</w:t>
            </w:r>
          </w:p>
        </w:tc>
        <w:tc>
          <w:tcPr>
            <w:tcW w:w="2248" w:type="dxa"/>
            <w:vAlign w:val="top"/>
          </w:tcPr>
          <w:p w14:paraId="2BD9339A">
            <w:pPr>
              <w:rPr>
                <w:rFonts w:ascii="Arial"/>
                <w:sz w:val="21"/>
              </w:rPr>
            </w:pPr>
          </w:p>
        </w:tc>
        <w:tc>
          <w:tcPr>
            <w:tcW w:w="3543" w:type="dxa"/>
            <w:vAlign w:val="top"/>
          </w:tcPr>
          <w:p w14:paraId="46A0765F">
            <w:pPr>
              <w:pStyle w:val="213"/>
              <w:spacing w:before="66" w:line="219" w:lineRule="auto"/>
              <w:ind w:left="109"/>
            </w:pPr>
            <w:r>
              <w:rPr>
                <w:spacing w:val="-2"/>
              </w:rPr>
              <w:t>HJ/T297</w:t>
            </w:r>
            <w:r>
              <w:rPr>
                <w:spacing w:val="-22"/>
              </w:rPr>
              <w:t xml:space="preserve"> </w:t>
            </w:r>
            <w:r>
              <w:rPr>
                <w:spacing w:val="-2"/>
              </w:rPr>
              <w:t>陶瓷砖</w:t>
            </w:r>
          </w:p>
        </w:tc>
      </w:tr>
      <w:tr w14:paraId="5186D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3CD46BD4">
            <w:pPr>
              <w:rPr>
                <w:rFonts w:ascii="Arial"/>
                <w:sz w:val="21"/>
              </w:rPr>
            </w:pPr>
          </w:p>
        </w:tc>
        <w:tc>
          <w:tcPr>
            <w:tcW w:w="1542" w:type="dxa"/>
            <w:vMerge w:val="continue"/>
            <w:tcBorders>
              <w:top w:val="nil"/>
              <w:bottom w:val="nil"/>
            </w:tcBorders>
            <w:vAlign w:val="top"/>
          </w:tcPr>
          <w:p w14:paraId="66FC5862">
            <w:pPr>
              <w:rPr>
                <w:rFonts w:ascii="Arial"/>
                <w:sz w:val="21"/>
              </w:rPr>
            </w:pPr>
          </w:p>
        </w:tc>
        <w:tc>
          <w:tcPr>
            <w:tcW w:w="2672" w:type="dxa"/>
            <w:vAlign w:val="top"/>
          </w:tcPr>
          <w:p w14:paraId="085CDCEB">
            <w:pPr>
              <w:pStyle w:val="213"/>
              <w:spacing w:before="66" w:line="221" w:lineRule="auto"/>
              <w:ind w:left="103"/>
            </w:pPr>
            <w:r>
              <w:t>A10030704 炻质砖</w:t>
            </w:r>
          </w:p>
        </w:tc>
        <w:tc>
          <w:tcPr>
            <w:tcW w:w="2248" w:type="dxa"/>
            <w:vAlign w:val="top"/>
          </w:tcPr>
          <w:p w14:paraId="54861799">
            <w:pPr>
              <w:rPr>
                <w:rFonts w:ascii="Arial"/>
                <w:sz w:val="21"/>
              </w:rPr>
            </w:pPr>
          </w:p>
        </w:tc>
        <w:tc>
          <w:tcPr>
            <w:tcW w:w="3543" w:type="dxa"/>
            <w:vAlign w:val="top"/>
          </w:tcPr>
          <w:p w14:paraId="01408A8A">
            <w:pPr>
              <w:pStyle w:val="213"/>
              <w:spacing w:before="66" w:line="219" w:lineRule="auto"/>
              <w:ind w:left="109"/>
            </w:pPr>
            <w:r>
              <w:rPr>
                <w:spacing w:val="-2"/>
              </w:rPr>
              <w:t>HJ/T297</w:t>
            </w:r>
            <w:r>
              <w:rPr>
                <w:spacing w:val="-22"/>
              </w:rPr>
              <w:t xml:space="preserve"> </w:t>
            </w:r>
            <w:r>
              <w:rPr>
                <w:spacing w:val="-2"/>
              </w:rPr>
              <w:t>陶瓷砖</w:t>
            </w:r>
          </w:p>
        </w:tc>
      </w:tr>
      <w:tr w14:paraId="6DB39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Merge w:val="continue"/>
            <w:tcBorders>
              <w:top w:val="nil"/>
              <w:bottom w:val="nil"/>
            </w:tcBorders>
            <w:vAlign w:val="top"/>
          </w:tcPr>
          <w:p w14:paraId="37419E00">
            <w:pPr>
              <w:rPr>
                <w:rFonts w:ascii="Arial"/>
                <w:sz w:val="21"/>
              </w:rPr>
            </w:pPr>
          </w:p>
        </w:tc>
        <w:tc>
          <w:tcPr>
            <w:tcW w:w="1542" w:type="dxa"/>
            <w:vMerge w:val="continue"/>
            <w:tcBorders>
              <w:top w:val="nil"/>
              <w:bottom w:val="nil"/>
            </w:tcBorders>
            <w:vAlign w:val="top"/>
          </w:tcPr>
          <w:p w14:paraId="215212B0">
            <w:pPr>
              <w:rPr>
                <w:rFonts w:ascii="Arial"/>
                <w:sz w:val="21"/>
              </w:rPr>
            </w:pPr>
          </w:p>
        </w:tc>
        <w:tc>
          <w:tcPr>
            <w:tcW w:w="2672" w:type="dxa"/>
            <w:vAlign w:val="top"/>
          </w:tcPr>
          <w:p w14:paraId="63714F5F">
            <w:pPr>
              <w:pStyle w:val="213"/>
              <w:spacing w:before="66" w:line="221" w:lineRule="auto"/>
              <w:ind w:left="103"/>
            </w:pPr>
            <w:r>
              <w:rPr>
                <w:spacing w:val="-2"/>
              </w:rPr>
              <w:t>A10030705</w:t>
            </w:r>
            <w:r>
              <w:rPr>
                <w:spacing w:val="-17"/>
              </w:rPr>
              <w:t xml:space="preserve"> </w:t>
            </w:r>
            <w:r>
              <w:rPr>
                <w:spacing w:val="-2"/>
              </w:rPr>
              <w:t>陶质砖</w:t>
            </w:r>
          </w:p>
        </w:tc>
        <w:tc>
          <w:tcPr>
            <w:tcW w:w="2248" w:type="dxa"/>
            <w:vAlign w:val="top"/>
          </w:tcPr>
          <w:p w14:paraId="0FCA5C7A">
            <w:pPr>
              <w:rPr>
                <w:rFonts w:ascii="Arial"/>
                <w:sz w:val="21"/>
              </w:rPr>
            </w:pPr>
          </w:p>
        </w:tc>
        <w:tc>
          <w:tcPr>
            <w:tcW w:w="3543" w:type="dxa"/>
            <w:vAlign w:val="top"/>
          </w:tcPr>
          <w:p w14:paraId="0FDD9E7E">
            <w:pPr>
              <w:pStyle w:val="213"/>
              <w:spacing w:before="66" w:line="219" w:lineRule="auto"/>
              <w:ind w:left="109"/>
            </w:pPr>
            <w:r>
              <w:rPr>
                <w:spacing w:val="-2"/>
              </w:rPr>
              <w:t>HJ/T297</w:t>
            </w:r>
            <w:r>
              <w:rPr>
                <w:spacing w:val="-22"/>
              </w:rPr>
              <w:t xml:space="preserve"> </w:t>
            </w:r>
            <w:r>
              <w:rPr>
                <w:spacing w:val="-2"/>
              </w:rPr>
              <w:t>陶瓷砖</w:t>
            </w:r>
          </w:p>
        </w:tc>
      </w:tr>
      <w:tr w14:paraId="1A846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6F05D91F">
            <w:pPr>
              <w:rPr>
                <w:rFonts w:ascii="Arial"/>
                <w:sz w:val="21"/>
              </w:rPr>
            </w:pPr>
          </w:p>
        </w:tc>
        <w:tc>
          <w:tcPr>
            <w:tcW w:w="1542" w:type="dxa"/>
            <w:vMerge w:val="continue"/>
            <w:tcBorders>
              <w:top w:val="nil"/>
            </w:tcBorders>
            <w:vAlign w:val="top"/>
          </w:tcPr>
          <w:p w14:paraId="0E276C34">
            <w:pPr>
              <w:rPr>
                <w:rFonts w:ascii="Arial"/>
                <w:sz w:val="21"/>
              </w:rPr>
            </w:pPr>
          </w:p>
        </w:tc>
        <w:tc>
          <w:tcPr>
            <w:tcW w:w="2672" w:type="dxa"/>
            <w:vAlign w:val="top"/>
          </w:tcPr>
          <w:p w14:paraId="655ECBF3">
            <w:pPr>
              <w:pStyle w:val="213"/>
              <w:spacing w:before="66" w:line="221" w:lineRule="auto"/>
              <w:ind w:left="103"/>
            </w:pPr>
            <w:r>
              <w:t>A10030799 其他建筑陶瓷制品</w:t>
            </w:r>
          </w:p>
        </w:tc>
        <w:tc>
          <w:tcPr>
            <w:tcW w:w="2248" w:type="dxa"/>
            <w:vAlign w:val="top"/>
          </w:tcPr>
          <w:p w14:paraId="2ED97174">
            <w:pPr>
              <w:rPr>
                <w:rFonts w:ascii="Arial"/>
                <w:sz w:val="21"/>
              </w:rPr>
            </w:pPr>
          </w:p>
        </w:tc>
        <w:tc>
          <w:tcPr>
            <w:tcW w:w="3543" w:type="dxa"/>
            <w:vAlign w:val="top"/>
          </w:tcPr>
          <w:p w14:paraId="7651FF70">
            <w:pPr>
              <w:pStyle w:val="213"/>
              <w:spacing w:before="66" w:line="219" w:lineRule="auto"/>
              <w:ind w:left="109"/>
            </w:pPr>
            <w:r>
              <w:rPr>
                <w:spacing w:val="-2"/>
              </w:rPr>
              <w:t>HJ/T297</w:t>
            </w:r>
            <w:r>
              <w:rPr>
                <w:spacing w:val="-22"/>
              </w:rPr>
              <w:t xml:space="preserve"> </w:t>
            </w:r>
            <w:r>
              <w:rPr>
                <w:spacing w:val="-2"/>
              </w:rPr>
              <w:t>陶瓷砖</w:t>
            </w:r>
          </w:p>
        </w:tc>
      </w:tr>
      <w:tr w14:paraId="42316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vAlign w:val="top"/>
          </w:tcPr>
          <w:p w14:paraId="6779F663">
            <w:pPr>
              <w:pStyle w:val="213"/>
              <w:spacing w:before="66"/>
              <w:ind w:left="118"/>
            </w:pPr>
            <w:r>
              <w:rPr>
                <w:spacing w:val="-5"/>
              </w:rPr>
              <w:t>39</w:t>
            </w:r>
          </w:p>
        </w:tc>
        <w:tc>
          <w:tcPr>
            <w:tcW w:w="1542" w:type="dxa"/>
            <w:vMerge w:val="restart"/>
            <w:tcBorders>
              <w:bottom w:val="nil"/>
            </w:tcBorders>
            <w:vAlign w:val="top"/>
          </w:tcPr>
          <w:p w14:paraId="086D36DF">
            <w:pPr>
              <w:pStyle w:val="213"/>
              <w:spacing w:before="65" w:line="322" w:lineRule="auto"/>
              <w:ind w:left="109" w:right="108" w:hanging="7"/>
            </w:pPr>
            <w:r>
              <w:rPr>
                <w:spacing w:val="-1"/>
              </w:rPr>
              <w:t>A100309</w:t>
            </w:r>
            <w:r>
              <w:rPr>
                <w:spacing w:val="34"/>
                <w:w w:val="101"/>
              </w:rPr>
              <w:t xml:space="preserve"> </w:t>
            </w:r>
            <w:r>
              <w:rPr>
                <w:spacing w:val="-1"/>
              </w:rPr>
              <w:t>建筑</w:t>
            </w:r>
            <w:r>
              <w:rPr>
                <w:spacing w:val="-51"/>
              </w:rPr>
              <w:t xml:space="preserve"> </w:t>
            </w:r>
            <w:r>
              <w:rPr>
                <w:spacing w:val="-1"/>
              </w:rPr>
              <w:t>防</w:t>
            </w:r>
            <w:r>
              <w:t xml:space="preserve"> </w:t>
            </w:r>
            <w:r>
              <w:rPr>
                <w:spacing w:val="-2"/>
              </w:rPr>
              <w:t>水卷材及制品</w:t>
            </w:r>
          </w:p>
        </w:tc>
        <w:tc>
          <w:tcPr>
            <w:tcW w:w="2672" w:type="dxa"/>
            <w:vAlign w:val="top"/>
          </w:tcPr>
          <w:p w14:paraId="0DAE9208">
            <w:pPr>
              <w:pStyle w:val="213"/>
              <w:spacing w:before="66" w:line="283" w:lineRule="auto"/>
              <w:ind w:left="110" w:right="107" w:hanging="7"/>
            </w:pPr>
            <w:r>
              <w:rPr>
                <w:spacing w:val="-1"/>
              </w:rPr>
              <w:t>A10030901</w:t>
            </w:r>
            <w:r>
              <w:rPr>
                <w:spacing w:val="-47"/>
              </w:rPr>
              <w:t xml:space="preserve"> </w:t>
            </w:r>
            <w:r>
              <w:rPr>
                <w:spacing w:val="-1"/>
              </w:rPr>
              <w:t>沥青和改性沥青防水</w:t>
            </w:r>
            <w:r>
              <w:t xml:space="preserve"> </w:t>
            </w:r>
            <w:r>
              <w:rPr>
                <w:spacing w:val="-3"/>
              </w:rPr>
              <w:t>卷材</w:t>
            </w:r>
          </w:p>
        </w:tc>
        <w:tc>
          <w:tcPr>
            <w:tcW w:w="2248" w:type="dxa"/>
            <w:vAlign w:val="top"/>
          </w:tcPr>
          <w:p w14:paraId="257EA4D1">
            <w:pPr>
              <w:rPr>
                <w:rFonts w:ascii="Arial"/>
                <w:sz w:val="21"/>
              </w:rPr>
            </w:pPr>
          </w:p>
        </w:tc>
        <w:tc>
          <w:tcPr>
            <w:tcW w:w="3543" w:type="dxa"/>
            <w:vAlign w:val="top"/>
          </w:tcPr>
          <w:p w14:paraId="0D8F955B">
            <w:pPr>
              <w:pStyle w:val="213"/>
              <w:spacing w:before="66" w:line="219" w:lineRule="auto"/>
              <w:ind w:left="109"/>
            </w:pPr>
            <w:r>
              <w:rPr>
                <w:spacing w:val="-2"/>
              </w:rPr>
              <w:t>HJ455</w:t>
            </w:r>
            <w:r>
              <w:rPr>
                <w:spacing w:val="-25"/>
              </w:rPr>
              <w:t xml:space="preserve"> </w:t>
            </w:r>
            <w:r>
              <w:rPr>
                <w:spacing w:val="-2"/>
              </w:rPr>
              <w:t>防水卷材</w:t>
            </w:r>
          </w:p>
        </w:tc>
      </w:tr>
      <w:tr w14:paraId="5DF39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bottom w:val="nil"/>
            </w:tcBorders>
            <w:vAlign w:val="top"/>
          </w:tcPr>
          <w:p w14:paraId="52970568">
            <w:pPr>
              <w:rPr>
                <w:rFonts w:ascii="Arial"/>
                <w:sz w:val="21"/>
              </w:rPr>
            </w:pPr>
          </w:p>
        </w:tc>
        <w:tc>
          <w:tcPr>
            <w:tcW w:w="1542" w:type="dxa"/>
            <w:vMerge w:val="continue"/>
            <w:tcBorders>
              <w:top w:val="nil"/>
              <w:bottom w:val="nil"/>
            </w:tcBorders>
            <w:vAlign w:val="top"/>
          </w:tcPr>
          <w:p w14:paraId="2917E20D">
            <w:pPr>
              <w:rPr>
                <w:rFonts w:ascii="Arial"/>
                <w:sz w:val="21"/>
              </w:rPr>
            </w:pPr>
          </w:p>
        </w:tc>
        <w:tc>
          <w:tcPr>
            <w:tcW w:w="2672" w:type="dxa"/>
            <w:vAlign w:val="top"/>
          </w:tcPr>
          <w:p w14:paraId="302F306F">
            <w:pPr>
              <w:pStyle w:val="213"/>
              <w:spacing w:before="67" w:line="219" w:lineRule="auto"/>
              <w:ind w:left="103"/>
            </w:pPr>
            <w:r>
              <w:rPr>
                <w:spacing w:val="-2"/>
              </w:rPr>
              <w:t>A10030903</w:t>
            </w:r>
            <w:r>
              <w:rPr>
                <w:spacing w:val="36"/>
              </w:rPr>
              <w:t xml:space="preserve"> </w:t>
            </w:r>
            <w:r>
              <w:rPr>
                <w:spacing w:val="-2"/>
              </w:rPr>
              <w:t>自粘防水卷材</w:t>
            </w:r>
          </w:p>
        </w:tc>
        <w:tc>
          <w:tcPr>
            <w:tcW w:w="2248" w:type="dxa"/>
            <w:vAlign w:val="top"/>
          </w:tcPr>
          <w:p w14:paraId="5C33F6CF">
            <w:pPr>
              <w:rPr>
                <w:rFonts w:ascii="Arial"/>
                <w:sz w:val="21"/>
              </w:rPr>
            </w:pPr>
          </w:p>
        </w:tc>
        <w:tc>
          <w:tcPr>
            <w:tcW w:w="3543" w:type="dxa"/>
            <w:vAlign w:val="top"/>
          </w:tcPr>
          <w:p w14:paraId="2747896A">
            <w:pPr>
              <w:pStyle w:val="213"/>
              <w:spacing w:before="66" w:line="219" w:lineRule="auto"/>
              <w:ind w:left="109"/>
            </w:pPr>
            <w:r>
              <w:rPr>
                <w:spacing w:val="-2"/>
              </w:rPr>
              <w:t>HJ455</w:t>
            </w:r>
            <w:r>
              <w:rPr>
                <w:spacing w:val="-25"/>
              </w:rPr>
              <w:t xml:space="preserve"> </w:t>
            </w:r>
            <w:r>
              <w:rPr>
                <w:spacing w:val="-2"/>
              </w:rPr>
              <w:t>防水卷材</w:t>
            </w:r>
          </w:p>
        </w:tc>
      </w:tr>
      <w:tr w14:paraId="23FDE7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continue"/>
            <w:tcBorders>
              <w:top w:val="nil"/>
            </w:tcBorders>
            <w:vAlign w:val="top"/>
          </w:tcPr>
          <w:p w14:paraId="2A3B38B0">
            <w:pPr>
              <w:rPr>
                <w:rFonts w:ascii="Arial"/>
                <w:sz w:val="21"/>
              </w:rPr>
            </w:pPr>
          </w:p>
        </w:tc>
        <w:tc>
          <w:tcPr>
            <w:tcW w:w="1542" w:type="dxa"/>
            <w:vMerge w:val="continue"/>
            <w:tcBorders>
              <w:top w:val="nil"/>
            </w:tcBorders>
            <w:vAlign w:val="top"/>
          </w:tcPr>
          <w:p w14:paraId="2CA83744">
            <w:pPr>
              <w:rPr>
                <w:rFonts w:ascii="Arial"/>
                <w:sz w:val="21"/>
              </w:rPr>
            </w:pPr>
          </w:p>
        </w:tc>
        <w:tc>
          <w:tcPr>
            <w:tcW w:w="2672" w:type="dxa"/>
            <w:vAlign w:val="top"/>
          </w:tcPr>
          <w:p w14:paraId="11806FE6">
            <w:pPr>
              <w:pStyle w:val="213"/>
              <w:spacing w:before="66" w:line="283" w:lineRule="auto"/>
              <w:ind w:left="108" w:right="102" w:hanging="5"/>
            </w:pPr>
            <w:r>
              <w:rPr>
                <w:spacing w:val="-2"/>
              </w:rPr>
              <w:t>A10030906</w:t>
            </w:r>
            <w:r>
              <w:rPr>
                <w:spacing w:val="-24"/>
              </w:rPr>
              <w:t xml:space="preserve"> </w:t>
            </w:r>
            <w:r>
              <w:rPr>
                <w:spacing w:val="-2"/>
              </w:rPr>
              <w:t>高分子防水卷（片）</w:t>
            </w:r>
            <w:r>
              <w:t xml:space="preserve"> 材</w:t>
            </w:r>
          </w:p>
        </w:tc>
        <w:tc>
          <w:tcPr>
            <w:tcW w:w="2248" w:type="dxa"/>
            <w:vAlign w:val="top"/>
          </w:tcPr>
          <w:p w14:paraId="16190BED">
            <w:pPr>
              <w:rPr>
                <w:rFonts w:ascii="Arial"/>
                <w:sz w:val="21"/>
              </w:rPr>
            </w:pPr>
          </w:p>
        </w:tc>
        <w:tc>
          <w:tcPr>
            <w:tcW w:w="3543" w:type="dxa"/>
            <w:vAlign w:val="top"/>
          </w:tcPr>
          <w:p w14:paraId="76CBE2B5">
            <w:pPr>
              <w:pStyle w:val="213"/>
              <w:spacing w:before="66" w:line="219" w:lineRule="auto"/>
              <w:ind w:left="109"/>
            </w:pPr>
            <w:r>
              <w:rPr>
                <w:spacing w:val="-2"/>
              </w:rPr>
              <w:t>HJ455</w:t>
            </w:r>
            <w:r>
              <w:rPr>
                <w:spacing w:val="-25"/>
              </w:rPr>
              <w:t xml:space="preserve"> </w:t>
            </w:r>
            <w:r>
              <w:rPr>
                <w:spacing w:val="-2"/>
              </w:rPr>
              <w:t>防水卷材</w:t>
            </w:r>
          </w:p>
        </w:tc>
      </w:tr>
      <w:tr w14:paraId="09FB8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restart"/>
            <w:tcBorders>
              <w:bottom w:val="nil"/>
            </w:tcBorders>
            <w:vAlign w:val="top"/>
          </w:tcPr>
          <w:p w14:paraId="4E29A8C3">
            <w:pPr>
              <w:pStyle w:val="213"/>
              <w:spacing w:before="67"/>
              <w:ind w:left="114"/>
            </w:pPr>
            <w:r>
              <w:rPr>
                <w:spacing w:val="-3"/>
              </w:rPr>
              <w:t>40</w:t>
            </w:r>
          </w:p>
        </w:tc>
        <w:tc>
          <w:tcPr>
            <w:tcW w:w="1542" w:type="dxa"/>
            <w:vMerge w:val="restart"/>
            <w:tcBorders>
              <w:bottom w:val="nil"/>
            </w:tcBorders>
            <w:vAlign w:val="top"/>
          </w:tcPr>
          <w:p w14:paraId="5FD779D4">
            <w:pPr>
              <w:pStyle w:val="213"/>
              <w:spacing w:before="66" w:line="322" w:lineRule="auto"/>
              <w:ind w:left="106" w:right="106" w:hanging="4"/>
              <w:jc w:val="both"/>
            </w:pPr>
            <w:r>
              <w:rPr>
                <w:spacing w:val="-8"/>
              </w:rPr>
              <w:t>A100310</w:t>
            </w:r>
            <w:r>
              <w:rPr>
                <w:spacing w:val="-25"/>
              </w:rPr>
              <w:t xml:space="preserve"> </w:t>
            </w:r>
            <w:r>
              <w:rPr>
                <w:spacing w:val="-8"/>
              </w:rPr>
              <w:t>隔热、隔</w:t>
            </w:r>
            <w:r>
              <w:t xml:space="preserve"> </w:t>
            </w:r>
            <w:r>
              <w:rPr>
                <w:spacing w:val="9"/>
              </w:rPr>
              <w:t>音人造矿物材料</w:t>
            </w:r>
            <w:r>
              <w:t xml:space="preserve"> </w:t>
            </w:r>
            <w:r>
              <w:rPr>
                <w:spacing w:val="-2"/>
              </w:rPr>
              <w:t>及其制品</w:t>
            </w:r>
          </w:p>
        </w:tc>
        <w:tc>
          <w:tcPr>
            <w:tcW w:w="2672" w:type="dxa"/>
            <w:vAlign w:val="top"/>
          </w:tcPr>
          <w:p w14:paraId="468631AB">
            <w:pPr>
              <w:pStyle w:val="213"/>
              <w:spacing w:before="68" w:line="282" w:lineRule="auto"/>
              <w:ind w:left="108" w:right="107" w:hanging="5"/>
            </w:pPr>
            <w:r>
              <w:rPr>
                <w:spacing w:val="6"/>
              </w:rPr>
              <w:t>A10031001 矿物绝热和吸声材</w:t>
            </w:r>
            <w:r>
              <w:rPr>
                <w:spacing w:val="7"/>
              </w:rPr>
              <w:t xml:space="preserve"> </w:t>
            </w:r>
            <w:r>
              <w:t>料</w:t>
            </w:r>
          </w:p>
        </w:tc>
        <w:tc>
          <w:tcPr>
            <w:tcW w:w="2248" w:type="dxa"/>
            <w:vAlign w:val="top"/>
          </w:tcPr>
          <w:p w14:paraId="3DCB54C4">
            <w:pPr>
              <w:rPr>
                <w:rFonts w:ascii="Arial"/>
                <w:sz w:val="21"/>
              </w:rPr>
            </w:pPr>
          </w:p>
        </w:tc>
        <w:tc>
          <w:tcPr>
            <w:tcW w:w="3543" w:type="dxa"/>
            <w:vAlign w:val="top"/>
          </w:tcPr>
          <w:p w14:paraId="555281C6">
            <w:pPr>
              <w:pStyle w:val="213"/>
              <w:spacing w:before="67" w:line="219" w:lineRule="auto"/>
              <w:ind w:left="109"/>
            </w:pPr>
            <w:r>
              <w:rPr>
                <w:spacing w:val="-1"/>
              </w:rPr>
              <w:t>HJ/T223</w:t>
            </w:r>
            <w:r>
              <w:rPr>
                <w:spacing w:val="-33"/>
              </w:rPr>
              <w:t xml:space="preserve"> </w:t>
            </w:r>
            <w:r>
              <w:rPr>
                <w:spacing w:val="-1"/>
              </w:rPr>
              <w:t>轻质墙体板材</w:t>
            </w:r>
          </w:p>
        </w:tc>
      </w:tr>
      <w:tr w14:paraId="204D28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trPr>
        <w:tc>
          <w:tcPr>
            <w:tcW w:w="583" w:type="dxa"/>
            <w:vMerge w:val="continue"/>
            <w:tcBorders>
              <w:top w:val="nil"/>
            </w:tcBorders>
            <w:vAlign w:val="top"/>
          </w:tcPr>
          <w:p w14:paraId="4506CB00">
            <w:pPr>
              <w:rPr>
                <w:rFonts w:ascii="Arial"/>
                <w:sz w:val="21"/>
              </w:rPr>
            </w:pPr>
          </w:p>
        </w:tc>
        <w:tc>
          <w:tcPr>
            <w:tcW w:w="1542" w:type="dxa"/>
            <w:vMerge w:val="continue"/>
            <w:tcBorders>
              <w:top w:val="nil"/>
            </w:tcBorders>
            <w:vAlign w:val="top"/>
          </w:tcPr>
          <w:p w14:paraId="0BFE09A1">
            <w:pPr>
              <w:rPr>
                <w:rFonts w:ascii="Arial"/>
                <w:sz w:val="21"/>
              </w:rPr>
            </w:pPr>
          </w:p>
        </w:tc>
        <w:tc>
          <w:tcPr>
            <w:tcW w:w="2672" w:type="dxa"/>
            <w:vAlign w:val="top"/>
          </w:tcPr>
          <w:p w14:paraId="12B704B3">
            <w:pPr>
              <w:pStyle w:val="213"/>
              <w:spacing w:before="68" w:line="219" w:lineRule="auto"/>
              <w:ind w:left="103"/>
            </w:pPr>
            <w:r>
              <w:rPr>
                <w:spacing w:val="-1"/>
              </w:rPr>
              <w:t>A10031002</w:t>
            </w:r>
            <w:r>
              <w:rPr>
                <w:spacing w:val="-30"/>
              </w:rPr>
              <w:t xml:space="preserve"> </w:t>
            </w:r>
            <w:r>
              <w:rPr>
                <w:spacing w:val="-1"/>
              </w:rPr>
              <w:t>矿物材料制品</w:t>
            </w:r>
          </w:p>
        </w:tc>
        <w:tc>
          <w:tcPr>
            <w:tcW w:w="2248" w:type="dxa"/>
            <w:vAlign w:val="top"/>
          </w:tcPr>
          <w:p w14:paraId="6D93CCD9">
            <w:pPr>
              <w:rPr>
                <w:rFonts w:ascii="Arial"/>
                <w:sz w:val="21"/>
              </w:rPr>
            </w:pPr>
          </w:p>
        </w:tc>
        <w:tc>
          <w:tcPr>
            <w:tcW w:w="3543" w:type="dxa"/>
            <w:vAlign w:val="top"/>
          </w:tcPr>
          <w:p w14:paraId="5BBF2B41">
            <w:pPr>
              <w:pStyle w:val="213"/>
              <w:spacing w:before="67" w:line="219" w:lineRule="auto"/>
              <w:ind w:left="109"/>
            </w:pPr>
            <w:r>
              <w:rPr>
                <w:spacing w:val="-1"/>
              </w:rPr>
              <w:t>HJ/T223</w:t>
            </w:r>
            <w:r>
              <w:rPr>
                <w:spacing w:val="-33"/>
              </w:rPr>
              <w:t xml:space="preserve"> </w:t>
            </w:r>
            <w:r>
              <w:rPr>
                <w:spacing w:val="-1"/>
              </w:rPr>
              <w:t>轻质墙体板材</w:t>
            </w:r>
          </w:p>
        </w:tc>
      </w:tr>
      <w:tr w14:paraId="300A5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bottom w:val="single" w:color="auto" w:sz="4" w:space="0"/>
            </w:tcBorders>
            <w:vAlign w:val="top"/>
          </w:tcPr>
          <w:p w14:paraId="4B814E34">
            <w:pPr>
              <w:pStyle w:val="213"/>
              <w:spacing w:before="67" w:line="242" w:lineRule="auto"/>
              <w:ind w:left="114"/>
            </w:pPr>
            <w:r>
              <w:rPr>
                <w:spacing w:val="-3"/>
              </w:rPr>
              <w:t>41</w:t>
            </w:r>
          </w:p>
        </w:tc>
        <w:tc>
          <w:tcPr>
            <w:tcW w:w="1542" w:type="dxa"/>
            <w:tcBorders>
              <w:bottom w:val="single" w:color="auto" w:sz="4" w:space="0"/>
            </w:tcBorders>
            <w:vAlign w:val="top"/>
          </w:tcPr>
          <w:p w14:paraId="183DF2DF">
            <w:pPr>
              <w:pStyle w:val="213"/>
              <w:spacing w:before="68" w:line="282" w:lineRule="auto"/>
              <w:ind w:left="109" w:right="108" w:hanging="7"/>
            </w:pPr>
            <w:r>
              <w:rPr>
                <w:spacing w:val="3"/>
              </w:rPr>
              <w:t>A100601</w:t>
            </w:r>
            <w:r>
              <w:rPr>
                <w:spacing w:val="34"/>
              </w:rPr>
              <w:t xml:space="preserve"> </w:t>
            </w:r>
            <w:r>
              <w:rPr>
                <w:spacing w:val="3"/>
              </w:rPr>
              <w:t>功能性</w:t>
            </w:r>
            <w:r>
              <w:t xml:space="preserve"> </w:t>
            </w:r>
            <w:r>
              <w:rPr>
                <w:spacing w:val="-2"/>
              </w:rPr>
              <w:t>建筑涂料</w:t>
            </w:r>
          </w:p>
        </w:tc>
        <w:tc>
          <w:tcPr>
            <w:tcW w:w="2672" w:type="dxa"/>
            <w:tcBorders>
              <w:bottom w:val="single" w:color="auto" w:sz="4" w:space="0"/>
            </w:tcBorders>
            <w:vAlign w:val="top"/>
          </w:tcPr>
          <w:p w14:paraId="34BCC6D5">
            <w:pPr>
              <w:rPr>
                <w:rFonts w:ascii="Arial"/>
                <w:sz w:val="21"/>
              </w:rPr>
            </w:pPr>
          </w:p>
        </w:tc>
        <w:tc>
          <w:tcPr>
            <w:tcW w:w="2248" w:type="dxa"/>
            <w:tcBorders>
              <w:bottom w:val="single" w:color="auto" w:sz="4" w:space="0"/>
            </w:tcBorders>
            <w:vAlign w:val="top"/>
          </w:tcPr>
          <w:p w14:paraId="1681F88E">
            <w:pPr>
              <w:rPr>
                <w:rFonts w:ascii="Arial"/>
                <w:sz w:val="21"/>
              </w:rPr>
            </w:pPr>
          </w:p>
        </w:tc>
        <w:tc>
          <w:tcPr>
            <w:tcW w:w="3543" w:type="dxa"/>
            <w:vAlign w:val="top"/>
          </w:tcPr>
          <w:p w14:paraId="3B8744EF">
            <w:pPr>
              <w:pStyle w:val="213"/>
              <w:spacing w:before="67" w:line="219" w:lineRule="auto"/>
              <w:ind w:left="109"/>
            </w:pPr>
            <w:r>
              <w:rPr>
                <w:spacing w:val="-1"/>
              </w:rPr>
              <w:t>HJ2537</w:t>
            </w:r>
            <w:r>
              <w:rPr>
                <w:spacing w:val="-34"/>
              </w:rPr>
              <w:t xml:space="preserve"> </w:t>
            </w:r>
            <w:r>
              <w:rPr>
                <w:spacing w:val="-1"/>
              </w:rPr>
              <w:t>水性涂料</w:t>
            </w:r>
          </w:p>
        </w:tc>
      </w:tr>
      <w:tr w14:paraId="4C244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tcBorders>
              <w:top w:val="single" w:color="auto" w:sz="4" w:space="0"/>
              <w:left w:val="single" w:color="auto" w:sz="4" w:space="0"/>
              <w:bottom w:val="single" w:color="auto" w:sz="4" w:space="0"/>
              <w:right w:val="single" w:color="auto" w:sz="4" w:space="0"/>
            </w:tcBorders>
            <w:vAlign w:val="top"/>
          </w:tcPr>
          <w:p w14:paraId="33954CF3">
            <w:pPr>
              <w:pStyle w:val="213"/>
              <w:spacing w:before="68" w:line="242" w:lineRule="auto"/>
              <w:ind w:left="114"/>
            </w:pPr>
            <w:r>
              <w:rPr>
                <w:spacing w:val="-3"/>
              </w:rPr>
              <w:t>42</w:t>
            </w:r>
          </w:p>
        </w:tc>
        <w:tc>
          <w:tcPr>
            <w:tcW w:w="1542" w:type="dxa"/>
            <w:tcBorders>
              <w:top w:val="single" w:color="auto" w:sz="4" w:space="0"/>
              <w:left w:val="single" w:color="auto" w:sz="4" w:space="0"/>
              <w:bottom w:val="single" w:color="auto" w:sz="4" w:space="0"/>
              <w:right w:val="single" w:color="auto" w:sz="4" w:space="0"/>
            </w:tcBorders>
            <w:vAlign w:val="top"/>
          </w:tcPr>
          <w:p w14:paraId="2F647228">
            <w:pPr>
              <w:pStyle w:val="213"/>
              <w:spacing w:before="69" w:line="284" w:lineRule="auto"/>
              <w:ind w:left="109" w:right="106" w:firstLine="84"/>
            </w:pPr>
            <w:r>
              <w:rPr>
                <w:spacing w:val="-1"/>
              </w:rPr>
              <w:t>A100399</w:t>
            </w:r>
            <w:r>
              <w:rPr>
                <w:spacing w:val="-15"/>
              </w:rPr>
              <w:t xml:space="preserve"> </w:t>
            </w:r>
            <w:r>
              <w:rPr>
                <w:spacing w:val="-1"/>
              </w:rPr>
              <w:t>其他非</w:t>
            </w:r>
            <w:r>
              <w:rPr>
                <w:spacing w:val="-2"/>
              </w:rPr>
              <w:t>金属矿物制品</w:t>
            </w:r>
          </w:p>
        </w:tc>
        <w:tc>
          <w:tcPr>
            <w:tcW w:w="2672" w:type="dxa"/>
            <w:tcBorders>
              <w:top w:val="single" w:color="auto" w:sz="4" w:space="0"/>
              <w:left w:val="single" w:color="auto" w:sz="4" w:space="0"/>
              <w:bottom w:val="single" w:color="auto" w:sz="4" w:space="0"/>
              <w:right w:val="single" w:color="auto" w:sz="4" w:space="0"/>
            </w:tcBorders>
            <w:vAlign w:val="top"/>
          </w:tcPr>
          <w:p w14:paraId="79B5FD95">
            <w:pPr>
              <w:pStyle w:val="213"/>
              <w:spacing w:before="68" w:line="219" w:lineRule="auto"/>
              <w:ind w:left="103"/>
            </w:pPr>
            <w:r>
              <w:rPr>
                <w:spacing w:val="-1"/>
              </w:rPr>
              <w:t>A10039901</w:t>
            </w:r>
            <w:r>
              <w:rPr>
                <w:spacing w:val="-45"/>
              </w:rPr>
              <w:t xml:space="preserve"> </w:t>
            </w:r>
            <w:r>
              <w:rPr>
                <w:spacing w:val="-1"/>
              </w:rPr>
              <w:t>其他非金属建筑材料</w:t>
            </w:r>
          </w:p>
        </w:tc>
        <w:tc>
          <w:tcPr>
            <w:tcW w:w="2248" w:type="dxa"/>
            <w:tcBorders>
              <w:top w:val="single" w:color="auto" w:sz="4" w:space="0"/>
              <w:left w:val="single" w:color="auto" w:sz="4" w:space="0"/>
              <w:bottom w:val="single" w:color="auto" w:sz="4" w:space="0"/>
              <w:right w:val="single" w:color="auto" w:sz="4" w:space="0"/>
            </w:tcBorders>
            <w:vAlign w:val="top"/>
          </w:tcPr>
          <w:p w14:paraId="183E04E1">
            <w:pPr>
              <w:rPr>
                <w:rFonts w:ascii="Arial"/>
                <w:sz w:val="21"/>
              </w:rPr>
            </w:pPr>
          </w:p>
        </w:tc>
        <w:tc>
          <w:tcPr>
            <w:tcW w:w="3543" w:type="dxa"/>
            <w:tcBorders>
              <w:left w:val="single" w:color="auto" w:sz="4" w:space="0"/>
            </w:tcBorders>
            <w:vAlign w:val="top"/>
          </w:tcPr>
          <w:p w14:paraId="7B485066">
            <w:pPr>
              <w:pStyle w:val="213"/>
              <w:spacing w:before="68" w:line="219" w:lineRule="auto"/>
              <w:ind w:left="109"/>
            </w:pPr>
            <w:r>
              <w:rPr>
                <w:spacing w:val="-2"/>
              </w:rPr>
              <w:t>HJ456</w:t>
            </w:r>
            <w:r>
              <w:rPr>
                <w:spacing w:val="-23"/>
              </w:rPr>
              <w:t xml:space="preserve"> </w:t>
            </w:r>
            <w:r>
              <w:rPr>
                <w:spacing w:val="-2"/>
              </w:rPr>
              <w:t>刚性防水材料</w:t>
            </w:r>
          </w:p>
        </w:tc>
      </w:tr>
      <w:tr w14:paraId="3FF8E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Merge w:val="restart"/>
            <w:tcBorders>
              <w:top w:val="single" w:color="auto" w:sz="4" w:space="0"/>
              <w:left w:val="single" w:color="auto" w:sz="4" w:space="0"/>
              <w:bottom w:val="single" w:color="auto" w:sz="4" w:space="0"/>
              <w:right w:val="single" w:color="auto" w:sz="4" w:space="0"/>
            </w:tcBorders>
            <w:vAlign w:val="top"/>
          </w:tcPr>
          <w:p w14:paraId="10207C1A">
            <w:pPr>
              <w:pStyle w:val="213"/>
              <w:spacing w:before="68"/>
              <w:ind w:left="114"/>
            </w:pPr>
            <w:r>
              <w:rPr>
                <w:spacing w:val="-3"/>
              </w:rPr>
              <w:t>43</w:t>
            </w:r>
          </w:p>
        </w:tc>
        <w:tc>
          <w:tcPr>
            <w:tcW w:w="1542" w:type="dxa"/>
            <w:vMerge w:val="restart"/>
            <w:tcBorders>
              <w:top w:val="single" w:color="auto" w:sz="4" w:space="0"/>
              <w:left w:val="single" w:color="auto" w:sz="4" w:space="0"/>
              <w:bottom w:val="single" w:color="auto" w:sz="4" w:space="0"/>
              <w:right w:val="single" w:color="auto" w:sz="4" w:space="0"/>
            </w:tcBorders>
            <w:vAlign w:val="top"/>
          </w:tcPr>
          <w:p w14:paraId="5EB07ED6">
            <w:pPr>
              <w:pStyle w:val="213"/>
              <w:spacing w:before="67" w:line="323" w:lineRule="auto"/>
              <w:ind w:left="107" w:right="108" w:hanging="5"/>
            </w:pPr>
            <w:r>
              <w:rPr>
                <w:spacing w:val="3"/>
              </w:rPr>
              <w:t>A100602</w:t>
            </w:r>
            <w:r>
              <w:rPr>
                <w:spacing w:val="34"/>
              </w:rPr>
              <w:t xml:space="preserve"> </w:t>
            </w:r>
            <w:r>
              <w:rPr>
                <w:spacing w:val="3"/>
              </w:rPr>
              <w:t>墙面涂</w:t>
            </w:r>
            <w:r>
              <w:t xml:space="preserve"> 料</w:t>
            </w:r>
          </w:p>
        </w:tc>
        <w:tc>
          <w:tcPr>
            <w:tcW w:w="2672" w:type="dxa"/>
            <w:tcBorders>
              <w:top w:val="single" w:color="auto" w:sz="4" w:space="0"/>
              <w:left w:val="single" w:color="auto" w:sz="4" w:space="0"/>
              <w:bottom w:val="single" w:color="auto" w:sz="4" w:space="0"/>
              <w:right w:val="single" w:color="auto" w:sz="4" w:space="0"/>
            </w:tcBorders>
            <w:vAlign w:val="top"/>
          </w:tcPr>
          <w:p w14:paraId="30381269">
            <w:pPr>
              <w:pStyle w:val="213"/>
              <w:spacing w:before="69" w:line="284" w:lineRule="auto"/>
              <w:ind w:left="108" w:right="107" w:hanging="5"/>
            </w:pPr>
            <w:r>
              <w:rPr>
                <w:spacing w:val="-1"/>
              </w:rPr>
              <w:t>A10060202</w:t>
            </w:r>
            <w:r>
              <w:rPr>
                <w:spacing w:val="-47"/>
              </w:rPr>
              <w:t xml:space="preserve"> </w:t>
            </w:r>
            <w:r>
              <w:rPr>
                <w:spacing w:val="-1"/>
              </w:rPr>
              <w:t>合成树脂乳液内墙涂</w:t>
            </w:r>
            <w:r>
              <w:t xml:space="preserve"> 料</w:t>
            </w:r>
          </w:p>
        </w:tc>
        <w:tc>
          <w:tcPr>
            <w:tcW w:w="2248" w:type="dxa"/>
            <w:tcBorders>
              <w:top w:val="single" w:color="auto" w:sz="4" w:space="0"/>
              <w:left w:val="single" w:color="auto" w:sz="4" w:space="0"/>
              <w:bottom w:val="single" w:color="auto" w:sz="4" w:space="0"/>
              <w:right w:val="single" w:color="auto" w:sz="4" w:space="0"/>
            </w:tcBorders>
            <w:vAlign w:val="top"/>
          </w:tcPr>
          <w:p w14:paraId="72A47172">
            <w:pPr>
              <w:rPr>
                <w:rFonts w:ascii="Arial"/>
                <w:sz w:val="21"/>
              </w:rPr>
            </w:pPr>
          </w:p>
        </w:tc>
        <w:tc>
          <w:tcPr>
            <w:tcW w:w="3543" w:type="dxa"/>
            <w:tcBorders>
              <w:left w:val="single" w:color="auto" w:sz="4" w:space="0"/>
            </w:tcBorders>
            <w:vAlign w:val="top"/>
          </w:tcPr>
          <w:p w14:paraId="563BAD7D">
            <w:pPr>
              <w:pStyle w:val="213"/>
              <w:spacing w:before="67" w:line="219" w:lineRule="auto"/>
              <w:ind w:left="109"/>
            </w:pPr>
            <w:r>
              <w:rPr>
                <w:spacing w:val="-1"/>
              </w:rPr>
              <w:t>HJ2537</w:t>
            </w:r>
            <w:r>
              <w:rPr>
                <w:spacing w:val="-34"/>
              </w:rPr>
              <w:t xml:space="preserve"> </w:t>
            </w:r>
            <w:r>
              <w:rPr>
                <w:spacing w:val="-1"/>
              </w:rPr>
              <w:t>水性涂料</w:t>
            </w:r>
          </w:p>
        </w:tc>
      </w:tr>
      <w:tr w14:paraId="316C00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4D66BD2A">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7A52635C">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49AAA4F8">
            <w:pPr>
              <w:pStyle w:val="213"/>
              <w:spacing w:before="64" w:line="284" w:lineRule="auto"/>
              <w:ind w:left="108" w:right="107" w:hanging="5"/>
            </w:pPr>
            <w:r>
              <w:rPr>
                <w:spacing w:val="-1"/>
              </w:rPr>
              <w:t>A10060203</w:t>
            </w:r>
            <w:r>
              <w:rPr>
                <w:spacing w:val="-47"/>
              </w:rPr>
              <w:t xml:space="preserve"> </w:t>
            </w:r>
            <w:r>
              <w:rPr>
                <w:spacing w:val="-1"/>
              </w:rPr>
              <w:t>合成树脂乳液外墙涂</w:t>
            </w:r>
            <w:r>
              <w:t xml:space="preserve"> 料</w:t>
            </w:r>
          </w:p>
        </w:tc>
        <w:tc>
          <w:tcPr>
            <w:tcW w:w="2248" w:type="dxa"/>
            <w:tcBorders>
              <w:top w:val="single" w:color="auto" w:sz="4" w:space="0"/>
              <w:left w:val="single" w:color="auto" w:sz="4" w:space="0"/>
              <w:bottom w:val="single" w:color="auto" w:sz="4" w:space="0"/>
              <w:right w:val="single" w:color="auto" w:sz="4" w:space="0"/>
            </w:tcBorders>
            <w:vAlign w:val="top"/>
          </w:tcPr>
          <w:p w14:paraId="78CE74D6">
            <w:pPr>
              <w:rPr>
                <w:rFonts w:ascii="Arial"/>
                <w:sz w:val="21"/>
              </w:rPr>
            </w:pPr>
          </w:p>
        </w:tc>
        <w:tc>
          <w:tcPr>
            <w:tcW w:w="3543" w:type="dxa"/>
            <w:tcBorders>
              <w:left w:val="single" w:color="auto" w:sz="4" w:space="0"/>
            </w:tcBorders>
            <w:vAlign w:val="top"/>
          </w:tcPr>
          <w:p w14:paraId="6D61436D">
            <w:pPr>
              <w:pStyle w:val="213"/>
              <w:spacing w:before="63" w:line="219" w:lineRule="auto"/>
              <w:ind w:left="109"/>
            </w:pPr>
            <w:r>
              <w:rPr>
                <w:spacing w:val="-1"/>
              </w:rPr>
              <w:t>HJ2537</w:t>
            </w:r>
            <w:r>
              <w:rPr>
                <w:spacing w:val="-34"/>
              </w:rPr>
              <w:t xml:space="preserve"> </w:t>
            </w:r>
            <w:r>
              <w:rPr>
                <w:spacing w:val="-1"/>
              </w:rPr>
              <w:t>水性涂料</w:t>
            </w:r>
          </w:p>
        </w:tc>
      </w:tr>
      <w:tr w14:paraId="0F262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583" w:type="dxa"/>
            <w:vMerge w:val="continue"/>
            <w:tcBorders>
              <w:top w:val="single" w:color="auto" w:sz="4" w:space="0"/>
              <w:left w:val="single" w:color="auto" w:sz="4" w:space="0"/>
              <w:bottom w:val="single" w:color="auto" w:sz="4" w:space="0"/>
              <w:right w:val="single" w:color="auto" w:sz="4" w:space="0"/>
            </w:tcBorders>
            <w:vAlign w:val="top"/>
          </w:tcPr>
          <w:p w14:paraId="10101A8D">
            <w:pPr>
              <w:rPr>
                <w:rFonts w:ascii="Arial"/>
                <w:sz w:val="21"/>
              </w:rPr>
            </w:pPr>
          </w:p>
        </w:tc>
        <w:tc>
          <w:tcPr>
            <w:tcW w:w="1542" w:type="dxa"/>
            <w:vMerge w:val="continue"/>
            <w:tcBorders>
              <w:top w:val="single" w:color="auto" w:sz="4" w:space="0"/>
              <w:left w:val="single" w:color="auto" w:sz="4" w:space="0"/>
              <w:bottom w:val="single" w:color="auto" w:sz="4" w:space="0"/>
              <w:right w:val="single" w:color="auto" w:sz="4" w:space="0"/>
            </w:tcBorders>
            <w:vAlign w:val="top"/>
          </w:tcPr>
          <w:p w14:paraId="0AAD2186">
            <w:pPr>
              <w:rPr>
                <w:rFonts w:ascii="Arial"/>
                <w:sz w:val="21"/>
              </w:rPr>
            </w:pPr>
          </w:p>
        </w:tc>
        <w:tc>
          <w:tcPr>
            <w:tcW w:w="2672" w:type="dxa"/>
            <w:tcBorders>
              <w:top w:val="single" w:color="auto" w:sz="4" w:space="0"/>
              <w:left w:val="single" w:color="auto" w:sz="4" w:space="0"/>
              <w:bottom w:val="single" w:color="auto" w:sz="4" w:space="0"/>
              <w:right w:val="single" w:color="auto" w:sz="4" w:space="0"/>
            </w:tcBorders>
            <w:vAlign w:val="top"/>
          </w:tcPr>
          <w:p w14:paraId="4DF487A8">
            <w:pPr>
              <w:pStyle w:val="213"/>
              <w:spacing w:before="64" w:line="221" w:lineRule="auto"/>
              <w:ind w:left="103"/>
            </w:pPr>
            <w:r>
              <w:rPr>
                <w:spacing w:val="-1"/>
              </w:rPr>
              <w:t>A10060299</w:t>
            </w:r>
            <w:r>
              <w:rPr>
                <w:spacing w:val="-30"/>
              </w:rPr>
              <w:t xml:space="preserve"> </w:t>
            </w:r>
            <w:r>
              <w:rPr>
                <w:spacing w:val="-1"/>
              </w:rPr>
              <w:t>其他墙面涂料</w:t>
            </w:r>
          </w:p>
        </w:tc>
        <w:tc>
          <w:tcPr>
            <w:tcW w:w="2248" w:type="dxa"/>
            <w:tcBorders>
              <w:top w:val="single" w:color="auto" w:sz="4" w:space="0"/>
              <w:left w:val="single" w:color="auto" w:sz="4" w:space="0"/>
              <w:bottom w:val="single" w:color="auto" w:sz="4" w:space="0"/>
              <w:right w:val="single" w:color="auto" w:sz="4" w:space="0"/>
            </w:tcBorders>
            <w:vAlign w:val="top"/>
          </w:tcPr>
          <w:p w14:paraId="64F1E019">
            <w:pPr>
              <w:rPr>
                <w:rFonts w:ascii="Arial"/>
                <w:sz w:val="21"/>
              </w:rPr>
            </w:pPr>
          </w:p>
        </w:tc>
        <w:tc>
          <w:tcPr>
            <w:tcW w:w="3543" w:type="dxa"/>
            <w:tcBorders>
              <w:left w:val="single" w:color="auto" w:sz="4" w:space="0"/>
            </w:tcBorders>
            <w:vAlign w:val="top"/>
          </w:tcPr>
          <w:p w14:paraId="426BA902">
            <w:pPr>
              <w:pStyle w:val="213"/>
              <w:spacing w:before="64" w:line="219" w:lineRule="auto"/>
              <w:ind w:left="109"/>
            </w:pPr>
            <w:r>
              <w:rPr>
                <w:spacing w:val="-1"/>
              </w:rPr>
              <w:t>HJ2537</w:t>
            </w:r>
            <w:r>
              <w:rPr>
                <w:spacing w:val="-34"/>
              </w:rPr>
              <w:t xml:space="preserve"> </w:t>
            </w:r>
            <w:r>
              <w:rPr>
                <w:spacing w:val="-1"/>
              </w:rPr>
              <w:t>水性涂料</w:t>
            </w:r>
          </w:p>
        </w:tc>
      </w:tr>
      <w:tr w14:paraId="768D3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tcBorders>
              <w:top w:val="single" w:color="auto" w:sz="4" w:space="0"/>
            </w:tcBorders>
            <w:vAlign w:val="top"/>
          </w:tcPr>
          <w:p w14:paraId="7EB7582E">
            <w:pPr>
              <w:pStyle w:val="213"/>
              <w:spacing w:before="65" w:line="242" w:lineRule="auto"/>
              <w:ind w:left="114"/>
            </w:pPr>
            <w:r>
              <w:rPr>
                <w:spacing w:val="-3"/>
              </w:rPr>
              <w:t>44</w:t>
            </w:r>
          </w:p>
        </w:tc>
        <w:tc>
          <w:tcPr>
            <w:tcW w:w="1542" w:type="dxa"/>
            <w:tcBorders>
              <w:top w:val="single" w:color="auto" w:sz="4" w:space="0"/>
            </w:tcBorders>
            <w:vAlign w:val="top"/>
          </w:tcPr>
          <w:p w14:paraId="7481B57C">
            <w:pPr>
              <w:pStyle w:val="213"/>
              <w:spacing w:before="66" w:line="283" w:lineRule="auto"/>
              <w:ind w:left="107" w:right="108" w:hanging="5"/>
            </w:pPr>
            <w:r>
              <w:rPr>
                <w:spacing w:val="2"/>
              </w:rPr>
              <w:t>A100604</w:t>
            </w:r>
            <w:r>
              <w:rPr>
                <w:spacing w:val="44"/>
              </w:rPr>
              <w:t xml:space="preserve"> </w:t>
            </w:r>
            <w:r>
              <w:rPr>
                <w:spacing w:val="2"/>
              </w:rPr>
              <w:t>防水涂</w:t>
            </w:r>
            <w:r>
              <w:t xml:space="preserve"> 料</w:t>
            </w:r>
          </w:p>
        </w:tc>
        <w:tc>
          <w:tcPr>
            <w:tcW w:w="2672" w:type="dxa"/>
            <w:tcBorders>
              <w:top w:val="single" w:color="auto" w:sz="4" w:space="0"/>
            </w:tcBorders>
            <w:vAlign w:val="top"/>
          </w:tcPr>
          <w:p w14:paraId="535DF1A2">
            <w:pPr>
              <w:pStyle w:val="213"/>
              <w:spacing w:before="65" w:line="220" w:lineRule="auto"/>
              <w:ind w:left="103"/>
            </w:pPr>
            <w:r>
              <w:rPr>
                <w:spacing w:val="-1"/>
              </w:rPr>
              <w:t>A10060499</w:t>
            </w:r>
            <w:r>
              <w:rPr>
                <w:spacing w:val="-30"/>
              </w:rPr>
              <w:t xml:space="preserve"> </w:t>
            </w:r>
            <w:r>
              <w:rPr>
                <w:spacing w:val="-1"/>
              </w:rPr>
              <w:t>其他防水涂料</w:t>
            </w:r>
          </w:p>
        </w:tc>
        <w:tc>
          <w:tcPr>
            <w:tcW w:w="2248" w:type="dxa"/>
            <w:tcBorders>
              <w:top w:val="single" w:color="auto" w:sz="4" w:space="0"/>
            </w:tcBorders>
            <w:vAlign w:val="top"/>
          </w:tcPr>
          <w:p w14:paraId="1855E2A6">
            <w:pPr>
              <w:rPr>
                <w:rFonts w:ascii="Arial"/>
                <w:sz w:val="21"/>
              </w:rPr>
            </w:pPr>
          </w:p>
        </w:tc>
        <w:tc>
          <w:tcPr>
            <w:tcW w:w="3543" w:type="dxa"/>
            <w:vAlign w:val="top"/>
          </w:tcPr>
          <w:p w14:paraId="1C6CE9A5">
            <w:pPr>
              <w:pStyle w:val="213"/>
              <w:spacing w:before="65" w:line="219" w:lineRule="auto"/>
              <w:ind w:left="109"/>
            </w:pPr>
            <w:r>
              <w:rPr>
                <w:spacing w:val="-1"/>
              </w:rPr>
              <w:t>HJ2537</w:t>
            </w:r>
            <w:r>
              <w:rPr>
                <w:spacing w:val="-34"/>
              </w:rPr>
              <w:t xml:space="preserve"> </w:t>
            </w:r>
            <w:r>
              <w:rPr>
                <w:spacing w:val="-1"/>
              </w:rPr>
              <w:t>水性涂料</w:t>
            </w:r>
          </w:p>
        </w:tc>
      </w:tr>
      <w:tr w14:paraId="632B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743A4B4D">
            <w:pPr>
              <w:pStyle w:val="213"/>
              <w:spacing w:before="66"/>
              <w:ind w:left="114"/>
            </w:pPr>
            <w:r>
              <w:rPr>
                <w:spacing w:val="-3"/>
              </w:rPr>
              <w:t>45</w:t>
            </w:r>
          </w:p>
        </w:tc>
        <w:tc>
          <w:tcPr>
            <w:tcW w:w="1542" w:type="dxa"/>
            <w:vAlign w:val="top"/>
          </w:tcPr>
          <w:p w14:paraId="35C9BC36">
            <w:pPr>
              <w:pStyle w:val="213"/>
              <w:spacing w:before="66" w:line="283" w:lineRule="auto"/>
              <w:ind w:left="109" w:right="108" w:hanging="7"/>
            </w:pPr>
            <w:r>
              <w:rPr>
                <w:spacing w:val="3"/>
              </w:rPr>
              <w:t>A100699</w:t>
            </w:r>
            <w:r>
              <w:rPr>
                <w:spacing w:val="34"/>
              </w:rPr>
              <w:t xml:space="preserve"> </w:t>
            </w:r>
            <w:r>
              <w:rPr>
                <w:spacing w:val="3"/>
              </w:rPr>
              <w:t>其他建</w:t>
            </w:r>
            <w:r>
              <w:t xml:space="preserve"> </w:t>
            </w:r>
            <w:r>
              <w:rPr>
                <w:spacing w:val="-2"/>
              </w:rPr>
              <w:t>筑涂料</w:t>
            </w:r>
          </w:p>
        </w:tc>
        <w:tc>
          <w:tcPr>
            <w:tcW w:w="2672" w:type="dxa"/>
            <w:vAlign w:val="top"/>
          </w:tcPr>
          <w:p w14:paraId="23D38720">
            <w:pPr>
              <w:rPr>
                <w:rFonts w:ascii="Arial"/>
                <w:sz w:val="21"/>
              </w:rPr>
            </w:pPr>
          </w:p>
        </w:tc>
        <w:tc>
          <w:tcPr>
            <w:tcW w:w="2248" w:type="dxa"/>
            <w:vAlign w:val="top"/>
          </w:tcPr>
          <w:p w14:paraId="0B70DE25">
            <w:pPr>
              <w:rPr>
                <w:rFonts w:ascii="Arial"/>
                <w:sz w:val="21"/>
              </w:rPr>
            </w:pPr>
          </w:p>
        </w:tc>
        <w:tc>
          <w:tcPr>
            <w:tcW w:w="3543" w:type="dxa"/>
            <w:vAlign w:val="top"/>
          </w:tcPr>
          <w:p w14:paraId="660F1672">
            <w:pPr>
              <w:pStyle w:val="213"/>
              <w:spacing w:before="65" w:line="219" w:lineRule="auto"/>
              <w:ind w:left="109"/>
            </w:pPr>
            <w:r>
              <w:rPr>
                <w:spacing w:val="-1"/>
              </w:rPr>
              <w:t>HJ2537</w:t>
            </w:r>
            <w:r>
              <w:rPr>
                <w:spacing w:val="-34"/>
              </w:rPr>
              <w:t xml:space="preserve"> </w:t>
            </w:r>
            <w:r>
              <w:rPr>
                <w:spacing w:val="-1"/>
              </w:rPr>
              <w:t>水性涂料</w:t>
            </w:r>
          </w:p>
        </w:tc>
      </w:tr>
      <w:tr w14:paraId="38319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83" w:type="dxa"/>
            <w:vAlign w:val="top"/>
          </w:tcPr>
          <w:p w14:paraId="2F17EFB4">
            <w:pPr>
              <w:pStyle w:val="213"/>
              <w:spacing w:before="66"/>
              <w:ind w:left="114"/>
            </w:pPr>
            <w:r>
              <w:rPr>
                <w:spacing w:val="-3"/>
              </w:rPr>
              <w:t>46</w:t>
            </w:r>
          </w:p>
        </w:tc>
        <w:tc>
          <w:tcPr>
            <w:tcW w:w="1542" w:type="dxa"/>
            <w:vAlign w:val="top"/>
          </w:tcPr>
          <w:p w14:paraId="3F904A96">
            <w:pPr>
              <w:pStyle w:val="213"/>
              <w:spacing w:before="66" w:line="222" w:lineRule="auto"/>
              <w:ind w:left="102"/>
            </w:pPr>
            <w:r>
              <w:rPr>
                <w:spacing w:val="-8"/>
              </w:rPr>
              <w:t>A100701</w:t>
            </w:r>
            <w:r>
              <w:rPr>
                <w:spacing w:val="-12"/>
              </w:rPr>
              <w:t xml:space="preserve"> </w:t>
            </w:r>
            <w:r>
              <w:rPr>
                <w:spacing w:val="-8"/>
              </w:rPr>
              <w:t>门、门槛</w:t>
            </w:r>
          </w:p>
        </w:tc>
        <w:tc>
          <w:tcPr>
            <w:tcW w:w="2672" w:type="dxa"/>
            <w:vAlign w:val="top"/>
          </w:tcPr>
          <w:p w14:paraId="27EBC322">
            <w:pPr>
              <w:rPr>
                <w:rFonts w:ascii="Arial"/>
                <w:sz w:val="21"/>
              </w:rPr>
            </w:pPr>
          </w:p>
        </w:tc>
        <w:tc>
          <w:tcPr>
            <w:tcW w:w="2248" w:type="dxa"/>
            <w:vAlign w:val="top"/>
          </w:tcPr>
          <w:p w14:paraId="5BDA538E">
            <w:pPr>
              <w:rPr>
                <w:rFonts w:ascii="Arial"/>
                <w:sz w:val="21"/>
              </w:rPr>
            </w:pPr>
          </w:p>
        </w:tc>
        <w:tc>
          <w:tcPr>
            <w:tcW w:w="3543" w:type="dxa"/>
            <w:vAlign w:val="top"/>
          </w:tcPr>
          <w:p w14:paraId="2B02D3B7">
            <w:pPr>
              <w:pStyle w:val="213"/>
              <w:spacing w:before="66" w:line="219" w:lineRule="auto"/>
              <w:ind w:left="109"/>
            </w:pPr>
            <w:r>
              <w:rPr>
                <w:spacing w:val="-1"/>
              </w:rPr>
              <w:t>HJ/T 237</w:t>
            </w:r>
            <w:r>
              <w:rPr>
                <w:spacing w:val="-32"/>
              </w:rPr>
              <w:t xml:space="preserve"> </w:t>
            </w:r>
            <w:r>
              <w:rPr>
                <w:spacing w:val="-1"/>
              </w:rPr>
              <w:t>塑料门窗/HJ459</w:t>
            </w:r>
            <w:r>
              <w:rPr>
                <w:spacing w:val="-37"/>
              </w:rPr>
              <w:t xml:space="preserve"> </w:t>
            </w:r>
            <w:r>
              <w:rPr>
                <w:spacing w:val="-1"/>
              </w:rPr>
              <w:t>木</w:t>
            </w:r>
            <w:r>
              <w:rPr>
                <w:spacing w:val="-2"/>
              </w:rPr>
              <w:t>质门和钢质门</w:t>
            </w:r>
          </w:p>
        </w:tc>
      </w:tr>
      <w:tr w14:paraId="0C4D94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583" w:type="dxa"/>
            <w:vAlign w:val="top"/>
          </w:tcPr>
          <w:p w14:paraId="26CEAE9B">
            <w:pPr>
              <w:pStyle w:val="213"/>
              <w:spacing w:before="66"/>
              <w:ind w:left="114"/>
            </w:pPr>
            <w:r>
              <w:rPr>
                <w:spacing w:val="-3"/>
              </w:rPr>
              <w:t>47</w:t>
            </w:r>
          </w:p>
        </w:tc>
        <w:tc>
          <w:tcPr>
            <w:tcW w:w="1542" w:type="dxa"/>
            <w:vAlign w:val="top"/>
          </w:tcPr>
          <w:p w14:paraId="790141B8">
            <w:pPr>
              <w:pStyle w:val="213"/>
              <w:spacing w:before="66" w:line="221" w:lineRule="auto"/>
              <w:ind w:left="102"/>
            </w:pPr>
            <w:r>
              <w:rPr>
                <w:spacing w:val="-1"/>
              </w:rPr>
              <w:t>A100702</w:t>
            </w:r>
            <w:r>
              <w:rPr>
                <w:spacing w:val="-24"/>
              </w:rPr>
              <w:t xml:space="preserve"> </w:t>
            </w:r>
            <w:r>
              <w:rPr>
                <w:spacing w:val="-1"/>
              </w:rPr>
              <w:t>窗</w:t>
            </w:r>
          </w:p>
        </w:tc>
        <w:tc>
          <w:tcPr>
            <w:tcW w:w="2672" w:type="dxa"/>
            <w:vAlign w:val="top"/>
          </w:tcPr>
          <w:p w14:paraId="5BB1A806">
            <w:pPr>
              <w:rPr>
                <w:rFonts w:ascii="Arial"/>
                <w:sz w:val="21"/>
              </w:rPr>
            </w:pPr>
          </w:p>
        </w:tc>
        <w:tc>
          <w:tcPr>
            <w:tcW w:w="2248" w:type="dxa"/>
            <w:vAlign w:val="top"/>
          </w:tcPr>
          <w:p w14:paraId="12F20AF9">
            <w:pPr>
              <w:rPr>
                <w:rFonts w:ascii="Arial"/>
                <w:sz w:val="21"/>
              </w:rPr>
            </w:pPr>
          </w:p>
        </w:tc>
        <w:tc>
          <w:tcPr>
            <w:tcW w:w="3543" w:type="dxa"/>
            <w:vAlign w:val="top"/>
          </w:tcPr>
          <w:p w14:paraId="5122D3D0">
            <w:pPr>
              <w:pStyle w:val="213"/>
              <w:spacing w:before="66" w:line="219" w:lineRule="auto"/>
              <w:ind w:left="109"/>
            </w:pPr>
            <w:r>
              <w:rPr>
                <w:spacing w:val="-1"/>
              </w:rPr>
              <w:t>HJ/T237</w:t>
            </w:r>
            <w:r>
              <w:rPr>
                <w:spacing w:val="-33"/>
              </w:rPr>
              <w:t xml:space="preserve"> </w:t>
            </w:r>
            <w:r>
              <w:rPr>
                <w:spacing w:val="-1"/>
              </w:rPr>
              <w:t>塑料门窗</w:t>
            </w:r>
          </w:p>
        </w:tc>
      </w:tr>
      <w:tr w14:paraId="684C0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583" w:type="dxa"/>
            <w:vAlign w:val="top"/>
          </w:tcPr>
          <w:p w14:paraId="0FB2F36E">
            <w:pPr>
              <w:pStyle w:val="213"/>
              <w:spacing w:before="69"/>
              <w:ind w:left="114"/>
            </w:pPr>
            <w:r>
              <w:rPr>
                <w:spacing w:val="-3"/>
              </w:rPr>
              <w:t>48</w:t>
            </w:r>
          </w:p>
        </w:tc>
        <w:tc>
          <w:tcPr>
            <w:tcW w:w="1542" w:type="dxa"/>
            <w:vAlign w:val="top"/>
          </w:tcPr>
          <w:p w14:paraId="36F78E55">
            <w:pPr>
              <w:pStyle w:val="213"/>
              <w:spacing w:before="70" w:line="282" w:lineRule="auto"/>
              <w:ind w:left="109" w:right="106" w:hanging="7"/>
            </w:pPr>
            <w:r>
              <w:rPr>
                <w:spacing w:val="-8"/>
              </w:rPr>
              <w:t>A170108</w:t>
            </w:r>
            <w:r>
              <w:rPr>
                <w:spacing w:val="-25"/>
              </w:rPr>
              <w:t xml:space="preserve"> </w:t>
            </w:r>
            <w:r>
              <w:rPr>
                <w:spacing w:val="-8"/>
              </w:rPr>
              <w:t>涂料（建</w:t>
            </w:r>
            <w:r>
              <w:t xml:space="preserve"> </w:t>
            </w:r>
            <w:r>
              <w:rPr>
                <w:spacing w:val="-2"/>
              </w:rPr>
              <w:t>筑涂料除外）</w:t>
            </w:r>
          </w:p>
        </w:tc>
        <w:tc>
          <w:tcPr>
            <w:tcW w:w="2672" w:type="dxa"/>
            <w:vAlign w:val="top"/>
          </w:tcPr>
          <w:p w14:paraId="0E6B6EAA">
            <w:pPr>
              <w:rPr>
                <w:rFonts w:ascii="Arial"/>
                <w:sz w:val="21"/>
              </w:rPr>
            </w:pPr>
          </w:p>
        </w:tc>
        <w:tc>
          <w:tcPr>
            <w:tcW w:w="2248" w:type="dxa"/>
            <w:vAlign w:val="top"/>
          </w:tcPr>
          <w:p w14:paraId="754BCD0F">
            <w:pPr>
              <w:rPr>
                <w:rFonts w:ascii="Arial"/>
                <w:sz w:val="21"/>
              </w:rPr>
            </w:pPr>
          </w:p>
        </w:tc>
        <w:tc>
          <w:tcPr>
            <w:tcW w:w="3543" w:type="dxa"/>
            <w:vAlign w:val="top"/>
          </w:tcPr>
          <w:p w14:paraId="5DA8EBC0">
            <w:pPr>
              <w:pStyle w:val="213"/>
              <w:spacing w:before="69" w:line="219" w:lineRule="auto"/>
              <w:ind w:left="109"/>
            </w:pPr>
            <w:r>
              <w:rPr>
                <w:spacing w:val="-1"/>
              </w:rPr>
              <w:t>HJ2537</w:t>
            </w:r>
            <w:r>
              <w:rPr>
                <w:spacing w:val="-34"/>
              </w:rPr>
              <w:t xml:space="preserve"> </w:t>
            </w:r>
            <w:r>
              <w:rPr>
                <w:spacing w:val="-1"/>
              </w:rPr>
              <w:t>水性涂料</w:t>
            </w:r>
          </w:p>
        </w:tc>
      </w:tr>
      <w:tr w14:paraId="1C745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83" w:type="dxa"/>
            <w:vAlign w:val="top"/>
          </w:tcPr>
          <w:p w14:paraId="533A863C">
            <w:pPr>
              <w:pStyle w:val="213"/>
              <w:spacing w:before="68"/>
              <w:ind w:left="114"/>
            </w:pPr>
            <w:r>
              <w:rPr>
                <w:spacing w:val="-3"/>
              </w:rPr>
              <w:t>49</w:t>
            </w:r>
          </w:p>
        </w:tc>
        <w:tc>
          <w:tcPr>
            <w:tcW w:w="1542" w:type="dxa"/>
            <w:vAlign w:val="top"/>
          </w:tcPr>
          <w:p w14:paraId="13CB0C21">
            <w:pPr>
              <w:pStyle w:val="213"/>
              <w:spacing w:before="68" w:line="282" w:lineRule="auto"/>
              <w:ind w:left="109" w:right="108" w:hanging="7"/>
            </w:pPr>
            <w:r>
              <w:rPr>
                <w:spacing w:val="3"/>
              </w:rPr>
              <w:t>A170112</w:t>
            </w:r>
            <w:r>
              <w:rPr>
                <w:spacing w:val="34"/>
              </w:rPr>
              <w:t xml:space="preserve"> </w:t>
            </w:r>
            <w:r>
              <w:rPr>
                <w:spacing w:val="3"/>
              </w:rPr>
              <w:t>密封用</w:t>
            </w:r>
            <w:r>
              <w:t xml:space="preserve"> </w:t>
            </w:r>
            <w:r>
              <w:rPr>
                <w:spacing w:val="-2"/>
              </w:rPr>
              <w:t>填料及类似品</w:t>
            </w:r>
          </w:p>
        </w:tc>
        <w:tc>
          <w:tcPr>
            <w:tcW w:w="2672" w:type="dxa"/>
            <w:vAlign w:val="top"/>
          </w:tcPr>
          <w:p w14:paraId="1D94107C">
            <w:pPr>
              <w:rPr>
                <w:rFonts w:ascii="Arial"/>
                <w:sz w:val="21"/>
              </w:rPr>
            </w:pPr>
          </w:p>
        </w:tc>
        <w:tc>
          <w:tcPr>
            <w:tcW w:w="2248" w:type="dxa"/>
            <w:vAlign w:val="top"/>
          </w:tcPr>
          <w:p w14:paraId="2D7DC984">
            <w:pPr>
              <w:rPr>
                <w:rFonts w:ascii="Arial"/>
                <w:sz w:val="21"/>
              </w:rPr>
            </w:pPr>
          </w:p>
        </w:tc>
        <w:tc>
          <w:tcPr>
            <w:tcW w:w="3543" w:type="dxa"/>
            <w:vAlign w:val="top"/>
          </w:tcPr>
          <w:p w14:paraId="1DD66A27">
            <w:pPr>
              <w:pStyle w:val="213"/>
              <w:spacing w:before="67" w:line="219" w:lineRule="auto"/>
              <w:ind w:left="109"/>
            </w:pPr>
            <w:r>
              <w:rPr>
                <w:spacing w:val="-1"/>
              </w:rPr>
              <w:t>HJ2541</w:t>
            </w:r>
            <w:r>
              <w:rPr>
                <w:spacing w:val="-35"/>
              </w:rPr>
              <w:t xml:space="preserve"> </w:t>
            </w:r>
            <w:r>
              <w:rPr>
                <w:spacing w:val="-1"/>
              </w:rPr>
              <w:t>胶粘剂</w:t>
            </w:r>
          </w:p>
        </w:tc>
      </w:tr>
      <w:tr w14:paraId="213AD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583" w:type="dxa"/>
            <w:vAlign w:val="top"/>
          </w:tcPr>
          <w:p w14:paraId="242B0303">
            <w:pPr>
              <w:pStyle w:val="213"/>
              <w:spacing w:before="69"/>
              <w:ind w:left="118"/>
            </w:pPr>
            <w:r>
              <w:rPr>
                <w:spacing w:val="-5"/>
              </w:rPr>
              <w:t>50</w:t>
            </w:r>
          </w:p>
        </w:tc>
        <w:tc>
          <w:tcPr>
            <w:tcW w:w="1542" w:type="dxa"/>
            <w:vAlign w:val="top"/>
          </w:tcPr>
          <w:p w14:paraId="53AC877B">
            <w:pPr>
              <w:pStyle w:val="213"/>
              <w:spacing w:before="69" w:line="284" w:lineRule="auto"/>
              <w:ind w:left="122" w:right="108" w:hanging="20"/>
            </w:pPr>
            <w:r>
              <w:rPr>
                <w:spacing w:val="3"/>
              </w:rPr>
              <w:t>A180201</w:t>
            </w:r>
            <w:r>
              <w:rPr>
                <w:spacing w:val="34"/>
              </w:rPr>
              <w:t xml:space="preserve"> </w:t>
            </w:r>
            <w:r>
              <w:rPr>
                <w:spacing w:val="3"/>
              </w:rPr>
              <w:t>塑料制</w:t>
            </w:r>
            <w:r>
              <w:t xml:space="preserve"> 品</w:t>
            </w:r>
          </w:p>
        </w:tc>
        <w:tc>
          <w:tcPr>
            <w:tcW w:w="2672" w:type="dxa"/>
            <w:vAlign w:val="top"/>
          </w:tcPr>
          <w:p w14:paraId="214BE936">
            <w:pPr>
              <w:rPr>
                <w:rFonts w:ascii="Arial"/>
                <w:sz w:val="21"/>
              </w:rPr>
            </w:pPr>
          </w:p>
        </w:tc>
        <w:tc>
          <w:tcPr>
            <w:tcW w:w="2248" w:type="dxa"/>
            <w:vAlign w:val="top"/>
          </w:tcPr>
          <w:p w14:paraId="302B59F9">
            <w:pPr>
              <w:rPr>
                <w:rFonts w:ascii="Arial"/>
                <w:sz w:val="21"/>
              </w:rPr>
            </w:pPr>
          </w:p>
        </w:tc>
        <w:tc>
          <w:tcPr>
            <w:tcW w:w="3543" w:type="dxa"/>
            <w:vAlign w:val="top"/>
          </w:tcPr>
          <w:p w14:paraId="6970262A">
            <w:pPr>
              <w:pStyle w:val="213"/>
              <w:spacing w:before="69" w:line="284" w:lineRule="auto"/>
              <w:ind w:left="113" w:right="104" w:hanging="4"/>
            </w:pPr>
            <w:r>
              <w:t>HJ/T226 建筑用塑料管材/HJ/</w:t>
            </w:r>
            <w:r>
              <w:rPr>
                <w:spacing w:val="-1"/>
              </w:rPr>
              <w:t>T231 再生塑</w:t>
            </w:r>
            <w:r>
              <w:t xml:space="preserve"> </w:t>
            </w:r>
            <w:r>
              <w:rPr>
                <w:spacing w:val="-2"/>
              </w:rPr>
              <w:t>料制品</w:t>
            </w:r>
          </w:p>
        </w:tc>
      </w:tr>
    </w:tbl>
    <w:p w14:paraId="0A940086">
      <w:pPr>
        <w:spacing w:after="120" w:line="360" w:lineRule="auto"/>
        <w:rPr>
          <w:rFonts w:hint="eastAsia" w:ascii="宋体" w:hAnsi="宋体" w:eastAsia="宋体" w:cs="Times New Roman"/>
          <w:spacing w:val="-3"/>
          <w:szCs w:val="21"/>
          <w:lang w:val="en-US" w:eastAsia="zh-CN"/>
        </w:rPr>
        <w:sectPr>
          <w:pgSz w:w="11906" w:h="16838"/>
          <w:pgMar w:top="992" w:right="644" w:bottom="1247" w:left="667" w:header="850" w:footer="992" w:gutter="0"/>
          <w:pgBorders>
            <w:top w:val="none" w:sz="0" w:space="0"/>
            <w:left w:val="none" w:sz="0" w:space="0"/>
            <w:bottom w:val="none" w:sz="0" w:space="0"/>
            <w:right w:val="none" w:sz="0" w:space="0"/>
          </w:pgBorders>
          <w:pgNumType w:fmt="decimal"/>
          <w:cols w:space="720" w:num="1"/>
        </w:sectPr>
      </w:pPr>
      <w:r>
        <w:rPr>
          <w:rFonts w:hint="eastAsia" w:ascii="宋体" w:hAnsi="宋体" w:eastAsia="宋体" w:cs="Times New Roman"/>
          <w:spacing w:val="-3"/>
          <w:szCs w:val="21"/>
        </w:rPr>
        <w:t>注：环境标志产品认证应依据相关标准的最新</w:t>
      </w:r>
      <w:r>
        <w:rPr>
          <w:rFonts w:hint="eastAsia" w:ascii="宋体" w:hAnsi="宋体" w:eastAsia="宋体" w:cs="Times New Roman"/>
          <w:spacing w:val="-3"/>
          <w:szCs w:val="21"/>
          <w:lang w:val="en-US" w:eastAsia="zh-CN"/>
        </w:rPr>
        <w:t>版本。</w:t>
      </w:r>
    </w:p>
    <w:bookmarkEnd w:id="30"/>
    <w:bookmarkEnd w:id="39"/>
    <w:p w14:paraId="2BF1410E">
      <w:pPr>
        <w:rPr>
          <w:rFonts w:hint="eastAsia" w:ascii="黑体" w:hAnsi="黑体" w:eastAsia="黑体" w:cs="Arial"/>
          <w:b/>
          <w:kern w:val="0"/>
          <w:sz w:val="28"/>
          <w:szCs w:val="28"/>
        </w:rPr>
      </w:pPr>
    </w:p>
    <w:p w14:paraId="6CF07365">
      <w:pPr>
        <w:pStyle w:val="28"/>
        <w:snapToGrid w:val="0"/>
        <w:spacing w:before="120" w:after="120" w:line="320" w:lineRule="exact"/>
        <w:jc w:val="center"/>
        <w:outlineLvl w:val="0"/>
        <w:rPr>
          <w:rFonts w:ascii="Times New Roman" w:hAnsi="Times New Roman" w:cs="Times New Roman"/>
          <w:sz w:val="32"/>
          <w:szCs w:val="32"/>
        </w:rPr>
      </w:pPr>
      <w:bookmarkStart w:id="40" w:name="_Toc7437"/>
      <w:r>
        <w:rPr>
          <w:rFonts w:ascii="Times New Roman" w:hAnsi="Times New Roman" w:cs="Times New Roman"/>
          <w:sz w:val="32"/>
          <w:szCs w:val="32"/>
        </w:rPr>
        <w:t xml:space="preserve">第三章  </w:t>
      </w:r>
      <w:r>
        <w:rPr>
          <w:rFonts w:hint="eastAsia" w:ascii="Times New Roman" w:hAnsi="Times New Roman" w:cs="Times New Roman"/>
          <w:sz w:val="32"/>
          <w:szCs w:val="32"/>
        </w:rPr>
        <w:t>投标人</w:t>
      </w:r>
      <w:r>
        <w:rPr>
          <w:rFonts w:ascii="Times New Roman" w:hAnsi="Times New Roman" w:cs="Times New Roman"/>
          <w:sz w:val="32"/>
          <w:szCs w:val="32"/>
        </w:rPr>
        <w:t>须知</w:t>
      </w:r>
      <w:bookmarkEnd w:id="40"/>
      <w:bookmarkStart w:id="41" w:name="_Toc254970667"/>
      <w:bookmarkStart w:id="42" w:name="_Toc254970526"/>
    </w:p>
    <w:p w14:paraId="6E194D9B">
      <w:pPr>
        <w:pStyle w:val="6"/>
        <w:spacing w:before="40" w:after="40"/>
        <w:jc w:val="center"/>
        <w:rPr>
          <w:rFonts w:ascii="Times New Roman" w:hAnsi="Times New Roman" w:eastAsia="宋体"/>
          <w:sz w:val="24"/>
          <w:szCs w:val="24"/>
        </w:rPr>
      </w:pPr>
      <w:r>
        <w:rPr>
          <w:rFonts w:hint="eastAsia" w:ascii="Times New Roman" w:hAnsi="Times New Roman" w:eastAsia="宋体"/>
          <w:sz w:val="24"/>
          <w:szCs w:val="24"/>
        </w:rPr>
        <w:t>投标人</w:t>
      </w:r>
      <w:r>
        <w:rPr>
          <w:rFonts w:ascii="Times New Roman" w:hAnsi="Times New Roman" w:eastAsia="宋体"/>
          <w:sz w:val="24"/>
          <w:szCs w:val="24"/>
        </w:rPr>
        <w:t>须知前附表</w:t>
      </w:r>
      <w:bookmarkEnd w:id="41"/>
      <w:bookmarkEnd w:id="42"/>
      <w:bookmarkStart w:id="43" w:name="_投标人须知前附表"/>
      <w:bookmarkEnd w:id="43"/>
      <w:bookmarkStart w:id="44" w:name="_Hlk19048934"/>
    </w:p>
    <w:tbl>
      <w:tblPr>
        <w:tblStyle w:val="53"/>
        <w:tblW w:w="92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5"/>
        <w:gridCol w:w="1230"/>
        <w:gridCol w:w="7229"/>
      </w:tblGrid>
      <w:tr w14:paraId="709737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2B0E6F0F">
            <w:pPr>
              <w:jc w:val="center"/>
              <w:rPr>
                <w:b/>
                <w:szCs w:val="21"/>
              </w:rPr>
            </w:pPr>
            <w:r>
              <w:rPr>
                <w:b/>
                <w:szCs w:val="21"/>
              </w:rPr>
              <w:t>条款号</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B454F68">
            <w:pPr>
              <w:jc w:val="center"/>
              <w:rPr>
                <w:b/>
                <w:szCs w:val="21"/>
              </w:rPr>
            </w:pPr>
            <w:r>
              <w:rPr>
                <w:b/>
                <w:szCs w:val="21"/>
              </w:rPr>
              <w:t>要点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EAD9F8B">
            <w:pPr>
              <w:jc w:val="center"/>
              <w:rPr>
                <w:b/>
                <w:szCs w:val="21"/>
              </w:rPr>
            </w:pPr>
            <w:r>
              <w:rPr>
                <w:b/>
                <w:szCs w:val="21"/>
              </w:rPr>
              <w:t>内容、要求</w:t>
            </w:r>
          </w:p>
        </w:tc>
      </w:tr>
      <w:tr w14:paraId="15B9B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4A872F4">
            <w:pPr>
              <w:spacing w:line="300" w:lineRule="exact"/>
              <w:jc w:val="center"/>
              <w:rPr>
                <w:b/>
                <w:szCs w:val="21"/>
              </w:rPr>
            </w:pPr>
            <w:r>
              <w:rPr>
                <w:b/>
                <w:szCs w:val="21"/>
              </w:rPr>
              <w:t>1.3.1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89FCDB9">
            <w:pPr>
              <w:spacing w:line="300" w:lineRule="exact"/>
              <w:jc w:val="center"/>
              <w:rPr>
                <w:szCs w:val="21"/>
              </w:rPr>
            </w:pPr>
            <w:r>
              <w:rPr>
                <w:szCs w:val="21"/>
              </w:rPr>
              <w:t>项目基本信息</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9D79DA3">
            <w:pPr>
              <w:spacing w:line="300" w:lineRule="exact"/>
              <w:jc w:val="left"/>
              <w:rPr>
                <w:color w:val="auto"/>
                <w:szCs w:val="21"/>
              </w:rPr>
            </w:pPr>
            <w:r>
              <w:rPr>
                <w:color w:val="auto"/>
                <w:szCs w:val="21"/>
              </w:rPr>
              <w:t>项目名称：</w:t>
            </w:r>
            <w:r>
              <w:rPr>
                <w:rFonts w:hint="eastAsia"/>
                <w:color w:val="auto"/>
                <w:szCs w:val="21"/>
              </w:rPr>
              <w:t>采购制剂生产用辅料米酒</w:t>
            </w:r>
          </w:p>
          <w:p w14:paraId="64B6D309">
            <w:pPr>
              <w:spacing w:line="300" w:lineRule="exact"/>
              <w:jc w:val="left"/>
              <w:rPr>
                <w:rFonts w:hint="eastAsia" w:eastAsia="宋体"/>
                <w:color w:val="auto"/>
                <w:szCs w:val="21"/>
                <w:lang w:eastAsia="zh-CN"/>
              </w:rPr>
            </w:pPr>
            <w:r>
              <w:rPr>
                <w:color w:val="auto"/>
                <w:szCs w:val="21"/>
              </w:rPr>
              <w:t>项目编号：</w:t>
            </w:r>
            <w:r>
              <w:rPr>
                <w:rFonts w:hint="eastAsia"/>
                <w:color w:val="auto"/>
                <w:szCs w:val="21"/>
                <w:lang w:eastAsia="zh-CN"/>
              </w:rPr>
              <w:t>YLZC2026-G1-990215-JDZB</w:t>
            </w:r>
          </w:p>
          <w:p w14:paraId="657D9DBA">
            <w:pPr>
              <w:spacing w:line="300" w:lineRule="exact"/>
              <w:jc w:val="left"/>
              <w:rPr>
                <w:color w:val="auto"/>
                <w:szCs w:val="21"/>
                <w:u w:val="single"/>
              </w:rPr>
            </w:pPr>
            <w:r>
              <w:rPr>
                <w:rFonts w:hint="eastAsia"/>
                <w:color w:val="auto"/>
                <w:szCs w:val="21"/>
              </w:rPr>
              <w:t>采购计划号：YLZC2026-G1-10903</w:t>
            </w:r>
          </w:p>
        </w:tc>
      </w:tr>
      <w:tr w14:paraId="671566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3016FA6E">
            <w:pPr>
              <w:spacing w:line="300" w:lineRule="exact"/>
              <w:jc w:val="center"/>
              <w:rPr>
                <w:b/>
                <w:szCs w:val="21"/>
              </w:rPr>
            </w:pPr>
            <w:r>
              <w:rPr>
                <w:b/>
                <w:szCs w:val="21"/>
              </w:rPr>
              <w:t>1.3.2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B4AAE2A">
            <w:pPr>
              <w:spacing w:line="300" w:lineRule="exact"/>
              <w:jc w:val="center"/>
              <w:rPr>
                <w:szCs w:val="21"/>
                <w:lang w:val="zh-CN"/>
              </w:rPr>
            </w:pPr>
            <w:r>
              <w:rPr>
                <w:rFonts w:hint="eastAsia"/>
                <w:szCs w:val="21"/>
                <w:lang w:val="zh-CN"/>
              </w:rPr>
              <w:t>采购方式</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74A4AE7D">
            <w:pPr>
              <w:spacing w:line="300" w:lineRule="exact"/>
              <w:jc w:val="left"/>
              <w:rPr>
                <w:color w:val="auto"/>
                <w:szCs w:val="21"/>
              </w:rPr>
            </w:pPr>
            <w:r>
              <w:rPr>
                <w:rFonts w:hint="eastAsia"/>
                <w:color w:val="auto"/>
                <w:szCs w:val="21"/>
              </w:rPr>
              <w:t>公开招标</w:t>
            </w:r>
          </w:p>
        </w:tc>
      </w:tr>
      <w:tr w14:paraId="31DAC3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2BAABA71">
            <w:pPr>
              <w:spacing w:line="300" w:lineRule="exact"/>
              <w:jc w:val="center"/>
              <w:rPr>
                <w:b/>
                <w:szCs w:val="21"/>
              </w:rPr>
            </w:pPr>
            <w:r>
              <w:rPr>
                <w:rFonts w:hint="eastAsia"/>
                <w:b/>
                <w:szCs w:val="21"/>
              </w:rPr>
              <w:t>1</w:t>
            </w:r>
            <w:r>
              <w:rPr>
                <w:b/>
                <w:szCs w:val="21"/>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CB07FE8">
            <w:pPr>
              <w:spacing w:line="300" w:lineRule="exact"/>
              <w:jc w:val="center"/>
              <w:rPr>
                <w:color w:val="4472C4"/>
                <w:szCs w:val="21"/>
                <w:lang w:val="zh-CN"/>
              </w:rPr>
            </w:pPr>
            <w:r>
              <w:rPr>
                <w:rFonts w:hint="eastAsia"/>
                <w:szCs w:val="21"/>
                <w:lang w:val="zh-CN"/>
              </w:rPr>
              <w:t>促进中小企业发展措施</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D735EAB">
            <w:pPr>
              <w:spacing w:line="300" w:lineRule="exact"/>
              <w:jc w:val="left"/>
              <w:rPr>
                <w:color w:val="auto"/>
                <w:szCs w:val="21"/>
              </w:rPr>
            </w:pPr>
            <w:r>
              <w:rPr>
                <w:rFonts w:hint="eastAsia"/>
                <w:color w:val="auto"/>
                <w:szCs w:val="21"/>
              </w:rPr>
              <w:t>本项目专门面向中小微企业采购。</w:t>
            </w:r>
          </w:p>
          <w:p w14:paraId="04A79C38">
            <w:pPr>
              <w:spacing w:line="300" w:lineRule="exact"/>
              <w:jc w:val="left"/>
              <w:rPr>
                <w:rFonts w:hint="eastAsia"/>
                <w:color w:val="auto"/>
                <w:szCs w:val="21"/>
              </w:rPr>
            </w:pPr>
            <w:r>
              <w:rPr>
                <w:rFonts w:hint="eastAsia"/>
                <w:color w:val="auto"/>
                <w:szCs w:val="21"/>
              </w:rPr>
              <w:t>供应商提供《中小企业声明函》中填报招标文件标明所属行业的标的物的全部制造商应均为中型或小型或微型企业。</w:t>
            </w:r>
          </w:p>
          <w:p w14:paraId="671C4898">
            <w:pPr>
              <w:spacing w:line="300" w:lineRule="exact"/>
              <w:jc w:val="left"/>
              <w:rPr>
                <w:color w:val="auto"/>
                <w:szCs w:val="21"/>
              </w:rPr>
            </w:pPr>
            <w:r>
              <w:rPr>
                <w:rFonts w:hint="eastAsia"/>
                <w:color w:val="auto"/>
                <w:szCs w:val="21"/>
              </w:rPr>
              <w:t>如招标公告接受联合体或分包时，供应商以联合体形式投标的，还须提供《联合体协议书》，《联合体协议书》中填报的中小微企业制造商提供产品的比例为1</w:t>
            </w:r>
            <w:r>
              <w:rPr>
                <w:color w:val="auto"/>
                <w:szCs w:val="21"/>
              </w:rPr>
              <w:t>00</w:t>
            </w:r>
            <w:r>
              <w:rPr>
                <w:rFonts w:hint="eastAsia"/>
                <w:color w:val="auto"/>
                <w:szCs w:val="21"/>
              </w:rPr>
              <w:t>%；供应商以合同分包形式参与投标的，还须提供《分包意向协议书》，《分包意向协议书》中填报的中小微企业制造商提供产品的比例为1</w:t>
            </w:r>
            <w:r>
              <w:rPr>
                <w:color w:val="auto"/>
                <w:szCs w:val="21"/>
              </w:rPr>
              <w:t>00</w:t>
            </w:r>
            <w:r>
              <w:rPr>
                <w:rFonts w:hint="eastAsia"/>
                <w:color w:val="auto"/>
                <w:szCs w:val="21"/>
              </w:rPr>
              <w:t>%；</w:t>
            </w:r>
          </w:p>
        </w:tc>
      </w:tr>
      <w:tr w14:paraId="5FD89A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noWrap w:val="0"/>
            <w:vAlign w:val="center"/>
          </w:tcPr>
          <w:p w14:paraId="7C3521A0">
            <w:pPr>
              <w:spacing w:line="300" w:lineRule="exact"/>
              <w:jc w:val="center"/>
              <w:rPr>
                <w:b/>
                <w:szCs w:val="21"/>
              </w:rPr>
            </w:pPr>
            <w:r>
              <w:rPr>
                <w:b/>
                <w:szCs w:val="21"/>
              </w:rPr>
              <w:t>1.5.1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868EF80">
            <w:pPr>
              <w:spacing w:line="300" w:lineRule="exact"/>
              <w:jc w:val="center"/>
              <w:rPr>
                <w:szCs w:val="21"/>
              </w:rPr>
            </w:pPr>
            <w:r>
              <w:rPr>
                <w:rFonts w:hint="eastAsia"/>
                <w:szCs w:val="21"/>
                <w:lang w:val="zh-CN"/>
              </w:rPr>
              <w:t>投标人</w:t>
            </w:r>
            <w:r>
              <w:rPr>
                <w:szCs w:val="21"/>
                <w:lang w:val="zh-CN"/>
              </w:rPr>
              <w:t>资格条件</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0EBC947">
            <w:pPr>
              <w:spacing w:line="300" w:lineRule="exact"/>
              <w:jc w:val="left"/>
              <w:rPr>
                <w:szCs w:val="21"/>
              </w:rPr>
            </w:pPr>
            <w:r>
              <w:rPr>
                <w:rFonts w:hint="eastAsia"/>
                <w:szCs w:val="21"/>
              </w:rPr>
              <w:t>详</w:t>
            </w:r>
            <w:r>
              <w:rPr>
                <w:szCs w:val="21"/>
              </w:rPr>
              <w:t>见招标公告</w:t>
            </w:r>
            <w:r>
              <w:rPr>
                <w:rFonts w:hint="eastAsia"/>
                <w:szCs w:val="21"/>
              </w:rPr>
              <w:t>。</w:t>
            </w:r>
          </w:p>
        </w:tc>
      </w:tr>
      <w:tr w14:paraId="455B8A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trPr>
        <w:tc>
          <w:tcPr>
            <w:tcW w:w="755" w:type="dxa"/>
            <w:tcBorders>
              <w:top w:val="single" w:color="auto" w:sz="4" w:space="0"/>
              <w:left w:val="single" w:color="auto" w:sz="4" w:space="0"/>
              <w:right w:val="single" w:color="auto" w:sz="4" w:space="0"/>
            </w:tcBorders>
            <w:noWrap w:val="0"/>
            <w:vAlign w:val="center"/>
          </w:tcPr>
          <w:p w14:paraId="3F89C4F1">
            <w:pPr>
              <w:spacing w:line="300" w:lineRule="exact"/>
              <w:jc w:val="center"/>
              <w:rPr>
                <w:b/>
                <w:szCs w:val="21"/>
              </w:rPr>
            </w:pPr>
            <w:bookmarkStart w:id="45" w:name="_Hlk85555568"/>
            <w:r>
              <w:rPr>
                <w:b/>
                <w:szCs w:val="21"/>
              </w:rPr>
              <w:t>1.5.3</w:t>
            </w:r>
          </w:p>
        </w:tc>
        <w:tc>
          <w:tcPr>
            <w:tcW w:w="1230" w:type="dxa"/>
            <w:tcBorders>
              <w:top w:val="single" w:color="auto" w:sz="4" w:space="0"/>
              <w:left w:val="single" w:color="auto" w:sz="4" w:space="0"/>
              <w:right w:val="single" w:color="auto" w:sz="4" w:space="0"/>
            </w:tcBorders>
            <w:noWrap w:val="0"/>
            <w:vAlign w:val="center"/>
          </w:tcPr>
          <w:p w14:paraId="5665CA90">
            <w:pPr>
              <w:spacing w:line="300" w:lineRule="exact"/>
              <w:jc w:val="center"/>
              <w:rPr>
                <w:szCs w:val="21"/>
              </w:rPr>
            </w:pPr>
            <w:r>
              <w:rPr>
                <w:rFonts w:hint="eastAsia"/>
                <w:szCs w:val="21"/>
              </w:rPr>
              <w:t>联合体</w:t>
            </w:r>
          </w:p>
        </w:tc>
        <w:tc>
          <w:tcPr>
            <w:tcW w:w="7229" w:type="dxa"/>
            <w:tcBorders>
              <w:top w:val="single" w:color="auto" w:sz="4" w:space="0"/>
              <w:left w:val="single" w:color="auto" w:sz="4" w:space="0"/>
              <w:right w:val="single" w:color="auto" w:sz="4" w:space="0"/>
            </w:tcBorders>
            <w:noWrap w:val="0"/>
            <w:vAlign w:val="center"/>
          </w:tcPr>
          <w:p w14:paraId="5CB855E4">
            <w:pPr>
              <w:spacing w:line="300" w:lineRule="exact"/>
              <w:jc w:val="left"/>
              <w:rPr>
                <w:szCs w:val="21"/>
              </w:rPr>
            </w:pPr>
            <w:r>
              <w:rPr>
                <w:rFonts w:hint="eastAsia"/>
                <w:szCs w:val="21"/>
              </w:rPr>
              <w:t>是否接受联合体详见招标公告</w:t>
            </w:r>
          </w:p>
        </w:tc>
      </w:tr>
      <w:bookmarkEnd w:id="45"/>
      <w:tr w14:paraId="2C1B2D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noWrap w:val="0"/>
            <w:vAlign w:val="center"/>
          </w:tcPr>
          <w:p w14:paraId="516C9B2B">
            <w:pPr>
              <w:spacing w:line="300" w:lineRule="exact"/>
              <w:jc w:val="center"/>
              <w:rPr>
                <w:b/>
                <w:szCs w:val="21"/>
              </w:rPr>
            </w:pPr>
            <w:r>
              <w:rPr>
                <w:b/>
                <w:szCs w:val="21"/>
              </w:rPr>
              <w:t>1.6</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DB2AD6A">
            <w:pPr>
              <w:spacing w:line="300" w:lineRule="exact"/>
              <w:jc w:val="center"/>
              <w:rPr>
                <w:color w:val="auto"/>
                <w:szCs w:val="21"/>
              </w:rPr>
            </w:pPr>
            <w:r>
              <w:rPr>
                <w:rFonts w:hint="eastAsia"/>
                <w:color w:val="auto"/>
                <w:szCs w:val="21"/>
              </w:rPr>
              <w:t>踏勘</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73CE51B5">
            <w:pPr>
              <w:pStyle w:val="20"/>
              <w:rPr>
                <w:color w:val="auto"/>
                <w:szCs w:val="21"/>
              </w:rPr>
            </w:pPr>
            <w:r>
              <w:rPr>
                <w:rFonts w:hint="eastAsia"/>
                <w:color w:val="auto"/>
                <w:szCs w:val="21"/>
                <w:lang w:val="en-US" w:eastAsia="zh-CN"/>
              </w:rPr>
              <w:t>不组织</w:t>
            </w:r>
            <w:r>
              <w:rPr>
                <w:rFonts w:hint="eastAsia"/>
                <w:color w:val="auto"/>
                <w:szCs w:val="21"/>
              </w:rPr>
              <w:t xml:space="preserve"> </w:t>
            </w:r>
            <w:r>
              <w:rPr>
                <w:rFonts w:hint="eastAsia"/>
                <w:color w:val="auto"/>
                <w:szCs w:val="21"/>
                <w:u w:val="single"/>
              </w:rPr>
              <w:t xml:space="preserve">    </w:t>
            </w:r>
            <w:r>
              <w:rPr>
                <w:rFonts w:hint="eastAsia"/>
                <w:color w:val="auto"/>
                <w:szCs w:val="21"/>
              </w:rPr>
              <w:t xml:space="preserve">    </w:t>
            </w:r>
          </w:p>
        </w:tc>
      </w:tr>
      <w:tr w14:paraId="73E272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noWrap w:val="0"/>
            <w:vAlign w:val="center"/>
          </w:tcPr>
          <w:p w14:paraId="5CD4AFE4">
            <w:pPr>
              <w:spacing w:line="300" w:lineRule="exact"/>
              <w:jc w:val="center"/>
              <w:rPr>
                <w:b/>
                <w:szCs w:val="21"/>
              </w:rPr>
            </w:pPr>
            <w:r>
              <w:rPr>
                <w:b/>
                <w:szCs w:val="21"/>
              </w:rPr>
              <w:t>1.7.2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B134C17">
            <w:pPr>
              <w:spacing w:line="300" w:lineRule="exact"/>
              <w:jc w:val="center"/>
              <w:rPr>
                <w:szCs w:val="21"/>
              </w:rPr>
            </w:pPr>
            <w:r>
              <w:rPr>
                <w:szCs w:val="21"/>
              </w:rPr>
              <w:t>分包</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78489F9">
            <w:pPr>
              <w:spacing w:line="300" w:lineRule="exact"/>
              <w:jc w:val="left"/>
              <w:rPr>
                <w:szCs w:val="21"/>
              </w:rPr>
            </w:pPr>
            <w:r>
              <w:rPr>
                <w:rFonts w:hint="eastAsia"/>
                <w:szCs w:val="21"/>
              </w:rPr>
              <w:t>是否接受分包详见招标公告</w:t>
            </w:r>
          </w:p>
        </w:tc>
      </w:tr>
      <w:tr w14:paraId="27294E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noWrap w:val="0"/>
            <w:vAlign w:val="center"/>
          </w:tcPr>
          <w:p w14:paraId="1329A871">
            <w:pPr>
              <w:spacing w:line="300" w:lineRule="exact"/>
              <w:jc w:val="center"/>
              <w:rPr>
                <w:rFonts w:hint="default" w:eastAsia="宋体"/>
                <w:b/>
                <w:szCs w:val="21"/>
                <w:lang w:val="en-US" w:eastAsia="zh-CN"/>
              </w:rPr>
            </w:pPr>
            <w:r>
              <w:rPr>
                <w:rFonts w:hint="eastAsia"/>
                <w:b/>
                <w:szCs w:val="21"/>
                <w:lang w:val="en-US" w:eastAsia="zh-CN"/>
              </w:rPr>
              <w:t>1.9</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638C5A2">
            <w:pPr>
              <w:spacing w:line="300" w:lineRule="exact"/>
              <w:jc w:val="center"/>
              <w:rPr>
                <w:szCs w:val="21"/>
              </w:rPr>
            </w:pPr>
            <w:r>
              <w:rPr>
                <w:rFonts w:hint="eastAsia"/>
                <w:szCs w:val="21"/>
                <w:lang w:val="en-US" w:eastAsia="zh-CN"/>
              </w:rPr>
              <w:t>对本国产品的支持政策</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8B17060">
            <w:pPr>
              <w:spacing w:line="300" w:lineRule="exact"/>
              <w:jc w:val="left"/>
              <w:rPr>
                <w:rFonts w:hint="eastAsia" w:eastAsia="宋体"/>
                <w:szCs w:val="21"/>
                <w:lang w:val="en-US" w:eastAsia="zh-CN"/>
              </w:rPr>
            </w:pPr>
            <w:r>
              <w:rPr>
                <w:rFonts w:hint="eastAsia"/>
                <w:szCs w:val="21"/>
              </w:rPr>
              <w:t>适用</w:t>
            </w:r>
          </w:p>
        </w:tc>
      </w:tr>
      <w:tr w14:paraId="35F5AB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5" w:type="dxa"/>
            <w:tcBorders>
              <w:top w:val="single" w:color="auto" w:sz="4" w:space="0"/>
              <w:left w:val="single" w:color="auto" w:sz="4" w:space="0"/>
              <w:bottom w:val="single" w:color="auto" w:sz="4" w:space="0"/>
              <w:right w:val="single" w:color="auto" w:sz="4" w:space="0"/>
            </w:tcBorders>
            <w:noWrap w:val="0"/>
            <w:vAlign w:val="center"/>
          </w:tcPr>
          <w:p w14:paraId="7F3E827C">
            <w:pPr>
              <w:spacing w:line="300" w:lineRule="exact"/>
              <w:jc w:val="center"/>
              <w:rPr>
                <w:b/>
                <w:szCs w:val="21"/>
              </w:rPr>
            </w:pPr>
            <w:r>
              <w:rPr>
                <w:b/>
                <w:szCs w:val="21"/>
              </w:rPr>
              <w:t>2.3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264A8F6">
            <w:pPr>
              <w:spacing w:line="300" w:lineRule="exact"/>
              <w:jc w:val="center"/>
              <w:rPr>
                <w:szCs w:val="21"/>
              </w:rPr>
            </w:pPr>
            <w:r>
              <w:rPr>
                <w:szCs w:val="21"/>
              </w:rPr>
              <w:t>招标文件澄清、修改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58B38744">
            <w:pPr>
              <w:spacing w:line="300" w:lineRule="exact"/>
              <w:jc w:val="left"/>
              <w:rPr>
                <w:szCs w:val="21"/>
              </w:rPr>
            </w:pPr>
            <w:r>
              <w:rPr>
                <w:szCs w:val="21"/>
              </w:rPr>
              <w:t>在招标公告发布媒介发布</w:t>
            </w:r>
            <w:r>
              <w:rPr>
                <w:rFonts w:hint="eastAsia"/>
                <w:szCs w:val="21"/>
              </w:rPr>
              <w:t>。</w:t>
            </w:r>
          </w:p>
        </w:tc>
      </w:tr>
      <w:tr w14:paraId="24D1BA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27C9344F">
            <w:pPr>
              <w:spacing w:line="300" w:lineRule="exact"/>
              <w:jc w:val="center"/>
              <w:rPr>
                <w:b/>
                <w:szCs w:val="21"/>
              </w:rPr>
            </w:pPr>
            <w:r>
              <w:rPr>
                <w:b/>
                <w:szCs w:val="21"/>
              </w:rPr>
              <w:t>2.3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72320B70">
            <w:pPr>
              <w:spacing w:line="300" w:lineRule="exact"/>
              <w:jc w:val="center"/>
              <w:rPr>
                <w:szCs w:val="21"/>
              </w:rPr>
            </w:pPr>
            <w:r>
              <w:rPr>
                <w:szCs w:val="21"/>
              </w:rPr>
              <w:t>确认收到澄清、修改发布的方式</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2A4DD16">
            <w:pPr>
              <w:spacing w:line="300" w:lineRule="exact"/>
              <w:jc w:val="left"/>
              <w:rPr>
                <w:szCs w:val="21"/>
              </w:rPr>
            </w:pPr>
            <w:r>
              <w:rPr>
                <w:szCs w:val="21"/>
              </w:rPr>
              <w:t>澄清、修改文件</w:t>
            </w:r>
            <w:r>
              <w:rPr>
                <w:rFonts w:hint="eastAsia"/>
                <w:szCs w:val="21"/>
              </w:rPr>
              <w:t>自招标</w:t>
            </w:r>
            <w:r>
              <w:rPr>
                <w:szCs w:val="21"/>
              </w:rPr>
              <w:t>公告发布媒</w:t>
            </w:r>
            <w:r>
              <w:rPr>
                <w:rFonts w:hint="eastAsia"/>
                <w:szCs w:val="21"/>
              </w:rPr>
              <w:t>体</w:t>
            </w:r>
            <w:r>
              <w:rPr>
                <w:szCs w:val="21"/>
              </w:rPr>
              <w:t>发布之日起，视为供应商已收到该澄清、修改。供应商未及时关注</w:t>
            </w:r>
            <w:r>
              <w:rPr>
                <w:rFonts w:hint="eastAsia"/>
                <w:szCs w:val="21"/>
              </w:rPr>
              <w:t>招标</w:t>
            </w:r>
            <w:r>
              <w:rPr>
                <w:szCs w:val="21"/>
              </w:rPr>
              <w:t>公告发布媒</w:t>
            </w:r>
            <w:r>
              <w:rPr>
                <w:rFonts w:hint="eastAsia"/>
                <w:szCs w:val="21"/>
              </w:rPr>
              <w:t>体</w:t>
            </w:r>
            <w:r>
              <w:rPr>
                <w:szCs w:val="21"/>
              </w:rPr>
              <w:t>造成的损失，由供应商自行负责。</w:t>
            </w:r>
          </w:p>
        </w:tc>
      </w:tr>
      <w:tr w14:paraId="5161D7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3C54D425">
            <w:pPr>
              <w:spacing w:line="300" w:lineRule="exact"/>
              <w:jc w:val="center"/>
              <w:rPr>
                <w:b/>
                <w:szCs w:val="21"/>
              </w:rPr>
            </w:pPr>
            <w:r>
              <w:rPr>
                <w:b/>
                <w:szCs w:val="21"/>
              </w:rPr>
              <w:t>3.4.1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D3D9FEC">
            <w:pPr>
              <w:spacing w:line="300" w:lineRule="exact"/>
              <w:jc w:val="center"/>
              <w:rPr>
                <w:szCs w:val="21"/>
              </w:rPr>
            </w:pPr>
            <w:r>
              <w:rPr>
                <w:szCs w:val="21"/>
              </w:rPr>
              <w:t>投标有效期</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7FEFC80">
            <w:pPr>
              <w:spacing w:line="300" w:lineRule="exact"/>
              <w:jc w:val="left"/>
              <w:rPr>
                <w:szCs w:val="21"/>
              </w:rPr>
            </w:pPr>
            <w:r>
              <w:rPr>
                <w:szCs w:val="21"/>
              </w:rPr>
              <w:t>投标截止之日</w:t>
            </w:r>
            <w:r>
              <w:rPr>
                <w:color w:val="auto"/>
                <w:szCs w:val="21"/>
              </w:rPr>
              <w:t>起90天</w:t>
            </w:r>
            <w:r>
              <w:rPr>
                <w:szCs w:val="21"/>
              </w:rPr>
              <w:t>。</w:t>
            </w:r>
          </w:p>
        </w:tc>
      </w:tr>
      <w:tr w14:paraId="17AD04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77"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5D5D5CEC">
            <w:pPr>
              <w:spacing w:line="300" w:lineRule="exact"/>
              <w:jc w:val="center"/>
              <w:rPr>
                <w:b/>
                <w:szCs w:val="21"/>
              </w:rPr>
            </w:pPr>
            <w:r>
              <w:rPr>
                <w:b/>
                <w:szCs w:val="21"/>
              </w:rPr>
              <w:t>3.5</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98FD6A5">
            <w:pPr>
              <w:spacing w:line="300" w:lineRule="exact"/>
              <w:jc w:val="center"/>
              <w:rPr>
                <w:szCs w:val="21"/>
              </w:rPr>
            </w:pPr>
            <w:r>
              <w:rPr>
                <w:szCs w:val="21"/>
              </w:rPr>
              <w:t>投标保证金</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8A98CE2">
            <w:pPr>
              <w:spacing w:line="312" w:lineRule="auto"/>
              <w:jc w:val="left"/>
              <w:rPr>
                <w:color w:val="auto"/>
                <w:kern w:val="0"/>
                <w:szCs w:val="21"/>
                <w:highlight w:val="none"/>
              </w:rPr>
            </w:pPr>
            <w:r>
              <w:rPr>
                <w:szCs w:val="21"/>
                <w:highlight w:val="none"/>
              </w:rPr>
              <w:t>投标保证</w:t>
            </w:r>
            <w:r>
              <w:rPr>
                <w:rFonts w:hint="eastAsia"/>
                <w:szCs w:val="21"/>
                <w:highlight w:val="none"/>
              </w:rPr>
              <w:t>金金</w:t>
            </w:r>
            <w:r>
              <w:rPr>
                <w:rFonts w:hint="eastAsia"/>
                <w:color w:val="auto"/>
                <w:szCs w:val="21"/>
                <w:highlight w:val="none"/>
              </w:rPr>
              <w:t>额：人民币</w:t>
            </w:r>
            <w:r>
              <w:rPr>
                <w:rFonts w:hint="eastAsia"/>
                <w:color w:val="auto"/>
                <w:szCs w:val="21"/>
                <w:highlight w:val="none"/>
                <w:lang w:val="en-US" w:eastAsia="zh-CN"/>
              </w:rPr>
              <w:t>叁仟</w:t>
            </w:r>
            <w:r>
              <w:rPr>
                <w:rFonts w:hint="eastAsia"/>
                <w:color w:val="auto"/>
                <w:szCs w:val="21"/>
                <w:highlight w:val="none"/>
              </w:rPr>
              <w:t>元整（</w:t>
            </w:r>
            <w:r>
              <w:rPr>
                <w:color w:val="auto"/>
                <w:szCs w:val="21"/>
                <w:highlight w:val="none"/>
              </w:rPr>
              <w:t>¥</w:t>
            </w:r>
            <w:r>
              <w:rPr>
                <w:rFonts w:hint="eastAsia"/>
                <w:color w:val="auto"/>
                <w:szCs w:val="21"/>
                <w:highlight w:val="none"/>
                <w:lang w:val="en-US" w:eastAsia="zh-CN"/>
              </w:rPr>
              <w:t>3</w:t>
            </w:r>
            <w:r>
              <w:rPr>
                <w:color w:val="auto"/>
                <w:szCs w:val="21"/>
                <w:highlight w:val="none"/>
              </w:rPr>
              <w:t>,000.00</w:t>
            </w:r>
            <w:r>
              <w:rPr>
                <w:rFonts w:hint="eastAsia"/>
                <w:color w:val="auto"/>
                <w:szCs w:val="21"/>
                <w:highlight w:val="none"/>
              </w:rPr>
              <w:t>）</w:t>
            </w:r>
          </w:p>
          <w:p w14:paraId="6E6F894C">
            <w:pPr>
              <w:spacing w:line="300" w:lineRule="exact"/>
              <w:jc w:val="left"/>
              <w:rPr>
                <w:szCs w:val="21"/>
                <w:highlight w:val="none"/>
              </w:rPr>
            </w:pPr>
            <w:r>
              <w:rPr>
                <w:rFonts w:hint="eastAsia"/>
                <w:szCs w:val="21"/>
                <w:highlight w:val="none"/>
              </w:rPr>
              <w:t>1、缴纳方式一：</w:t>
            </w:r>
          </w:p>
          <w:p w14:paraId="545D41EF">
            <w:pPr>
              <w:spacing w:line="300" w:lineRule="exact"/>
              <w:jc w:val="left"/>
              <w:rPr>
                <w:szCs w:val="21"/>
                <w:highlight w:val="none"/>
              </w:rPr>
            </w:pPr>
            <w:r>
              <w:rPr>
                <w:rFonts w:hint="eastAsia" w:ascii="宋体" w:hAnsi="宋体"/>
                <w:szCs w:val="21"/>
                <w:highlight w:val="none"/>
              </w:rPr>
              <w:t>（1）</w:t>
            </w:r>
            <w:r>
              <w:rPr>
                <w:szCs w:val="21"/>
                <w:highlight w:val="none"/>
              </w:rPr>
              <w:t>供应商应于</w:t>
            </w:r>
            <w:r>
              <w:rPr>
                <w:rFonts w:hint="eastAsia"/>
                <w:szCs w:val="21"/>
                <w:highlight w:val="none"/>
              </w:rPr>
              <w:t>投标截止</w:t>
            </w:r>
            <w:r>
              <w:rPr>
                <w:szCs w:val="21"/>
                <w:highlight w:val="none"/>
              </w:rPr>
              <w:t>时间前将投标保证金以电汇、转账形式从供应商账户一次性足额</w:t>
            </w:r>
            <w:r>
              <w:rPr>
                <w:rFonts w:hint="eastAsia"/>
                <w:szCs w:val="21"/>
                <w:highlight w:val="none"/>
              </w:rPr>
              <w:t>缴</w:t>
            </w:r>
            <w:r>
              <w:rPr>
                <w:szCs w:val="21"/>
                <w:highlight w:val="none"/>
              </w:rPr>
              <w:t>纳至本项目（各</w:t>
            </w:r>
            <w:r>
              <w:rPr>
                <w:rFonts w:hint="eastAsia"/>
                <w:szCs w:val="21"/>
                <w:highlight w:val="none"/>
              </w:rPr>
              <w:t>分标</w:t>
            </w:r>
            <w:r>
              <w:rPr>
                <w:szCs w:val="21"/>
                <w:highlight w:val="none"/>
              </w:rPr>
              <w:t>）对应的专用虚拟账号，所交纳的投标保证金仅限当次项目（</w:t>
            </w:r>
            <w:r>
              <w:rPr>
                <w:rFonts w:hint="eastAsia"/>
                <w:szCs w:val="21"/>
                <w:highlight w:val="none"/>
              </w:rPr>
              <w:t>分标</w:t>
            </w:r>
            <w:r>
              <w:rPr>
                <w:szCs w:val="21"/>
                <w:highlight w:val="none"/>
              </w:rPr>
              <w:t>）有效，不得重复替代使用。本项目投标保证金</w:t>
            </w:r>
            <w:r>
              <w:rPr>
                <w:rFonts w:hint="eastAsia"/>
                <w:szCs w:val="21"/>
                <w:highlight w:val="none"/>
              </w:rPr>
              <w:t>缴</w:t>
            </w:r>
            <w:r>
              <w:rPr>
                <w:szCs w:val="21"/>
                <w:highlight w:val="none"/>
              </w:rPr>
              <w:t>纳专用虚拟账号信息</w:t>
            </w:r>
            <w:r>
              <w:rPr>
                <w:rFonts w:hint="eastAsia"/>
                <w:szCs w:val="21"/>
                <w:highlight w:val="none"/>
              </w:rPr>
              <w:t>如下：</w:t>
            </w:r>
          </w:p>
          <w:p w14:paraId="4F02EEAB">
            <w:pPr>
              <w:spacing w:line="300" w:lineRule="exact"/>
              <w:jc w:val="left"/>
              <w:rPr>
                <w:rFonts w:hint="eastAsia"/>
                <w:szCs w:val="21"/>
                <w:highlight w:val="none"/>
              </w:rPr>
            </w:pPr>
            <w:r>
              <w:rPr>
                <w:rFonts w:hint="eastAsia"/>
                <w:szCs w:val="21"/>
                <w:highlight w:val="none"/>
              </w:rPr>
              <w:t>开户银行：平安银行南宁分行营业部</w:t>
            </w:r>
          </w:p>
          <w:p w14:paraId="61EF9617">
            <w:pPr>
              <w:spacing w:line="300" w:lineRule="exact"/>
              <w:jc w:val="left"/>
              <w:rPr>
                <w:rFonts w:hint="eastAsia"/>
                <w:szCs w:val="21"/>
                <w:highlight w:val="none"/>
              </w:rPr>
            </w:pPr>
            <w:r>
              <w:rPr>
                <w:rFonts w:hint="eastAsia"/>
                <w:szCs w:val="21"/>
                <w:highlight w:val="none"/>
              </w:rPr>
              <w:t>开户名称：广西机电设备招标有限公司</w:t>
            </w:r>
          </w:p>
          <w:p w14:paraId="52B9CE64">
            <w:pPr>
              <w:spacing w:line="300" w:lineRule="exact"/>
              <w:jc w:val="left"/>
              <w:rPr>
                <w:rFonts w:hint="eastAsia"/>
                <w:szCs w:val="21"/>
                <w:highlight w:val="none"/>
              </w:rPr>
            </w:pPr>
            <w:r>
              <w:rPr>
                <w:rFonts w:hint="eastAsia"/>
                <w:szCs w:val="21"/>
                <w:highlight w:val="none"/>
              </w:rPr>
              <w:t>开户账户：30210485100858</w:t>
            </w:r>
          </w:p>
          <w:p w14:paraId="211139AB">
            <w:pPr>
              <w:spacing w:line="300" w:lineRule="exact"/>
              <w:jc w:val="left"/>
              <w:rPr>
                <w:szCs w:val="21"/>
                <w:highlight w:val="none"/>
              </w:rPr>
            </w:pPr>
            <w:r>
              <w:rPr>
                <w:szCs w:val="21"/>
                <w:highlight w:val="none"/>
              </w:rPr>
              <w:t>特别说明：本项目保证金采用虚拟账号，为保证投标保证金与项目一一对应，供应商如</w:t>
            </w:r>
            <w:r>
              <w:rPr>
                <w:rFonts w:hint="eastAsia"/>
                <w:szCs w:val="21"/>
                <w:highlight w:val="none"/>
              </w:rPr>
              <w:t>参加</w:t>
            </w:r>
            <w:r>
              <w:rPr>
                <w:szCs w:val="21"/>
                <w:highlight w:val="none"/>
              </w:rPr>
              <w:t>本项目多个</w:t>
            </w:r>
            <w:r>
              <w:rPr>
                <w:rFonts w:hint="eastAsia"/>
                <w:szCs w:val="21"/>
                <w:highlight w:val="none"/>
              </w:rPr>
              <w:t>分标</w:t>
            </w:r>
            <w:r>
              <w:rPr>
                <w:szCs w:val="21"/>
                <w:highlight w:val="none"/>
              </w:rPr>
              <w:t>的</w:t>
            </w:r>
            <w:r>
              <w:rPr>
                <w:rFonts w:hint="eastAsia"/>
                <w:szCs w:val="21"/>
                <w:highlight w:val="none"/>
              </w:rPr>
              <w:t>投标</w:t>
            </w:r>
            <w:r>
              <w:rPr>
                <w:szCs w:val="21"/>
                <w:highlight w:val="none"/>
              </w:rPr>
              <w:t>，应按各</w:t>
            </w:r>
            <w:r>
              <w:rPr>
                <w:rFonts w:hint="eastAsia"/>
                <w:szCs w:val="21"/>
                <w:highlight w:val="none"/>
              </w:rPr>
              <w:t>分标</w:t>
            </w:r>
            <w:r>
              <w:rPr>
                <w:szCs w:val="21"/>
                <w:highlight w:val="none"/>
              </w:rPr>
              <w:t>对应的专用虚拟账号分别</w:t>
            </w:r>
            <w:r>
              <w:rPr>
                <w:rFonts w:hint="eastAsia"/>
                <w:szCs w:val="21"/>
                <w:highlight w:val="none"/>
              </w:rPr>
              <w:t>缴纳</w:t>
            </w:r>
            <w:r>
              <w:rPr>
                <w:szCs w:val="21"/>
                <w:highlight w:val="none"/>
              </w:rPr>
              <w:t>投标保证金。</w:t>
            </w:r>
          </w:p>
          <w:p w14:paraId="5183F437">
            <w:pPr>
              <w:spacing w:line="300" w:lineRule="exact"/>
              <w:jc w:val="left"/>
              <w:rPr>
                <w:szCs w:val="21"/>
                <w:highlight w:val="none"/>
              </w:rPr>
            </w:pPr>
            <w:r>
              <w:rPr>
                <w:rFonts w:hint="eastAsia" w:ascii="宋体" w:hAnsi="宋体"/>
                <w:szCs w:val="21"/>
                <w:highlight w:val="none"/>
              </w:rPr>
              <w:t>（2）投标保证金币种应与投标报价币种相同。投标保证金缴纳后无需开具收据，供应商应在投标文件中放入转账底单或电汇凭证的复印件，必须在投标截止时间之前到达指定账号，其到账时间以银行确认的到账时间为准。（3）</w:t>
            </w:r>
            <w:r>
              <w:rPr>
                <w:szCs w:val="21"/>
                <w:highlight w:val="none"/>
              </w:rPr>
              <w:t>除</w:t>
            </w:r>
            <w:r>
              <w:rPr>
                <w:rFonts w:hint="eastAsia"/>
                <w:szCs w:val="21"/>
                <w:highlight w:val="none"/>
              </w:rPr>
              <w:t>招标文件</w:t>
            </w:r>
            <w:r>
              <w:rPr>
                <w:szCs w:val="21"/>
                <w:highlight w:val="none"/>
              </w:rPr>
              <w:t>规定不予退还保证金的情形外，采购代理机构</w:t>
            </w:r>
            <w:r>
              <w:rPr>
                <w:rFonts w:hint="eastAsia"/>
                <w:szCs w:val="21"/>
                <w:highlight w:val="none"/>
              </w:rPr>
              <w:t>在法定时间内通过银行原路</w:t>
            </w:r>
            <w:r>
              <w:rPr>
                <w:szCs w:val="21"/>
                <w:highlight w:val="none"/>
              </w:rPr>
              <w:t>退</w:t>
            </w:r>
            <w:r>
              <w:rPr>
                <w:rFonts w:hint="eastAsia"/>
                <w:szCs w:val="21"/>
                <w:highlight w:val="none"/>
              </w:rPr>
              <w:t>还保证金至供应商缴纳账户。供应商</w:t>
            </w:r>
            <w:r>
              <w:rPr>
                <w:szCs w:val="21"/>
                <w:highlight w:val="none"/>
              </w:rPr>
              <w:t>自行承担</w:t>
            </w:r>
            <w:r>
              <w:rPr>
                <w:rFonts w:hint="eastAsia"/>
                <w:szCs w:val="21"/>
                <w:highlight w:val="none"/>
              </w:rPr>
              <w:t>交纳保证金后未参加投标活动或投标保证金缴纳错误而</w:t>
            </w:r>
            <w:r>
              <w:rPr>
                <w:szCs w:val="21"/>
                <w:highlight w:val="none"/>
              </w:rPr>
              <w:t>导致</w:t>
            </w:r>
            <w:r>
              <w:rPr>
                <w:rFonts w:hint="eastAsia"/>
                <w:szCs w:val="21"/>
                <w:highlight w:val="none"/>
              </w:rPr>
              <w:t>投标</w:t>
            </w:r>
            <w:r>
              <w:rPr>
                <w:szCs w:val="21"/>
                <w:highlight w:val="none"/>
              </w:rPr>
              <w:t>保证金无法及时退还的责任</w:t>
            </w:r>
            <w:r>
              <w:rPr>
                <w:rFonts w:hint="eastAsia"/>
                <w:szCs w:val="21"/>
                <w:highlight w:val="none"/>
              </w:rPr>
              <w:t>。</w:t>
            </w:r>
          </w:p>
          <w:p w14:paraId="247B5C25">
            <w:pPr>
              <w:spacing w:line="300" w:lineRule="exact"/>
              <w:jc w:val="left"/>
              <w:rPr>
                <w:szCs w:val="21"/>
                <w:highlight w:val="none"/>
              </w:rPr>
            </w:pPr>
            <w:r>
              <w:rPr>
                <w:rFonts w:hint="eastAsia"/>
                <w:szCs w:val="21"/>
                <w:highlight w:val="none"/>
              </w:rPr>
              <w:t>2、缴纳方式二：</w:t>
            </w:r>
          </w:p>
          <w:p w14:paraId="29ADED46">
            <w:pPr>
              <w:spacing w:line="300" w:lineRule="exact"/>
              <w:jc w:val="left"/>
              <w:rPr>
                <w:color w:val="000000"/>
                <w:szCs w:val="21"/>
                <w:highlight w:val="none"/>
              </w:rPr>
            </w:pPr>
            <w:r>
              <w:rPr>
                <w:rFonts w:hint="eastAsia"/>
                <w:color w:val="000000"/>
                <w:szCs w:val="21"/>
                <w:highlight w:val="none"/>
              </w:rPr>
              <w:t>供应商可于投标截止时间前选择支票、汇票、本票或金融机构、担保机构出具的保函等非现金形式缴纳的，供应商应在投标文件中放入支票、汇票、本票或金融机构、担保机构出具的保函的复印件，保函出具格式详见第六章投标文件格式，在投标截止时间前，供应商必须以现场提交或邮寄方式向采购代理机构递交支票、汇票、本票或者保函原件，保证金原件放入一个密封袋中，并在封口处加盖供应商公章或被授权人签字，在封套上标记“项目名称（项目编号）投标保证金”字样。具体收件地址、收件人及联系电话详见招标公告。</w:t>
            </w:r>
          </w:p>
          <w:p w14:paraId="78FB306D">
            <w:pPr>
              <w:spacing w:line="300" w:lineRule="exact"/>
              <w:jc w:val="left"/>
              <w:rPr>
                <w:color w:val="000000"/>
                <w:szCs w:val="21"/>
                <w:highlight w:val="none"/>
              </w:rPr>
            </w:pPr>
            <w:r>
              <w:rPr>
                <w:rFonts w:hint="eastAsia"/>
                <w:color w:val="000000"/>
                <w:szCs w:val="21"/>
                <w:highlight w:val="none"/>
              </w:rPr>
              <w:t>3、投标保证金有下列情形之一的，视为保证金无效：</w:t>
            </w:r>
          </w:p>
          <w:p w14:paraId="672B7F4F">
            <w:pPr>
              <w:spacing w:line="300" w:lineRule="exact"/>
              <w:jc w:val="left"/>
              <w:rPr>
                <w:color w:val="000000"/>
                <w:szCs w:val="21"/>
                <w:highlight w:val="none"/>
              </w:rPr>
            </w:pPr>
            <w:r>
              <w:rPr>
                <w:rFonts w:hint="eastAsia"/>
                <w:color w:val="000000"/>
                <w:szCs w:val="21"/>
                <w:highlight w:val="none"/>
              </w:rPr>
              <w:t>（1）保证金在投标截止时间后提交的，或者不按规定交纳方式交纳的，或者未足额交纳的（包含保函额度不足的）的；</w:t>
            </w:r>
          </w:p>
          <w:p w14:paraId="4807DBA4">
            <w:pPr>
              <w:spacing w:line="300" w:lineRule="exact"/>
              <w:jc w:val="left"/>
              <w:rPr>
                <w:color w:val="000000"/>
                <w:szCs w:val="21"/>
                <w:highlight w:val="none"/>
              </w:rPr>
            </w:pPr>
            <w:r>
              <w:rPr>
                <w:rFonts w:hint="eastAsia"/>
                <w:color w:val="000000"/>
                <w:szCs w:val="21"/>
                <w:highlight w:val="none"/>
              </w:rPr>
              <w:t>（2）支票、汇票或者本票出现无效或者背书情形的；</w:t>
            </w:r>
          </w:p>
          <w:p w14:paraId="2DD68494">
            <w:pPr>
              <w:spacing w:line="300" w:lineRule="exact"/>
              <w:jc w:val="left"/>
              <w:rPr>
                <w:color w:val="000000"/>
                <w:szCs w:val="21"/>
                <w:highlight w:val="none"/>
              </w:rPr>
            </w:pPr>
            <w:r>
              <w:rPr>
                <w:rFonts w:hint="eastAsia"/>
                <w:color w:val="000000"/>
                <w:szCs w:val="21"/>
                <w:highlight w:val="none"/>
              </w:rPr>
              <w:t>（3）保函有效期低于投标有效期的；</w:t>
            </w:r>
          </w:p>
          <w:p w14:paraId="2C059F3F">
            <w:pPr>
              <w:spacing w:line="300" w:lineRule="exact"/>
              <w:jc w:val="left"/>
              <w:rPr>
                <w:color w:val="000000"/>
                <w:szCs w:val="21"/>
                <w:highlight w:val="none"/>
              </w:rPr>
            </w:pPr>
            <w:r>
              <w:rPr>
                <w:rFonts w:hint="eastAsia"/>
                <w:color w:val="000000"/>
                <w:szCs w:val="21"/>
                <w:highlight w:val="none"/>
              </w:rPr>
              <w:t>（4）非金融机构、担保机构出具保函的、非无条件保函的。</w:t>
            </w:r>
          </w:p>
          <w:p w14:paraId="2B1C534A">
            <w:pPr>
              <w:spacing w:line="300" w:lineRule="exact"/>
              <w:jc w:val="left"/>
              <w:rPr>
                <w:szCs w:val="21"/>
                <w:highlight w:val="none"/>
              </w:rPr>
            </w:pPr>
            <w:r>
              <w:rPr>
                <w:rFonts w:hint="eastAsia"/>
                <w:szCs w:val="21"/>
                <w:highlight w:val="none"/>
              </w:rPr>
              <w:t>4、</w:t>
            </w:r>
            <w:r>
              <w:rPr>
                <w:szCs w:val="21"/>
                <w:highlight w:val="none"/>
              </w:rPr>
              <w:t>财务部联系电话：0771-2821398</w:t>
            </w:r>
          </w:p>
          <w:p w14:paraId="18F5DA0C">
            <w:pPr>
              <w:spacing w:line="300" w:lineRule="exact"/>
              <w:jc w:val="left"/>
              <w:rPr>
                <w:b/>
                <w:bCs/>
                <w:szCs w:val="21"/>
                <w:highlight w:val="none"/>
              </w:rPr>
            </w:pPr>
            <w:r>
              <w:rPr>
                <w:rFonts w:hint="eastAsia"/>
                <w:b/>
                <w:bCs/>
                <w:szCs w:val="21"/>
                <w:highlight w:val="none"/>
              </w:rPr>
              <w:t>注：为保证投标保证金退还的及时性与便利性，鼓励优先采用方式一递交投标保证金。</w:t>
            </w:r>
          </w:p>
        </w:tc>
      </w:tr>
      <w:tr w14:paraId="2E691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755" w:type="dxa"/>
            <w:tcBorders>
              <w:left w:val="single" w:color="auto" w:sz="4" w:space="0"/>
              <w:right w:val="single" w:color="auto" w:sz="4" w:space="0"/>
            </w:tcBorders>
            <w:noWrap w:val="0"/>
            <w:vAlign w:val="center"/>
          </w:tcPr>
          <w:p w14:paraId="6B1BC2C2">
            <w:pPr>
              <w:spacing w:line="300" w:lineRule="exact"/>
              <w:jc w:val="center"/>
              <w:rPr>
                <w:b/>
                <w:szCs w:val="21"/>
              </w:rPr>
            </w:pPr>
            <w:r>
              <w:rPr>
                <w:rFonts w:hint="eastAsia"/>
                <w:b/>
                <w:szCs w:val="21"/>
              </w:rPr>
              <w:t>3</w:t>
            </w:r>
            <w:r>
              <w:rPr>
                <w:b/>
                <w:szCs w:val="21"/>
              </w:rPr>
              <w:t>.6</w:t>
            </w:r>
          </w:p>
        </w:tc>
        <w:tc>
          <w:tcPr>
            <w:tcW w:w="1230" w:type="dxa"/>
            <w:tcBorders>
              <w:top w:val="single" w:color="auto" w:sz="4" w:space="0"/>
              <w:left w:val="single" w:color="auto" w:sz="4" w:space="0"/>
              <w:right w:val="single" w:color="auto" w:sz="4" w:space="0"/>
            </w:tcBorders>
            <w:noWrap w:val="0"/>
            <w:vAlign w:val="center"/>
          </w:tcPr>
          <w:p w14:paraId="4E9B417C">
            <w:pPr>
              <w:spacing w:line="300" w:lineRule="exact"/>
              <w:jc w:val="center"/>
              <w:rPr>
                <w:szCs w:val="21"/>
              </w:rPr>
            </w:pPr>
            <w:r>
              <w:rPr>
                <w:rFonts w:hint="eastAsia"/>
                <w:szCs w:val="21"/>
              </w:rPr>
              <w:t>投标文件的编制</w:t>
            </w:r>
          </w:p>
        </w:tc>
        <w:tc>
          <w:tcPr>
            <w:tcW w:w="7229" w:type="dxa"/>
            <w:tcBorders>
              <w:top w:val="single" w:color="auto" w:sz="4" w:space="0"/>
              <w:left w:val="single" w:color="auto" w:sz="4" w:space="0"/>
              <w:right w:val="single" w:color="auto" w:sz="4" w:space="0"/>
            </w:tcBorders>
            <w:noWrap w:val="0"/>
            <w:vAlign w:val="center"/>
          </w:tcPr>
          <w:p w14:paraId="16D3036E">
            <w:pPr>
              <w:spacing w:line="300" w:lineRule="exact"/>
              <w:jc w:val="left"/>
              <w:rPr>
                <w:szCs w:val="21"/>
              </w:rPr>
            </w:pPr>
            <w:r>
              <w:rPr>
                <w:rFonts w:hint="eastAsia" w:hAnsi="宋体"/>
                <w:szCs w:val="21"/>
              </w:rPr>
              <w:t>投标文件应按第六章投标文件格式分别编制并使用下载的</w:t>
            </w:r>
            <w:r>
              <w:rPr>
                <w:rFonts w:hint="eastAsia"/>
                <w:szCs w:val="21"/>
              </w:rPr>
              <w:t>广西政府采购云平台新版客户端</w:t>
            </w:r>
            <w:r>
              <w:rPr>
                <w:rFonts w:hint="eastAsia" w:hAnsi="宋体"/>
                <w:szCs w:val="21"/>
              </w:rPr>
              <w:t>制作并上传。</w:t>
            </w:r>
          </w:p>
        </w:tc>
      </w:tr>
      <w:tr w14:paraId="074921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55101AB3">
            <w:pPr>
              <w:spacing w:line="300" w:lineRule="exact"/>
              <w:jc w:val="center"/>
              <w:rPr>
                <w:b/>
                <w:szCs w:val="21"/>
              </w:rPr>
            </w:pPr>
            <w:r>
              <w:rPr>
                <w:b/>
                <w:szCs w:val="21"/>
              </w:rPr>
              <w:t>3.7</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0E570421">
            <w:pPr>
              <w:spacing w:line="300" w:lineRule="exact"/>
              <w:jc w:val="center"/>
              <w:rPr>
                <w:szCs w:val="21"/>
              </w:rPr>
            </w:pPr>
            <w:r>
              <w:rPr>
                <w:szCs w:val="21"/>
              </w:rPr>
              <w:t>投标文件递交</w:t>
            </w:r>
            <w:r>
              <w:rPr>
                <w:rFonts w:hint="eastAsia"/>
                <w:szCs w:val="21"/>
              </w:rPr>
              <w:t>截止时间及开标时间</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2F2A0A2B">
            <w:pPr>
              <w:spacing w:line="300" w:lineRule="exact"/>
              <w:jc w:val="left"/>
              <w:rPr>
                <w:szCs w:val="21"/>
              </w:rPr>
            </w:pPr>
            <w:r>
              <w:rPr>
                <w:rFonts w:hint="eastAsia"/>
                <w:kern w:val="0"/>
                <w:szCs w:val="21"/>
              </w:rPr>
              <w:t>见招标公告要求</w:t>
            </w:r>
            <w:r>
              <w:rPr>
                <w:rFonts w:hint="eastAsia"/>
                <w:szCs w:val="21"/>
              </w:rPr>
              <w:t>。</w:t>
            </w:r>
          </w:p>
        </w:tc>
      </w:tr>
      <w:tr w14:paraId="154B08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5C0FD28D">
            <w:pPr>
              <w:spacing w:line="300" w:lineRule="exact"/>
              <w:jc w:val="center"/>
              <w:rPr>
                <w:b/>
                <w:szCs w:val="21"/>
              </w:rPr>
            </w:pPr>
            <w:r>
              <w:rPr>
                <w:rFonts w:hint="eastAsia"/>
                <w:b/>
                <w:szCs w:val="21"/>
              </w:rPr>
              <w:t>4</w:t>
            </w:r>
            <w:r>
              <w:rPr>
                <w:b/>
                <w:szCs w:val="21"/>
              </w:rPr>
              <w:t>.2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36FF7DDE">
            <w:pPr>
              <w:spacing w:line="300" w:lineRule="exact"/>
              <w:jc w:val="center"/>
              <w:rPr>
                <w:szCs w:val="20"/>
              </w:rPr>
            </w:pPr>
            <w:r>
              <w:rPr>
                <w:rFonts w:hint="eastAsia"/>
                <w:szCs w:val="21"/>
              </w:rPr>
              <w:t>备份投标文件</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4B4A3A9">
            <w:pPr>
              <w:spacing w:line="276" w:lineRule="auto"/>
              <w:rPr>
                <w:rFonts w:hint="eastAsia" w:ascii="宋体" w:hAnsi="宋体"/>
                <w:szCs w:val="21"/>
              </w:rPr>
            </w:pPr>
            <w:r>
              <w:rPr>
                <w:rFonts w:hint="eastAsia" w:ascii="宋体" w:hAnsi="宋体"/>
                <w:szCs w:val="21"/>
              </w:rPr>
              <w:t>本</w:t>
            </w:r>
            <w:r>
              <w:rPr>
                <w:rFonts w:hint="eastAsia" w:ascii="宋体" w:hAnsi="宋体"/>
                <w:color w:val="auto"/>
                <w:szCs w:val="21"/>
              </w:rPr>
              <w:t>项目</w:t>
            </w:r>
            <w:r>
              <w:rPr>
                <w:rFonts w:hint="eastAsia"/>
                <w:color w:val="auto"/>
                <w:szCs w:val="21"/>
              </w:rPr>
              <w:t>不接受</w:t>
            </w:r>
            <w:r>
              <w:rPr>
                <w:rFonts w:hint="eastAsia" w:ascii="宋体" w:hAnsi="宋体"/>
                <w:color w:val="auto"/>
                <w:szCs w:val="21"/>
              </w:rPr>
              <w:t>备份投标</w:t>
            </w:r>
            <w:r>
              <w:rPr>
                <w:rFonts w:hint="eastAsia" w:ascii="宋体" w:hAnsi="宋体"/>
                <w:szCs w:val="21"/>
              </w:rPr>
              <w:t>文件</w:t>
            </w:r>
          </w:p>
          <w:p w14:paraId="289208AD">
            <w:pPr>
              <w:spacing w:line="276" w:lineRule="auto"/>
              <w:rPr>
                <w:sz w:val="22"/>
                <w:szCs w:val="22"/>
              </w:rPr>
            </w:pPr>
            <w:r>
              <w:rPr>
                <w:rFonts w:hint="eastAsia" w:ascii="宋体" w:hAnsi="宋体"/>
                <w:szCs w:val="21"/>
              </w:rPr>
              <w:t>以</w:t>
            </w:r>
            <w:r>
              <w:rPr>
                <w:rFonts w:ascii="Arial" w:hAnsi="Arial" w:cs="Arial"/>
                <w:kern w:val="0"/>
                <w:szCs w:val="21"/>
              </w:rPr>
              <w:t>广西政府采购云平台</w:t>
            </w:r>
            <w:r>
              <w:rPr>
                <w:rFonts w:hint="eastAsia" w:ascii="宋体" w:hAnsi="宋体"/>
                <w:szCs w:val="21"/>
              </w:rPr>
              <w:t>自动生成的备份文件为依据，当项目允许接受备份</w:t>
            </w:r>
            <w:r>
              <w:rPr>
                <w:rFonts w:hint="eastAsia" w:ascii="宋体" w:hAnsi="宋体"/>
                <w:szCs w:val="21"/>
                <w:lang w:eastAsia="zh-CN"/>
              </w:rPr>
              <w:t>投标文件</w:t>
            </w:r>
            <w:r>
              <w:rPr>
                <w:rFonts w:hint="eastAsia" w:ascii="宋体" w:hAnsi="宋体"/>
                <w:szCs w:val="21"/>
              </w:rPr>
              <w:t>时，投标人才可以按规定上传备份投标文件。</w:t>
            </w:r>
          </w:p>
        </w:tc>
      </w:tr>
      <w:tr w14:paraId="4F781D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4C2A0C64">
            <w:pPr>
              <w:spacing w:line="300" w:lineRule="exact"/>
              <w:jc w:val="center"/>
              <w:rPr>
                <w:b/>
                <w:szCs w:val="21"/>
              </w:rPr>
            </w:pPr>
            <w:r>
              <w:rPr>
                <w:rFonts w:hint="eastAsia"/>
                <w:b/>
                <w:szCs w:val="21"/>
              </w:rPr>
              <w:t>4</w:t>
            </w:r>
            <w:r>
              <w:rPr>
                <w:b/>
                <w:szCs w:val="21"/>
              </w:rPr>
              <w:t>.3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3FA3C83">
            <w:pPr>
              <w:spacing w:line="300" w:lineRule="exact"/>
              <w:jc w:val="center"/>
              <w:rPr>
                <w:szCs w:val="21"/>
              </w:rPr>
            </w:pPr>
            <w:r>
              <w:rPr>
                <w:rFonts w:hint="eastAsia"/>
                <w:szCs w:val="20"/>
              </w:rPr>
              <w:t>演示</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4716C1F8">
            <w:pPr>
              <w:spacing w:line="276" w:lineRule="auto"/>
              <w:rPr>
                <w:color w:val="4472C4"/>
                <w:szCs w:val="21"/>
              </w:rPr>
            </w:pPr>
            <w:r>
              <w:rPr>
                <w:rFonts w:hint="eastAsia"/>
                <w:szCs w:val="21"/>
              </w:rPr>
              <w:t>否</w:t>
            </w:r>
          </w:p>
        </w:tc>
      </w:tr>
      <w:tr w14:paraId="1C3557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52885C12">
            <w:pPr>
              <w:spacing w:line="300" w:lineRule="exact"/>
              <w:jc w:val="center"/>
              <w:rPr>
                <w:b/>
                <w:szCs w:val="21"/>
              </w:rPr>
            </w:pPr>
            <w:r>
              <w:rPr>
                <w:rFonts w:hint="eastAsia"/>
                <w:b/>
                <w:szCs w:val="21"/>
              </w:rPr>
              <w:t>4</w:t>
            </w:r>
            <w:r>
              <w:rPr>
                <w:b/>
                <w:szCs w:val="21"/>
              </w:rPr>
              <w:t>.4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A32DB3A">
            <w:pPr>
              <w:spacing w:line="300" w:lineRule="exact"/>
              <w:jc w:val="center"/>
              <w:rPr>
                <w:szCs w:val="21"/>
              </w:rPr>
            </w:pPr>
            <w:r>
              <w:rPr>
                <w:rFonts w:hint="eastAsia"/>
                <w:szCs w:val="20"/>
              </w:rPr>
              <w:t>样品</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4E4A2E05">
            <w:pPr>
              <w:spacing w:line="276" w:lineRule="auto"/>
              <w:rPr>
                <w:szCs w:val="21"/>
              </w:rPr>
            </w:pPr>
            <w:r>
              <w:rPr>
                <w:rFonts w:hint="eastAsia"/>
                <w:szCs w:val="21"/>
              </w:rPr>
              <w:t>否</w:t>
            </w:r>
          </w:p>
        </w:tc>
      </w:tr>
      <w:tr w14:paraId="6D5A3A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3A51A8">
            <w:pPr>
              <w:spacing w:line="300" w:lineRule="exact"/>
              <w:jc w:val="center"/>
              <w:rPr>
                <w:rFonts w:hint="default" w:eastAsia="宋体"/>
                <w:b/>
                <w:szCs w:val="21"/>
                <w:lang w:val="en-US" w:eastAsia="zh-CN"/>
              </w:rPr>
            </w:pPr>
            <w:r>
              <w:rPr>
                <w:rFonts w:hint="eastAsia"/>
                <w:b/>
                <w:szCs w:val="21"/>
                <w:lang w:val="en-US" w:eastAsia="zh-CN"/>
              </w:rPr>
              <w:t>5.3.1</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E0B7D9">
            <w:pPr>
              <w:spacing w:line="300" w:lineRule="exact"/>
              <w:jc w:val="center"/>
              <w:rPr>
                <w:rFonts w:hint="default" w:ascii="Times New Roman" w:hAnsi="Times New Roman" w:eastAsia="宋体" w:cs="Times New Roman"/>
                <w:kern w:val="2"/>
                <w:sz w:val="21"/>
                <w:szCs w:val="21"/>
                <w:lang w:val="en-US" w:eastAsia="zh-CN" w:bidi="ar-SA"/>
              </w:rPr>
            </w:pPr>
            <w:r>
              <w:rPr>
                <w:rFonts w:hint="eastAsia" w:cs="Times New Roman"/>
                <w:kern w:val="2"/>
                <w:sz w:val="21"/>
                <w:szCs w:val="21"/>
                <w:lang w:val="en-US" w:eastAsia="zh-CN" w:bidi="ar-SA"/>
              </w:rPr>
              <w:t>信用查询规则</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1170BBFA">
            <w:pPr>
              <w:snapToGrid w:val="0"/>
              <w:spacing w:line="380" w:lineRule="exact"/>
              <w:rPr>
                <w:rFonts w:hint="eastAsia" w:ascii="宋体" w:hAnsi="宋体"/>
                <w:szCs w:val="21"/>
                <w:lang w:eastAsia="zh-CN"/>
              </w:rPr>
            </w:pPr>
            <w:r>
              <w:rPr>
                <w:rFonts w:hint="eastAsia" w:ascii="宋体" w:hAnsi="宋体"/>
                <w:szCs w:val="21"/>
                <w:lang w:eastAsia="zh-CN"/>
              </w:rPr>
              <w:t>采购人或者采购代理机构在资格审查结束前，对</w:t>
            </w:r>
            <w:r>
              <w:rPr>
                <w:rFonts w:hint="eastAsia" w:ascii="宋体" w:hAnsi="宋体"/>
                <w:szCs w:val="21"/>
                <w:lang w:val="en-US" w:eastAsia="zh-CN"/>
              </w:rPr>
              <w:t>投标人</w:t>
            </w:r>
            <w:r>
              <w:rPr>
                <w:rFonts w:hint="eastAsia" w:ascii="宋体" w:hAnsi="宋体"/>
                <w:szCs w:val="21"/>
                <w:lang w:eastAsia="zh-CN"/>
              </w:rPr>
              <w:t>进行信用查询。</w:t>
            </w:r>
          </w:p>
          <w:p w14:paraId="3029BDC8">
            <w:pPr>
              <w:snapToGrid w:val="0"/>
              <w:spacing w:line="380" w:lineRule="exact"/>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1</w:t>
            </w:r>
            <w:r>
              <w:rPr>
                <w:rFonts w:hint="eastAsia" w:ascii="宋体" w:hAnsi="宋体"/>
                <w:szCs w:val="21"/>
                <w:lang w:eastAsia="zh-CN"/>
              </w:rPr>
              <w:t>）查询渠道：</w:t>
            </w:r>
            <w:r>
              <w:rPr>
                <w:rFonts w:hint="eastAsia" w:ascii="宋体" w:hAnsi="宋体"/>
                <w:szCs w:val="21"/>
                <w:lang w:val="en-US" w:eastAsia="zh-CN"/>
              </w:rPr>
              <w:t>广西政府采购云平台</w:t>
            </w:r>
            <w:r>
              <w:rPr>
                <w:rFonts w:hint="eastAsia" w:ascii="宋体" w:hAnsi="宋体"/>
                <w:szCs w:val="21"/>
                <w:lang w:eastAsia="zh-CN"/>
              </w:rPr>
              <w:t>“信用中国”网站(www.creditchina.gov.cn) 、中国政府采购网(www.ccgp.gov.cn)</w:t>
            </w:r>
            <w:r>
              <w:rPr>
                <w:rFonts w:hint="eastAsia" w:ascii="宋体" w:hAnsi="宋体"/>
                <w:szCs w:val="21"/>
                <w:lang w:val="en-US" w:eastAsia="zh-CN"/>
              </w:rPr>
              <w:t>链接入口</w:t>
            </w:r>
            <w:r>
              <w:rPr>
                <w:rFonts w:hint="eastAsia" w:ascii="宋体" w:hAnsi="宋体"/>
                <w:szCs w:val="21"/>
                <w:lang w:eastAsia="zh-CN"/>
              </w:rPr>
              <w:t>。</w:t>
            </w:r>
          </w:p>
          <w:p w14:paraId="7FED8076">
            <w:pPr>
              <w:snapToGrid w:val="0"/>
              <w:spacing w:line="380" w:lineRule="exact"/>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）信用查询截止时点：</w:t>
            </w:r>
            <w:r>
              <w:rPr>
                <w:rFonts w:hint="eastAsia" w:ascii="宋体" w:hAnsi="宋体"/>
                <w:szCs w:val="21"/>
                <w:lang w:val="en-US" w:eastAsia="zh-CN"/>
              </w:rPr>
              <w:t>资</w:t>
            </w:r>
            <w:r>
              <w:rPr>
                <w:rFonts w:hint="eastAsia" w:ascii="宋体" w:hAnsi="宋体"/>
                <w:szCs w:val="21"/>
                <w:lang w:eastAsia="zh-CN"/>
              </w:rPr>
              <w:t>格审查结束前</w:t>
            </w:r>
          </w:p>
          <w:p w14:paraId="7E3C689C">
            <w:pPr>
              <w:snapToGrid w:val="0"/>
              <w:spacing w:line="380" w:lineRule="exact"/>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3</w:t>
            </w:r>
            <w:r>
              <w:rPr>
                <w:rFonts w:hint="eastAsia" w:ascii="宋体" w:hAnsi="宋体"/>
                <w:szCs w:val="21"/>
                <w:lang w:eastAsia="zh-CN"/>
              </w:rPr>
              <w:t>）查询记录和证据留存方式：在查询网站中直接截图查询记录，截图作为在“广西政府采购云”平台作为附件上传保存。</w:t>
            </w:r>
          </w:p>
          <w:p w14:paraId="01C1BF98">
            <w:pPr>
              <w:snapToGrid w:val="0"/>
              <w:spacing w:line="380" w:lineRule="exact"/>
              <w:rPr>
                <w:rFonts w:hint="eastAsia" w:ascii="宋体" w:hAnsi="宋体" w:eastAsia="宋体"/>
                <w:szCs w:val="21"/>
                <w:lang w:val="en-US" w:eastAsia="zh-CN"/>
              </w:rPr>
            </w:pPr>
            <w:r>
              <w:rPr>
                <w:rFonts w:hint="eastAsia" w:ascii="宋体" w:hAnsi="宋体"/>
                <w:szCs w:val="21"/>
                <w:lang w:eastAsia="zh-CN"/>
              </w:rPr>
              <w:t>（</w:t>
            </w:r>
            <w:r>
              <w:rPr>
                <w:rFonts w:hint="eastAsia" w:ascii="宋体" w:hAnsi="宋体"/>
                <w:szCs w:val="21"/>
                <w:lang w:val="en-US" w:eastAsia="zh-CN"/>
              </w:rPr>
              <w:t>4</w:t>
            </w:r>
            <w:r>
              <w:rPr>
                <w:rFonts w:hint="eastAsia" w:ascii="宋体" w:hAnsi="宋体"/>
                <w:szCs w:val="21"/>
                <w:lang w:eastAsia="zh-CN"/>
              </w:rPr>
              <w:t>）信用信息使用规则：对在“信用中国”网站(www.creditchina.gov.cn)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采购人或者采购代理机构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tc>
      </w:tr>
      <w:tr w14:paraId="0C56D3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81188E">
            <w:pPr>
              <w:spacing w:line="300" w:lineRule="exact"/>
              <w:jc w:val="center"/>
              <w:rPr>
                <w:rFonts w:hint="eastAsia" w:ascii="Times New Roman" w:hAnsi="Times New Roman" w:eastAsia="宋体" w:cs="Times New Roman"/>
                <w:b/>
                <w:kern w:val="2"/>
                <w:sz w:val="21"/>
                <w:szCs w:val="21"/>
                <w:lang w:val="en-US" w:eastAsia="zh-CN" w:bidi="ar-SA"/>
              </w:rPr>
            </w:pPr>
            <w:r>
              <w:rPr>
                <w:rFonts w:hint="eastAsia"/>
                <w:b/>
                <w:szCs w:val="21"/>
              </w:rPr>
              <w:t>6.</w:t>
            </w:r>
            <w:r>
              <w:rPr>
                <w:b/>
                <w:szCs w:val="21"/>
              </w:rPr>
              <w:t>3</w:t>
            </w:r>
            <w:r>
              <w:rPr>
                <w:rFonts w:hint="eastAsia"/>
                <w:b/>
                <w:szCs w:val="21"/>
              </w:rPr>
              <w:t>.</w:t>
            </w:r>
            <w:r>
              <w:rPr>
                <w:b/>
                <w:szCs w:val="21"/>
              </w:rPr>
              <w:t>5</w:t>
            </w:r>
          </w:p>
        </w:tc>
        <w:tc>
          <w:tcPr>
            <w:tcW w:w="123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F8E0F5">
            <w:pPr>
              <w:spacing w:line="300" w:lineRule="exact"/>
              <w:jc w:val="center"/>
              <w:rPr>
                <w:rFonts w:hint="eastAsia"/>
                <w:szCs w:val="21"/>
                <w:lang w:val="en-US" w:eastAsia="zh-CN"/>
              </w:rPr>
            </w:pPr>
            <w:r>
              <w:rPr>
                <w:rFonts w:hint="eastAsia"/>
                <w:szCs w:val="21"/>
                <w:lang w:val="en-US" w:eastAsia="zh-CN"/>
              </w:rPr>
              <w:t>异常低价审查</w:t>
            </w:r>
          </w:p>
          <w:p w14:paraId="1F71E171">
            <w:pPr>
              <w:spacing w:line="300" w:lineRule="exact"/>
              <w:jc w:val="center"/>
              <w:rPr>
                <w:rFonts w:hint="eastAsia" w:ascii="Times New Roman" w:hAnsi="Times New Roman" w:eastAsia="宋体" w:cs="Times New Roman"/>
                <w:kern w:val="2"/>
                <w:sz w:val="21"/>
                <w:szCs w:val="21"/>
                <w:lang w:val="en-US" w:eastAsia="zh-CN" w:bidi="ar-SA"/>
              </w:rPr>
            </w:pPr>
          </w:p>
        </w:tc>
        <w:tc>
          <w:tcPr>
            <w:tcW w:w="7229" w:type="dxa"/>
            <w:tcBorders>
              <w:top w:val="single" w:color="auto" w:sz="4" w:space="0"/>
              <w:left w:val="single" w:color="auto" w:sz="4" w:space="0"/>
              <w:bottom w:val="single" w:color="auto" w:sz="4" w:space="0"/>
              <w:right w:val="single" w:color="auto" w:sz="4" w:space="0"/>
            </w:tcBorders>
            <w:noWrap w:val="0"/>
            <w:vAlign w:val="center"/>
          </w:tcPr>
          <w:p w14:paraId="5865A420">
            <w:pPr>
              <w:spacing w:line="300" w:lineRule="exact"/>
              <w:jc w:val="left"/>
              <w:rPr>
                <w:rFonts w:hint="eastAsia"/>
                <w:szCs w:val="21"/>
                <w:lang w:val="en-US" w:eastAsia="zh-CN"/>
              </w:rPr>
            </w:pPr>
            <w:r>
              <w:rPr>
                <w:rFonts w:hint="eastAsia"/>
                <w:color w:val="auto"/>
                <w:szCs w:val="21"/>
                <w:lang w:eastAsia="zh-CN"/>
              </w:rPr>
              <w:t>□</w:t>
            </w:r>
            <w:r>
              <w:rPr>
                <w:rFonts w:hint="eastAsia"/>
                <w:color w:val="auto"/>
                <w:szCs w:val="21"/>
                <w:lang w:val="en-US" w:eastAsia="zh-CN"/>
              </w:rPr>
              <w:t>评</w:t>
            </w:r>
            <w:r>
              <w:rPr>
                <w:rFonts w:hint="eastAsia"/>
                <w:szCs w:val="21"/>
                <w:lang w:val="en-US" w:eastAsia="zh-CN"/>
              </w:rPr>
              <w:t>审中出现下列情形之一的，评审委员会应当启动异常低价响应审查程序：</w:t>
            </w:r>
          </w:p>
          <w:p w14:paraId="7EC3DC4F">
            <w:pPr>
              <w:spacing w:line="276" w:lineRule="auto"/>
              <w:rPr>
                <w:rFonts w:hint="default"/>
                <w:szCs w:val="21"/>
                <w:lang w:val="en-US" w:eastAsia="zh-CN"/>
              </w:rPr>
            </w:pPr>
            <w:r>
              <w:rPr>
                <w:rFonts w:hint="eastAsia"/>
                <w:szCs w:val="21"/>
                <w:lang w:val="en-US" w:eastAsia="zh-CN"/>
              </w:rPr>
              <w:t>（1）投标（响应）报价低于全部通过符合性审查供应商投标（响应）报价平均值50%的，即投标（响应）报价&lt;全部通过符合性审查供应商投标（响应）报价平均值×50%；</w:t>
            </w:r>
          </w:p>
          <w:p w14:paraId="3992AA4A">
            <w:pPr>
              <w:spacing w:line="276" w:lineRule="auto"/>
              <w:rPr>
                <w:rFonts w:hint="eastAsia"/>
                <w:szCs w:val="21"/>
                <w:lang w:val="en-US" w:eastAsia="zh-CN"/>
              </w:rPr>
            </w:pPr>
            <w:r>
              <w:rPr>
                <w:rFonts w:hint="eastAsia"/>
                <w:szCs w:val="21"/>
                <w:lang w:val="en-US" w:eastAsia="zh-CN"/>
              </w:rPr>
              <w:t>（2）投标（响应）报价低于通过符合性审查的次低报价供应商投标（响应）报价50%的，即投标（响应）报价&lt;通过符合性审查的次低报价供应商投标（响应）报价×50%；</w:t>
            </w:r>
          </w:p>
          <w:p w14:paraId="2D895AA7">
            <w:pPr>
              <w:spacing w:line="276" w:lineRule="auto"/>
              <w:rPr>
                <w:rFonts w:hint="eastAsia"/>
                <w:szCs w:val="21"/>
                <w:lang w:val="en-US" w:eastAsia="zh-CN"/>
              </w:rPr>
            </w:pPr>
            <w:r>
              <w:rPr>
                <w:rFonts w:hint="eastAsia"/>
                <w:szCs w:val="21"/>
                <w:lang w:val="en-US" w:eastAsia="zh-CN"/>
              </w:rPr>
              <w:t>（3）投标（响应）报价低于采购项目最高限价45%的，即投标（响应）报价&lt;采购项目最高限价×45%；</w:t>
            </w:r>
          </w:p>
          <w:p w14:paraId="0656E8D7">
            <w:pPr>
              <w:spacing w:line="276" w:lineRule="auto"/>
              <w:rPr>
                <w:rFonts w:hint="eastAsia"/>
                <w:szCs w:val="21"/>
                <w:lang w:val="en-US" w:eastAsia="zh-CN"/>
              </w:rPr>
            </w:pPr>
            <w:r>
              <w:rPr>
                <w:rFonts w:hint="eastAsia"/>
                <w:szCs w:val="21"/>
                <w:lang w:val="en-US" w:eastAsia="zh-CN"/>
              </w:rPr>
              <w:t>（4）评审委员会基于专业判断，认为供应商报价过低，有可能影响产品质量或者不能诚信履约的其他情形。</w:t>
            </w:r>
          </w:p>
          <w:p w14:paraId="79B9328F">
            <w:pPr>
              <w:pStyle w:val="22"/>
              <w:rPr>
                <w:rFonts w:hint="eastAsia"/>
                <w:sz w:val="21"/>
                <w:szCs w:val="21"/>
                <w:lang w:val="en-US" w:eastAsia="zh-CN"/>
              </w:rPr>
            </w:pPr>
            <w:r>
              <w:rPr>
                <w:sz w:val="21"/>
                <w:szCs w:val="21"/>
              </w:rPr>
              <w:sym w:font="Wingdings 2" w:char="0052"/>
            </w:r>
            <w:r>
              <w:rPr>
                <w:rFonts w:hint="eastAsia"/>
                <w:sz w:val="21"/>
                <w:szCs w:val="21"/>
                <w:lang w:val="en-US" w:eastAsia="zh-CN"/>
              </w:rPr>
              <w:t>评审中出现下列情形之一的，评审委员会应当启动异常低价响应审查程序</w:t>
            </w:r>
            <w:r>
              <w:rPr>
                <w:rFonts w:hint="eastAsia"/>
                <w:sz w:val="21"/>
                <w:szCs w:val="21"/>
                <w:lang w:eastAsia="zh-CN"/>
              </w:rPr>
              <w:t>：</w:t>
            </w:r>
          </w:p>
          <w:p w14:paraId="441983B1">
            <w:pPr>
              <w:pStyle w:val="22"/>
              <w:rPr>
                <w:rFonts w:hint="default"/>
                <w:color w:val="auto"/>
                <w:sz w:val="21"/>
                <w:szCs w:val="21"/>
                <w:highlight w:val="none"/>
                <w:lang w:val="en-US" w:eastAsia="zh-CN"/>
              </w:rPr>
            </w:pPr>
            <w:r>
              <w:rPr>
                <w:rFonts w:hint="eastAsia"/>
                <w:sz w:val="21"/>
                <w:szCs w:val="21"/>
                <w:lang w:val="en-US" w:eastAsia="zh-CN"/>
              </w:rPr>
              <w:t>（1）</w:t>
            </w:r>
            <w:r>
              <w:rPr>
                <w:rFonts w:hint="eastAsia"/>
                <w:color w:val="auto"/>
                <w:sz w:val="21"/>
                <w:szCs w:val="21"/>
                <w:lang w:val="en-US" w:eastAsia="zh-CN"/>
              </w:rPr>
              <w:t>投标（响应）报价低于全部通过符合性审查供应商投标（响应）报价平</w:t>
            </w:r>
            <w:r>
              <w:rPr>
                <w:rFonts w:hint="eastAsia"/>
                <w:color w:val="auto"/>
                <w:sz w:val="21"/>
                <w:szCs w:val="21"/>
                <w:highlight w:val="none"/>
                <w:lang w:val="en-US" w:eastAsia="zh-CN"/>
              </w:rPr>
              <w:t>均值</w:t>
            </w:r>
            <w:r>
              <w:rPr>
                <w:rFonts w:hint="eastAsia"/>
                <w:color w:val="auto"/>
                <w:sz w:val="21"/>
                <w:szCs w:val="21"/>
                <w:highlight w:val="none"/>
                <w:u w:val="single"/>
                <w:lang w:val="en-US" w:eastAsia="zh-CN"/>
              </w:rPr>
              <w:t>65</w:t>
            </w:r>
            <w:r>
              <w:rPr>
                <w:rFonts w:hint="eastAsia"/>
                <w:color w:val="auto"/>
                <w:sz w:val="21"/>
                <w:szCs w:val="21"/>
                <w:highlight w:val="none"/>
                <w:lang w:val="en-US" w:eastAsia="zh-CN"/>
              </w:rPr>
              <w:t>%的，即投标（响应）报价&lt;全部通过符合性审查供应商投标（响应）报价平均值×</w:t>
            </w:r>
            <w:r>
              <w:rPr>
                <w:rFonts w:hint="eastAsia"/>
                <w:color w:val="auto"/>
                <w:sz w:val="21"/>
                <w:szCs w:val="21"/>
                <w:highlight w:val="none"/>
                <w:u w:val="single"/>
                <w:lang w:val="en-US" w:eastAsia="zh-CN"/>
              </w:rPr>
              <w:t>65</w:t>
            </w:r>
            <w:r>
              <w:rPr>
                <w:rFonts w:hint="eastAsia"/>
                <w:color w:val="auto"/>
                <w:sz w:val="21"/>
                <w:szCs w:val="21"/>
                <w:highlight w:val="none"/>
                <w:lang w:val="en-US" w:eastAsia="zh-CN"/>
              </w:rPr>
              <w:t>%；</w:t>
            </w:r>
          </w:p>
          <w:p w14:paraId="0ACB8808">
            <w:pPr>
              <w:pStyle w:val="22"/>
              <w:rPr>
                <w:rFonts w:hint="eastAsia"/>
                <w:color w:val="auto"/>
                <w:sz w:val="21"/>
                <w:szCs w:val="21"/>
                <w:highlight w:val="none"/>
                <w:lang w:val="en-US" w:eastAsia="zh-CN"/>
              </w:rPr>
            </w:pPr>
            <w:r>
              <w:rPr>
                <w:rFonts w:hint="eastAsia"/>
                <w:color w:val="auto"/>
                <w:sz w:val="21"/>
                <w:szCs w:val="21"/>
                <w:highlight w:val="none"/>
                <w:lang w:val="en-US" w:eastAsia="zh-CN"/>
              </w:rPr>
              <w:t>（2）投标（响应）报价低于通过符合性审查的次低报价供应商投标（响应）报价</w:t>
            </w:r>
            <w:r>
              <w:rPr>
                <w:rFonts w:hint="eastAsia"/>
                <w:color w:val="auto"/>
                <w:sz w:val="21"/>
                <w:szCs w:val="21"/>
                <w:highlight w:val="none"/>
                <w:u w:val="single"/>
                <w:lang w:val="en-US" w:eastAsia="zh-CN"/>
              </w:rPr>
              <w:t>65</w:t>
            </w:r>
            <w:r>
              <w:rPr>
                <w:rFonts w:hint="eastAsia"/>
                <w:color w:val="auto"/>
                <w:sz w:val="21"/>
                <w:szCs w:val="21"/>
                <w:highlight w:val="none"/>
                <w:lang w:val="en-US" w:eastAsia="zh-CN"/>
              </w:rPr>
              <w:t xml:space="preserve"> %的，即投标（响应）报价&lt;通过符合性审查的次低报价供应商投标（响应）报价×</w:t>
            </w:r>
            <w:r>
              <w:rPr>
                <w:rFonts w:hint="eastAsia"/>
                <w:color w:val="auto"/>
                <w:sz w:val="21"/>
                <w:szCs w:val="21"/>
                <w:highlight w:val="none"/>
                <w:u w:val="single"/>
                <w:lang w:val="en-US" w:eastAsia="zh-CN"/>
              </w:rPr>
              <w:t>65</w:t>
            </w:r>
            <w:r>
              <w:rPr>
                <w:rFonts w:hint="eastAsia"/>
                <w:color w:val="auto"/>
                <w:sz w:val="21"/>
                <w:szCs w:val="21"/>
                <w:highlight w:val="none"/>
                <w:lang w:val="en-US" w:eastAsia="zh-CN"/>
              </w:rPr>
              <w:t>%；</w:t>
            </w:r>
          </w:p>
          <w:p w14:paraId="7E6578EB">
            <w:pPr>
              <w:pStyle w:val="22"/>
              <w:rPr>
                <w:rFonts w:hint="eastAsia"/>
                <w:color w:val="auto"/>
                <w:sz w:val="21"/>
                <w:szCs w:val="21"/>
                <w:highlight w:val="none"/>
                <w:lang w:val="en-US" w:eastAsia="zh-CN"/>
              </w:rPr>
            </w:pPr>
            <w:r>
              <w:rPr>
                <w:rFonts w:hint="eastAsia"/>
                <w:color w:val="auto"/>
                <w:sz w:val="21"/>
                <w:szCs w:val="21"/>
                <w:highlight w:val="none"/>
                <w:lang w:val="en-US" w:eastAsia="zh-CN"/>
              </w:rPr>
              <w:t>（3）投标（响应）报价低于采购项目最高限价</w:t>
            </w:r>
            <w:r>
              <w:rPr>
                <w:rFonts w:hint="eastAsia"/>
                <w:color w:val="auto"/>
                <w:sz w:val="21"/>
                <w:szCs w:val="21"/>
                <w:highlight w:val="none"/>
                <w:u w:val="single"/>
                <w:lang w:val="en-US" w:eastAsia="zh-CN"/>
              </w:rPr>
              <w:t>65</w:t>
            </w:r>
            <w:r>
              <w:rPr>
                <w:rFonts w:hint="eastAsia"/>
                <w:color w:val="auto"/>
                <w:sz w:val="21"/>
                <w:szCs w:val="21"/>
                <w:highlight w:val="none"/>
                <w:lang w:val="en-US" w:eastAsia="zh-CN"/>
              </w:rPr>
              <w:t>%的，即投标（响应）报价&lt;采购项目最高限价×</w:t>
            </w:r>
            <w:r>
              <w:rPr>
                <w:rFonts w:hint="eastAsia"/>
                <w:color w:val="auto"/>
                <w:sz w:val="21"/>
                <w:szCs w:val="21"/>
                <w:highlight w:val="none"/>
                <w:u w:val="single"/>
                <w:lang w:val="en-US" w:eastAsia="zh-CN"/>
              </w:rPr>
              <w:t>65</w:t>
            </w:r>
            <w:r>
              <w:rPr>
                <w:rFonts w:hint="eastAsia"/>
                <w:color w:val="auto"/>
                <w:sz w:val="21"/>
                <w:szCs w:val="21"/>
                <w:highlight w:val="none"/>
                <w:lang w:val="en-US" w:eastAsia="zh-CN"/>
              </w:rPr>
              <w:t>%；</w:t>
            </w:r>
          </w:p>
          <w:p w14:paraId="0DD08688">
            <w:pPr>
              <w:pStyle w:val="22"/>
            </w:pPr>
            <w:r>
              <w:rPr>
                <w:rFonts w:hint="eastAsia"/>
                <w:color w:val="auto"/>
                <w:sz w:val="21"/>
                <w:szCs w:val="21"/>
                <w:highlight w:val="none"/>
                <w:lang w:val="en-US" w:eastAsia="zh-CN"/>
              </w:rPr>
              <w:t>（4）评审委员会基于专业判断，认为供应商报价过低，有可能影响产品质量或者不能诚信履约的其他情形。</w:t>
            </w:r>
          </w:p>
        </w:tc>
      </w:tr>
      <w:tr w14:paraId="3617CA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226EC6D6">
            <w:pPr>
              <w:spacing w:line="300" w:lineRule="exact"/>
              <w:jc w:val="center"/>
              <w:rPr>
                <w:rFonts w:hint="eastAsia" w:eastAsia="宋体"/>
                <w:b/>
                <w:szCs w:val="21"/>
                <w:lang w:eastAsia="zh-CN"/>
              </w:rPr>
            </w:pPr>
            <w:r>
              <w:rPr>
                <w:rFonts w:hint="eastAsia"/>
                <w:b/>
                <w:szCs w:val="21"/>
              </w:rPr>
              <w:t>6.</w:t>
            </w:r>
            <w:r>
              <w:rPr>
                <w:b/>
                <w:szCs w:val="21"/>
              </w:rPr>
              <w:t>3</w:t>
            </w:r>
            <w:r>
              <w:rPr>
                <w:rFonts w:hint="eastAsia"/>
                <w:b/>
                <w:szCs w:val="21"/>
              </w:rPr>
              <w:t>.</w:t>
            </w:r>
            <w:r>
              <w:rPr>
                <w:rFonts w:hint="eastAsia"/>
                <w:b/>
                <w:szCs w:val="21"/>
                <w:lang w:val="en-US" w:eastAsia="zh-CN"/>
              </w:rPr>
              <w:t>6</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4FC4D6BE">
            <w:pPr>
              <w:spacing w:line="300" w:lineRule="exact"/>
              <w:jc w:val="center"/>
              <w:rPr>
                <w:color w:val="auto"/>
                <w:szCs w:val="21"/>
              </w:rPr>
            </w:pPr>
            <w:r>
              <w:rPr>
                <w:rFonts w:hint="eastAsia"/>
                <w:color w:val="auto"/>
                <w:szCs w:val="21"/>
              </w:rPr>
              <w:t>相同品牌推荐方式</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53E2948">
            <w:pPr>
              <w:spacing w:line="276" w:lineRule="auto"/>
              <w:rPr>
                <w:color w:val="auto"/>
                <w:szCs w:val="21"/>
              </w:rPr>
            </w:pPr>
            <w:r>
              <w:rPr>
                <w:color w:val="auto"/>
                <w:sz w:val="22"/>
                <w:szCs w:val="22"/>
              </w:rPr>
              <w:sym w:font="Wingdings 2" w:char="F052"/>
            </w:r>
            <w:r>
              <w:rPr>
                <w:rFonts w:hint="eastAsia"/>
                <w:color w:val="auto"/>
                <w:szCs w:val="21"/>
              </w:rPr>
              <w:t>采购人委托评审委员会确定   □采购人确定</w:t>
            </w:r>
          </w:p>
        </w:tc>
      </w:tr>
      <w:tr w14:paraId="7A5357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4C9C4FF">
            <w:pPr>
              <w:spacing w:line="300" w:lineRule="exact"/>
              <w:jc w:val="center"/>
              <w:rPr>
                <w:b/>
                <w:szCs w:val="21"/>
              </w:rPr>
            </w:pPr>
            <w:r>
              <w:rPr>
                <w:b/>
                <w:szCs w:val="21"/>
              </w:rPr>
              <w:t>6.5</w:t>
            </w:r>
            <w:r>
              <w:rPr>
                <w:rFonts w:hint="eastAsia"/>
                <w:b/>
                <w:szCs w:val="21"/>
              </w:rPr>
              <w:t>.1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60008721">
            <w:pPr>
              <w:spacing w:line="300" w:lineRule="exact"/>
              <w:jc w:val="center"/>
              <w:rPr>
                <w:szCs w:val="21"/>
              </w:rPr>
            </w:pPr>
            <w:r>
              <w:rPr>
                <w:rFonts w:hint="eastAsia"/>
                <w:szCs w:val="21"/>
              </w:rPr>
              <w:t>结果</w:t>
            </w:r>
            <w:r>
              <w:rPr>
                <w:szCs w:val="21"/>
              </w:rPr>
              <w:t>公告</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3FCB05E6">
            <w:pPr>
              <w:spacing w:line="300" w:lineRule="exact"/>
              <w:jc w:val="left"/>
              <w:rPr>
                <w:szCs w:val="21"/>
              </w:rPr>
            </w:pPr>
            <w:r>
              <w:rPr>
                <w:szCs w:val="21"/>
              </w:rPr>
              <w:t>采购代理机构在采购人依法确认中标人后2个工作日内在招标公告发布的媒体上发布</w:t>
            </w:r>
            <w:r>
              <w:rPr>
                <w:rFonts w:hint="eastAsia"/>
                <w:szCs w:val="21"/>
              </w:rPr>
              <w:t>结果</w:t>
            </w:r>
            <w:r>
              <w:rPr>
                <w:szCs w:val="21"/>
              </w:rPr>
              <w:t>公告</w:t>
            </w:r>
            <w:r>
              <w:rPr>
                <w:rFonts w:hint="eastAsia"/>
                <w:szCs w:val="21"/>
              </w:rPr>
              <w:t>。</w:t>
            </w:r>
          </w:p>
        </w:tc>
      </w:tr>
      <w:tr w14:paraId="291667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8D4D2C2">
            <w:pPr>
              <w:spacing w:line="300" w:lineRule="exact"/>
              <w:jc w:val="center"/>
              <w:rPr>
                <w:b/>
                <w:szCs w:val="21"/>
              </w:rPr>
            </w:pPr>
            <w:r>
              <w:rPr>
                <w:b/>
                <w:szCs w:val="21"/>
              </w:rPr>
              <w:t>6.5.2</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B421C90">
            <w:pPr>
              <w:spacing w:line="300" w:lineRule="exact"/>
              <w:jc w:val="center"/>
              <w:rPr>
                <w:szCs w:val="21"/>
              </w:rPr>
            </w:pPr>
            <w:r>
              <w:rPr>
                <w:rFonts w:hint="eastAsia"/>
                <w:szCs w:val="21"/>
              </w:rPr>
              <w:t>中标通知书</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02AE24D8">
            <w:pPr>
              <w:spacing w:line="300" w:lineRule="exact"/>
              <w:jc w:val="left"/>
              <w:rPr>
                <w:szCs w:val="21"/>
              </w:rPr>
            </w:pPr>
            <w:r>
              <w:rPr>
                <w:rFonts w:hint="eastAsia"/>
                <w:szCs w:val="21"/>
              </w:rPr>
              <w:t>采购代理机构通过广西政府采购云平台发出</w:t>
            </w:r>
            <w:r>
              <w:rPr>
                <w:szCs w:val="21"/>
              </w:rPr>
              <w:t>中标通知书。</w:t>
            </w:r>
          </w:p>
          <w:p w14:paraId="517E6667">
            <w:pPr>
              <w:spacing w:line="300" w:lineRule="exact"/>
              <w:jc w:val="left"/>
              <w:rPr>
                <w:szCs w:val="21"/>
              </w:rPr>
            </w:pPr>
            <w:r>
              <w:rPr>
                <w:rFonts w:hint="eastAsia"/>
                <w:szCs w:val="21"/>
              </w:rPr>
              <w:t>中标通知书在广西政府采购云平台推送之日起，视为中标人已收到，中标人自行承担未及时查收的后果。</w:t>
            </w:r>
          </w:p>
        </w:tc>
      </w:tr>
      <w:tr w14:paraId="494AEB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9A2227D">
            <w:pPr>
              <w:spacing w:line="300" w:lineRule="exact"/>
              <w:jc w:val="center"/>
              <w:rPr>
                <w:b/>
                <w:szCs w:val="21"/>
              </w:rPr>
            </w:pPr>
            <w:r>
              <w:rPr>
                <w:b/>
                <w:szCs w:val="21"/>
              </w:rPr>
              <w:t>6.5.3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AC1A416">
            <w:pPr>
              <w:spacing w:line="300" w:lineRule="exact"/>
              <w:jc w:val="center"/>
              <w:rPr>
                <w:szCs w:val="21"/>
              </w:rPr>
            </w:pPr>
            <w:r>
              <w:rPr>
                <w:rFonts w:hint="eastAsia"/>
                <w:szCs w:val="21"/>
              </w:rPr>
              <w:t>招标结果通知书</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8370505">
            <w:pPr>
              <w:spacing w:line="300" w:lineRule="exact"/>
              <w:jc w:val="left"/>
              <w:rPr>
                <w:szCs w:val="21"/>
              </w:rPr>
            </w:pPr>
            <w:r>
              <w:rPr>
                <w:rFonts w:hint="eastAsia"/>
                <w:szCs w:val="21"/>
              </w:rPr>
              <w:t>采购代理机构通过</w:t>
            </w:r>
            <w:r>
              <w:rPr>
                <w:rFonts w:ascii="Arial" w:hAnsi="Arial" w:cs="Arial"/>
                <w:kern w:val="0"/>
                <w:szCs w:val="21"/>
              </w:rPr>
              <w:t>广西政府采购云平台</w:t>
            </w:r>
            <w:r>
              <w:rPr>
                <w:rFonts w:hint="eastAsia"/>
                <w:szCs w:val="21"/>
              </w:rPr>
              <w:t>发出招标结果</w:t>
            </w:r>
            <w:r>
              <w:rPr>
                <w:szCs w:val="21"/>
              </w:rPr>
              <w:t>通知书</w:t>
            </w:r>
          </w:p>
          <w:p w14:paraId="2355E840">
            <w:pPr>
              <w:spacing w:line="300" w:lineRule="exact"/>
              <w:jc w:val="left"/>
              <w:rPr>
                <w:szCs w:val="21"/>
              </w:rPr>
            </w:pPr>
            <w:r>
              <w:rPr>
                <w:rFonts w:hint="eastAsia"/>
                <w:szCs w:val="21"/>
              </w:rPr>
              <w:t>招标结果通知书在广西政府采购云平台推送之日起，视为中标人已收到，中标人自行承担未及时查收的后果。</w:t>
            </w:r>
          </w:p>
        </w:tc>
      </w:tr>
      <w:tr w14:paraId="145EC5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3494EE7A">
            <w:pPr>
              <w:spacing w:line="300" w:lineRule="exact"/>
              <w:jc w:val="center"/>
              <w:rPr>
                <w:b/>
                <w:szCs w:val="21"/>
              </w:rPr>
            </w:pPr>
            <w:r>
              <w:rPr>
                <w:b/>
                <w:szCs w:val="21"/>
              </w:rPr>
              <w:t>8.1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5E2EE85E">
            <w:pPr>
              <w:spacing w:line="300" w:lineRule="exact"/>
              <w:jc w:val="center"/>
              <w:rPr>
                <w:szCs w:val="21"/>
              </w:rPr>
            </w:pPr>
            <w:r>
              <w:rPr>
                <w:rFonts w:hint="eastAsia"/>
                <w:szCs w:val="21"/>
              </w:rPr>
              <w:t>质疑</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D1C98D8">
            <w:pPr>
              <w:spacing w:line="300" w:lineRule="exact"/>
              <w:jc w:val="left"/>
              <w:rPr>
                <w:szCs w:val="21"/>
              </w:rPr>
            </w:pPr>
            <w:r>
              <w:rPr>
                <w:rFonts w:hint="eastAsia"/>
                <w:szCs w:val="21"/>
              </w:rPr>
              <w:t>（1）供应商</w:t>
            </w:r>
            <w:r>
              <w:rPr>
                <w:szCs w:val="21"/>
              </w:rPr>
              <w:t>认为</w:t>
            </w:r>
            <w:r>
              <w:rPr>
                <w:rFonts w:hint="eastAsia"/>
                <w:szCs w:val="21"/>
              </w:rPr>
              <w:t>招标文件</w:t>
            </w:r>
            <w:r>
              <w:rPr>
                <w:szCs w:val="21"/>
              </w:rPr>
              <w:t>、</w:t>
            </w:r>
            <w:r>
              <w:rPr>
                <w:rFonts w:hint="eastAsia"/>
                <w:szCs w:val="21"/>
              </w:rPr>
              <w:t>采购</w:t>
            </w:r>
            <w:r>
              <w:rPr>
                <w:szCs w:val="21"/>
              </w:rPr>
              <w:t>过程、中标</w:t>
            </w:r>
            <w:r>
              <w:rPr>
                <w:rFonts w:hint="eastAsia"/>
                <w:szCs w:val="21"/>
              </w:rPr>
              <w:t>或者成交</w:t>
            </w:r>
            <w:r>
              <w:rPr>
                <w:szCs w:val="21"/>
              </w:rPr>
              <w:t>结果使自己的权益受到损害的，可以在知道或者应知其权益受到损害之日起7个工作日内，</w:t>
            </w:r>
            <w:r>
              <w:rPr>
                <w:rFonts w:hint="eastAsia"/>
                <w:szCs w:val="21"/>
              </w:rPr>
              <w:t>通过以下方式</w:t>
            </w:r>
            <w:r>
              <w:rPr>
                <w:szCs w:val="21"/>
              </w:rPr>
              <w:t>向采购人、采购代理机构提出质疑。提出质疑的</w:t>
            </w:r>
            <w:r>
              <w:rPr>
                <w:rFonts w:hint="eastAsia"/>
                <w:szCs w:val="21"/>
              </w:rPr>
              <w:t>供应商</w:t>
            </w:r>
            <w:r>
              <w:rPr>
                <w:szCs w:val="21"/>
              </w:rPr>
              <w:t>必须是参与本项目采购活动的供应商</w:t>
            </w:r>
            <w:r>
              <w:rPr>
                <w:rFonts w:hint="eastAsia"/>
                <w:szCs w:val="21"/>
              </w:rPr>
              <w:t>，并须在</w:t>
            </w:r>
            <w:r>
              <w:rPr>
                <w:szCs w:val="21"/>
              </w:rPr>
              <w:t>法定质疑期内一次性提出针对同一采购程序环节的质疑。质疑函应使用财政部发布的</w:t>
            </w:r>
            <w:r>
              <w:rPr>
                <w:rFonts w:hint="eastAsia"/>
                <w:szCs w:val="21"/>
              </w:rPr>
              <w:t>政府采购供应商质疑函范本，并应按照“质疑函制作说明”进行制作。</w:t>
            </w:r>
          </w:p>
          <w:p w14:paraId="31C48BE8">
            <w:pPr>
              <w:spacing w:line="300" w:lineRule="exact"/>
              <w:jc w:val="left"/>
              <w:rPr>
                <w:szCs w:val="21"/>
              </w:rPr>
            </w:pPr>
            <w:r>
              <w:rPr>
                <w:rFonts w:hint="eastAsia"/>
                <w:szCs w:val="21"/>
              </w:rPr>
              <w:t>（2）</w:t>
            </w:r>
            <w:r>
              <w:rPr>
                <w:szCs w:val="21"/>
              </w:rPr>
              <w:t>本项目不接受传真、移动通信</w:t>
            </w:r>
            <w:r>
              <w:rPr>
                <w:rFonts w:hint="eastAsia"/>
                <w:szCs w:val="21"/>
              </w:rPr>
              <w:t>、广西政府采购云平台</w:t>
            </w:r>
            <w:r>
              <w:rPr>
                <w:szCs w:val="21"/>
              </w:rPr>
              <w:t>等</w:t>
            </w:r>
            <w:r>
              <w:rPr>
                <w:rFonts w:hint="eastAsia"/>
                <w:szCs w:val="21"/>
              </w:rPr>
              <w:t>方式</w:t>
            </w:r>
            <w:r>
              <w:rPr>
                <w:szCs w:val="21"/>
              </w:rPr>
              <w:t>送达的质疑材料</w:t>
            </w:r>
            <w:r>
              <w:rPr>
                <w:rFonts w:hint="eastAsia"/>
                <w:szCs w:val="21"/>
              </w:rPr>
              <w:t>，供应商可通过现场或邮寄方式递交书面质疑材料。供应商应于质疑有效期内将质疑函原件递交或邮寄至招标公告中采购代理机构信息中的联系人。</w:t>
            </w:r>
          </w:p>
        </w:tc>
      </w:tr>
      <w:tr w14:paraId="37A784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58"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220DFF9">
            <w:pPr>
              <w:spacing w:line="300" w:lineRule="exact"/>
              <w:jc w:val="center"/>
              <w:rPr>
                <w:b/>
                <w:szCs w:val="21"/>
              </w:rPr>
            </w:pPr>
            <w:r>
              <w:rPr>
                <w:b/>
                <w:szCs w:val="21"/>
              </w:rPr>
              <w:t>9.1</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1BCC00E2">
            <w:pPr>
              <w:spacing w:line="300" w:lineRule="exact"/>
              <w:jc w:val="center"/>
              <w:rPr>
                <w:szCs w:val="21"/>
              </w:rPr>
            </w:pPr>
            <w:r>
              <w:rPr>
                <w:szCs w:val="20"/>
              </w:rPr>
              <w:t>代理服务费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3BA078DD">
            <w:pPr>
              <w:rPr>
                <w:color w:val="auto"/>
                <w:szCs w:val="21"/>
              </w:rPr>
            </w:pPr>
            <w:r>
              <w:rPr>
                <w:color w:val="auto"/>
                <w:szCs w:val="21"/>
              </w:rPr>
              <w:t>（1）</w:t>
            </w:r>
            <w:r>
              <w:rPr>
                <w:color w:val="auto"/>
                <w:szCs w:val="20"/>
              </w:rPr>
              <w:t>代理服务费</w:t>
            </w:r>
          </w:p>
          <w:p w14:paraId="61AA3C50">
            <w:pPr>
              <w:spacing w:line="300" w:lineRule="exact"/>
              <w:jc w:val="left"/>
              <w:rPr>
                <w:szCs w:val="21"/>
              </w:rPr>
            </w:pPr>
            <w:r>
              <w:rPr>
                <w:color w:val="auto"/>
                <w:szCs w:val="21"/>
              </w:rPr>
              <w:sym w:font="Wingdings 2" w:char="F052"/>
            </w:r>
            <w:r>
              <w:rPr>
                <w:color w:val="auto"/>
                <w:szCs w:val="21"/>
              </w:rPr>
              <w:t>采购</w:t>
            </w:r>
            <w:r>
              <w:rPr>
                <w:szCs w:val="21"/>
              </w:rPr>
              <w:t>代理机构向中标人收取代理服务费。本项目代理服务费</w:t>
            </w:r>
            <w:r>
              <w:rPr>
                <w:rFonts w:hint="eastAsia"/>
                <w:szCs w:val="21"/>
              </w:rPr>
              <w:t>按照</w:t>
            </w:r>
            <w:r>
              <w:rPr>
                <w:szCs w:val="21"/>
              </w:rPr>
              <w:t>《招标代理服务费管理暂行办法》 (计价格﹝2002﹞1980号)、《国家发展改革委关于降低部分建设项目收费标准规范收费行为等有关问题的通知》(发改价格﹝2011﹞534号)</w:t>
            </w:r>
            <w:r>
              <w:rPr>
                <w:rFonts w:hint="eastAsia"/>
                <w:szCs w:val="21"/>
              </w:rPr>
              <w:t>的</w:t>
            </w:r>
            <w:r>
              <w:rPr>
                <w:szCs w:val="21"/>
              </w:rPr>
              <w:t>规定</w:t>
            </w:r>
            <w:r>
              <w:rPr>
                <w:rFonts w:hint="eastAsia"/>
                <w:szCs w:val="21"/>
              </w:rPr>
              <w:t>采用</w:t>
            </w:r>
            <w:r>
              <w:rPr>
                <w:szCs w:val="21"/>
              </w:rPr>
              <w:t>差额定率累进</w:t>
            </w:r>
            <w:r>
              <w:rPr>
                <w:rFonts w:hint="eastAsia"/>
                <w:szCs w:val="21"/>
              </w:rPr>
              <w:t>法</w:t>
            </w:r>
            <w:r>
              <w:rPr>
                <w:rFonts w:hint="eastAsia"/>
                <w:szCs w:val="21"/>
                <w:lang w:val="en-US" w:eastAsia="zh-CN"/>
              </w:rPr>
              <w:t>下浮20%</w:t>
            </w:r>
            <w:r>
              <w:rPr>
                <w:szCs w:val="21"/>
              </w:rPr>
              <w:t>计算</w:t>
            </w:r>
            <w:r>
              <w:rPr>
                <w:rFonts w:hint="eastAsia"/>
                <w:szCs w:val="21"/>
              </w:rPr>
              <w:t>。</w:t>
            </w:r>
            <w:r>
              <w:rPr>
                <w:szCs w:val="21"/>
              </w:rPr>
              <w:t>具体费率</w:t>
            </w:r>
            <w:r>
              <w:rPr>
                <w:rFonts w:hint="eastAsia"/>
                <w:szCs w:val="21"/>
              </w:rPr>
              <w:t>如下：</w:t>
            </w:r>
          </w:p>
          <w:p w14:paraId="5A099856">
            <w:pPr>
              <w:spacing w:line="300" w:lineRule="exact"/>
              <w:jc w:val="left"/>
              <w:rPr>
                <w:szCs w:val="21"/>
              </w:rPr>
            </w:pPr>
            <w:r>
              <w:rPr>
                <w:rFonts w:hint="eastAsia"/>
                <w:szCs w:val="21"/>
              </w:rPr>
              <w:t>①中标金额在1</w:t>
            </w:r>
            <w:r>
              <w:rPr>
                <w:szCs w:val="21"/>
              </w:rPr>
              <w:t>00</w:t>
            </w:r>
            <w:r>
              <w:rPr>
                <w:rFonts w:hint="eastAsia"/>
                <w:szCs w:val="21"/>
              </w:rPr>
              <w:t>万元以下的：</w:t>
            </w:r>
          </w:p>
          <w:p w14:paraId="3BB96527">
            <w:pPr>
              <w:spacing w:line="300" w:lineRule="exact"/>
              <w:jc w:val="left"/>
              <w:rPr>
                <w:szCs w:val="21"/>
              </w:rPr>
            </w:pPr>
            <w:r>
              <w:rPr>
                <w:rFonts w:hint="eastAsia"/>
                <w:szCs w:val="21"/>
              </w:rPr>
              <w:t>货物</w:t>
            </w:r>
            <w:r>
              <w:rPr>
                <w:szCs w:val="21"/>
              </w:rPr>
              <w:t>1.5％</w:t>
            </w:r>
            <w:r>
              <w:rPr>
                <w:rFonts w:hint="eastAsia"/>
                <w:szCs w:val="21"/>
              </w:rPr>
              <w:t>；</w:t>
            </w:r>
            <w:r>
              <w:rPr>
                <w:szCs w:val="21"/>
              </w:rPr>
              <w:t>服务招标1.5％</w:t>
            </w:r>
            <w:r>
              <w:rPr>
                <w:rFonts w:hint="eastAsia"/>
                <w:szCs w:val="21"/>
              </w:rPr>
              <w:t>；</w:t>
            </w:r>
            <w:r>
              <w:rPr>
                <w:szCs w:val="21"/>
              </w:rPr>
              <w:t>工程招标1.0％</w:t>
            </w:r>
            <w:r>
              <w:rPr>
                <w:rFonts w:hint="eastAsia"/>
                <w:szCs w:val="21"/>
              </w:rPr>
              <w:t>；</w:t>
            </w:r>
          </w:p>
          <w:p w14:paraId="18879C03">
            <w:pPr>
              <w:spacing w:line="300" w:lineRule="exact"/>
              <w:jc w:val="left"/>
              <w:rPr>
                <w:szCs w:val="21"/>
              </w:rPr>
            </w:pPr>
            <w:r>
              <w:rPr>
                <w:rFonts w:hint="eastAsia"/>
                <w:szCs w:val="21"/>
              </w:rPr>
              <w:t>②中标金额在</w:t>
            </w:r>
            <w:r>
              <w:rPr>
                <w:szCs w:val="21"/>
              </w:rPr>
              <w:t>100-500</w:t>
            </w:r>
            <w:r>
              <w:rPr>
                <w:rFonts w:hint="eastAsia"/>
                <w:szCs w:val="21"/>
              </w:rPr>
              <w:t>万元之间：</w:t>
            </w:r>
          </w:p>
          <w:p w14:paraId="34A263CA">
            <w:pPr>
              <w:spacing w:line="300" w:lineRule="exact"/>
              <w:jc w:val="left"/>
              <w:rPr>
                <w:szCs w:val="21"/>
              </w:rPr>
            </w:pPr>
            <w:r>
              <w:rPr>
                <w:rFonts w:hint="eastAsia"/>
                <w:szCs w:val="21"/>
              </w:rPr>
              <w:t>货物</w:t>
            </w:r>
            <w:r>
              <w:rPr>
                <w:szCs w:val="21"/>
              </w:rPr>
              <w:t>1.1％</w:t>
            </w:r>
            <w:r>
              <w:rPr>
                <w:rFonts w:hint="eastAsia"/>
                <w:szCs w:val="21"/>
              </w:rPr>
              <w:t>；</w:t>
            </w:r>
            <w:r>
              <w:rPr>
                <w:szCs w:val="21"/>
              </w:rPr>
              <w:t>服务招标0.8％</w:t>
            </w:r>
            <w:r>
              <w:rPr>
                <w:rFonts w:hint="eastAsia"/>
                <w:szCs w:val="21"/>
              </w:rPr>
              <w:t>；</w:t>
            </w:r>
            <w:r>
              <w:rPr>
                <w:szCs w:val="21"/>
              </w:rPr>
              <w:t>工程招标0.7％</w:t>
            </w:r>
            <w:r>
              <w:rPr>
                <w:rFonts w:hint="eastAsia"/>
                <w:szCs w:val="21"/>
              </w:rPr>
              <w:t>；</w:t>
            </w:r>
          </w:p>
          <w:p w14:paraId="710B8E9D">
            <w:pPr>
              <w:spacing w:line="300" w:lineRule="exact"/>
              <w:jc w:val="left"/>
              <w:rPr>
                <w:szCs w:val="21"/>
              </w:rPr>
            </w:pPr>
            <w:r>
              <w:rPr>
                <w:rFonts w:hint="eastAsia"/>
                <w:szCs w:val="21"/>
              </w:rPr>
              <w:t>③中标金额在</w:t>
            </w:r>
            <w:r>
              <w:rPr>
                <w:szCs w:val="21"/>
              </w:rPr>
              <w:t>5</w:t>
            </w:r>
            <w:r>
              <w:rPr>
                <w:rFonts w:hint="eastAsia"/>
                <w:szCs w:val="21"/>
              </w:rPr>
              <w:t>0</w:t>
            </w:r>
            <w:r>
              <w:rPr>
                <w:szCs w:val="21"/>
              </w:rPr>
              <w:t>0-1</w:t>
            </w:r>
            <w:r>
              <w:rPr>
                <w:rFonts w:hint="eastAsia"/>
                <w:szCs w:val="21"/>
              </w:rPr>
              <w:t>00</w:t>
            </w:r>
            <w:r>
              <w:rPr>
                <w:szCs w:val="21"/>
              </w:rPr>
              <w:t>0</w:t>
            </w:r>
            <w:r>
              <w:rPr>
                <w:rFonts w:hint="eastAsia"/>
                <w:szCs w:val="21"/>
              </w:rPr>
              <w:t>万元之间：</w:t>
            </w:r>
          </w:p>
          <w:p w14:paraId="79F1859F">
            <w:pPr>
              <w:spacing w:line="300" w:lineRule="exact"/>
              <w:jc w:val="left"/>
              <w:rPr>
                <w:szCs w:val="21"/>
              </w:rPr>
            </w:pPr>
            <w:r>
              <w:rPr>
                <w:rFonts w:hint="eastAsia"/>
                <w:szCs w:val="21"/>
              </w:rPr>
              <w:t>货物</w:t>
            </w:r>
            <w:r>
              <w:rPr>
                <w:szCs w:val="21"/>
              </w:rPr>
              <w:t>0.8％</w:t>
            </w:r>
            <w:r>
              <w:rPr>
                <w:rFonts w:hint="eastAsia"/>
                <w:szCs w:val="21"/>
              </w:rPr>
              <w:t>；</w:t>
            </w:r>
            <w:r>
              <w:rPr>
                <w:szCs w:val="21"/>
              </w:rPr>
              <w:t>服务招标0.45％</w:t>
            </w:r>
            <w:r>
              <w:rPr>
                <w:rFonts w:hint="eastAsia"/>
                <w:szCs w:val="21"/>
              </w:rPr>
              <w:t>；</w:t>
            </w:r>
            <w:r>
              <w:rPr>
                <w:szCs w:val="21"/>
              </w:rPr>
              <w:t>工程招标0.55％</w:t>
            </w:r>
            <w:r>
              <w:rPr>
                <w:rFonts w:hint="eastAsia"/>
                <w:szCs w:val="21"/>
              </w:rPr>
              <w:t>；</w:t>
            </w:r>
          </w:p>
          <w:p w14:paraId="6EC2FAB8">
            <w:pPr>
              <w:spacing w:line="300" w:lineRule="exact"/>
              <w:jc w:val="left"/>
              <w:rPr>
                <w:szCs w:val="21"/>
              </w:rPr>
            </w:pPr>
            <w:r>
              <w:rPr>
                <w:rFonts w:hint="eastAsia"/>
                <w:szCs w:val="21"/>
              </w:rPr>
              <w:t>④中标金额在</w:t>
            </w:r>
            <w:r>
              <w:rPr>
                <w:szCs w:val="21"/>
              </w:rPr>
              <w:t>1000-5000</w:t>
            </w:r>
            <w:r>
              <w:rPr>
                <w:rFonts w:hint="eastAsia"/>
                <w:szCs w:val="21"/>
              </w:rPr>
              <w:t>万元之间：</w:t>
            </w:r>
          </w:p>
          <w:p w14:paraId="6956F8B1">
            <w:pPr>
              <w:spacing w:line="300" w:lineRule="exact"/>
              <w:jc w:val="left"/>
              <w:rPr>
                <w:szCs w:val="21"/>
              </w:rPr>
            </w:pPr>
            <w:r>
              <w:rPr>
                <w:rFonts w:hint="eastAsia"/>
                <w:szCs w:val="21"/>
              </w:rPr>
              <w:t>货物</w:t>
            </w:r>
            <w:r>
              <w:rPr>
                <w:szCs w:val="21"/>
              </w:rPr>
              <w:t>0.5％</w:t>
            </w:r>
            <w:r>
              <w:rPr>
                <w:rFonts w:hint="eastAsia"/>
                <w:szCs w:val="21"/>
              </w:rPr>
              <w:t>；</w:t>
            </w:r>
            <w:r>
              <w:rPr>
                <w:szCs w:val="21"/>
              </w:rPr>
              <w:t>服务招标0.25％</w:t>
            </w:r>
            <w:r>
              <w:rPr>
                <w:rFonts w:hint="eastAsia"/>
                <w:szCs w:val="21"/>
              </w:rPr>
              <w:t>；</w:t>
            </w:r>
            <w:r>
              <w:rPr>
                <w:szCs w:val="21"/>
              </w:rPr>
              <w:t>工程招标0.35％</w:t>
            </w:r>
            <w:r>
              <w:rPr>
                <w:rFonts w:hint="eastAsia"/>
                <w:szCs w:val="21"/>
              </w:rPr>
              <w:t>；</w:t>
            </w:r>
          </w:p>
          <w:p w14:paraId="58963BFF">
            <w:pPr>
              <w:spacing w:line="300" w:lineRule="exact"/>
              <w:jc w:val="left"/>
              <w:rPr>
                <w:szCs w:val="21"/>
              </w:rPr>
            </w:pPr>
            <w:r>
              <w:rPr>
                <w:rFonts w:hint="eastAsia"/>
                <w:szCs w:val="21"/>
              </w:rPr>
              <w:t>……</w:t>
            </w:r>
          </w:p>
          <w:p w14:paraId="6E22FD29">
            <w:pPr>
              <w:spacing w:line="300" w:lineRule="exact"/>
              <w:jc w:val="left"/>
              <w:rPr>
                <w:szCs w:val="21"/>
              </w:rPr>
            </w:pPr>
            <w:r>
              <w:rPr>
                <w:szCs w:val="21"/>
              </w:rPr>
              <w:t>差额定率累进</w:t>
            </w:r>
            <w:r>
              <w:rPr>
                <w:rFonts w:hint="eastAsia"/>
                <w:szCs w:val="21"/>
              </w:rPr>
              <w:t>法</w:t>
            </w:r>
            <w:r>
              <w:rPr>
                <w:szCs w:val="21"/>
              </w:rPr>
              <w:t>计算</w:t>
            </w:r>
            <w:r>
              <w:rPr>
                <w:rFonts w:hint="eastAsia"/>
                <w:szCs w:val="21"/>
              </w:rPr>
              <w:t>过程示例：</w:t>
            </w:r>
          </w:p>
          <w:p w14:paraId="6D9F9640">
            <w:pPr>
              <w:spacing w:line="300" w:lineRule="exact"/>
              <w:jc w:val="left"/>
              <w:rPr>
                <w:color w:val="auto"/>
                <w:szCs w:val="21"/>
              </w:rPr>
            </w:pPr>
            <w:r>
              <w:rPr>
                <w:szCs w:val="21"/>
              </w:rPr>
              <w:t>例如：某货物招标代理业务</w:t>
            </w:r>
            <w:r>
              <w:rPr>
                <w:rFonts w:hint="eastAsia"/>
                <w:szCs w:val="21"/>
              </w:rPr>
              <w:t>中标</w:t>
            </w:r>
            <w:r>
              <w:rPr>
                <w:szCs w:val="21"/>
              </w:rPr>
              <w:t>金额为300万元，招标代理服务费金额按如下计算：</w:t>
            </w:r>
          </w:p>
          <w:p w14:paraId="76244402">
            <w:pPr>
              <w:spacing w:line="300" w:lineRule="exact"/>
              <w:jc w:val="left"/>
              <w:rPr>
                <w:color w:val="auto"/>
                <w:szCs w:val="21"/>
              </w:rPr>
            </w:pPr>
            <w:r>
              <w:rPr>
                <w:color w:val="auto"/>
                <w:szCs w:val="21"/>
              </w:rPr>
              <w:t>100万元×1.5%＝1.5万元</w:t>
            </w:r>
          </w:p>
          <w:p w14:paraId="32BDD8B3">
            <w:pPr>
              <w:spacing w:line="300" w:lineRule="exact"/>
              <w:jc w:val="left"/>
              <w:rPr>
                <w:color w:val="auto"/>
                <w:szCs w:val="21"/>
              </w:rPr>
            </w:pPr>
            <w:r>
              <w:rPr>
                <w:color w:val="auto"/>
                <w:szCs w:val="21"/>
              </w:rPr>
              <w:t>（300－100）万元×1.1%＝2.2万元</w:t>
            </w:r>
          </w:p>
          <w:p w14:paraId="75C07BEE">
            <w:pPr>
              <w:spacing w:line="300" w:lineRule="exact"/>
              <w:jc w:val="left"/>
              <w:rPr>
                <w:color w:val="auto"/>
                <w:szCs w:val="21"/>
              </w:rPr>
            </w:pPr>
            <w:r>
              <w:rPr>
                <w:color w:val="auto"/>
                <w:szCs w:val="21"/>
              </w:rPr>
              <w:t>合计收费＝1.5＋2.2=3.7万元</w:t>
            </w:r>
          </w:p>
          <w:p w14:paraId="77230AE9">
            <w:pPr>
              <w:spacing w:line="300" w:lineRule="exact"/>
              <w:jc w:val="left"/>
              <w:rPr>
                <w:szCs w:val="21"/>
              </w:rPr>
            </w:pPr>
            <w:r>
              <w:rPr>
                <w:color w:val="auto"/>
                <w:szCs w:val="21"/>
              </w:rPr>
              <w:t>（2）中标人在中标通知书发出前以银行转账或现金形式支付代理服</w:t>
            </w:r>
            <w:r>
              <w:rPr>
                <w:szCs w:val="21"/>
              </w:rPr>
              <w:t>务费；采购代理机构也可以从中标人的投标保证金中扣除上述金额的代理服务费，余款按供应商所汇入投标保证金的账户原路退回，如无法原路返回，则按《代理服务费承诺书》列明的账户退回。</w:t>
            </w:r>
          </w:p>
          <w:p w14:paraId="23688B53">
            <w:pPr>
              <w:spacing w:line="300" w:lineRule="exact"/>
              <w:jc w:val="left"/>
              <w:rPr>
                <w:kern w:val="0"/>
                <w:szCs w:val="21"/>
              </w:rPr>
            </w:pPr>
            <w:r>
              <w:rPr>
                <w:rFonts w:hint="eastAsia"/>
                <w:kern w:val="0"/>
                <w:szCs w:val="21"/>
              </w:rPr>
              <w:t>开户银行：广西北部湾银行南宁市金湖支行</w:t>
            </w:r>
          </w:p>
          <w:p w14:paraId="1B1112E3">
            <w:pPr>
              <w:spacing w:line="300" w:lineRule="exact"/>
              <w:jc w:val="left"/>
              <w:rPr>
                <w:kern w:val="0"/>
                <w:szCs w:val="21"/>
              </w:rPr>
            </w:pPr>
            <w:r>
              <w:rPr>
                <w:rFonts w:hint="eastAsia"/>
                <w:kern w:val="0"/>
                <w:szCs w:val="21"/>
              </w:rPr>
              <w:t>（银行地址：南宁市金湖路57号文德大厦1楼）</w:t>
            </w:r>
          </w:p>
          <w:p w14:paraId="15A0B909">
            <w:pPr>
              <w:spacing w:line="300" w:lineRule="exact"/>
              <w:jc w:val="left"/>
              <w:rPr>
                <w:kern w:val="0"/>
                <w:szCs w:val="21"/>
              </w:rPr>
            </w:pPr>
            <w:r>
              <w:rPr>
                <w:rFonts w:hint="eastAsia"/>
                <w:kern w:val="0"/>
                <w:szCs w:val="21"/>
              </w:rPr>
              <w:t>开户名称：广西机电设备招标有限公司</w:t>
            </w:r>
          </w:p>
          <w:p w14:paraId="54A85D1E">
            <w:pPr>
              <w:spacing w:line="300" w:lineRule="exact"/>
              <w:jc w:val="left"/>
              <w:rPr>
                <w:kern w:val="0"/>
                <w:szCs w:val="21"/>
              </w:rPr>
            </w:pPr>
            <w:r>
              <w:rPr>
                <w:rFonts w:hint="eastAsia"/>
                <w:kern w:val="0"/>
                <w:szCs w:val="21"/>
              </w:rPr>
              <w:t>银行账号：1705012090027723 (联行号 313611017053)</w:t>
            </w:r>
          </w:p>
          <w:p w14:paraId="6639BD39">
            <w:pPr>
              <w:spacing w:line="300" w:lineRule="exact"/>
              <w:jc w:val="left"/>
              <w:rPr>
                <w:kern w:val="0"/>
                <w:szCs w:val="21"/>
              </w:rPr>
            </w:pPr>
            <w:r>
              <w:rPr>
                <w:rFonts w:hint="eastAsia"/>
                <w:kern w:val="0"/>
                <w:szCs w:val="21"/>
              </w:rPr>
              <w:t>财务联系人：吴茜（电话：0771-2821398）</w:t>
            </w:r>
          </w:p>
        </w:tc>
      </w:tr>
      <w:tr w14:paraId="458D45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47798599">
            <w:pPr>
              <w:spacing w:line="300" w:lineRule="exact"/>
              <w:jc w:val="center"/>
              <w:rPr>
                <w:b/>
                <w:szCs w:val="21"/>
              </w:rPr>
            </w:pPr>
            <w:r>
              <w:rPr>
                <w:b/>
                <w:szCs w:val="21"/>
              </w:rPr>
              <w:t>9.3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2E25880">
            <w:pPr>
              <w:spacing w:line="300" w:lineRule="exact"/>
              <w:jc w:val="center"/>
              <w:rPr>
                <w:szCs w:val="20"/>
              </w:rPr>
            </w:pPr>
            <w:r>
              <w:rPr>
                <w:rFonts w:hint="eastAsia"/>
                <w:szCs w:val="20"/>
              </w:rPr>
              <w:t>附件</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168C054">
            <w:pPr>
              <w:spacing w:line="276" w:lineRule="auto"/>
              <w:rPr>
                <w:szCs w:val="21"/>
                <w:u w:val="single"/>
              </w:rPr>
            </w:pPr>
            <w:r>
              <w:rPr>
                <w:rFonts w:hint="eastAsia"/>
                <w:color w:val="auto"/>
                <w:szCs w:val="21"/>
              </w:rPr>
              <w:t>无</w:t>
            </w:r>
          </w:p>
        </w:tc>
      </w:tr>
      <w:tr w14:paraId="779847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6C41BDD5">
            <w:pPr>
              <w:spacing w:line="300" w:lineRule="exact"/>
              <w:jc w:val="center"/>
              <w:rPr>
                <w:b/>
                <w:szCs w:val="21"/>
              </w:rPr>
            </w:pPr>
            <w:r>
              <w:rPr>
                <w:b/>
                <w:szCs w:val="21"/>
              </w:rPr>
              <w:t>9.3</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B29BDA1">
            <w:pPr>
              <w:spacing w:line="300" w:lineRule="exact"/>
              <w:jc w:val="center"/>
              <w:rPr>
                <w:szCs w:val="20"/>
              </w:rPr>
            </w:pPr>
            <w:r>
              <w:rPr>
                <w:rFonts w:hint="eastAsia"/>
                <w:szCs w:val="20"/>
              </w:rPr>
              <w:t>图纸</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4FAB9ED">
            <w:pPr>
              <w:spacing w:line="276" w:lineRule="auto"/>
              <w:rPr>
                <w:szCs w:val="21"/>
                <w:u w:val="single"/>
              </w:rPr>
            </w:pPr>
            <w:r>
              <w:rPr>
                <w:rFonts w:hint="eastAsia"/>
                <w:szCs w:val="21"/>
              </w:rPr>
              <w:t>无</w:t>
            </w:r>
            <w:r>
              <w:rPr>
                <w:szCs w:val="21"/>
                <w:u w:val="single"/>
              </w:rPr>
              <w:t xml:space="preserve">       </w:t>
            </w:r>
          </w:p>
        </w:tc>
      </w:tr>
      <w:tr w14:paraId="7612E2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3" w:hRule="atLeast"/>
        </w:trPr>
        <w:tc>
          <w:tcPr>
            <w:tcW w:w="755" w:type="dxa"/>
            <w:tcBorders>
              <w:top w:val="single" w:color="auto" w:sz="4" w:space="0"/>
              <w:left w:val="single" w:color="auto" w:sz="4" w:space="0"/>
              <w:bottom w:val="single" w:color="auto" w:sz="4" w:space="0"/>
              <w:right w:val="single" w:color="auto" w:sz="4" w:space="0"/>
            </w:tcBorders>
            <w:noWrap w:val="0"/>
            <w:vAlign w:val="center"/>
          </w:tcPr>
          <w:p w14:paraId="056D7B82">
            <w:pPr>
              <w:spacing w:line="300" w:lineRule="exact"/>
              <w:jc w:val="center"/>
              <w:rPr>
                <w:b/>
                <w:szCs w:val="21"/>
              </w:rPr>
            </w:pPr>
            <w:r>
              <w:rPr>
                <w:b/>
                <w:szCs w:val="21"/>
              </w:rPr>
              <w:t>9.4</w:t>
            </w:r>
          </w:p>
        </w:tc>
        <w:tc>
          <w:tcPr>
            <w:tcW w:w="1230" w:type="dxa"/>
            <w:tcBorders>
              <w:top w:val="single" w:color="auto" w:sz="4" w:space="0"/>
              <w:left w:val="single" w:color="auto" w:sz="4" w:space="0"/>
              <w:bottom w:val="single" w:color="auto" w:sz="4" w:space="0"/>
              <w:right w:val="single" w:color="auto" w:sz="4" w:space="0"/>
            </w:tcBorders>
            <w:noWrap w:val="0"/>
            <w:vAlign w:val="center"/>
          </w:tcPr>
          <w:p w14:paraId="265C318D">
            <w:pPr>
              <w:spacing w:line="300" w:lineRule="exact"/>
              <w:jc w:val="center"/>
              <w:rPr>
                <w:szCs w:val="20"/>
              </w:rPr>
            </w:pPr>
            <w:r>
              <w:rPr>
                <w:rFonts w:hint="eastAsia"/>
                <w:szCs w:val="20"/>
              </w:rPr>
              <w:t>其他事项</w:t>
            </w:r>
          </w:p>
        </w:tc>
        <w:tc>
          <w:tcPr>
            <w:tcW w:w="7229" w:type="dxa"/>
            <w:tcBorders>
              <w:top w:val="single" w:color="auto" w:sz="4" w:space="0"/>
              <w:left w:val="single" w:color="auto" w:sz="4" w:space="0"/>
              <w:bottom w:val="single" w:color="auto" w:sz="4" w:space="0"/>
              <w:right w:val="single" w:color="auto" w:sz="4" w:space="0"/>
            </w:tcBorders>
            <w:noWrap w:val="0"/>
            <w:vAlign w:val="center"/>
          </w:tcPr>
          <w:p w14:paraId="65101C74">
            <w:pPr>
              <w:spacing w:line="276" w:lineRule="auto"/>
              <w:rPr>
                <w:szCs w:val="21"/>
              </w:rPr>
            </w:pPr>
            <w:r>
              <w:rPr>
                <w:rFonts w:hint="eastAsia"/>
                <w:szCs w:val="21"/>
              </w:rPr>
              <w:t>构成本招标文件的各个组成文件应互为解释，互为说明：</w:t>
            </w:r>
          </w:p>
          <w:p w14:paraId="645E5F3A">
            <w:pPr>
              <w:spacing w:line="276" w:lineRule="auto"/>
              <w:rPr>
                <w:color w:val="4472C4"/>
                <w:sz w:val="24"/>
              </w:rPr>
            </w:pPr>
            <w:r>
              <w:rPr>
                <w:rFonts w:hint="eastAsia"/>
                <w:szCs w:val="21"/>
              </w:rPr>
              <w:t>除招标文件中有特别规定外，仅适用于招标投标阶段的规定，按更正公告（澄清公告）、招标公告、采购需求、投标人须知、评审方法及标准、合同条款格式、投标文件格式的先后顺序解释；同一组成文件中就同一事项的规定或者约定不一致的，以编排顺序在后者为准；同一组成文件不同版本之间有不一致的，以形成时间在后者为准；更正公告（澄清公告）与同步更新的招标文件不一致时以更正公告（澄清公告）为准。按本款前述规定仍不能形成结论的，由采购人或者采购代理机构负责解释。</w:t>
            </w:r>
          </w:p>
        </w:tc>
      </w:tr>
      <w:bookmarkEnd w:id="44"/>
    </w:tbl>
    <w:p w14:paraId="3D28C2BA">
      <w:pPr>
        <w:spacing w:before="120" w:line="320" w:lineRule="atLeast"/>
        <w:outlineLvl w:val="1"/>
        <w:rPr>
          <w:bCs/>
          <w:kern w:val="0"/>
          <w:sz w:val="28"/>
          <w:szCs w:val="28"/>
        </w:rPr>
        <w:sectPr>
          <w:pgSz w:w="11906" w:h="16838"/>
          <w:pgMar w:top="993" w:right="1133" w:bottom="1246" w:left="1418"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122AF67D">
      <w:pPr>
        <w:spacing w:before="120" w:line="320" w:lineRule="atLeast"/>
        <w:outlineLvl w:val="1"/>
        <w:rPr>
          <w:b/>
          <w:bCs/>
          <w:kern w:val="0"/>
          <w:szCs w:val="21"/>
        </w:rPr>
      </w:pPr>
      <w:bookmarkStart w:id="46" w:name="_Hlk88949215"/>
      <w:r>
        <w:rPr>
          <w:b/>
          <w:bCs/>
          <w:kern w:val="0"/>
          <w:szCs w:val="21"/>
        </w:rPr>
        <w:t>1．总则</w:t>
      </w:r>
    </w:p>
    <w:p w14:paraId="40CAC1E0">
      <w:pPr>
        <w:spacing w:before="120" w:line="320" w:lineRule="atLeast"/>
        <w:ind w:firstLine="422" w:firstLineChars="200"/>
        <w:outlineLvl w:val="2"/>
        <w:rPr>
          <w:b/>
          <w:bCs/>
          <w:kern w:val="0"/>
          <w:szCs w:val="21"/>
        </w:rPr>
      </w:pPr>
      <w:bookmarkStart w:id="47" w:name="_Toc254970527"/>
      <w:bookmarkStart w:id="48" w:name="_Toc254970668"/>
      <w:r>
        <w:rPr>
          <w:b/>
          <w:bCs/>
          <w:kern w:val="0"/>
          <w:szCs w:val="21"/>
        </w:rPr>
        <w:t>1.1适用范围</w:t>
      </w:r>
      <w:bookmarkEnd w:id="47"/>
      <w:bookmarkEnd w:id="48"/>
    </w:p>
    <w:p w14:paraId="64E11681">
      <w:pPr>
        <w:spacing w:before="120" w:line="320" w:lineRule="atLeast"/>
        <w:ind w:firstLine="420" w:firstLineChars="200"/>
        <w:rPr>
          <w:szCs w:val="21"/>
        </w:rPr>
      </w:pPr>
      <w:r>
        <w:rPr>
          <w:szCs w:val="21"/>
        </w:rPr>
        <w:t>本招标文件适用于</w:t>
      </w:r>
      <w:r>
        <w:rPr>
          <w:rFonts w:hint="eastAsia"/>
          <w:szCs w:val="21"/>
        </w:rPr>
        <w:t>投标人</w:t>
      </w:r>
      <w:r>
        <w:rPr>
          <w:szCs w:val="21"/>
        </w:rPr>
        <w:t>须知前附表所述项目的</w:t>
      </w:r>
      <w:r>
        <w:rPr>
          <w:rFonts w:hint="eastAsia"/>
          <w:szCs w:val="21"/>
        </w:rPr>
        <w:t>政府采购活动。</w:t>
      </w:r>
    </w:p>
    <w:p w14:paraId="54867457">
      <w:pPr>
        <w:spacing w:before="120" w:line="320" w:lineRule="atLeast"/>
        <w:ind w:firstLine="422" w:firstLineChars="200"/>
        <w:outlineLvl w:val="2"/>
        <w:rPr>
          <w:b/>
          <w:bCs/>
          <w:kern w:val="0"/>
          <w:szCs w:val="21"/>
        </w:rPr>
      </w:pPr>
      <w:bookmarkStart w:id="49" w:name="_Toc254970669"/>
      <w:bookmarkStart w:id="50" w:name="_Toc254970528"/>
      <w:r>
        <w:rPr>
          <w:b/>
          <w:bCs/>
          <w:kern w:val="0"/>
          <w:szCs w:val="21"/>
        </w:rPr>
        <w:t>1.2定义</w:t>
      </w:r>
      <w:bookmarkEnd w:id="49"/>
      <w:bookmarkEnd w:id="50"/>
    </w:p>
    <w:p w14:paraId="43D57520">
      <w:pPr>
        <w:spacing w:before="120" w:line="320" w:lineRule="atLeast"/>
        <w:ind w:firstLine="420" w:firstLineChars="200"/>
        <w:rPr>
          <w:szCs w:val="21"/>
        </w:rPr>
      </w:pPr>
      <w:r>
        <w:rPr>
          <w:szCs w:val="21"/>
        </w:rPr>
        <w:t>1.2.1</w:t>
      </w:r>
      <w:r>
        <w:rPr>
          <w:rFonts w:hint="eastAsia"/>
          <w:szCs w:val="21"/>
        </w:rPr>
        <w:t>“</w:t>
      </w:r>
      <w:r>
        <w:rPr>
          <w:szCs w:val="21"/>
        </w:rPr>
        <w:t>采购人</w:t>
      </w:r>
      <w:r>
        <w:rPr>
          <w:rFonts w:hint="eastAsia"/>
          <w:szCs w:val="21"/>
        </w:rPr>
        <w:t>”</w:t>
      </w:r>
      <w:r>
        <w:rPr>
          <w:szCs w:val="21"/>
        </w:rPr>
        <w:t>系指依法进行政府采购的国家机关、事业单位、团体组织。</w:t>
      </w:r>
    </w:p>
    <w:p w14:paraId="3CF20218">
      <w:pPr>
        <w:spacing w:before="120" w:line="320" w:lineRule="atLeast"/>
        <w:ind w:firstLine="420" w:firstLineChars="200"/>
        <w:rPr>
          <w:szCs w:val="21"/>
        </w:rPr>
      </w:pPr>
      <w:r>
        <w:rPr>
          <w:rFonts w:hint="eastAsia"/>
          <w:szCs w:val="21"/>
        </w:rPr>
        <w:t>1.2.2“供应商”系</w:t>
      </w:r>
      <w:r>
        <w:rPr>
          <w:szCs w:val="21"/>
        </w:rPr>
        <w:t>指向采购人提供货物、工程或者服务的法人、其他组织或者自然人。</w:t>
      </w:r>
    </w:p>
    <w:p w14:paraId="602C4CBE">
      <w:pPr>
        <w:spacing w:before="120" w:line="320" w:lineRule="atLeast"/>
        <w:ind w:firstLine="420" w:firstLineChars="200"/>
        <w:rPr>
          <w:szCs w:val="21"/>
        </w:rPr>
      </w:pPr>
      <w:r>
        <w:rPr>
          <w:szCs w:val="21"/>
        </w:rPr>
        <w:t>1.2.</w:t>
      </w:r>
      <w:r>
        <w:rPr>
          <w:rFonts w:hint="eastAsia"/>
          <w:szCs w:val="21"/>
        </w:rPr>
        <w:t>3“投标人”</w:t>
      </w:r>
      <w:r>
        <w:rPr>
          <w:szCs w:val="21"/>
        </w:rPr>
        <w:t>系</w:t>
      </w:r>
      <w:r>
        <w:rPr>
          <w:color w:val="000000"/>
        </w:rPr>
        <w:t>指响应招标、参加投标竞争的法人、其他组织或者自然人</w:t>
      </w:r>
      <w:r>
        <w:rPr>
          <w:szCs w:val="21"/>
        </w:rPr>
        <w:t>。</w:t>
      </w:r>
    </w:p>
    <w:p w14:paraId="50191897">
      <w:pPr>
        <w:spacing w:before="120" w:line="360" w:lineRule="auto"/>
        <w:ind w:firstLine="420" w:firstLineChars="200"/>
      </w:pPr>
      <w:r>
        <w:rPr>
          <w:rFonts w:hint="eastAsia"/>
        </w:rPr>
        <w:t>1.2.4</w:t>
      </w:r>
      <w:r>
        <w:t>本</w:t>
      </w:r>
      <w:r>
        <w:rPr>
          <w:rFonts w:hint="eastAsia"/>
        </w:rPr>
        <w:t>文件</w:t>
      </w:r>
      <w:r>
        <w:t>中的</w:t>
      </w:r>
      <w:r>
        <w:rPr>
          <w:rFonts w:hint="eastAsia"/>
        </w:rPr>
        <w:t>“法定代表人”若无特别说明，当</w:t>
      </w:r>
      <w:r>
        <w:t>供应商是</w:t>
      </w:r>
      <w:r>
        <w:rPr>
          <w:rFonts w:hint="eastAsia"/>
        </w:rPr>
        <w:t>企业的，是指企业法人营业执照上的法定代表人；当</w:t>
      </w:r>
      <w:r>
        <w:t>供应商是</w:t>
      </w:r>
      <w:r>
        <w:rPr>
          <w:rFonts w:hint="eastAsia"/>
        </w:rPr>
        <w:t>事业单位的，是指事业单位法人证书上的法定代表人；当</w:t>
      </w:r>
      <w:r>
        <w:t>供应商是</w:t>
      </w:r>
      <w:r>
        <w:rPr>
          <w:rFonts w:hint="eastAsia"/>
        </w:rPr>
        <w:t>社会团体、民办非企业的，是指法人登记证书中的法定代表人；当</w:t>
      </w:r>
      <w:r>
        <w:t>供应商是</w:t>
      </w:r>
      <w:r>
        <w:rPr>
          <w:rFonts w:hint="eastAsia"/>
        </w:rPr>
        <w:t>个体工商户的，是指个体工商户营业执照上的经营者；</w:t>
      </w:r>
      <w:r>
        <w:t>当供应商是自然人</w:t>
      </w:r>
      <w:r>
        <w:rPr>
          <w:rFonts w:hint="eastAsia"/>
        </w:rPr>
        <w:t>的，是指参与本项目响应的自然人本人。</w:t>
      </w:r>
    </w:p>
    <w:p w14:paraId="5764673C">
      <w:pPr>
        <w:spacing w:before="120" w:line="360" w:lineRule="auto"/>
        <w:ind w:firstLine="420" w:firstLineChars="200"/>
      </w:pPr>
      <w:r>
        <w:rPr>
          <w:rFonts w:hint="eastAsia"/>
        </w:rPr>
        <w:t>1.2.5本文件中的“公章”是指根据我国对公章的管理规定，用供应商法定主体行为名称制作的印章，除本文件有特殊规定外，供应商的财务章、部门章、分公司章、工会章、合同章、投标专用章、业务专用章及银行的转账章、现金收讫章、现金付讫章等其他形式印章均不能代替公章。本文件中的“签章”是指电子签名的一种表现形式，利用图像处理技术将电子签名操作转化为与纸质文件盖章操作相同的可视效果，同时利用电子签名技术保障电子信息的真实性和完整性以及签名人的不可否认性。</w:t>
      </w:r>
    </w:p>
    <w:p w14:paraId="125A8869">
      <w:pPr>
        <w:widowControl/>
        <w:spacing w:line="360" w:lineRule="auto"/>
        <w:ind w:firstLine="420" w:firstLineChars="200"/>
        <w:jc w:val="left"/>
        <w:rPr>
          <w:szCs w:val="21"/>
        </w:rPr>
      </w:pPr>
      <w:r>
        <w:rPr>
          <w:szCs w:val="21"/>
        </w:rPr>
        <w:t>1.2.</w:t>
      </w:r>
      <w:r>
        <w:rPr>
          <w:rFonts w:hint="eastAsia"/>
          <w:szCs w:val="21"/>
        </w:rPr>
        <w:t>6</w:t>
      </w:r>
      <w:r>
        <w:rPr>
          <w:szCs w:val="21"/>
        </w:rPr>
        <w:t>“书面形式”如无特殊规定，</w:t>
      </w:r>
      <w:r>
        <w:rPr>
          <w:rFonts w:hint="eastAsia"/>
          <w:szCs w:val="21"/>
        </w:rPr>
        <w:t>书面形式是合同书、信件、电报、电传等可以有形地表现所载内容的形式。以电子数据交换、电子邮件等方式能够有形地表现所载内容，并可以随时调取查用的数据电文，视为书面形式。</w:t>
      </w:r>
      <w:r>
        <w:rPr>
          <w:szCs w:val="21"/>
        </w:rPr>
        <w:t xml:space="preserve">招标文件如有特殊规定，以招标文件规定为准。 </w:t>
      </w:r>
    </w:p>
    <w:p w14:paraId="7582EAB6">
      <w:pPr>
        <w:spacing w:before="120" w:line="320" w:lineRule="atLeast"/>
        <w:ind w:firstLine="420" w:firstLineChars="200"/>
        <w:rPr>
          <w:szCs w:val="21"/>
        </w:rPr>
      </w:pPr>
      <w:r>
        <w:rPr>
          <w:szCs w:val="21"/>
        </w:rPr>
        <w:t>1.2.</w:t>
      </w:r>
      <w:r>
        <w:rPr>
          <w:rFonts w:hint="eastAsia"/>
          <w:szCs w:val="21"/>
        </w:rPr>
        <w:t>7本项目的技术商务要求重要性分为“▲”（如有）、“#”（如有）和一般无标识指标。▲代表实质性要求指标，</w:t>
      </w:r>
      <w:r>
        <w:rPr>
          <w:rFonts w:hint="eastAsia"/>
          <w:b/>
          <w:bCs/>
          <w:szCs w:val="21"/>
        </w:rPr>
        <w:t>不满足该指标项将导致投标被否决</w:t>
      </w:r>
      <w:r>
        <w:rPr>
          <w:rFonts w:hint="eastAsia"/>
          <w:szCs w:val="21"/>
        </w:rPr>
        <w:t>，#代表重要指标，无标识则表示一般指标项。</w:t>
      </w:r>
    </w:p>
    <w:p w14:paraId="2D85FB36">
      <w:pPr>
        <w:spacing w:before="120" w:line="320" w:lineRule="atLeast"/>
        <w:ind w:firstLine="420" w:firstLineChars="200"/>
        <w:rPr>
          <w:szCs w:val="21"/>
        </w:rPr>
      </w:pPr>
      <w:r>
        <w:rPr>
          <w:szCs w:val="21"/>
        </w:rPr>
        <w:t>1.2.</w:t>
      </w:r>
      <w:r>
        <w:rPr>
          <w:rFonts w:hint="eastAsia"/>
          <w:szCs w:val="21"/>
        </w:rPr>
        <w:t>8 本</w:t>
      </w:r>
      <w:r>
        <w:rPr>
          <w:szCs w:val="21"/>
        </w:rPr>
        <w:t>招标文件</w:t>
      </w:r>
      <w:r>
        <w:rPr>
          <w:rFonts w:hint="eastAsia"/>
          <w:szCs w:val="21"/>
        </w:rPr>
        <w:t>出现多种选项的条款，以“</w:t>
      </w:r>
      <w:r>
        <w:rPr/>
        <w:sym w:font="Wingdings 2" w:char="F052"/>
      </w:r>
      <w:r>
        <w:rPr>
          <w:rFonts w:hint="eastAsia"/>
          <w:szCs w:val="21"/>
        </w:rPr>
        <w:t>”表示本条款所选择的方式。</w:t>
      </w:r>
    </w:p>
    <w:p w14:paraId="4051B27F">
      <w:pPr>
        <w:spacing w:before="120" w:line="320" w:lineRule="atLeast"/>
        <w:ind w:firstLine="420" w:firstLineChars="200"/>
        <w:rPr>
          <w:szCs w:val="21"/>
        </w:rPr>
      </w:pPr>
      <w:r>
        <w:rPr>
          <w:rFonts w:hint="eastAsia"/>
          <w:szCs w:val="21"/>
        </w:rPr>
        <w:t>1.</w:t>
      </w:r>
      <w:r>
        <w:rPr>
          <w:szCs w:val="21"/>
        </w:rPr>
        <w:t>2</w:t>
      </w:r>
      <w:r>
        <w:rPr>
          <w:rFonts w:hint="eastAsia"/>
          <w:szCs w:val="21"/>
        </w:rPr>
        <w:t>.9</w:t>
      </w:r>
      <w:r>
        <w:rPr>
          <w:szCs w:val="21"/>
        </w:rPr>
        <w:t xml:space="preserve"> “</w:t>
      </w:r>
      <w:r>
        <w:rPr>
          <w:rFonts w:hint="eastAsia"/>
          <w:szCs w:val="21"/>
        </w:rPr>
        <w:t>电子交易平台</w:t>
      </w:r>
      <w:r>
        <w:rPr>
          <w:szCs w:val="21"/>
        </w:rPr>
        <w:t>”</w:t>
      </w:r>
      <w:r>
        <w:rPr>
          <w:rFonts w:hint="eastAsia"/>
          <w:szCs w:val="21"/>
        </w:rPr>
        <w:t>是指以数据电文形式在线完成采购活动的信息平台，本招标文件中也称</w:t>
      </w:r>
      <w:r>
        <w:rPr>
          <w:szCs w:val="21"/>
        </w:rPr>
        <w:t>“</w:t>
      </w:r>
      <w:r>
        <w:rPr>
          <w:rFonts w:hint="eastAsia"/>
          <w:szCs w:val="21"/>
        </w:rPr>
        <w:t>广西政府采购云平台</w:t>
      </w:r>
      <w:r>
        <w:rPr>
          <w:szCs w:val="21"/>
        </w:rPr>
        <w:t>”</w:t>
      </w:r>
      <w:r>
        <w:rPr>
          <w:rFonts w:hint="eastAsia"/>
          <w:szCs w:val="21"/>
        </w:rPr>
        <w:t>。</w:t>
      </w:r>
    </w:p>
    <w:p w14:paraId="1ADF1854">
      <w:pPr>
        <w:spacing w:before="120" w:line="320" w:lineRule="atLeast"/>
        <w:ind w:firstLine="422" w:firstLineChars="200"/>
        <w:outlineLvl w:val="2"/>
        <w:rPr>
          <w:b/>
          <w:bCs/>
          <w:kern w:val="0"/>
          <w:szCs w:val="21"/>
        </w:rPr>
      </w:pPr>
      <w:r>
        <w:rPr>
          <w:rFonts w:hint="eastAsia"/>
          <w:b/>
          <w:bCs/>
          <w:kern w:val="0"/>
          <w:szCs w:val="21"/>
        </w:rPr>
        <w:t>1</w:t>
      </w:r>
      <w:r>
        <w:rPr>
          <w:b/>
          <w:bCs/>
          <w:kern w:val="0"/>
          <w:szCs w:val="21"/>
        </w:rPr>
        <w:t>.3</w:t>
      </w:r>
      <w:r>
        <w:rPr>
          <w:rFonts w:hint="eastAsia"/>
          <w:b/>
          <w:bCs/>
          <w:kern w:val="0"/>
          <w:szCs w:val="21"/>
        </w:rPr>
        <w:t>项目信息</w:t>
      </w:r>
    </w:p>
    <w:p w14:paraId="65DD4DB0">
      <w:pPr>
        <w:spacing w:before="120" w:line="320" w:lineRule="atLeast"/>
        <w:ind w:firstLine="420" w:firstLineChars="200"/>
        <w:rPr>
          <w:szCs w:val="21"/>
        </w:rPr>
      </w:pPr>
      <w:r>
        <w:rPr>
          <w:rFonts w:hint="eastAsia"/>
          <w:szCs w:val="21"/>
        </w:rPr>
        <w:t>1</w:t>
      </w:r>
      <w:r>
        <w:rPr>
          <w:szCs w:val="21"/>
        </w:rPr>
        <w:t>.3.1</w:t>
      </w:r>
      <w:r>
        <w:rPr>
          <w:rFonts w:hint="eastAsia"/>
          <w:szCs w:val="21"/>
        </w:rPr>
        <w:t>项目名称及编号：详见投标人须知前附表</w:t>
      </w:r>
    </w:p>
    <w:p w14:paraId="419515F5">
      <w:pPr>
        <w:spacing w:before="120" w:line="320" w:lineRule="atLeast"/>
        <w:ind w:firstLine="420" w:firstLineChars="200"/>
        <w:rPr>
          <w:szCs w:val="21"/>
        </w:rPr>
      </w:pPr>
      <w:r>
        <w:rPr>
          <w:rFonts w:hint="eastAsia"/>
          <w:szCs w:val="21"/>
        </w:rPr>
        <w:t>1</w:t>
      </w:r>
      <w:r>
        <w:rPr>
          <w:szCs w:val="21"/>
        </w:rPr>
        <w:t>.3.2</w:t>
      </w:r>
      <w:r>
        <w:rPr>
          <w:rFonts w:hint="eastAsia"/>
          <w:szCs w:val="21"/>
        </w:rPr>
        <w:t>采购方式：详见投标人须知前附表</w:t>
      </w:r>
    </w:p>
    <w:p w14:paraId="59E29085">
      <w:pPr>
        <w:spacing w:before="120" w:line="320" w:lineRule="atLeast"/>
        <w:ind w:firstLine="422" w:firstLineChars="200"/>
        <w:outlineLvl w:val="2"/>
        <w:rPr>
          <w:b/>
          <w:bCs/>
          <w:kern w:val="0"/>
          <w:szCs w:val="21"/>
        </w:rPr>
      </w:pPr>
      <w:bookmarkStart w:id="51" w:name="_Hlk132812137"/>
      <w:r>
        <w:rPr>
          <w:rFonts w:hint="eastAsia"/>
          <w:b/>
          <w:bCs/>
          <w:kern w:val="0"/>
          <w:szCs w:val="21"/>
        </w:rPr>
        <w:t>1</w:t>
      </w:r>
      <w:r>
        <w:rPr>
          <w:b/>
          <w:bCs/>
          <w:kern w:val="0"/>
          <w:szCs w:val="21"/>
        </w:rPr>
        <w:t>.4</w:t>
      </w:r>
      <w:r>
        <w:rPr>
          <w:rFonts w:hint="eastAsia"/>
          <w:b/>
          <w:bCs/>
          <w:kern w:val="0"/>
          <w:szCs w:val="21"/>
        </w:rPr>
        <w:t>促进中小企业发展政策</w:t>
      </w:r>
    </w:p>
    <w:p w14:paraId="61521DC3">
      <w:pPr>
        <w:spacing w:before="120" w:line="320" w:lineRule="atLeast"/>
        <w:ind w:left="2" w:leftChars="1" w:firstLine="420" w:firstLineChars="200"/>
        <w:rPr>
          <w:szCs w:val="21"/>
        </w:rPr>
      </w:pPr>
      <w:r>
        <w:rPr>
          <w:szCs w:val="21"/>
        </w:rPr>
        <w:t>1.4.1</w:t>
      </w:r>
      <w:r>
        <w:rPr>
          <w:rFonts w:hint="eastAsia"/>
          <w:szCs w:val="21"/>
        </w:rPr>
        <w:t>本项目落实促进中小企业发展政策措施在前附表规定。依据促进中小企业发展政策获得政府采购合同的，小微企业不得将合同分包给大中型企业，中型企业不得将合同分包给大型企业。</w:t>
      </w:r>
    </w:p>
    <w:p w14:paraId="7DF20942">
      <w:pPr>
        <w:spacing w:before="120" w:line="320" w:lineRule="atLeast"/>
        <w:ind w:left="2" w:leftChars="1" w:firstLine="420" w:firstLineChars="200"/>
        <w:rPr>
          <w:szCs w:val="21"/>
        </w:rPr>
      </w:pPr>
      <w:bookmarkStart w:id="52" w:name="_Hlk138842976"/>
      <w:r>
        <w:rPr>
          <w:rFonts w:hint="eastAsia"/>
          <w:szCs w:val="21"/>
        </w:rPr>
        <w:t>根据《政府采购促进中小企业发展管理办法》（财库</w:t>
      </w:r>
      <w:r>
        <w:rPr>
          <w:rFonts w:hint="eastAsia"/>
          <w:szCs w:val="21"/>
          <w:lang w:eastAsia="zh-CN"/>
        </w:rPr>
        <w:t>〔2020〕46号</w:t>
      </w:r>
      <w:r>
        <w:rPr>
          <w:rFonts w:hint="eastAsia"/>
          <w:szCs w:val="21"/>
        </w:rPr>
        <w:t>）第九条以及《广西壮族自治区财政厅 广西壮族自治区工业和信息化厅转发财政部 工业和信息化部政府采购促进中小企业发展管理办法的通知》（桂财采</w:t>
      </w:r>
      <w:r>
        <w:rPr>
          <w:rFonts w:hint="eastAsia"/>
          <w:szCs w:val="21"/>
          <w:lang w:eastAsia="zh-CN"/>
        </w:rPr>
        <w:t>〔2021〕70号</w:t>
      </w:r>
      <w:r>
        <w:rPr>
          <w:rFonts w:hint="eastAsia"/>
          <w:szCs w:val="21"/>
        </w:rPr>
        <w:t>）规定，</w:t>
      </w:r>
      <w:bookmarkEnd w:id="52"/>
      <w:bookmarkStart w:id="53" w:name="_Hlk92205820"/>
      <w:r>
        <w:rPr>
          <w:rFonts w:hint="eastAsia"/>
          <w:szCs w:val="21"/>
        </w:rPr>
        <w:t>价格扣除比例在第四章评审方法及标准中规定，对小型企业和微型企业同等对待，不作区分。</w:t>
      </w:r>
    </w:p>
    <w:p w14:paraId="07EC8E94">
      <w:pPr>
        <w:spacing w:before="120" w:line="320" w:lineRule="atLeast"/>
        <w:ind w:left="2" w:leftChars="1" w:firstLine="420" w:firstLineChars="200"/>
        <w:rPr>
          <w:szCs w:val="21"/>
        </w:rPr>
      </w:pPr>
      <w:r>
        <w:rPr>
          <w:szCs w:val="21"/>
        </w:rPr>
        <w:t>1.4.2</w:t>
      </w:r>
      <w:r>
        <w:rPr>
          <w:rFonts w:hint="eastAsia"/>
          <w:szCs w:val="21"/>
        </w:rPr>
        <w:t>中小企业定义</w:t>
      </w:r>
    </w:p>
    <w:p w14:paraId="006252E7">
      <w:pPr>
        <w:spacing w:before="120" w:line="320" w:lineRule="atLeast"/>
        <w:ind w:firstLine="420" w:firstLineChars="200"/>
        <w:rPr>
          <w:szCs w:val="21"/>
        </w:rPr>
      </w:pPr>
      <w:r>
        <w:rPr>
          <w:szCs w:val="21"/>
        </w:rPr>
        <w:t>1.4.2.1</w:t>
      </w:r>
      <w:r>
        <w:rPr>
          <w:rFonts w:hint="eastAsia"/>
          <w:szCs w:val="21"/>
        </w:rPr>
        <w:t>中小企业是指在中华人民共和国境内依法设立，依据国务院批准的中小企业划分标准确定的中型企业、小型企业和微型企业，但与大企业的负责人为同一人，或者与大企业存在直接控股、管理关系的除外。</w:t>
      </w:r>
    </w:p>
    <w:p w14:paraId="2E0576FA">
      <w:pPr>
        <w:spacing w:before="120" w:line="320" w:lineRule="atLeast"/>
        <w:ind w:left="2" w:leftChars="1" w:firstLine="420" w:firstLineChars="200"/>
        <w:rPr>
          <w:szCs w:val="21"/>
        </w:rPr>
      </w:pPr>
      <w:r>
        <w:rPr>
          <w:szCs w:val="21"/>
        </w:rPr>
        <w:t>1.4.2.2</w:t>
      </w:r>
      <w:r>
        <w:rPr>
          <w:rFonts w:hint="eastAsia"/>
          <w:szCs w:val="21"/>
        </w:rPr>
        <w:t>供应商提供的货物、工程或者服务符合下列情形的，享受本款规定的促进中小企业发展政策：</w:t>
      </w:r>
    </w:p>
    <w:p w14:paraId="48E3772E">
      <w:pPr>
        <w:spacing w:before="120" w:line="320" w:lineRule="atLeast"/>
        <w:ind w:left="2" w:leftChars="1" w:firstLine="420" w:firstLineChars="200"/>
        <w:rPr>
          <w:szCs w:val="21"/>
        </w:rPr>
      </w:pPr>
      <w:r>
        <w:rPr>
          <w:rFonts w:hint="eastAsia"/>
          <w:szCs w:val="21"/>
        </w:rPr>
        <w:t>在货物采购项目中，货物由中小企业制造，即货物由中小企业生产且使用该中小企业商号或者注册商标；</w:t>
      </w:r>
    </w:p>
    <w:p w14:paraId="48415164">
      <w:pPr>
        <w:spacing w:before="120" w:line="320" w:lineRule="atLeast"/>
        <w:ind w:left="2" w:leftChars="1" w:firstLine="420" w:firstLineChars="200"/>
        <w:rPr>
          <w:szCs w:val="21"/>
        </w:rPr>
      </w:pPr>
      <w:r>
        <w:rPr>
          <w:rFonts w:hint="eastAsia"/>
          <w:szCs w:val="21"/>
        </w:rPr>
        <w:t>在工程采购项目中，工程由中小企业承建，即工程施工单位为中小企业；</w:t>
      </w:r>
    </w:p>
    <w:p w14:paraId="688739E1">
      <w:pPr>
        <w:spacing w:before="120" w:line="320" w:lineRule="atLeast"/>
        <w:ind w:left="2" w:leftChars="1" w:firstLine="420" w:firstLineChars="200"/>
        <w:rPr>
          <w:szCs w:val="21"/>
        </w:rPr>
      </w:pPr>
      <w:r>
        <w:rPr>
          <w:rFonts w:hint="eastAsia"/>
          <w:szCs w:val="21"/>
        </w:rPr>
        <w:t>在服务采购项目中，服务由中小企业承接，即提供服务的人员为中小企业依照《中华人民共和国劳动合同法》订立劳动合同的从业人员。</w:t>
      </w:r>
    </w:p>
    <w:p w14:paraId="11EEDCA3">
      <w:pPr>
        <w:spacing w:before="120" w:line="320" w:lineRule="atLeast"/>
        <w:ind w:left="2" w:leftChars="1" w:firstLine="420" w:firstLineChars="200"/>
        <w:rPr>
          <w:szCs w:val="21"/>
        </w:rPr>
      </w:pPr>
      <w:r>
        <w:rPr>
          <w:rFonts w:hint="eastAsia"/>
          <w:szCs w:val="21"/>
        </w:rPr>
        <w:t>在货物采购项目中，供应商提供的货物既有中小企业制造货物，也有大型企业制造货物的，不享受本款规定的促进中小企业发展政策。</w:t>
      </w:r>
    </w:p>
    <w:p w14:paraId="049AE436">
      <w:pPr>
        <w:spacing w:before="120" w:line="320" w:lineRule="atLeast"/>
        <w:ind w:firstLine="420" w:firstLineChars="200"/>
        <w:rPr>
          <w:szCs w:val="21"/>
        </w:rPr>
      </w:pPr>
      <w:r>
        <w:rPr>
          <w:szCs w:val="21"/>
        </w:rPr>
        <w:t>1.4.2</w:t>
      </w:r>
      <w:r>
        <w:rPr>
          <w:rFonts w:hint="eastAsia"/>
          <w:szCs w:val="21"/>
        </w:rPr>
        <w:t>.</w:t>
      </w:r>
      <w:r>
        <w:rPr>
          <w:szCs w:val="21"/>
        </w:rPr>
        <w:t>3</w:t>
      </w:r>
      <w:r>
        <w:rPr>
          <w:rFonts w:hint="eastAsia"/>
          <w:szCs w:val="21"/>
        </w:rPr>
        <w:t>本项目标的所属行业在第二章采购需求中规定。供应商根据中小企业划分标准（《关于印发中小企业划型标准规定的通知》（工信部联企业〔2011〕300号）判断是否为中小企业。（见附件）</w:t>
      </w:r>
    </w:p>
    <w:p w14:paraId="2ACBC7E6">
      <w:pPr>
        <w:spacing w:before="120" w:line="320" w:lineRule="atLeast"/>
        <w:ind w:firstLine="420" w:firstLineChars="200"/>
        <w:rPr>
          <w:szCs w:val="21"/>
        </w:rPr>
      </w:pPr>
      <w:r>
        <w:rPr>
          <w:rFonts w:hint="eastAsia"/>
          <w:szCs w:val="21"/>
        </w:rPr>
        <w:t>符合条件的货物制造商、工程施工单位、服务承接单位为中小企业的，应按招标文件规定在投标文件中提供声明函。</w:t>
      </w:r>
    </w:p>
    <w:p w14:paraId="6FA8B56D">
      <w:pPr>
        <w:spacing w:before="120" w:line="320" w:lineRule="atLeast"/>
        <w:ind w:firstLine="420" w:firstLineChars="200"/>
        <w:rPr>
          <w:szCs w:val="21"/>
        </w:rPr>
      </w:pPr>
      <w:r>
        <w:rPr>
          <w:szCs w:val="21"/>
        </w:rPr>
        <w:t>1.4</w:t>
      </w:r>
      <w:r>
        <w:rPr>
          <w:rFonts w:hint="eastAsia"/>
          <w:szCs w:val="21"/>
        </w:rPr>
        <w:t>.</w:t>
      </w:r>
      <w:r>
        <w:rPr>
          <w:szCs w:val="21"/>
        </w:rPr>
        <w:t>2</w:t>
      </w:r>
      <w:r>
        <w:rPr>
          <w:rFonts w:hint="eastAsia"/>
          <w:szCs w:val="21"/>
        </w:rPr>
        <w:t>.</w:t>
      </w:r>
      <w:r>
        <w:rPr>
          <w:szCs w:val="21"/>
        </w:rPr>
        <w:t>4</w:t>
      </w:r>
      <w:r>
        <w:rPr>
          <w:rFonts w:hint="eastAsia"/>
          <w:szCs w:val="21"/>
        </w:rPr>
        <w:t>视同中小企业情形</w:t>
      </w:r>
    </w:p>
    <w:p w14:paraId="29512987">
      <w:pPr>
        <w:spacing w:before="120" w:line="320" w:lineRule="atLeast"/>
        <w:ind w:firstLine="420" w:firstLineChars="200"/>
        <w:rPr>
          <w:szCs w:val="21"/>
        </w:rPr>
      </w:pPr>
      <w:r>
        <w:rPr>
          <w:rFonts w:hint="eastAsia"/>
          <w:szCs w:val="21"/>
        </w:rPr>
        <w:t>（1）符合中小企业划分标准的个体工商户，视同中小企业。</w:t>
      </w:r>
    </w:p>
    <w:p w14:paraId="3064198E">
      <w:pPr>
        <w:spacing w:before="120" w:line="320" w:lineRule="atLeast"/>
        <w:ind w:firstLine="420" w:firstLineChars="200"/>
        <w:rPr>
          <w:szCs w:val="21"/>
        </w:rPr>
      </w:pPr>
      <w:r>
        <w:rPr>
          <w:rFonts w:hint="eastAsia"/>
          <w:szCs w:val="21"/>
        </w:rPr>
        <w:t>（2）以联合体形式参加政府采购活动，联合体各方均为中小企业的，联合体视同中小企业。其中，联合体各方均为小微企业的，联合体视同小微企业。</w:t>
      </w:r>
    </w:p>
    <w:p w14:paraId="08B293B0">
      <w:pPr>
        <w:spacing w:before="120" w:line="320" w:lineRule="atLeast"/>
        <w:ind w:firstLine="420" w:firstLineChars="200"/>
        <w:rPr>
          <w:szCs w:val="21"/>
        </w:rPr>
      </w:pPr>
      <w:r>
        <w:rPr>
          <w:rFonts w:hint="eastAsia"/>
          <w:szCs w:val="21"/>
        </w:rPr>
        <w:t>（3）符合《财政部、司法部关于政府采购支持监狱企业发展有关问题的通知》（财库〔2014〕68号）规定的监狱企业，或符合《关于促进残疾人就业政府采购政策的通知》（财库〔2017〕141号）规定的残疾人福利性单位，视同小型、微型企业。</w:t>
      </w:r>
    </w:p>
    <w:p w14:paraId="2B8DB929">
      <w:pPr>
        <w:spacing w:before="120" w:line="320" w:lineRule="atLeast"/>
        <w:ind w:left="2" w:leftChars="1" w:firstLine="420" w:firstLineChars="200"/>
        <w:rPr>
          <w:rFonts w:hint="eastAsia"/>
          <w:szCs w:val="21"/>
        </w:rPr>
      </w:pPr>
      <w:r>
        <w:rPr>
          <w:rFonts w:hint="eastAsia"/>
          <w:szCs w:val="21"/>
        </w:rPr>
        <w:t>符合条件的货物制造商、工程施工单位、服务承接单位为监狱企业或残疾人福利性单位的，应按招标文件规定在投标文件中提供相关证明文件。</w:t>
      </w:r>
      <w:bookmarkEnd w:id="53"/>
    </w:p>
    <w:bookmarkEnd w:id="51"/>
    <w:p w14:paraId="01CA86F8">
      <w:pPr>
        <w:spacing w:before="120" w:line="320" w:lineRule="atLeast"/>
        <w:ind w:firstLine="422" w:firstLineChars="200"/>
        <w:outlineLvl w:val="2"/>
        <w:rPr>
          <w:b/>
          <w:bCs/>
          <w:kern w:val="0"/>
          <w:szCs w:val="21"/>
        </w:rPr>
      </w:pPr>
      <w:r>
        <w:rPr>
          <w:b/>
          <w:bCs/>
          <w:kern w:val="0"/>
          <w:szCs w:val="21"/>
        </w:rPr>
        <w:t>1.5</w:t>
      </w:r>
      <w:r>
        <w:rPr>
          <w:rFonts w:hint="eastAsia"/>
          <w:b/>
          <w:bCs/>
          <w:kern w:val="0"/>
          <w:szCs w:val="21"/>
        </w:rPr>
        <w:t>投标人</w:t>
      </w:r>
      <w:r>
        <w:rPr>
          <w:b/>
          <w:bCs/>
          <w:kern w:val="0"/>
          <w:szCs w:val="21"/>
        </w:rPr>
        <w:t>资格</w:t>
      </w:r>
      <w:r>
        <w:rPr>
          <w:rFonts w:hint="eastAsia"/>
          <w:b/>
          <w:bCs/>
          <w:kern w:val="0"/>
          <w:szCs w:val="21"/>
        </w:rPr>
        <w:t>要求</w:t>
      </w:r>
    </w:p>
    <w:p w14:paraId="0548A51F">
      <w:pPr>
        <w:spacing w:before="120" w:line="320" w:lineRule="atLeast"/>
        <w:ind w:firstLine="420" w:firstLineChars="200"/>
        <w:rPr>
          <w:szCs w:val="21"/>
        </w:rPr>
      </w:pPr>
      <w:r>
        <w:rPr>
          <w:szCs w:val="21"/>
        </w:rPr>
        <w:t>1.5.1</w:t>
      </w:r>
      <w:r>
        <w:rPr>
          <w:rFonts w:hint="eastAsia"/>
          <w:szCs w:val="21"/>
        </w:rPr>
        <w:t>投标人资格要求：详见投标人须知前附表</w:t>
      </w:r>
    </w:p>
    <w:p w14:paraId="55600B3B">
      <w:pPr>
        <w:spacing w:before="120" w:line="320" w:lineRule="atLeast"/>
        <w:ind w:firstLine="420" w:firstLineChars="200"/>
        <w:rPr>
          <w:szCs w:val="21"/>
        </w:rPr>
      </w:pPr>
      <w:r>
        <w:rPr>
          <w:szCs w:val="21"/>
        </w:rPr>
        <w:t>1.5.2按照招标公告的规定获得招标文件。</w:t>
      </w:r>
    </w:p>
    <w:p w14:paraId="59F822DF">
      <w:pPr>
        <w:spacing w:before="120" w:line="320" w:lineRule="atLeast"/>
        <w:ind w:firstLine="420" w:firstLineChars="200"/>
        <w:rPr>
          <w:szCs w:val="21"/>
        </w:rPr>
      </w:pPr>
      <w:r>
        <w:rPr>
          <w:szCs w:val="21"/>
        </w:rPr>
        <w:t>1.5.3本项目是否接受联合体投标，见“</w:t>
      </w:r>
      <w:r>
        <w:rPr>
          <w:rFonts w:hint="eastAsia"/>
          <w:szCs w:val="21"/>
        </w:rPr>
        <w:t>投标人</w:t>
      </w:r>
      <w:r>
        <w:rPr>
          <w:szCs w:val="21"/>
        </w:rPr>
        <w:t>须知前附表”规定。</w:t>
      </w:r>
    </w:p>
    <w:p w14:paraId="4018D206">
      <w:pPr>
        <w:spacing w:before="120" w:line="320" w:lineRule="atLeast"/>
        <w:ind w:firstLine="420" w:firstLineChars="200"/>
        <w:rPr>
          <w:szCs w:val="21"/>
        </w:rPr>
      </w:pPr>
      <w:r>
        <w:rPr>
          <w:rFonts w:hint="eastAsia"/>
          <w:szCs w:val="21"/>
        </w:rPr>
        <w:t xml:space="preserve">如接受联合体投标，联合体投标要求如下： </w:t>
      </w:r>
    </w:p>
    <w:p w14:paraId="104F16F3">
      <w:pPr>
        <w:spacing w:before="120" w:line="320" w:lineRule="atLeast"/>
        <w:ind w:firstLine="420" w:firstLineChars="200"/>
        <w:rPr>
          <w:szCs w:val="21"/>
        </w:rPr>
      </w:pPr>
      <w:r>
        <w:rPr>
          <w:szCs w:val="21"/>
        </w:rPr>
        <w:t>（1</w:t>
      </w:r>
      <w:r>
        <w:rPr>
          <w:rFonts w:hint="eastAsia"/>
          <w:szCs w:val="21"/>
        </w:rPr>
        <w:t>）供应商可以组成一个投标联合体，以一个</w:t>
      </w:r>
      <w:r>
        <w:rPr>
          <w:szCs w:val="21"/>
        </w:rPr>
        <w:t>供应商</w:t>
      </w:r>
      <w:r>
        <w:rPr>
          <w:rFonts w:hint="eastAsia"/>
          <w:szCs w:val="21"/>
        </w:rPr>
        <w:t>的身份共同参加投标。联合体投标的，须提供《联合体协议书》（格式后附）</w:t>
      </w:r>
    </w:p>
    <w:p w14:paraId="1FCBA63F">
      <w:pPr>
        <w:spacing w:before="120" w:line="320" w:lineRule="atLeast"/>
        <w:ind w:firstLine="420" w:firstLineChars="200"/>
        <w:rPr>
          <w:szCs w:val="21"/>
        </w:rPr>
      </w:pPr>
      <w:r>
        <w:rPr>
          <w:szCs w:val="21"/>
        </w:rPr>
        <w:t>（2</w:t>
      </w:r>
      <w:r>
        <w:rPr>
          <w:rFonts w:hint="eastAsia"/>
          <w:szCs w:val="21"/>
        </w:rPr>
        <w:t>）以联合体形式参加投标的，联合体各方均必须具备《中华人民共和国政府采购法》第二十二条第一款规定的基本条件。本项目有特殊要求规定供应商特定条件的，联合体各方中至少有一方必须符合招标文件规定的特定条件。</w:t>
      </w:r>
    </w:p>
    <w:p w14:paraId="76324481">
      <w:pPr>
        <w:spacing w:before="120" w:line="320" w:lineRule="atLeast"/>
        <w:ind w:firstLine="420" w:firstLineChars="200"/>
        <w:rPr>
          <w:szCs w:val="21"/>
        </w:rPr>
      </w:pPr>
      <w:r>
        <w:rPr>
          <w:szCs w:val="21"/>
        </w:rPr>
        <w:t>（3</w:t>
      </w:r>
      <w:r>
        <w:rPr>
          <w:rFonts w:hint="eastAsia"/>
          <w:szCs w:val="21"/>
        </w:rPr>
        <w:t>）联合体各方之间必须签订联合体协议，协议书必须明确主体方（或者牵头方）并明确约定联合体各方承担的工作和相应的责任，并将联合投标协议放入投标文件。联合体各方必须共同与采购人签订采购合同，就采购合同约定的事项对采购人承担连带责任。</w:t>
      </w:r>
    </w:p>
    <w:p w14:paraId="26805064">
      <w:pPr>
        <w:spacing w:before="120" w:line="320" w:lineRule="atLeast"/>
        <w:ind w:firstLine="420" w:firstLineChars="200"/>
        <w:rPr>
          <w:szCs w:val="21"/>
        </w:rPr>
      </w:pPr>
      <w:r>
        <w:rPr>
          <w:szCs w:val="21"/>
        </w:rPr>
        <w:t>（4</w:t>
      </w:r>
      <w:r>
        <w:rPr>
          <w:rFonts w:hint="eastAsia"/>
          <w:szCs w:val="21"/>
        </w:rPr>
        <w:t>）以联合体形式参加政府采购活动的，联合体各方不得再单独参加或者与其他供应商另外组成联合体参加同一合同项下的政府采购活动。</w:t>
      </w:r>
    </w:p>
    <w:p w14:paraId="6B7F0EE3">
      <w:pPr>
        <w:spacing w:before="120" w:line="320" w:lineRule="atLeast"/>
        <w:ind w:firstLine="420" w:firstLineChars="200"/>
        <w:rPr>
          <w:szCs w:val="21"/>
        </w:rPr>
      </w:pPr>
      <w:r>
        <w:rPr>
          <w:szCs w:val="21"/>
        </w:rPr>
        <w:t>（5</w:t>
      </w:r>
      <w:r>
        <w:rPr>
          <w:rFonts w:hint="eastAsia"/>
          <w:szCs w:val="21"/>
        </w:rPr>
        <w:t>）联合体中有同类资质的供应商按照联合体分工承担相同工作的，应当按照资质等级较低的供应商确定资质等级。</w:t>
      </w:r>
    </w:p>
    <w:p w14:paraId="553229EA">
      <w:pPr>
        <w:spacing w:before="120" w:line="320" w:lineRule="atLeast"/>
        <w:ind w:firstLine="420" w:firstLineChars="200"/>
        <w:rPr>
          <w:szCs w:val="21"/>
        </w:rPr>
      </w:pPr>
      <w:r>
        <w:rPr>
          <w:szCs w:val="21"/>
        </w:rPr>
        <w:t>（6</w:t>
      </w:r>
      <w:r>
        <w:rPr>
          <w:rFonts w:hint="eastAsia"/>
          <w:szCs w:val="21"/>
        </w:rPr>
        <w:t>）联合体投标业绩、履约能力按照联合体各方其中较高的一方认定并计算（招标文件其他章节另有规定的除外）。</w:t>
      </w:r>
    </w:p>
    <w:p w14:paraId="0DAA6E8A">
      <w:pPr>
        <w:spacing w:before="120" w:line="320" w:lineRule="atLeast"/>
        <w:ind w:firstLine="420" w:firstLineChars="200"/>
        <w:rPr>
          <w:szCs w:val="21"/>
        </w:rPr>
      </w:pPr>
      <w:r>
        <w:rPr>
          <w:szCs w:val="21"/>
        </w:rPr>
        <w:t>（7</w:t>
      </w:r>
      <w:r>
        <w:rPr>
          <w:rFonts w:hint="eastAsia"/>
          <w:szCs w:val="21"/>
        </w:rPr>
        <w:t>）供应商为联合体的，可以由联合体中的一方或者多方共同交纳投标保证金，其交纳的保证金对联合体各方均具有约束力。</w:t>
      </w:r>
    </w:p>
    <w:p w14:paraId="366C1CBB">
      <w:pPr>
        <w:spacing w:before="120" w:line="320" w:lineRule="atLeast"/>
        <w:ind w:firstLine="420" w:firstLineChars="200"/>
        <w:rPr>
          <w:szCs w:val="21"/>
        </w:rPr>
      </w:pPr>
      <w:r>
        <w:rPr>
          <w:szCs w:val="21"/>
        </w:rPr>
        <w:t>（8</w:t>
      </w:r>
      <w:r>
        <w:rPr>
          <w:rFonts w:hint="eastAsia"/>
          <w:szCs w:val="21"/>
        </w:rPr>
        <w:t>）联合体各方均应按照招标文件的规定提交资格证明文件。</w:t>
      </w:r>
    </w:p>
    <w:p w14:paraId="78F43105">
      <w:pPr>
        <w:spacing w:before="120" w:line="320" w:lineRule="atLeast"/>
        <w:ind w:firstLine="422" w:firstLineChars="200"/>
        <w:outlineLvl w:val="2"/>
        <w:rPr>
          <w:b/>
          <w:bCs/>
          <w:kern w:val="0"/>
          <w:szCs w:val="21"/>
        </w:rPr>
      </w:pPr>
      <w:bookmarkStart w:id="54" w:name="_Toc254970531"/>
      <w:bookmarkStart w:id="55" w:name="_Toc254970672"/>
      <w:r>
        <w:rPr>
          <w:b/>
          <w:bCs/>
          <w:kern w:val="0"/>
          <w:szCs w:val="21"/>
        </w:rPr>
        <w:t>1.6现场踏勘及投标费用</w:t>
      </w:r>
      <w:bookmarkEnd w:id="54"/>
      <w:bookmarkEnd w:id="55"/>
    </w:p>
    <w:p w14:paraId="61C796CB">
      <w:pPr>
        <w:spacing w:before="120" w:line="320" w:lineRule="atLeast"/>
        <w:ind w:firstLine="420" w:firstLineChars="200"/>
        <w:rPr>
          <w:szCs w:val="21"/>
        </w:rPr>
      </w:pPr>
      <w:r>
        <w:rPr>
          <w:szCs w:val="21"/>
        </w:rPr>
        <w:t>1.6.1前附表如规定现场踏勘的，供应商应按规定时间地点参加踏勘。</w:t>
      </w:r>
    </w:p>
    <w:p w14:paraId="385D1FD6">
      <w:pPr>
        <w:spacing w:before="120" w:line="320" w:lineRule="atLeast"/>
        <w:ind w:firstLine="420" w:firstLineChars="200"/>
        <w:rPr>
          <w:szCs w:val="21"/>
        </w:rPr>
      </w:pPr>
      <w:r>
        <w:rPr>
          <w:szCs w:val="21"/>
        </w:rPr>
        <w:t>1.6.2供应商均应自行承担所有与投标有关的全部费用（招标文件有相关的规定除外）。</w:t>
      </w:r>
    </w:p>
    <w:p w14:paraId="35AECF66">
      <w:pPr>
        <w:spacing w:before="120" w:line="320" w:lineRule="atLeast"/>
        <w:ind w:firstLine="422" w:firstLineChars="200"/>
        <w:outlineLvl w:val="2"/>
        <w:rPr>
          <w:b/>
          <w:bCs/>
          <w:kern w:val="0"/>
          <w:szCs w:val="21"/>
        </w:rPr>
      </w:pPr>
      <w:r>
        <w:rPr>
          <w:b/>
          <w:bCs/>
          <w:kern w:val="0"/>
          <w:szCs w:val="21"/>
        </w:rPr>
        <w:t>1.7转包与分包</w:t>
      </w:r>
    </w:p>
    <w:p w14:paraId="28735EAA">
      <w:pPr>
        <w:spacing w:before="120" w:line="320" w:lineRule="atLeast"/>
        <w:ind w:firstLine="420" w:firstLineChars="200"/>
        <w:rPr>
          <w:szCs w:val="21"/>
        </w:rPr>
      </w:pPr>
      <w:r>
        <w:rPr>
          <w:szCs w:val="21"/>
        </w:rPr>
        <w:t>1.7.1如</w:t>
      </w:r>
      <w:r>
        <w:rPr>
          <w:rFonts w:hint="eastAsia"/>
          <w:szCs w:val="21"/>
        </w:rPr>
        <w:t>招标</w:t>
      </w:r>
      <w:r>
        <w:rPr>
          <w:szCs w:val="21"/>
        </w:rPr>
        <w:t>文件其他地方无特别规定</w:t>
      </w:r>
      <w:r>
        <w:rPr>
          <w:rFonts w:hint="eastAsia"/>
          <w:szCs w:val="21"/>
        </w:rPr>
        <w:t>，</w:t>
      </w:r>
      <w:r>
        <w:rPr>
          <w:szCs w:val="21"/>
        </w:rPr>
        <w:t>本项目不允许转包。</w:t>
      </w:r>
    </w:p>
    <w:p w14:paraId="12E2C050">
      <w:pPr>
        <w:spacing w:before="120" w:line="320" w:lineRule="atLeast"/>
        <w:ind w:firstLine="420" w:firstLineChars="200"/>
        <w:rPr>
          <w:szCs w:val="21"/>
        </w:rPr>
      </w:pPr>
      <w:r>
        <w:rPr>
          <w:szCs w:val="21"/>
        </w:rPr>
        <w:t>1.7.2</w:t>
      </w:r>
      <w:r>
        <w:rPr>
          <w:rFonts w:hint="eastAsia"/>
          <w:szCs w:val="21"/>
        </w:rPr>
        <w:t>本项目是否允许分包详见“投标人须知前附表”，本项目不允许违法分包。供应商根据招标文件的规定和采购项目的实际情况，拟在中标后将中标项目的非主体、非关键性工作分包的，应当在投标文件中载明分包承担主体，分包承担主体应当具备相应资质条件且不得再次分包。</w:t>
      </w:r>
    </w:p>
    <w:p w14:paraId="1F8B2B3C">
      <w:pPr>
        <w:spacing w:before="120" w:line="276" w:lineRule="auto"/>
        <w:ind w:firstLine="422" w:firstLineChars="200"/>
        <w:outlineLvl w:val="2"/>
        <w:rPr>
          <w:b/>
          <w:bCs/>
          <w:kern w:val="0"/>
          <w:szCs w:val="21"/>
        </w:rPr>
      </w:pPr>
      <w:bookmarkStart w:id="56" w:name="_Toc254970673"/>
      <w:bookmarkStart w:id="57" w:name="_Toc254970532"/>
      <w:r>
        <w:rPr>
          <w:b/>
          <w:bCs/>
          <w:kern w:val="0"/>
          <w:szCs w:val="21"/>
        </w:rPr>
        <w:t>1.8特别说明</w:t>
      </w:r>
      <w:bookmarkEnd w:id="56"/>
      <w:bookmarkEnd w:id="57"/>
    </w:p>
    <w:p w14:paraId="7083123A">
      <w:pPr>
        <w:spacing w:line="276" w:lineRule="auto"/>
        <w:ind w:firstLine="420" w:firstLineChars="200"/>
        <w:rPr>
          <w:szCs w:val="21"/>
        </w:rPr>
      </w:pPr>
      <w:r>
        <w:rPr>
          <w:szCs w:val="21"/>
        </w:rPr>
        <w:t>1.8.1 供应商应保证其提供的联系方式（电话、传真、电子邮件）有效，以保证往来函件（澄清、修改等）能及时通知供应商，并能及时反馈，否则采购人</w:t>
      </w:r>
      <w:r>
        <w:rPr>
          <w:rFonts w:hint="eastAsia"/>
          <w:szCs w:val="21"/>
        </w:rPr>
        <w:t>及代理机构</w:t>
      </w:r>
      <w:r>
        <w:rPr>
          <w:szCs w:val="21"/>
        </w:rPr>
        <w:t>不承担由此引起的一切后果。</w:t>
      </w:r>
    </w:p>
    <w:p w14:paraId="31366033">
      <w:pPr>
        <w:spacing w:before="120" w:line="320" w:lineRule="atLeast"/>
        <w:ind w:firstLine="420" w:firstLineChars="200"/>
        <w:rPr>
          <w:szCs w:val="21"/>
        </w:rPr>
      </w:pPr>
      <w:r>
        <w:rPr>
          <w:szCs w:val="21"/>
        </w:rPr>
        <w:t>1.8.2供应商应仔细阅读招标文件的所有内容，按照招标文件的要求提交投标文件，并对所提供的全部资料的真实性承担法律责任。</w:t>
      </w:r>
    </w:p>
    <w:p w14:paraId="62F4C6E5">
      <w:pPr>
        <w:spacing w:before="120" w:line="320" w:lineRule="atLeast"/>
        <w:ind w:firstLine="420" w:firstLineChars="200"/>
        <w:rPr>
          <w:szCs w:val="21"/>
        </w:rPr>
      </w:pPr>
      <w:r>
        <w:rPr>
          <w:szCs w:val="21"/>
        </w:rPr>
        <w:t>1.8.3供应商在投标活动中提供任何虚假材料，</w:t>
      </w:r>
      <w:r>
        <w:rPr>
          <w:rFonts w:hint="eastAsia"/>
          <w:szCs w:val="21"/>
        </w:rPr>
        <w:t>将</w:t>
      </w:r>
      <w:r>
        <w:rPr>
          <w:szCs w:val="21"/>
        </w:rPr>
        <w:t xml:space="preserve">报监管部门查处； </w:t>
      </w:r>
    </w:p>
    <w:p w14:paraId="4572B661">
      <w:pPr>
        <w:spacing w:before="120" w:line="276" w:lineRule="auto"/>
        <w:ind w:firstLine="422" w:firstLineChars="200"/>
        <w:outlineLvl w:val="2"/>
        <w:rPr>
          <w:b/>
          <w:bCs/>
          <w:kern w:val="0"/>
          <w:szCs w:val="21"/>
          <w:highlight w:val="none"/>
        </w:rPr>
      </w:pPr>
      <w:r>
        <w:rPr>
          <w:rFonts w:hint="eastAsia"/>
          <w:b/>
          <w:bCs/>
          <w:kern w:val="0"/>
          <w:szCs w:val="21"/>
          <w:highlight w:val="none"/>
        </w:rPr>
        <w:t>1</w:t>
      </w:r>
      <w:r>
        <w:rPr>
          <w:b/>
          <w:bCs/>
          <w:kern w:val="0"/>
          <w:szCs w:val="21"/>
          <w:highlight w:val="none"/>
        </w:rPr>
        <w:t>.</w:t>
      </w:r>
      <w:r>
        <w:rPr>
          <w:rFonts w:hint="eastAsia"/>
          <w:b/>
          <w:bCs/>
          <w:kern w:val="0"/>
          <w:szCs w:val="21"/>
          <w:highlight w:val="none"/>
          <w:lang w:val="en-US" w:eastAsia="zh-CN"/>
        </w:rPr>
        <w:t xml:space="preserve">9 </w:t>
      </w:r>
      <w:r>
        <w:rPr>
          <w:rFonts w:hint="eastAsia"/>
          <w:b/>
          <w:bCs/>
          <w:kern w:val="0"/>
          <w:szCs w:val="21"/>
          <w:highlight w:val="none"/>
        </w:rPr>
        <w:t>对本国产品的支持政策</w:t>
      </w:r>
    </w:p>
    <w:p w14:paraId="1735F010">
      <w:pPr>
        <w:spacing w:before="120" w:line="360" w:lineRule="auto"/>
        <w:ind w:left="819" w:leftChars="190" w:hanging="420" w:hangingChars="200"/>
        <w:rPr>
          <w:rFonts w:hint="default"/>
          <w:szCs w:val="21"/>
          <w:highlight w:val="none"/>
          <w:lang w:val="en-US" w:eastAsia="zh-CN"/>
        </w:rPr>
      </w:pPr>
      <w:r>
        <w:rPr>
          <w:rFonts w:hint="eastAsia"/>
          <w:szCs w:val="21"/>
          <w:highlight w:val="none"/>
          <w:lang w:val="en-US" w:eastAsia="zh-CN"/>
        </w:rPr>
        <w:t>1.9.1</w:t>
      </w:r>
      <w:r>
        <w:rPr>
          <w:rFonts w:hint="default"/>
          <w:szCs w:val="21"/>
          <w:highlight w:val="none"/>
          <w:lang w:val="en-US" w:eastAsia="zh-CN"/>
        </w:rPr>
        <w:t>本国产品标准</w:t>
      </w:r>
    </w:p>
    <w:p w14:paraId="5C03F088">
      <w:pPr>
        <w:spacing w:line="276" w:lineRule="auto"/>
        <w:ind w:firstLine="420" w:firstLineChars="200"/>
        <w:rPr>
          <w:rFonts w:hint="eastAsia"/>
          <w:szCs w:val="21"/>
          <w:highlight w:val="none"/>
          <w:lang w:val="en-US" w:eastAsia="zh-CN"/>
        </w:rPr>
      </w:pPr>
      <w:r>
        <w:rPr>
          <w:rFonts w:hint="eastAsia"/>
          <w:szCs w:val="21"/>
          <w:highlight w:val="none"/>
          <w:lang w:val="en-US" w:eastAsia="zh-CN"/>
        </w:rPr>
        <w:t>“本国产品标准的产品”是指：符合《国务院办公厅关于在政府采购中实施本国产品标准及相关政策的通知》（国办发〔2025〕34号）规定的本国产品标准的产品。</w:t>
      </w:r>
    </w:p>
    <w:p w14:paraId="6558729A">
      <w:pPr>
        <w:spacing w:line="276" w:lineRule="auto"/>
        <w:ind w:firstLine="420" w:firstLineChars="200"/>
        <w:rPr>
          <w:rFonts w:hint="eastAsia"/>
          <w:color w:val="auto"/>
          <w:szCs w:val="21"/>
          <w:highlight w:val="none"/>
          <w:lang w:val="en-US" w:eastAsia="zh-CN"/>
        </w:rPr>
      </w:pPr>
      <w:r>
        <w:rPr>
          <w:rFonts w:hint="eastAsia"/>
          <w:szCs w:val="21"/>
          <w:highlight w:val="none"/>
          <w:lang w:val="en-US" w:eastAsia="zh-CN"/>
        </w:rPr>
        <w:t>本国产品标准的产品应当符合以下条件：</w:t>
      </w:r>
    </w:p>
    <w:p w14:paraId="56BD0AAB">
      <w:pPr>
        <w:spacing w:line="276" w:lineRule="auto"/>
        <w:ind w:firstLine="420" w:firstLineChars="200"/>
        <w:rPr>
          <w:rFonts w:hint="default"/>
          <w:szCs w:val="21"/>
          <w:highlight w:val="none"/>
          <w:lang w:val="en-US" w:eastAsia="zh-CN"/>
        </w:rPr>
      </w:pPr>
      <w:r>
        <w:rPr>
          <w:rFonts w:hint="eastAsia"/>
          <w:color w:val="auto"/>
          <w:szCs w:val="21"/>
          <w:highlight w:val="none"/>
          <w:lang w:val="en-US" w:eastAsia="zh-CN"/>
        </w:rPr>
        <w:t>（1）</w:t>
      </w:r>
      <w:r>
        <w:rPr>
          <w:rFonts w:hint="default"/>
          <w:color w:val="auto"/>
          <w:szCs w:val="21"/>
          <w:highlight w:val="none"/>
          <w:lang w:val="en-US" w:eastAsia="zh-CN"/>
        </w:rPr>
        <w:t>在中国境内生产</w:t>
      </w:r>
      <w:r>
        <w:rPr>
          <w:rFonts w:hint="eastAsia"/>
          <w:color w:val="auto"/>
          <w:szCs w:val="21"/>
          <w:highlight w:val="none"/>
          <w:lang w:val="en-US" w:eastAsia="zh-CN"/>
        </w:rPr>
        <w:t>。</w:t>
      </w:r>
      <w:r>
        <w:rPr>
          <w:rFonts w:hint="default"/>
          <w:color w:val="auto"/>
          <w:szCs w:val="21"/>
          <w:highlight w:val="none"/>
          <w:lang w:val="en-US" w:eastAsia="zh-CN"/>
        </w:rPr>
        <w:t>产品应当在中国境内生产，即在中华人民共和国关境内</w:t>
      </w:r>
      <w:r>
        <w:rPr>
          <w:rFonts w:hint="eastAsia" w:ascii="Times New Roman" w:hAnsi="Times New Roman" w:eastAsia="宋体" w:cs="Times New Roman"/>
          <w:color w:val="auto"/>
          <w:kern w:val="2"/>
          <w:sz w:val="21"/>
          <w:szCs w:val="21"/>
          <w:highlight w:val="none"/>
          <w:lang w:val="en-US" w:eastAsia="zh-CN" w:bidi="ar-SA"/>
        </w:rPr>
        <w:t>（含保税区、综合保税区等海关特殊监管区域）</w:t>
      </w:r>
      <w:r>
        <w:rPr>
          <w:rFonts w:hint="default"/>
          <w:color w:val="auto"/>
          <w:szCs w:val="21"/>
          <w:highlight w:val="none"/>
          <w:lang w:val="en-US" w:eastAsia="zh-CN"/>
        </w:rPr>
        <w:t>实现从原材料、组件到产品的属性改变；属性改变是指经过制造、加工或者组装等工序，产生完全不同于原材料、组件的新产品，并具有新的</w:t>
      </w:r>
      <w:r>
        <w:rPr>
          <w:rFonts w:hint="default"/>
          <w:szCs w:val="21"/>
          <w:highlight w:val="none"/>
          <w:lang w:val="en-US" w:eastAsia="zh-CN"/>
        </w:rPr>
        <w:t>名称和特征（用途），属性改变不包括以下细微操作：</w:t>
      </w:r>
    </w:p>
    <w:p w14:paraId="0102001E">
      <w:pPr>
        <w:spacing w:line="276" w:lineRule="auto"/>
        <w:ind w:firstLine="420" w:firstLineChars="200"/>
        <w:rPr>
          <w:rFonts w:hint="default"/>
          <w:szCs w:val="21"/>
          <w:highlight w:val="none"/>
          <w:lang w:val="en-US" w:eastAsia="zh-CN"/>
        </w:rPr>
      </w:pPr>
      <w:r>
        <w:rPr>
          <w:rFonts w:hint="default"/>
          <w:szCs w:val="21"/>
          <w:highlight w:val="none"/>
          <w:lang w:val="en-US" w:eastAsia="zh-CN"/>
        </w:rPr>
        <w:t>①为确保产品在运输或者储存期间保持某种状态而进行的操作；</w:t>
      </w:r>
    </w:p>
    <w:p w14:paraId="4A58D069">
      <w:pPr>
        <w:spacing w:line="276" w:lineRule="auto"/>
        <w:ind w:firstLine="420" w:firstLineChars="200"/>
        <w:rPr>
          <w:rFonts w:hint="default"/>
          <w:szCs w:val="21"/>
          <w:highlight w:val="none"/>
          <w:lang w:val="en-US" w:eastAsia="zh-CN"/>
        </w:rPr>
      </w:pPr>
      <w:r>
        <w:rPr>
          <w:rFonts w:hint="default"/>
          <w:szCs w:val="21"/>
          <w:highlight w:val="none"/>
          <w:lang w:val="en-US" w:eastAsia="zh-CN"/>
        </w:rPr>
        <w:t>②为产品运输或者销售进行的包装或者展示；</w:t>
      </w:r>
    </w:p>
    <w:p w14:paraId="3272DA22">
      <w:pPr>
        <w:spacing w:line="276" w:lineRule="auto"/>
        <w:ind w:firstLine="420" w:firstLineChars="200"/>
        <w:rPr>
          <w:rFonts w:hint="default"/>
          <w:szCs w:val="21"/>
          <w:highlight w:val="none"/>
          <w:lang w:val="en-US" w:eastAsia="zh-CN"/>
        </w:rPr>
      </w:pPr>
      <w:r>
        <w:rPr>
          <w:rFonts w:hint="default"/>
          <w:szCs w:val="21"/>
          <w:highlight w:val="none"/>
          <w:lang w:val="en-US" w:eastAsia="zh-CN"/>
        </w:rPr>
        <w:t>③在产品或者其包装上粘贴或者印刷品牌、标志、标识以及其他用于区别的标记；</w:t>
      </w:r>
    </w:p>
    <w:p w14:paraId="153A2491">
      <w:pPr>
        <w:spacing w:line="276" w:lineRule="auto"/>
        <w:ind w:firstLine="420" w:firstLineChars="200"/>
        <w:rPr>
          <w:rFonts w:hint="default"/>
          <w:szCs w:val="21"/>
          <w:highlight w:val="none"/>
          <w:lang w:val="en-US" w:eastAsia="zh-CN"/>
        </w:rPr>
      </w:pPr>
      <w:r>
        <w:rPr>
          <w:rFonts w:hint="default"/>
          <w:szCs w:val="21"/>
          <w:highlight w:val="none"/>
          <w:lang w:val="en-US" w:eastAsia="zh-CN"/>
        </w:rPr>
        <w:t>④简单的上漆、磨光和分装；</w:t>
      </w:r>
    </w:p>
    <w:p w14:paraId="7D1505C8">
      <w:pPr>
        <w:spacing w:line="276" w:lineRule="auto"/>
        <w:ind w:firstLine="420" w:firstLineChars="200"/>
        <w:rPr>
          <w:rFonts w:hint="default"/>
          <w:szCs w:val="21"/>
          <w:highlight w:val="none"/>
          <w:lang w:val="en-US" w:eastAsia="zh-CN"/>
        </w:rPr>
      </w:pPr>
      <w:r>
        <w:rPr>
          <w:rFonts w:hint="default"/>
          <w:szCs w:val="21"/>
          <w:highlight w:val="none"/>
          <w:lang w:val="en-US" w:eastAsia="zh-CN"/>
        </w:rPr>
        <w:t>⑤其他不属于属性改变的情形；</w:t>
      </w:r>
    </w:p>
    <w:p w14:paraId="2FE38ACE">
      <w:pPr>
        <w:spacing w:line="276" w:lineRule="auto"/>
        <w:ind w:firstLine="420" w:firstLineChars="200"/>
        <w:rPr>
          <w:rFonts w:hint="eastAsia"/>
          <w:szCs w:val="21"/>
          <w:highlight w:val="none"/>
          <w:lang w:val="en-US" w:eastAsia="zh-CN"/>
        </w:rPr>
      </w:pPr>
      <w:r>
        <w:rPr>
          <w:rFonts w:hint="eastAsia"/>
          <w:szCs w:val="21"/>
          <w:highlight w:val="none"/>
          <w:lang w:val="en-US" w:eastAsia="zh-CN"/>
        </w:rPr>
        <w:t>（2）</w:t>
      </w:r>
      <w:r>
        <w:rPr>
          <w:rFonts w:hint="default"/>
          <w:szCs w:val="21"/>
          <w:highlight w:val="none"/>
          <w:lang w:val="en-US" w:eastAsia="zh-CN"/>
        </w:rPr>
        <w:t>中国境内生产的组件成本占比达到规定比例</w:t>
      </w:r>
      <w:r>
        <w:rPr>
          <w:rFonts w:hint="eastAsia"/>
          <w:szCs w:val="21"/>
          <w:highlight w:val="none"/>
          <w:lang w:val="en-US" w:eastAsia="zh-CN"/>
        </w:rPr>
        <w:t>。</w:t>
      </w:r>
    </w:p>
    <w:p w14:paraId="35274560">
      <w:pPr>
        <w:spacing w:line="276" w:lineRule="auto"/>
        <w:ind w:firstLine="420" w:firstLineChars="200"/>
        <w:rPr>
          <w:rFonts w:hint="eastAsia"/>
          <w:szCs w:val="21"/>
          <w:highlight w:val="none"/>
          <w:lang w:val="en-US" w:eastAsia="zh-CN"/>
        </w:rPr>
      </w:pPr>
      <w:r>
        <w:rPr>
          <w:rFonts w:hint="eastAsia"/>
          <w:szCs w:val="21"/>
          <w:highlight w:val="none"/>
          <w:lang w:val="en-US" w:eastAsia="zh-CN"/>
        </w:rPr>
        <w:t>①产品在中国境内生产的组件成本占比应当达到规定比例，计算公式为：产品在中国境内生产的组件成本/产品总成本≥规定比例；</w:t>
      </w:r>
    </w:p>
    <w:p w14:paraId="2761051E">
      <w:pPr>
        <w:spacing w:line="276" w:lineRule="auto"/>
        <w:ind w:firstLine="420" w:firstLineChars="200"/>
        <w:rPr>
          <w:rFonts w:hint="eastAsia"/>
          <w:szCs w:val="21"/>
          <w:highlight w:val="none"/>
          <w:lang w:val="en-US" w:eastAsia="zh-CN"/>
        </w:rPr>
      </w:pPr>
      <w:r>
        <w:rPr>
          <w:rFonts w:hint="eastAsia"/>
          <w:szCs w:val="21"/>
          <w:highlight w:val="none"/>
          <w:lang w:val="en-US" w:eastAsia="zh-CN"/>
        </w:rPr>
        <w:t>②产品在中国境内生产的组件成本，按照《中国境内生产的组件成本核算基本规则》计算；</w:t>
      </w:r>
    </w:p>
    <w:p w14:paraId="27020F74">
      <w:pPr>
        <w:spacing w:line="276" w:lineRule="auto"/>
        <w:ind w:firstLine="420" w:firstLineChars="200"/>
        <w:rPr>
          <w:rFonts w:hint="default"/>
          <w:szCs w:val="21"/>
          <w:highlight w:val="none"/>
          <w:lang w:val="en-US" w:eastAsia="zh-CN"/>
        </w:rPr>
      </w:pPr>
      <w:r>
        <w:rPr>
          <w:rFonts w:hint="eastAsia"/>
          <w:szCs w:val="21"/>
          <w:highlight w:val="none"/>
          <w:lang w:val="en-US" w:eastAsia="zh-CN"/>
        </w:rPr>
        <w:t>③中国境内生产的组件成本占比相关要求实施前，符合第（1）项条件的产品在政府采购活动中视同本国产品。</w:t>
      </w:r>
    </w:p>
    <w:p w14:paraId="6178B395">
      <w:pPr>
        <w:spacing w:line="276" w:lineRule="auto"/>
        <w:ind w:firstLine="420" w:firstLineChars="200"/>
        <w:rPr>
          <w:rFonts w:hint="default"/>
          <w:szCs w:val="21"/>
          <w:highlight w:val="none"/>
          <w:lang w:val="en-US" w:eastAsia="zh-CN"/>
        </w:rPr>
      </w:pPr>
      <w:r>
        <w:rPr>
          <w:rFonts w:hint="eastAsia"/>
          <w:szCs w:val="21"/>
          <w:highlight w:val="none"/>
          <w:lang w:val="en-US" w:eastAsia="zh-CN"/>
        </w:rPr>
        <w:t>（3）</w:t>
      </w:r>
      <w:r>
        <w:rPr>
          <w:rFonts w:hint="default"/>
          <w:szCs w:val="21"/>
          <w:highlight w:val="none"/>
          <w:lang w:val="en-US" w:eastAsia="zh-CN"/>
        </w:rPr>
        <w:t>特定产品的关键组件和工序在中国境内完成。</w:t>
      </w:r>
    </w:p>
    <w:p w14:paraId="423F8CFB">
      <w:pPr>
        <w:spacing w:line="276" w:lineRule="auto"/>
        <w:ind w:firstLine="420" w:firstLineChars="200"/>
        <w:rPr>
          <w:rFonts w:hint="eastAsia"/>
          <w:szCs w:val="21"/>
          <w:highlight w:val="none"/>
          <w:lang w:val="en-US" w:eastAsia="zh-CN"/>
        </w:rPr>
      </w:pPr>
      <w:r>
        <w:rPr>
          <w:rFonts w:hint="eastAsia"/>
          <w:szCs w:val="21"/>
          <w:highlight w:val="none"/>
          <w:lang w:val="en-US" w:eastAsia="zh-CN"/>
        </w:rPr>
        <w:t>①对特定产品，在符合第（1）项和第（2）项条件的基础上，应当符合财政部会同有关行业主管部门确定的其关键组件、关键工序在中国境内生产、完成等要求；</w:t>
      </w:r>
    </w:p>
    <w:p w14:paraId="29E41AF2">
      <w:pPr>
        <w:spacing w:line="276" w:lineRule="auto"/>
        <w:ind w:firstLine="420" w:firstLineChars="200"/>
        <w:rPr>
          <w:rFonts w:hint="default"/>
          <w:szCs w:val="21"/>
          <w:highlight w:val="none"/>
          <w:lang w:val="en-US" w:eastAsia="zh-CN"/>
        </w:rPr>
      </w:pPr>
      <w:r>
        <w:rPr>
          <w:rFonts w:hint="eastAsia"/>
          <w:szCs w:val="21"/>
          <w:highlight w:val="none"/>
          <w:lang w:val="en-US" w:eastAsia="zh-CN"/>
        </w:rPr>
        <w:t>②特定产品的关键组件、关键工序符合相关要求实施前，符合第（1）项和第（2）项条件的产品在政府采购活动中视同本国产品。</w:t>
      </w:r>
    </w:p>
    <w:p w14:paraId="42F34A8A">
      <w:pPr>
        <w:spacing w:before="120" w:line="360" w:lineRule="auto"/>
        <w:ind w:left="819" w:leftChars="190" w:hanging="420" w:hangingChars="200"/>
        <w:rPr>
          <w:rFonts w:hint="eastAsia"/>
          <w:szCs w:val="21"/>
          <w:highlight w:val="none"/>
          <w:lang w:val="en-US" w:eastAsia="zh-CN"/>
        </w:rPr>
      </w:pPr>
      <w:r>
        <w:rPr>
          <w:rFonts w:hint="eastAsia"/>
          <w:szCs w:val="21"/>
          <w:highlight w:val="none"/>
          <w:lang w:val="en-US" w:eastAsia="zh-CN"/>
        </w:rPr>
        <w:t>1.9.2 本国产品标准的适用范围</w:t>
      </w:r>
    </w:p>
    <w:p w14:paraId="59B82F87">
      <w:pPr>
        <w:spacing w:line="276" w:lineRule="auto"/>
        <w:ind w:firstLine="420" w:firstLineChars="200"/>
        <w:rPr>
          <w:rFonts w:hint="default"/>
          <w:szCs w:val="21"/>
          <w:highlight w:val="none"/>
          <w:lang w:val="en-US" w:eastAsia="zh-CN"/>
        </w:rPr>
      </w:pPr>
      <w:r>
        <w:rPr>
          <w:rFonts w:hint="default"/>
          <w:szCs w:val="21"/>
          <w:highlight w:val="none"/>
          <w:lang w:val="en-US"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9E8DF9B">
      <w:pPr>
        <w:spacing w:line="276" w:lineRule="auto"/>
        <w:ind w:firstLine="422" w:firstLineChars="200"/>
        <w:rPr>
          <w:rFonts w:hint="default"/>
          <w:szCs w:val="21"/>
          <w:highlight w:val="none"/>
          <w:lang w:val="en-US" w:eastAsia="zh-CN"/>
        </w:rPr>
      </w:pPr>
      <w:r>
        <w:rPr>
          <w:rFonts w:hint="eastAsia"/>
          <w:b/>
          <w:bCs/>
          <w:szCs w:val="21"/>
          <w:highlight w:val="none"/>
          <w:lang w:val="en-US" w:eastAsia="zh-CN"/>
        </w:rPr>
        <w:t>本项目是否适用对本国产品的支持政策详见投标人须知前附表。</w:t>
      </w:r>
    </w:p>
    <w:p w14:paraId="6F1D138A">
      <w:pPr>
        <w:spacing w:line="276" w:lineRule="auto"/>
        <w:ind w:firstLine="420" w:firstLineChars="200"/>
        <w:rPr>
          <w:rFonts w:hint="default"/>
          <w:szCs w:val="21"/>
          <w:highlight w:val="none"/>
          <w:lang w:val="en-US" w:eastAsia="zh-CN"/>
        </w:rPr>
      </w:pPr>
      <w:r>
        <w:rPr>
          <w:rFonts w:hint="default"/>
          <w:szCs w:val="21"/>
          <w:highlight w:val="none"/>
          <w:lang w:val="en-US" w:eastAsia="zh-CN"/>
        </w:rPr>
        <w:t>中华人民共和国缔结或者共同参加的国际条约、协定对政府采购中本国产品政策另有规定的，按照有关条约、协定执行。</w:t>
      </w:r>
    </w:p>
    <w:p w14:paraId="18FAB59F">
      <w:pPr>
        <w:spacing w:before="120" w:line="320" w:lineRule="atLeast"/>
        <w:ind w:firstLine="420" w:firstLineChars="200"/>
        <w:rPr>
          <w:rFonts w:hint="default"/>
          <w:szCs w:val="21"/>
          <w:highlight w:val="none"/>
          <w:lang w:val="en-US" w:eastAsia="zh-CN"/>
        </w:rPr>
      </w:pPr>
      <w:r>
        <w:rPr>
          <w:rFonts w:hint="eastAsia"/>
          <w:szCs w:val="21"/>
          <w:highlight w:val="none"/>
          <w:lang w:val="en-US" w:eastAsia="zh-CN"/>
        </w:rPr>
        <w:t>1.9.3 价格评审优惠</w:t>
      </w:r>
    </w:p>
    <w:p w14:paraId="4B3D05C6">
      <w:pPr>
        <w:spacing w:before="120" w:line="320" w:lineRule="atLeast"/>
        <w:ind w:firstLine="420" w:firstLineChars="200"/>
        <w:rPr>
          <w:rFonts w:hint="eastAsia"/>
          <w:szCs w:val="21"/>
          <w:highlight w:val="none"/>
        </w:rPr>
      </w:pPr>
      <w:r>
        <w:rPr>
          <w:rFonts w:hint="eastAsia"/>
          <w:szCs w:val="21"/>
          <w:highlight w:val="none"/>
        </w:rPr>
        <w:t>既有本国产品又有非本国产品参与竞争的，依法对本国产品给予价格评审优惠，对本国产品的报价给予20%的价格扣除，用扣除后的价格参与评审。</w:t>
      </w:r>
    </w:p>
    <w:p w14:paraId="5E760CD3">
      <w:pPr>
        <w:spacing w:before="120" w:line="320" w:lineRule="atLeast"/>
        <w:ind w:firstLine="420" w:firstLineChars="200"/>
        <w:rPr>
          <w:rFonts w:hint="eastAsia"/>
          <w:szCs w:val="21"/>
          <w:highlight w:val="none"/>
        </w:rPr>
      </w:pPr>
      <w:r>
        <w:rPr>
          <w:rFonts w:hint="eastAsia"/>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CB8898D">
      <w:pPr>
        <w:spacing w:before="120" w:line="320" w:lineRule="atLeast"/>
        <w:ind w:firstLine="420" w:firstLineChars="200"/>
        <w:rPr>
          <w:rFonts w:hint="eastAsia"/>
          <w:szCs w:val="21"/>
          <w:highlight w:val="none"/>
          <w:lang w:eastAsia="zh-CN"/>
        </w:rPr>
      </w:pPr>
      <w:r>
        <w:rPr>
          <w:rFonts w:hint="eastAsia"/>
          <w:szCs w:val="21"/>
          <w:highlight w:val="none"/>
        </w:rPr>
        <w:t>价格扣除比例在第四章评审方法及标准中规定</w:t>
      </w:r>
      <w:r>
        <w:rPr>
          <w:rFonts w:hint="eastAsia"/>
          <w:szCs w:val="21"/>
          <w:highlight w:val="none"/>
          <w:lang w:eastAsia="zh-CN"/>
        </w:rPr>
        <w:t>。</w:t>
      </w:r>
    </w:p>
    <w:p w14:paraId="5851C88A">
      <w:pPr>
        <w:spacing w:before="120" w:line="320" w:lineRule="atLeast"/>
        <w:ind w:firstLine="420" w:firstLineChars="200"/>
        <w:rPr>
          <w:rFonts w:hint="eastAsia"/>
          <w:szCs w:val="21"/>
          <w:highlight w:val="none"/>
          <w:lang w:val="en-US" w:eastAsia="zh-CN"/>
        </w:rPr>
      </w:pPr>
      <w:r>
        <w:rPr>
          <w:rFonts w:hint="eastAsia"/>
          <w:szCs w:val="21"/>
          <w:highlight w:val="none"/>
          <w:lang w:val="en-US" w:eastAsia="zh-CN"/>
        </w:rPr>
        <w:t>1.9.4政策执行要求</w:t>
      </w:r>
    </w:p>
    <w:p w14:paraId="0BCF661E">
      <w:pPr>
        <w:spacing w:before="120" w:line="320" w:lineRule="atLeast"/>
        <w:ind w:firstLine="420" w:firstLineChars="200"/>
        <w:rPr>
          <w:rFonts w:hint="eastAsia"/>
          <w:szCs w:val="21"/>
          <w:highlight w:val="none"/>
          <w:lang w:val="en-US" w:eastAsia="zh-CN"/>
        </w:rPr>
      </w:pPr>
      <w:r>
        <w:rPr>
          <w:rFonts w:hint="eastAsia"/>
          <w:szCs w:val="21"/>
          <w:highlight w:val="none"/>
          <w:lang w:val="en-US" w:eastAsia="zh-CN"/>
        </w:rPr>
        <w:t>1.9.4.1产品在中国境内生产的组件成本核算规则：产品在中国境内生产的组件成本，按照《中国境内生产的组件成本核算基本规则》计算。</w:t>
      </w:r>
    </w:p>
    <w:p w14:paraId="0E3E6822">
      <w:pPr>
        <w:spacing w:before="120" w:line="360" w:lineRule="auto"/>
        <w:ind w:firstLine="2520" w:firstLineChars="1200"/>
        <w:rPr>
          <w:rFonts w:hint="eastAsia"/>
          <w:szCs w:val="21"/>
          <w:highlight w:val="none"/>
          <w:lang w:eastAsia="zh-CN"/>
        </w:rPr>
      </w:pPr>
      <w:r>
        <w:rPr>
          <w:rFonts w:hint="eastAsia" w:eastAsia="宋体"/>
          <w:szCs w:val="21"/>
          <w:highlight w:val="none"/>
          <w:lang w:eastAsia="zh-CN"/>
        </w:rPr>
        <w:t>《中国境内生产的组件成本核算基本规则》</w:t>
      </w:r>
    </w:p>
    <w:p w14:paraId="26FF60BE">
      <w:pPr>
        <w:spacing w:before="120" w:line="240" w:lineRule="auto"/>
        <w:ind w:firstLine="420" w:firstLineChars="200"/>
        <w:rPr>
          <w:rFonts w:hint="eastAsia"/>
          <w:szCs w:val="21"/>
          <w:highlight w:val="none"/>
        </w:rPr>
      </w:pPr>
      <w:r>
        <w:rPr>
          <w:rFonts w:hint="eastAsia"/>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128A678">
      <w:pPr>
        <w:numPr>
          <w:ilvl w:val="0"/>
          <w:numId w:val="0"/>
        </w:numPr>
        <w:spacing w:before="120" w:line="240" w:lineRule="auto"/>
        <w:ind w:firstLine="420" w:firstLineChars="200"/>
        <w:rPr>
          <w:rFonts w:hint="eastAsia"/>
          <w:szCs w:val="21"/>
          <w:highlight w:val="none"/>
        </w:rPr>
      </w:pPr>
      <w:r>
        <w:rPr>
          <w:rFonts w:hint="eastAsia"/>
          <w:szCs w:val="21"/>
          <w:highlight w:val="none"/>
          <w:lang w:val="en-US" w:eastAsia="zh-CN"/>
        </w:rPr>
        <w:t>1.</w:t>
      </w:r>
      <w:r>
        <w:rPr>
          <w:rFonts w:hint="eastAsia"/>
          <w:szCs w:val="21"/>
          <w:highlight w:val="none"/>
        </w:rPr>
        <w:t>产品的一级组件是指直接组成产品的组件。产品的二级组件是指直接组成产品一级组件的组件。一级组件不可分解的，视同二级组件。</w:t>
      </w:r>
    </w:p>
    <w:p w14:paraId="5262BAC1">
      <w:pPr>
        <w:numPr>
          <w:ilvl w:val="0"/>
          <w:numId w:val="0"/>
        </w:numPr>
        <w:spacing w:before="120" w:line="240" w:lineRule="auto"/>
        <w:ind w:firstLine="420" w:firstLineChars="200"/>
        <w:rPr>
          <w:rFonts w:hint="eastAsia"/>
          <w:szCs w:val="21"/>
          <w:highlight w:val="none"/>
        </w:rPr>
      </w:pPr>
      <w:r>
        <w:rPr>
          <w:rFonts w:hint="eastAsia" w:ascii="Times New Roman" w:eastAsia="宋体"/>
          <w:szCs w:val="21"/>
          <w:highlight w:val="none"/>
          <w:lang w:val="en-US" w:eastAsia="zh-CN"/>
        </w:rPr>
        <w:t>2.</w:t>
      </w:r>
      <w:r>
        <w:rPr>
          <w:rFonts w:hint="eastAsia"/>
          <w:szCs w:val="21"/>
          <w:highlight w:val="none"/>
        </w:rPr>
        <w:t>二级组件在中国境内生产的，其全部成本计入中国境内生产的组件成本；二级组件不在中国境内生产的，其成本不计入中国境内生产的组件成本。</w:t>
      </w:r>
    </w:p>
    <w:p w14:paraId="17470F88">
      <w:pPr>
        <w:spacing w:before="120" w:line="240" w:lineRule="auto"/>
        <w:ind w:firstLine="420" w:firstLineChars="200"/>
        <w:rPr>
          <w:rFonts w:hint="eastAsia"/>
          <w:szCs w:val="21"/>
          <w:highlight w:val="none"/>
        </w:rPr>
      </w:pPr>
      <w:r>
        <w:rPr>
          <w:rFonts w:hint="eastAsia" w:ascii="Times New Roman" w:eastAsia="宋体"/>
          <w:szCs w:val="21"/>
          <w:highlight w:val="none"/>
          <w:lang w:val="en-US" w:eastAsia="zh-CN"/>
        </w:rPr>
        <w:t>3.</w:t>
      </w:r>
      <w:r>
        <w:rPr>
          <w:rFonts w:hint="eastAsia"/>
          <w:szCs w:val="21"/>
          <w:highlight w:val="none"/>
        </w:rPr>
        <w:t>产品总成本和组件成本以相关会计核算数据、采购合同、进货记录等为基础进行计算。</w:t>
      </w:r>
    </w:p>
    <w:p w14:paraId="7B0DA4B9">
      <w:pPr>
        <w:spacing w:before="120" w:line="240" w:lineRule="auto"/>
        <w:ind w:firstLine="420" w:firstLineChars="200"/>
        <w:rPr>
          <w:rFonts w:hint="eastAsia"/>
          <w:szCs w:val="21"/>
          <w:highlight w:val="none"/>
          <w:lang w:val="en-US" w:eastAsia="zh-CN"/>
        </w:rPr>
      </w:pPr>
      <w:r>
        <w:rPr>
          <w:rFonts w:hint="eastAsia" w:ascii="Times New Roman" w:eastAsia="宋体"/>
          <w:szCs w:val="21"/>
          <w:highlight w:val="none"/>
          <w:lang w:val="en-US" w:eastAsia="zh-CN"/>
        </w:rPr>
        <w:t>4.</w:t>
      </w:r>
      <w:r>
        <w:rPr>
          <w:rFonts w:hint="eastAsia"/>
          <w:szCs w:val="21"/>
          <w:highlight w:val="none"/>
        </w:rPr>
        <w:t>需要对成本核算规则予以进一步明确的其他有关事项，由财政部会同有关部门另行规定。</w:t>
      </w:r>
    </w:p>
    <w:p w14:paraId="5A5BAF2D">
      <w:pPr>
        <w:spacing w:before="120" w:line="320" w:lineRule="atLeast"/>
        <w:ind w:firstLine="420" w:firstLineChars="200"/>
        <w:rPr>
          <w:rFonts w:hint="eastAsia"/>
          <w:color w:val="auto"/>
          <w:szCs w:val="21"/>
          <w:highlight w:val="none"/>
          <w:lang w:val="en-US" w:eastAsia="zh-CN"/>
        </w:rPr>
      </w:pPr>
      <w:r>
        <w:rPr>
          <w:rFonts w:hint="eastAsia"/>
          <w:szCs w:val="21"/>
          <w:highlight w:val="none"/>
          <w:lang w:val="en-US" w:eastAsia="zh-CN"/>
        </w:rPr>
        <w:t>1.9.4.2证明</w:t>
      </w:r>
      <w:r>
        <w:rPr>
          <w:rFonts w:hint="eastAsia"/>
          <w:color w:val="auto"/>
          <w:szCs w:val="21"/>
          <w:highlight w:val="none"/>
          <w:lang w:val="en-US" w:eastAsia="zh-CN"/>
        </w:rPr>
        <w:t>材料提交与审查：供应商需在投标（响应）文件中对其提供的产品出具《关于符合本国产品标准的声明函》（样式见投标文件格式）</w:t>
      </w:r>
      <w:r>
        <w:rPr>
          <w:rFonts w:hint="eastAsia"/>
          <w:szCs w:val="21"/>
          <w:highlight w:val="none"/>
          <w:lang w:val="en-US" w:eastAsia="zh-CN"/>
        </w:rPr>
        <w:t>或财政部会同有关部门规定的有关证明文件。</w:t>
      </w:r>
      <w:r>
        <w:rPr>
          <w:rFonts w:hint="eastAsia"/>
          <w:b/>
          <w:bCs/>
          <w:color w:val="auto"/>
          <w:szCs w:val="21"/>
          <w:highlight w:val="none"/>
          <w:lang w:val="en-US" w:eastAsia="zh-CN"/>
        </w:rPr>
        <w:t>医疗器械产品凭药品监督管理部门授予的准字号注册证直接认定属于在中国境内生产的产品。</w:t>
      </w:r>
      <w:r>
        <w:rPr>
          <w:rFonts w:hint="eastAsia"/>
          <w:szCs w:val="21"/>
          <w:highlight w:val="none"/>
          <w:lang w:val="en-US" w:eastAsia="zh-CN"/>
        </w:rPr>
        <w:t>出具符合要求的《声明函》或有关证明文件的，该产品视为本国产品，采购人、采购代理机构不得再要求供应商提供其他证明材</w:t>
      </w:r>
      <w:r>
        <w:rPr>
          <w:rFonts w:hint="eastAsia"/>
          <w:color w:val="auto"/>
          <w:szCs w:val="21"/>
          <w:highlight w:val="none"/>
          <w:lang w:val="en-US" w:eastAsia="zh-CN"/>
        </w:rPr>
        <w:t>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p w14:paraId="1D2E3370">
      <w:pPr>
        <w:pStyle w:val="22"/>
        <w:ind w:firstLine="420" w:firstLineChars="200"/>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评审委员会应对《声明函》的完整性、准确性进行审查，对《声明函》内容含义不明确、同类事项与投标（响应）文件表述不一致或存在明显文字错误的，应</w:t>
      </w:r>
      <w:r>
        <w:rPr>
          <w:rFonts w:hint="eastAsia" w:cs="Times New Roman"/>
          <w:color w:val="auto"/>
          <w:kern w:val="2"/>
          <w:sz w:val="21"/>
          <w:szCs w:val="21"/>
          <w:highlight w:val="none"/>
          <w:lang w:val="en-US" w:eastAsia="zh-CN" w:bidi="ar-SA"/>
        </w:rPr>
        <w:t>当</w:t>
      </w:r>
      <w:r>
        <w:rPr>
          <w:rFonts w:hint="eastAsia" w:ascii="Times New Roman" w:hAnsi="Times New Roman" w:eastAsia="宋体" w:cs="Times New Roman"/>
          <w:color w:val="auto"/>
          <w:kern w:val="2"/>
          <w:sz w:val="21"/>
          <w:szCs w:val="21"/>
          <w:highlight w:val="none"/>
          <w:lang w:val="en-US" w:eastAsia="zh-CN" w:bidi="ar-SA"/>
        </w:rPr>
        <w:t>以书面形式要求供应商澄清、说明或者补正；</w:t>
      </w:r>
      <w:r>
        <w:rPr>
          <w:rFonts w:hint="eastAsia" w:cs="Times New Roman"/>
          <w:color w:val="auto"/>
          <w:kern w:val="2"/>
          <w:sz w:val="21"/>
          <w:szCs w:val="21"/>
          <w:highlight w:val="none"/>
          <w:lang w:val="en-US" w:eastAsia="zh-CN" w:bidi="ar-SA"/>
        </w:rPr>
        <w:t>经</w:t>
      </w:r>
      <w:r>
        <w:rPr>
          <w:rFonts w:hint="eastAsia" w:ascii="Times New Roman" w:hAnsi="Times New Roman" w:eastAsia="宋体" w:cs="Times New Roman"/>
          <w:color w:val="auto"/>
          <w:kern w:val="2"/>
          <w:sz w:val="21"/>
          <w:szCs w:val="21"/>
          <w:highlight w:val="none"/>
          <w:lang w:val="en-US" w:eastAsia="zh-CN" w:bidi="ar-SA"/>
        </w:rPr>
        <w:t>澄清、说明或者补正后仍不符合要求的，不认定为本国产品。</w:t>
      </w:r>
    </w:p>
    <w:p w14:paraId="69C1BF47">
      <w:pPr>
        <w:pStyle w:val="22"/>
        <w:ind w:firstLine="420" w:firstLineChars="200"/>
        <w:rPr>
          <w:rFonts w:hint="default"/>
          <w:color w:val="auto"/>
          <w:sz w:val="21"/>
          <w:szCs w:val="21"/>
          <w:lang w:val="en-US" w:eastAsia="zh-CN"/>
        </w:rPr>
      </w:pPr>
      <w:r>
        <w:rPr>
          <w:rFonts w:hint="eastAsia"/>
          <w:color w:val="auto"/>
          <w:sz w:val="21"/>
          <w:szCs w:val="21"/>
          <w:lang w:val="en-US" w:eastAsia="zh-CN"/>
        </w:rPr>
        <w:t>澄清补正应当按照“6.3.3澄清、说明或补正”的规定提交。</w:t>
      </w:r>
    </w:p>
    <w:p w14:paraId="1C22056C">
      <w:pPr>
        <w:pStyle w:val="22"/>
        <w:ind w:firstLine="420" w:firstLineChars="200"/>
        <w:rPr>
          <w:rFonts w:hint="eastAsia"/>
          <w:color w:val="auto"/>
          <w:sz w:val="21"/>
          <w:szCs w:val="21"/>
          <w:highlight w:val="none"/>
          <w:lang w:val="en-US" w:eastAsia="zh-CN"/>
        </w:rPr>
      </w:pPr>
      <w:r>
        <w:rPr>
          <w:rFonts w:hint="eastAsia"/>
          <w:color w:val="auto"/>
          <w:sz w:val="21"/>
          <w:szCs w:val="21"/>
          <w:highlight w:val="none"/>
          <w:lang w:val="en-US" w:eastAsia="zh-CN"/>
        </w:rPr>
        <w:t>1.9.4.3成本核算与承诺</w:t>
      </w:r>
    </w:p>
    <w:p w14:paraId="36EC83CE">
      <w:pPr>
        <w:pStyle w:val="22"/>
        <w:ind w:firstLine="420" w:firstLineChars="200"/>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供应商应依据《中国境内生产的组件成本核算基本规则》核算产品成本占比，并对核算结果负责，按要求提交《</w:t>
      </w:r>
      <w:r>
        <w:rPr>
          <w:rFonts w:hint="eastAsia" w:cs="Times New Roman"/>
          <w:color w:val="auto"/>
          <w:kern w:val="2"/>
          <w:sz w:val="21"/>
          <w:szCs w:val="21"/>
          <w:highlight w:val="none"/>
          <w:lang w:val="en-US" w:eastAsia="zh-CN" w:bidi="ar-SA"/>
        </w:rPr>
        <w:t>关于符合</w:t>
      </w:r>
      <w:r>
        <w:rPr>
          <w:rFonts w:hint="default" w:ascii="Times New Roman" w:hAnsi="Times New Roman" w:eastAsia="宋体" w:cs="Times New Roman"/>
          <w:color w:val="auto"/>
          <w:kern w:val="2"/>
          <w:sz w:val="21"/>
          <w:szCs w:val="21"/>
          <w:highlight w:val="none"/>
          <w:lang w:val="en-US" w:eastAsia="zh-CN" w:bidi="ar-SA"/>
        </w:rPr>
        <w:t>本国产品</w:t>
      </w:r>
      <w:r>
        <w:rPr>
          <w:rFonts w:hint="eastAsia" w:cs="Times New Roman"/>
          <w:color w:val="auto"/>
          <w:kern w:val="2"/>
          <w:sz w:val="21"/>
          <w:szCs w:val="21"/>
          <w:highlight w:val="none"/>
          <w:lang w:val="en-US" w:eastAsia="zh-CN" w:bidi="ar-SA"/>
        </w:rPr>
        <w:t>标准的</w:t>
      </w:r>
      <w:r>
        <w:rPr>
          <w:rFonts w:hint="default" w:ascii="Times New Roman" w:hAnsi="Times New Roman" w:eastAsia="宋体" w:cs="Times New Roman"/>
          <w:color w:val="auto"/>
          <w:kern w:val="2"/>
          <w:sz w:val="21"/>
          <w:szCs w:val="21"/>
          <w:highlight w:val="none"/>
          <w:lang w:val="en-US" w:eastAsia="zh-CN" w:bidi="ar-SA"/>
        </w:rPr>
        <w:t>成本占比承诺函》</w:t>
      </w:r>
      <w:r>
        <w:rPr>
          <w:rFonts w:hint="eastAsia" w:cs="Times New Roman"/>
          <w:color w:val="auto"/>
          <w:kern w:val="2"/>
          <w:sz w:val="21"/>
          <w:szCs w:val="21"/>
          <w:highlight w:val="none"/>
          <w:lang w:val="en-US" w:eastAsia="zh-CN" w:bidi="ar-SA"/>
        </w:rPr>
        <w:t>（如适用）</w:t>
      </w:r>
      <w:r>
        <w:rPr>
          <w:rFonts w:hint="default" w:ascii="Times New Roman" w:hAnsi="Times New Roman" w:eastAsia="宋体" w:cs="Times New Roman"/>
          <w:color w:val="auto"/>
          <w:kern w:val="2"/>
          <w:sz w:val="21"/>
          <w:szCs w:val="21"/>
          <w:highlight w:val="none"/>
          <w:lang w:val="en-US" w:eastAsia="zh-CN" w:bidi="ar-SA"/>
        </w:rPr>
        <w:t>（参考模板</w:t>
      </w:r>
      <w:r>
        <w:rPr>
          <w:rFonts w:hint="eastAsia" w:cs="Times New Roman"/>
          <w:color w:val="auto"/>
          <w:kern w:val="2"/>
          <w:sz w:val="21"/>
          <w:szCs w:val="21"/>
          <w:highlight w:val="none"/>
          <w:lang w:val="en-US" w:eastAsia="zh-CN" w:bidi="ar-SA"/>
        </w:rPr>
        <w:t>详见投标文件格式</w:t>
      </w:r>
      <w:r>
        <w:rPr>
          <w:rFonts w:hint="default" w:ascii="Times New Roman" w:hAnsi="Times New Roman" w:eastAsia="宋体" w:cs="Times New Roman"/>
          <w:color w:val="auto"/>
          <w:kern w:val="2"/>
          <w:sz w:val="21"/>
          <w:szCs w:val="21"/>
          <w:highlight w:val="none"/>
          <w:lang w:val="en-US" w:eastAsia="zh-CN" w:bidi="ar-SA"/>
        </w:rPr>
        <w:t>）。相关成本核算的原始凭证应妥善留存，以备核查。采购人可在履约验收环节对相关材料进行抽查。</w:t>
      </w:r>
    </w:p>
    <w:p w14:paraId="333F5497">
      <w:pPr>
        <w:spacing w:before="120" w:line="320" w:lineRule="atLeast"/>
        <w:ind w:firstLine="420" w:firstLineChars="200"/>
        <w:rPr>
          <w:rFonts w:hint="default"/>
          <w:szCs w:val="21"/>
          <w:highlight w:val="none"/>
          <w:lang w:val="en-US" w:eastAsia="zh-CN"/>
        </w:rPr>
      </w:pPr>
      <w:r>
        <w:rPr>
          <w:rFonts w:hint="eastAsia"/>
          <w:szCs w:val="21"/>
          <w:highlight w:val="none"/>
          <w:lang w:val="en-US" w:eastAsia="zh-CN"/>
        </w:rPr>
        <w:t>1.9.5 争议处理</w:t>
      </w:r>
    </w:p>
    <w:p w14:paraId="3846620F">
      <w:pPr>
        <w:spacing w:before="120" w:line="320" w:lineRule="atLeast"/>
        <w:ind w:firstLine="420" w:firstLineChars="200"/>
        <w:rPr>
          <w:rFonts w:hint="eastAsia"/>
          <w:szCs w:val="21"/>
          <w:highlight w:val="yellow"/>
          <w:lang w:val="en-US" w:eastAsia="zh-CN"/>
        </w:rPr>
      </w:pPr>
      <w:r>
        <w:rPr>
          <w:rFonts w:hint="eastAsia"/>
          <w:szCs w:val="21"/>
          <w:highlight w:val="none"/>
          <w:lang w:val="en-US" w:eastAsia="zh-CN"/>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270E85D0">
      <w:pPr>
        <w:spacing w:before="120" w:line="320" w:lineRule="atLeast"/>
        <w:ind w:left="2" w:leftChars="1" w:firstLine="422" w:firstLineChars="200"/>
        <w:outlineLvl w:val="1"/>
        <w:rPr>
          <w:b/>
          <w:bCs/>
          <w:kern w:val="0"/>
          <w:szCs w:val="21"/>
        </w:rPr>
      </w:pPr>
      <w:bookmarkStart w:id="58" w:name="_Toc254970675"/>
      <w:bookmarkStart w:id="59" w:name="_Toc254970534"/>
      <w:r>
        <w:rPr>
          <w:b/>
          <w:bCs/>
          <w:kern w:val="0"/>
          <w:szCs w:val="21"/>
        </w:rPr>
        <w:t>2．招标文件</w:t>
      </w:r>
      <w:bookmarkEnd w:id="58"/>
      <w:bookmarkEnd w:id="59"/>
    </w:p>
    <w:p w14:paraId="1D0E762B">
      <w:pPr>
        <w:spacing w:before="120" w:line="320" w:lineRule="atLeast"/>
        <w:ind w:firstLine="422" w:firstLineChars="200"/>
        <w:outlineLvl w:val="2"/>
        <w:rPr>
          <w:b/>
          <w:bCs/>
          <w:kern w:val="0"/>
          <w:szCs w:val="21"/>
        </w:rPr>
      </w:pPr>
      <w:r>
        <w:rPr>
          <w:b/>
          <w:bCs/>
          <w:kern w:val="0"/>
          <w:szCs w:val="21"/>
        </w:rPr>
        <w:t>2.1招标文件的构成</w:t>
      </w:r>
    </w:p>
    <w:p w14:paraId="25E9068D">
      <w:pPr>
        <w:spacing w:before="120" w:line="320" w:lineRule="atLeast"/>
        <w:ind w:firstLine="420" w:firstLineChars="200"/>
        <w:rPr>
          <w:szCs w:val="21"/>
        </w:rPr>
      </w:pPr>
      <w:r>
        <w:rPr>
          <w:szCs w:val="21"/>
        </w:rPr>
        <w:t>第一章 招标公告</w:t>
      </w:r>
    </w:p>
    <w:p w14:paraId="35093529">
      <w:pPr>
        <w:spacing w:before="120" w:line="320" w:lineRule="atLeast"/>
        <w:ind w:firstLine="420" w:firstLineChars="200"/>
        <w:rPr>
          <w:szCs w:val="21"/>
        </w:rPr>
      </w:pPr>
      <w:r>
        <w:rPr>
          <w:szCs w:val="21"/>
        </w:rPr>
        <w:t>第二章 采购需求</w:t>
      </w:r>
    </w:p>
    <w:p w14:paraId="743FCC22">
      <w:pPr>
        <w:spacing w:before="120" w:line="320" w:lineRule="atLeast"/>
        <w:ind w:firstLine="420" w:firstLineChars="200"/>
        <w:rPr>
          <w:szCs w:val="21"/>
        </w:rPr>
      </w:pPr>
      <w:r>
        <w:rPr>
          <w:szCs w:val="21"/>
        </w:rPr>
        <w:t xml:space="preserve">第三章 </w:t>
      </w:r>
      <w:r>
        <w:rPr>
          <w:rFonts w:hint="eastAsia"/>
          <w:szCs w:val="21"/>
        </w:rPr>
        <w:t>投标人</w:t>
      </w:r>
      <w:r>
        <w:rPr>
          <w:szCs w:val="21"/>
        </w:rPr>
        <w:t>须知</w:t>
      </w:r>
    </w:p>
    <w:p w14:paraId="6B699570">
      <w:pPr>
        <w:spacing w:before="120" w:line="320" w:lineRule="atLeast"/>
        <w:ind w:firstLine="420" w:firstLineChars="200"/>
        <w:rPr>
          <w:szCs w:val="21"/>
        </w:rPr>
      </w:pPr>
      <w:r>
        <w:rPr>
          <w:szCs w:val="21"/>
        </w:rPr>
        <w:t>第四章 评审方法及标准</w:t>
      </w:r>
    </w:p>
    <w:p w14:paraId="3385409F">
      <w:pPr>
        <w:spacing w:before="120" w:line="320" w:lineRule="atLeast"/>
        <w:ind w:firstLine="420" w:firstLineChars="200"/>
        <w:rPr>
          <w:szCs w:val="21"/>
        </w:rPr>
      </w:pPr>
      <w:r>
        <w:rPr>
          <w:szCs w:val="21"/>
        </w:rPr>
        <w:t>第五章 合同主要条款格式</w:t>
      </w:r>
    </w:p>
    <w:p w14:paraId="7DE04479">
      <w:pPr>
        <w:spacing w:before="120" w:line="320" w:lineRule="atLeast"/>
        <w:ind w:firstLine="420" w:firstLineChars="200"/>
        <w:rPr>
          <w:szCs w:val="21"/>
        </w:rPr>
      </w:pPr>
      <w:r>
        <w:rPr>
          <w:szCs w:val="21"/>
        </w:rPr>
        <w:t>第六章 投标文件格式</w:t>
      </w:r>
    </w:p>
    <w:p w14:paraId="21E068B9">
      <w:pPr>
        <w:spacing w:before="120" w:line="320" w:lineRule="atLeast"/>
        <w:ind w:firstLine="422" w:firstLineChars="200"/>
        <w:outlineLvl w:val="2"/>
        <w:rPr>
          <w:b/>
          <w:bCs/>
          <w:kern w:val="0"/>
          <w:szCs w:val="21"/>
        </w:rPr>
      </w:pPr>
      <w:r>
        <w:rPr>
          <w:b/>
          <w:bCs/>
          <w:kern w:val="0"/>
          <w:szCs w:val="21"/>
        </w:rPr>
        <w:t>2.2</w:t>
      </w:r>
      <w:r>
        <w:rPr>
          <w:rFonts w:hint="eastAsia"/>
          <w:b/>
          <w:bCs/>
          <w:kern w:val="0"/>
          <w:szCs w:val="21"/>
        </w:rPr>
        <w:t>投标人</w:t>
      </w:r>
      <w:r>
        <w:rPr>
          <w:b/>
          <w:bCs/>
          <w:kern w:val="0"/>
          <w:szCs w:val="21"/>
        </w:rPr>
        <w:t>的风险</w:t>
      </w:r>
    </w:p>
    <w:p w14:paraId="7BE49901">
      <w:pPr>
        <w:spacing w:before="120" w:line="320" w:lineRule="atLeast"/>
        <w:ind w:firstLine="420" w:firstLineChars="200"/>
        <w:rPr>
          <w:szCs w:val="21"/>
        </w:rPr>
      </w:pPr>
      <w:r>
        <w:rPr>
          <w:rFonts w:hint="eastAsia"/>
          <w:szCs w:val="21"/>
        </w:rPr>
        <w:t>投标人</w:t>
      </w:r>
      <w:r>
        <w:rPr>
          <w:szCs w:val="21"/>
        </w:rPr>
        <w:t>没有按照招标文件要求提供全部资料，或者</w:t>
      </w:r>
      <w:r>
        <w:rPr>
          <w:rFonts w:hint="eastAsia"/>
          <w:szCs w:val="21"/>
        </w:rPr>
        <w:t>投标人</w:t>
      </w:r>
      <w:r>
        <w:rPr>
          <w:szCs w:val="21"/>
        </w:rPr>
        <w:t>没有对招标文件在各方面作出实质性响应是</w:t>
      </w:r>
      <w:r>
        <w:rPr>
          <w:rFonts w:hint="eastAsia"/>
          <w:szCs w:val="21"/>
        </w:rPr>
        <w:t>投标人</w:t>
      </w:r>
      <w:r>
        <w:rPr>
          <w:szCs w:val="21"/>
        </w:rPr>
        <w:t>的风险，并可能导致其投标被否决。</w:t>
      </w:r>
    </w:p>
    <w:p w14:paraId="1C754BAE">
      <w:pPr>
        <w:spacing w:before="120" w:line="320" w:lineRule="atLeast"/>
        <w:ind w:firstLine="422" w:firstLineChars="200"/>
        <w:outlineLvl w:val="2"/>
        <w:rPr>
          <w:b/>
          <w:szCs w:val="21"/>
        </w:rPr>
      </w:pPr>
      <w:r>
        <w:rPr>
          <w:b/>
          <w:bCs/>
          <w:kern w:val="0"/>
          <w:szCs w:val="21"/>
        </w:rPr>
        <w:t>2.3招标文件的澄清与修改</w:t>
      </w:r>
    </w:p>
    <w:p w14:paraId="64BF78FB">
      <w:pPr>
        <w:spacing w:before="120" w:line="320" w:lineRule="atLeast"/>
        <w:ind w:firstLine="420" w:firstLineChars="200"/>
        <w:rPr>
          <w:szCs w:val="21"/>
        </w:rPr>
      </w:pPr>
      <w:r>
        <w:rPr>
          <w:szCs w:val="21"/>
        </w:rPr>
        <w:t>2.3.1</w:t>
      </w:r>
      <w:r>
        <w:rPr>
          <w:rFonts w:hint="eastAsia"/>
          <w:szCs w:val="21"/>
        </w:rPr>
        <w:t>任何已获得招标文件的潜在投标人，均可</w:t>
      </w:r>
      <w:r>
        <w:rPr>
          <w:szCs w:val="21"/>
        </w:rPr>
        <w:t>以书面形式要求采购代理机构作出书面解释、澄清</w:t>
      </w:r>
      <w:r>
        <w:rPr>
          <w:rFonts w:hint="eastAsia"/>
          <w:szCs w:val="21"/>
        </w:rPr>
        <w:t>。</w:t>
      </w:r>
    </w:p>
    <w:p w14:paraId="0CE94C93">
      <w:pPr>
        <w:spacing w:before="120" w:line="320" w:lineRule="atLeast"/>
        <w:ind w:firstLine="420" w:firstLineChars="200"/>
        <w:rPr>
          <w:szCs w:val="21"/>
        </w:rPr>
      </w:pPr>
      <w:r>
        <w:rPr>
          <w:szCs w:val="21"/>
        </w:rPr>
        <w:t>2.3.2</w:t>
      </w:r>
      <w:r>
        <w:rPr>
          <w:rFonts w:hint="eastAsia"/>
          <w:szCs w:val="21"/>
        </w:rPr>
        <w:t>采购人或者采购代理机构可以对已发出的招标文件进行必要的澄清或者修改。澄清或者修改的内容可能影响投标文件编制的，采购人或者采购代理机构应当在投标截止时间至少15日前，</w:t>
      </w:r>
      <w:bookmarkStart w:id="60" w:name="_Hlk132790706"/>
      <w:r>
        <w:rPr>
          <w:rFonts w:hint="eastAsia"/>
          <w:szCs w:val="21"/>
        </w:rPr>
        <w:t>在投标人须知前附表规定的方式通知所有获取招标文件的潜在投标人</w:t>
      </w:r>
      <w:bookmarkEnd w:id="60"/>
      <w:r>
        <w:rPr>
          <w:rFonts w:hint="eastAsia"/>
          <w:szCs w:val="21"/>
        </w:rPr>
        <w:t>；不足15日的，采购人或者采购代理机构应当顺延提交投标文件的截止时间。</w:t>
      </w:r>
    </w:p>
    <w:p w14:paraId="2D8D745F">
      <w:pPr>
        <w:spacing w:before="120" w:line="320" w:lineRule="atLeast"/>
        <w:ind w:firstLine="420" w:firstLineChars="200"/>
        <w:rPr>
          <w:szCs w:val="21"/>
        </w:rPr>
      </w:pPr>
      <w:r>
        <w:rPr>
          <w:szCs w:val="21"/>
        </w:rPr>
        <w:t>2.3.3招标文件澄清、答复、修改、补充的内容为招标文件的组成部分。当招标文件与招标文件的答复、澄清、修改、补充通知就同一内容的表述不一致时，以最后发出的公告或书面文件为准。</w:t>
      </w:r>
    </w:p>
    <w:p w14:paraId="160F9701">
      <w:pPr>
        <w:spacing w:before="120" w:line="320" w:lineRule="atLeast"/>
        <w:ind w:left="2" w:leftChars="1" w:firstLine="422" w:firstLineChars="200"/>
        <w:outlineLvl w:val="1"/>
        <w:rPr>
          <w:b/>
          <w:bCs/>
          <w:kern w:val="0"/>
          <w:szCs w:val="21"/>
        </w:rPr>
      </w:pPr>
      <w:bookmarkStart w:id="61" w:name="_Toc254970676"/>
      <w:bookmarkStart w:id="62" w:name="_Toc254970535"/>
      <w:r>
        <w:rPr>
          <w:b/>
          <w:bCs/>
          <w:kern w:val="0"/>
          <w:szCs w:val="21"/>
        </w:rPr>
        <w:t>3．投标文件</w:t>
      </w:r>
      <w:bookmarkEnd w:id="61"/>
      <w:bookmarkEnd w:id="62"/>
    </w:p>
    <w:p w14:paraId="0335BDD9">
      <w:pPr>
        <w:spacing w:before="120" w:line="320" w:lineRule="atLeast"/>
        <w:ind w:firstLine="422" w:firstLineChars="200"/>
        <w:outlineLvl w:val="2"/>
        <w:rPr>
          <w:b/>
          <w:bCs/>
          <w:kern w:val="0"/>
          <w:szCs w:val="21"/>
        </w:rPr>
      </w:pPr>
      <w:bookmarkStart w:id="63" w:name="_Toc254970677"/>
      <w:bookmarkStart w:id="64" w:name="_Toc254970536"/>
      <w:r>
        <w:rPr>
          <w:b/>
          <w:bCs/>
          <w:kern w:val="0"/>
          <w:szCs w:val="21"/>
        </w:rPr>
        <w:t>3.1投标文件的组成</w:t>
      </w:r>
      <w:bookmarkEnd w:id="63"/>
      <w:bookmarkEnd w:id="64"/>
    </w:p>
    <w:p w14:paraId="32D4612A">
      <w:pPr>
        <w:spacing w:before="120" w:line="320" w:lineRule="atLeast"/>
        <w:ind w:firstLine="420" w:firstLineChars="200"/>
        <w:rPr>
          <w:szCs w:val="21"/>
        </w:rPr>
      </w:pPr>
      <w:r>
        <w:rPr>
          <w:szCs w:val="21"/>
        </w:rPr>
        <w:t>投标文件由第六章“投标文件格式”规定的</w:t>
      </w:r>
      <w:r>
        <w:rPr>
          <w:rFonts w:hint="eastAsia"/>
          <w:szCs w:val="21"/>
        </w:rPr>
        <w:t>内容</w:t>
      </w:r>
      <w:r>
        <w:rPr>
          <w:szCs w:val="21"/>
        </w:rPr>
        <w:t>和</w:t>
      </w:r>
      <w:r>
        <w:rPr>
          <w:rFonts w:hint="eastAsia"/>
          <w:szCs w:val="21"/>
        </w:rPr>
        <w:t>投标人</w:t>
      </w:r>
      <w:r>
        <w:rPr>
          <w:szCs w:val="21"/>
        </w:rPr>
        <w:t>所作的一切有效补充、修改和承诺等文件组成</w:t>
      </w:r>
      <w:r>
        <w:rPr>
          <w:rFonts w:hint="eastAsia"/>
          <w:szCs w:val="21"/>
        </w:rPr>
        <w:t>。</w:t>
      </w:r>
    </w:p>
    <w:p w14:paraId="4C43688F">
      <w:pPr>
        <w:spacing w:before="120" w:line="320" w:lineRule="atLeast"/>
        <w:ind w:firstLine="422" w:firstLineChars="200"/>
        <w:outlineLvl w:val="2"/>
        <w:rPr>
          <w:b/>
          <w:bCs/>
          <w:kern w:val="0"/>
          <w:szCs w:val="21"/>
        </w:rPr>
      </w:pPr>
      <w:bookmarkStart w:id="65" w:name="_Toc254970678"/>
      <w:bookmarkStart w:id="66" w:name="_Toc254970537"/>
      <w:r>
        <w:rPr>
          <w:b/>
          <w:szCs w:val="21"/>
        </w:rPr>
        <w:t>3.2</w:t>
      </w:r>
      <w:r>
        <w:rPr>
          <w:b/>
          <w:bCs/>
          <w:kern w:val="0"/>
          <w:szCs w:val="21"/>
        </w:rPr>
        <w:t>投标文件的语言及计量</w:t>
      </w:r>
      <w:bookmarkEnd w:id="65"/>
      <w:bookmarkEnd w:id="66"/>
    </w:p>
    <w:p w14:paraId="0167F91B">
      <w:pPr>
        <w:spacing w:before="120" w:line="320" w:lineRule="atLeast"/>
        <w:ind w:firstLine="420" w:firstLineChars="200"/>
        <w:rPr>
          <w:szCs w:val="21"/>
        </w:rPr>
      </w:pPr>
      <w:r>
        <w:rPr>
          <w:szCs w:val="21"/>
        </w:rPr>
        <w:t>3.2.1</w:t>
      </w:r>
      <w:r>
        <w:rPr>
          <w:rFonts w:hint="eastAsia"/>
          <w:szCs w:val="21"/>
        </w:rPr>
        <w:t>投标文件以及投标人与采购人就有关投标事宜的所有来往函电，均应以中文书写（除专用术语外，与招标投标有关的语言均使用中文。必要时专用术语应附有中文注释）。供应商提交的支持文件和印刷的文献可以使用别的语言，但其相应内容应同时附中文翻译文本，在解释投标文件时以中文翻译文本为主。对不同文字文本投标文件的解释发生异议的，以中文文本为准。</w:t>
      </w:r>
    </w:p>
    <w:p w14:paraId="0B4AD02A">
      <w:pPr>
        <w:spacing w:before="120" w:line="320" w:lineRule="atLeast"/>
        <w:ind w:firstLine="420" w:firstLineChars="200"/>
        <w:rPr>
          <w:szCs w:val="21"/>
        </w:rPr>
      </w:pPr>
      <w:r>
        <w:rPr>
          <w:szCs w:val="21"/>
        </w:rPr>
        <w:t>3.2.2计量单位招标文件已有明确规定的，投标使用招标文件规定的计量单位；招标文件没有规定的，应采用中华人民共和国法定计量单位。</w:t>
      </w:r>
    </w:p>
    <w:p w14:paraId="1FF47B4F">
      <w:pPr>
        <w:spacing w:before="120" w:line="320" w:lineRule="atLeast"/>
        <w:ind w:firstLine="422" w:firstLineChars="200"/>
        <w:outlineLvl w:val="2"/>
        <w:rPr>
          <w:b/>
          <w:bCs/>
          <w:kern w:val="0"/>
          <w:szCs w:val="21"/>
        </w:rPr>
      </w:pPr>
      <w:bookmarkStart w:id="67" w:name="_Toc254970679"/>
      <w:bookmarkStart w:id="68" w:name="_Toc254970538"/>
      <w:r>
        <w:rPr>
          <w:b/>
          <w:bCs/>
          <w:kern w:val="0"/>
          <w:szCs w:val="21"/>
        </w:rPr>
        <w:t>3.3投标报价</w:t>
      </w:r>
      <w:bookmarkEnd w:id="67"/>
      <w:bookmarkEnd w:id="68"/>
    </w:p>
    <w:p w14:paraId="345F2C6E">
      <w:pPr>
        <w:spacing w:before="120" w:line="320" w:lineRule="atLeast"/>
        <w:ind w:firstLine="420" w:firstLineChars="200"/>
        <w:rPr>
          <w:szCs w:val="21"/>
        </w:rPr>
      </w:pPr>
      <w:r>
        <w:rPr>
          <w:szCs w:val="21"/>
        </w:rPr>
        <w:t>3.3.1投标报价应按招标文件中相关附表格式填写。</w:t>
      </w:r>
    </w:p>
    <w:p w14:paraId="1BFE9F46">
      <w:pPr>
        <w:spacing w:before="120" w:line="320" w:lineRule="atLeast"/>
        <w:ind w:firstLine="420" w:firstLineChars="200"/>
        <w:rPr>
          <w:szCs w:val="21"/>
        </w:rPr>
      </w:pPr>
      <w:r>
        <w:rPr>
          <w:szCs w:val="21"/>
        </w:rPr>
        <w:t>3.3.2投标文件只允许有一个报价，有选择的或有条件的报价将不予接受。</w:t>
      </w:r>
    </w:p>
    <w:p w14:paraId="43C529F2">
      <w:pPr>
        <w:suppressAutoHyphens/>
        <w:spacing w:before="120" w:line="320" w:lineRule="atLeast"/>
        <w:ind w:firstLine="420" w:firstLineChars="200"/>
        <w:rPr>
          <w:kern w:val="1"/>
          <w:szCs w:val="21"/>
        </w:rPr>
      </w:pPr>
      <w:r>
        <w:rPr>
          <w:kern w:val="1"/>
          <w:szCs w:val="21"/>
        </w:rPr>
        <w:t>3.3.3对于本文件中未列明，而</w:t>
      </w:r>
      <w:r>
        <w:rPr>
          <w:rFonts w:hint="eastAsia"/>
          <w:kern w:val="1"/>
          <w:szCs w:val="21"/>
        </w:rPr>
        <w:t>投标人</w:t>
      </w:r>
      <w:r>
        <w:rPr>
          <w:kern w:val="1"/>
          <w:szCs w:val="21"/>
        </w:rPr>
        <w:t>认为必需的费用也需列入</w:t>
      </w:r>
      <w:r>
        <w:rPr>
          <w:rFonts w:hint="eastAsia"/>
          <w:kern w:val="1"/>
          <w:szCs w:val="21"/>
        </w:rPr>
        <w:t>投标报价</w:t>
      </w:r>
      <w:r>
        <w:rPr>
          <w:kern w:val="1"/>
          <w:szCs w:val="21"/>
        </w:rPr>
        <w:t>。在合同实施时，采购人将不予支付中标人没有列入的项目费用，并认为此项目的费用已包括在</w:t>
      </w:r>
      <w:r>
        <w:rPr>
          <w:rFonts w:hint="eastAsia"/>
          <w:kern w:val="1"/>
          <w:szCs w:val="21"/>
        </w:rPr>
        <w:t>投标报价</w:t>
      </w:r>
      <w:r>
        <w:rPr>
          <w:kern w:val="1"/>
          <w:szCs w:val="21"/>
        </w:rPr>
        <w:t>中。</w:t>
      </w:r>
    </w:p>
    <w:p w14:paraId="7A03766C">
      <w:pPr>
        <w:suppressAutoHyphens/>
        <w:spacing w:before="120" w:line="320" w:lineRule="atLeast"/>
        <w:ind w:firstLine="420" w:firstLineChars="200"/>
        <w:rPr>
          <w:b/>
          <w:bCs/>
          <w:kern w:val="1"/>
          <w:szCs w:val="21"/>
        </w:rPr>
      </w:pPr>
      <w:r>
        <w:rPr>
          <w:rFonts w:hint="eastAsia"/>
          <w:kern w:val="1"/>
          <w:szCs w:val="21"/>
        </w:rPr>
        <w:t>3</w:t>
      </w:r>
      <w:r>
        <w:rPr>
          <w:kern w:val="1"/>
          <w:szCs w:val="21"/>
        </w:rPr>
        <w:t>.3.4</w:t>
      </w:r>
      <w:r>
        <w:rPr>
          <w:rFonts w:hint="eastAsia"/>
          <w:kern w:val="1"/>
          <w:szCs w:val="21"/>
        </w:rPr>
        <w:t>采购人不接受供应商给予的赠品、回扣或者与采购无关的其他商品、服务。</w:t>
      </w:r>
    </w:p>
    <w:p w14:paraId="02BEAA7E">
      <w:pPr>
        <w:spacing w:before="120" w:line="320" w:lineRule="atLeast"/>
        <w:ind w:firstLine="422" w:firstLineChars="200"/>
        <w:outlineLvl w:val="2"/>
        <w:rPr>
          <w:b/>
          <w:bCs/>
          <w:kern w:val="0"/>
          <w:szCs w:val="21"/>
        </w:rPr>
      </w:pPr>
      <w:r>
        <w:rPr>
          <w:b/>
          <w:bCs/>
          <w:kern w:val="0"/>
          <w:szCs w:val="21"/>
        </w:rPr>
        <w:t>3.4投标有效期</w:t>
      </w:r>
    </w:p>
    <w:p w14:paraId="593D9EC8">
      <w:pPr>
        <w:spacing w:before="120" w:line="320" w:lineRule="atLeast"/>
        <w:ind w:firstLine="420" w:firstLineChars="200"/>
        <w:rPr>
          <w:szCs w:val="21"/>
        </w:rPr>
      </w:pPr>
      <w:r>
        <w:rPr>
          <w:szCs w:val="21"/>
        </w:rPr>
        <w:t>3.4.1如招标文件其他地方无特别规定</w:t>
      </w:r>
      <w:r>
        <w:rPr>
          <w:rFonts w:hint="eastAsia"/>
          <w:szCs w:val="21"/>
        </w:rPr>
        <w:t>，</w:t>
      </w:r>
      <w:r>
        <w:rPr>
          <w:szCs w:val="21"/>
        </w:rPr>
        <w:t>投标有效期则为投标截止之日起90天</w:t>
      </w:r>
      <w:r>
        <w:rPr>
          <w:rFonts w:hint="eastAsia"/>
          <w:szCs w:val="21"/>
        </w:rPr>
        <w:t>。</w:t>
      </w:r>
      <w:r>
        <w:rPr>
          <w:szCs w:val="21"/>
        </w:rPr>
        <w:t>在投标有效期内投标文件应保持有效。</w:t>
      </w:r>
      <w:r>
        <w:rPr>
          <w:b/>
          <w:bCs/>
          <w:szCs w:val="21"/>
        </w:rPr>
        <w:t>有效期不足的投标文件将被否决</w:t>
      </w:r>
      <w:r>
        <w:rPr>
          <w:szCs w:val="21"/>
        </w:rPr>
        <w:t>。</w:t>
      </w:r>
    </w:p>
    <w:p w14:paraId="36633161">
      <w:pPr>
        <w:spacing w:before="120" w:line="320" w:lineRule="atLeast"/>
        <w:ind w:firstLine="420" w:firstLineChars="200"/>
        <w:rPr>
          <w:szCs w:val="21"/>
        </w:rPr>
      </w:pPr>
      <w:r>
        <w:rPr>
          <w:szCs w:val="21"/>
        </w:rPr>
        <w:t>3.4.2在特殊情况下，采购人可与</w:t>
      </w:r>
      <w:r>
        <w:rPr>
          <w:rFonts w:hint="eastAsia"/>
          <w:szCs w:val="21"/>
        </w:rPr>
        <w:t>投标人</w:t>
      </w:r>
      <w:r>
        <w:rPr>
          <w:szCs w:val="21"/>
        </w:rPr>
        <w:t>协商延长投标文件的有效期，这种要求和答复均以书面形式进行。</w:t>
      </w:r>
    </w:p>
    <w:p w14:paraId="26EF3546">
      <w:pPr>
        <w:spacing w:before="120" w:line="320" w:lineRule="atLeast"/>
        <w:ind w:firstLine="420" w:firstLineChars="200"/>
        <w:rPr>
          <w:szCs w:val="21"/>
        </w:rPr>
      </w:pPr>
      <w:r>
        <w:rPr>
          <w:szCs w:val="21"/>
        </w:rPr>
        <w:t>3.4.3</w:t>
      </w:r>
      <w:r>
        <w:rPr>
          <w:rFonts w:hint="eastAsia"/>
          <w:szCs w:val="21"/>
        </w:rPr>
        <w:t>投标人同意</w:t>
      </w:r>
      <w:r>
        <w:rPr>
          <w:rFonts w:hint="eastAsia"/>
          <w:szCs w:val="21"/>
          <w:lang w:eastAsia="zh-CN"/>
        </w:rPr>
        <w:t>延长</w:t>
      </w:r>
      <w:r>
        <w:rPr>
          <w:rFonts w:hint="eastAsia"/>
          <w:szCs w:val="21"/>
        </w:rPr>
        <w:t>投标有效期的，如本项目要求提交保证金则应相应延长其投标保证金的有效期，但不得要求或被允许修改或撤销其投标文件；投标人拒绝延长的，其投标无效，但投标人有权收回其投标保证金。</w:t>
      </w:r>
    </w:p>
    <w:p w14:paraId="07344972">
      <w:pPr>
        <w:spacing w:before="120" w:line="320" w:lineRule="atLeast"/>
        <w:ind w:firstLine="422" w:firstLineChars="200"/>
        <w:outlineLvl w:val="2"/>
        <w:rPr>
          <w:b/>
          <w:bCs/>
          <w:kern w:val="0"/>
          <w:szCs w:val="21"/>
        </w:rPr>
      </w:pPr>
      <w:bookmarkStart w:id="69" w:name="_Toc254970541"/>
      <w:bookmarkStart w:id="70" w:name="_Toc254970682"/>
      <w:r>
        <w:rPr>
          <w:b/>
          <w:bCs/>
          <w:kern w:val="0"/>
          <w:szCs w:val="21"/>
        </w:rPr>
        <w:t>3.5投标保证金</w:t>
      </w:r>
      <w:bookmarkEnd w:id="69"/>
      <w:bookmarkEnd w:id="70"/>
    </w:p>
    <w:p w14:paraId="60EA5C05">
      <w:pPr>
        <w:spacing w:before="120" w:line="320" w:lineRule="atLeast"/>
        <w:ind w:firstLine="420" w:firstLineChars="200"/>
        <w:rPr>
          <w:szCs w:val="21"/>
        </w:rPr>
      </w:pPr>
      <w:r>
        <w:rPr>
          <w:szCs w:val="21"/>
        </w:rPr>
        <w:t>3.5.1</w:t>
      </w:r>
      <w:r>
        <w:rPr>
          <w:rFonts w:hint="eastAsia"/>
          <w:szCs w:val="21"/>
        </w:rPr>
        <w:t>投标人</w:t>
      </w:r>
      <w:r>
        <w:rPr>
          <w:szCs w:val="21"/>
        </w:rPr>
        <w:t>须按须知前附表规定提交投标保证金，</w:t>
      </w:r>
      <w:r>
        <w:rPr>
          <w:b/>
          <w:bCs/>
          <w:szCs w:val="21"/>
        </w:rPr>
        <w:t>否则其投标将被否决</w:t>
      </w:r>
      <w:r>
        <w:rPr>
          <w:szCs w:val="21"/>
        </w:rPr>
        <w:t>。除招标文件规定不予退还保证金的情形外，代理机构在规定时间内退回</w:t>
      </w:r>
      <w:r>
        <w:rPr>
          <w:rFonts w:hint="eastAsia"/>
          <w:szCs w:val="21"/>
        </w:rPr>
        <w:t>投标人</w:t>
      </w:r>
      <w:r>
        <w:rPr>
          <w:szCs w:val="21"/>
        </w:rPr>
        <w:t>的投标保证金（</w:t>
      </w:r>
      <w:r>
        <w:rPr>
          <w:rFonts w:hint="eastAsia"/>
          <w:szCs w:val="21"/>
        </w:rPr>
        <w:t>投标人</w:t>
      </w:r>
      <w:r>
        <w:rPr>
          <w:szCs w:val="21"/>
        </w:rPr>
        <w:t>自行承担因未按</w:t>
      </w:r>
      <w:r>
        <w:rPr>
          <w:rFonts w:hint="eastAsia"/>
          <w:szCs w:val="21"/>
        </w:rPr>
        <w:t>投标人须知</w:t>
      </w:r>
      <w:r>
        <w:rPr>
          <w:szCs w:val="21"/>
        </w:rPr>
        <w:t>前附表要求交纳导致投标保证金无法及时退还的责任）。</w:t>
      </w:r>
    </w:p>
    <w:p w14:paraId="23881EA9">
      <w:pPr>
        <w:spacing w:before="120" w:line="320" w:lineRule="atLeast"/>
        <w:ind w:firstLine="420" w:firstLineChars="200"/>
        <w:rPr>
          <w:szCs w:val="21"/>
        </w:rPr>
      </w:pPr>
      <w:r>
        <w:rPr>
          <w:szCs w:val="21"/>
        </w:rPr>
        <w:t>3.5.2投标保证金币种应与投标报价币种相同。</w:t>
      </w:r>
    </w:p>
    <w:p w14:paraId="2065EFC8">
      <w:pPr>
        <w:spacing w:before="120" w:line="320" w:lineRule="atLeast"/>
        <w:ind w:firstLine="420" w:firstLineChars="200"/>
        <w:rPr>
          <w:szCs w:val="21"/>
        </w:rPr>
      </w:pPr>
      <w:r>
        <w:rPr>
          <w:szCs w:val="21"/>
        </w:rPr>
        <w:t>3.5.3未中标人的投标保证金在中标通知书发出后5个工作日内退还。中标人的投标保证金在合同签订后5个工作日内退还（办理退还手续时需要向采购代理机构提供两份合同复印件）。</w:t>
      </w:r>
    </w:p>
    <w:p w14:paraId="39808383">
      <w:pPr>
        <w:spacing w:before="120" w:line="320" w:lineRule="atLeast"/>
        <w:ind w:firstLine="420" w:firstLineChars="200"/>
        <w:rPr>
          <w:szCs w:val="21"/>
        </w:rPr>
      </w:pPr>
      <w:r>
        <w:rPr>
          <w:szCs w:val="21"/>
        </w:rPr>
        <w:t>3.5.4</w:t>
      </w:r>
      <w:r>
        <w:rPr>
          <w:rFonts w:hint="eastAsia"/>
          <w:szCs w:val="21"/>
        </w:rPr>
        <w:t>投标人</w:t>
      </w:r>
      <w:r>
        <w:rPr>
          <w:szCs w:val="21"/>
        </w:rPr>
        <w:t>有下列情形之一的，投标保证金将不予退还：</w:t>
      </w:r>
    </w:p>
    <w:p w14:paraId="4BF5129F">
      <w:pPr>
        <w:numPr>
          <w:ilvl w:val="0"/>
          <w:numId w:val="1"/>
        </w:numPr>
        <w:spacing w:before="120" w:line="320" w:lineRule="atLeast"/>
        <w:rPr>
          <w:szCs w:val="21"/>
        </w:rPr>
      </w:pPr>
      <w:r>
        <w:rPr>
          <w:rFonts w:hint="eastAsia"/>
          <w:szCs w:val="21"/>
        </w:rPr>
        <w:t>投标人</w:t>
      </w:r>
      <w:r>
        <w:rPr>
          <w:szCs w:val="21"/>
        </w:rPr>
        <w:t>在投标有效期内撤销投标文件的；</w:t>
      </w:r>
    </w:p>
    <w:p w14:paraId="682524BA">
      <w:pPr>
        <w:numPr>
          <w:ilvl w:val="0"/>
          <w:numId w:val="1"/>
        </w:numPr>
        <w:spacing w:before="120" w:line="320" w:lineRule="atLeast"/>
        <w:rPr>
          <w:szCs w:val="21"/>
        </w:rPr>
      </w:pPr>
      <w:r>
        <w:rPr>
          <w:rFonts w:hint="eastAsia"/>
          <w:szCs w:val="21"/>
        </w:rPr>
        <w:t>投标人</w:t>
      </w:r>
      <w:r>
        <w:rPr>
          <w:szCs w:val="21"/>
        </w:rPr>
        <w:t>在投标过程中弄虚作假，提供虚假材料的；</w:t>
      </w:r>
    </w:p>
    <w:p w14:paraId="69E39BFB">
      <w:pPr>
        <w:numPr>
          <w:ilvl w:val="0"/>
          <w:numId w:val="1"/>
        </w:numPr>
        <w:spacing w:before="120" w:line="320" w:lineRule="atLeast"/>
        <w:rPr>
          <w:szCs w:val="21"/>
        </w:rPr>
      </w:pPr>
      <w:r>
        <w:rPr>
          <w:szCs w:val="21"/>
        </w:rPr>
        <w:t>中标人无正当理由不与采购人签订合同的；</w:t>
      </w:r>
    </w:p>
    <w:p w14:paraId="0CFDF5E2">
      <w:pPr>
        <w:numPr>
          <w:ilvl w:val="0"/>
          <w:numId w:val="1"/>
        </w:numPr>
        <w:spacing w:before="120" w:line="320" w:lineRule="atLeast"/>
        <w:rPr>
          <w:szCs w:val="21"/>
        </w:rPr>
      </w:pPr>
      <w:r>
        <w:rPr>
          <w:szCs w:val="21"/>
        </w:rPr>
        <w:t>将中标项目转让给他人或者在投标文件中未说明且未经采购人同意，将中标项目分包给他人的；</w:t>
      </w:r>
    </w:p>
    <w:p w14:paraId="613CE679">
      <w:pPr>
        <w:numPr>
          <w:ilvl w:val="0"/>
          <w:numId w:val="1"/>
        </w:numPr>
        <w:spacing w:before="120" w:line="320" w:lineRule="atLeast"/>
        <w:rPr>
          <w:szCs w:val="21"/>
        </w:rPr>
      </w:pPr>
      <w:r>
        <w:rPr>
          <w:szCs w:val="21"/>
        </w:rPr>
        <w:t>拒绝履行合同义务的；</w:t>
      </w:r>
    </w:p>
    <w:p w14:paraId="7EF1C8B0">
      <w:pPr>
        <w:numPr>
          <w:ilvl w:val="0"/>
          <w:numId w:val="1"/>
        </w:numPr>
        <w:spacing w:before="120" w:line="320" w:lineRule="atLeast"/>
        <w:rPr>
          <w:szCs w:val="21"/>
        </w:rPr>
      </w:pPr>
      <w:r>
        <w:rPr>
          <w:szCs w:val="21"/>
        </w:rPr>
        <w:t>其他严重扰乱招投标程序的</w:t>
      </w:r>
      <w:r>
        <w:rPr>
          <w:rFonts w:hint="eastAsia"/>
          <w:szCs w:val="21"/>
        </w:rPr>
        <w:t>。</w:t>
      </w:r>
    </w:p>
    <w:p w14:paraId="4B683BDC">
      <w:pPr>
        <w:spacing w:before="120" w:line="320" w:lineRule="atLeast"/>
        <w:ind w:firstLine="422" w:firstLineChars="200"/>
        <w:outlineLvl w:val="2"/>
        <w:rPr>
          <w:b/>
          <w:bCs/>
          <w:kern w:val="0"/>
          <w:szCs w:val="21"/>
        </w:rPr>
      </w:pPr>
      <w:bookmarkStart w:id="71" w:name="_Toc254970542"/>
      <w:bookmarkStart w:id="72" w:name="_Toc254970683"/>
      <w:r>
        <w:rPr>
          <w:b/>
          <w:bCs/>
          <w:kern w:val="0"/>
          <w:szCs w:val="21"/>
        </w:rPr>
        <w:t>3.6投标文件的</w:t>
      </w:r>
      <w:bookmarkEnd w:id="71"/>
      <w:bookmarkEnd w:id="72"/>
      <w:r>
        <w:rPr>
          <w:b/>
          <w:bCs/>
          <w:kern w:val="0"/>
          <w:szCs w:val="21"/>
        </w:rPr>
        <w:t>编制要求</w:t>
      </w:r>
    </w:p>
    <w:p w14:paraId="6E85E7D8">
      <w:pPr>
        <w:spacing w:before="120" w:line="320" w:lineRule="atLeast"/>
        <w:ind w:firstLine="420" w:firstLineChars="200"/>
        <w:rPr>
          <w:b/>
          <w:bCs/>
          <w:kern w:val="0"/>
          <w:szCs w:val="21"/>
        </w:rPr>
      </w:pPr>
      <w:r>
        <w:rPr>
          <w:rFonts w:hint="eastAsia"/>
          <w:kern w:val="0"/>
          <w:szCs w:val="21"/>
        </w:rPr>
        <w:t>3</w:t>
      </w:r>
      <w:r>
        <w:rPr>
          <w:kern w:val="0"/>
          <w:szCs w:val="21"/>
        </w:rPr>
        <w:t>.6.1</w:t>
      </w:r>
      <w:r>
        <w:rPr>
          <w:rFonts w:hint="eastAsia"/>
          <w:szCs w:val="21"/>
        </w:rPr>
        <w:t>投标人应先安装</w:t>
      </w:r>
      <w:bookmarkStart w:id="73" w:name="_Hlk160184301"/>
      <w:r>
        <w:rPr>
          <w:rFonts w:hint="eastAsia"/>
          <w:szCs w:val="21"/>
        </w:rPr>
        <w:t>广西政府采购云平台新版客户端</w:t>
      </w:r>
      <w:bookmarkEnd w:id="73"/>
      <w:r>
        <w:rPr>
          <w:rFonts w:hint="eastAsia"/>
          <w:szCs w:val="21"/>
        </w:rPr>
        <w:t>，通过账号密码或C</w:t>
      </w:r>
      <w:r>
        <w:rPr>
          <w:szCs w:val="21"/>
        </w:rPr>
        <w:t>A</w:t>
      </w:r>
      <w:r>
        <w:rPr>
          <w:rFonts w:hint="eastAsia"/>
          <w:szCs w:val="21"/>
        </w:rPr>
        <w:t>登录客户端制作投标文件。</w:t>
      </w:r>
    </w:p>
    <w:p w14:paraId="44668990">
      <w:pPr>
        <w:spacing w:before="120" w:line="320" w:lineRule="atLeast"/>
        <w:ind w:firstLine="420" w:firstLineChars="200"/>
        <w:rPr>
          <w:szCs w:val="21"/>
        </w:rPr>
      </w:pPr>
      <w:bookmarkStart w:id="74" w:name="_Hlk132791136"/>
      <w:r>
        <w:rPr>
          <w:szCs w:val="21"/>
        </w:rPr>
        <w:t>3.6.2</w:t>
      </w:r>
      <w:r>
        <w:rPr>
          <w:rFonts w:hint="eastAsia"/>
          <w:szCs w:val="21"/>
        </w:rPr>
        <w:t>投标人</w:t>
      </w:r>
      <w:r>
        <w:rPr>
          <w:szCs w:val="21"/>
        </w:rPr>
        <w:t>应按本招标文件规定的格式和顺序编制投标文件</w:t>
      </w:r>
      <w:r>
        <w:rPr>
          <w:rFonts w:hint="eastAsia"/>
          <w:szCs w:val="21"/>
        </w:rPr>
        <w:t>并进行关联定位</w:t>
      </w:r>
      <w:r>
        <w:rPr>
          <w:szCs w:val="21"/>
        </w:rPr>
        <w:t>，</w:t>
      </w:r>
      <w:r>
        <w:rPr>
          <w:rFonts w:hint="eastAsia"/>
          <w:szCs w:val="21"/>
        </w:rPr>
        <w:t>以便评审委员会在评审时，点击评分项可直接定位到该评分项内容。如对招标文件的某项要求，投标人的投标文件未能关联定位提供相应的内容与其对应，则评审委员会在评审时如做出对投标人不利的评审由投标人自行承担。投标文件如内容不完整、编排混乱导致投标文件被误读、漏读，或者在按招标文件规定的部位查找不到相关内容的，由投标人自行承担。</w:t>
      </w:r>
    </w:p>
    <w:p w14:paraId="34484A47">
      <w:pPr>
        <w:spacing w:before="120" w:line="320" w:lineRule="atLeast"/>
        <w:ind w:firstLine="420" w:firstLineChars="200"/>
        <w:rPr>
          <w:szCs w:val="21"/>
        </w:rPr>
      </w:pPr>
      <w:bookmarkStart w:id="75" w:name="_Hlk93046800"/>
      <w:r>
        <w:rPr>
          <w:szCs w:val="21"/>
        </w:rPr>
        <w:t xml:space="preserve">3.6.3 </w:t>
      </w:r>
      <w:r>
        <w:rPr>
          <w:rFonts w:hint="eastAsia"/>
          <w:szCs w:val="21"/>
        </w:rPr>
        <w:t>投标人的投标文件未按照招标文件要求签署、盖章的，</w:t>
      </w:r>
      <w:r>
        <w:rPr>
          <w:rFonts w:hint="eastAsia"/>
          <w:b/>
          <w:bCs/>
          <w:szCs w:val="21"/>
        </w:rPr>
        <w:t>其投标无效</w:t>
      </w:r>
      <w:r>
        <w:rPr>
          <w:rFonts w:hint="eastAsia"/>
          <w:szCs w:val="21"/>
        </w:rPr>
        <w:t>。</w:t>
      </w:r>
    </w:p>
    <w:bookmarkEnd w:id="74"/>
    <w:bookmarkEnd w:id="75"/>
    <w:p w14:paraId="453B224A">
      <w:pPr>
        <w:spacing w:before="120" w:line="320" w:lineRule="atLeast"/>
        <w:ind w:firstLine="420" w:firstLineChars="200"/>
        <w:rPr>
          <w:szCs w:val="21"/>
        </w:rPr>
      </w:pPr>
      <w:r>
        <w:rPr>
          <w:szCs w:val="21"/>
        </w:rPr>
        <w:t>3.6.4</w:t>
      </w:r>
      <w:r>
        <w:rPr>
          <w:rFonts w:hint="eastAsia"/>
          <w:szCs w:val="21"/>
        </w:rPr>
        <w:t>为确保网上操作合法、有效和安全，投标人应当在投标截止时间前完成在广西政府采购云平台的身份认证，确保在电子投标过程中能够对相关数据电文进行加密和使用电子签名。</w:t>
      </w:r>
    </w:p>
    <w:p w14:paraId="410A823A">
      <w:pPr>
        <w:spacing w:before="120" w:line="320" w:lineRule="atLeast"/>
        <w:ind w:firstLine="420" w:firstLineChars="200"/>
        <w:rPr>
          <w:b/>
          <w:bCs/>
          <w:szCs w:val="21"/>
        </w:rPr>
      </w:pPr>
      <w:r>
        <w:rPr>
          <w:rFonts w:hint="eastAsia"/>
          <w:szCs w:val="21"/>
        </w:rPr>
        <w:t>3</w:t>
      </w:r>
      <w:r>
        <w:rPr>
          <w:szCs w:val="21"/>
        </w:rPr>
        <w:t>.6.5</w:t>
      </w:r>
      <w:r>
        <w:rPr>
          <w:rFonts w:hint="eastAsia"/>
          <w:szCs w:val="21"/>
        </w:rPr>
        <w:t>投标文件中标注的投标人名称应与主体资格证明（如营业执照、事业单位法人证书、执业许可证、个体工商户营业执照、自然人身份证等）和公章/电子签章一致，</w:t>
      </w:r>
      <w:r>
        <w:rPr>
          <w:rFonts w:hint="eastAsia"/>
          <w:b/>
          <w:bCs/>
          <w:szCs w:val="21"/>
        </w:rPr>
        <w:t>否则作无效投标处理。</w:t>
      </w:r>
    </w:p>
    <w:p w14:paraId="3A7E9736">
      <w:pPr>
        <w:spacing w:before="120" w:line="320" w:lineRule="atLeast"/>
        <w:ind w:firstLine="422" w:firstLineChars="200"/>
        <w:outlineLvl w:val="2"/>
        <w:rPr>
          <w:b/>
          <w:bCs/>
          <w:kern w:val="0"/>
          <w:szCs w:val="21"/>
        </w:rPr>
      </w:pPr>
      <w:r>
        <w:rPr>
          <w:b/>
          <w:bCs/>
          <w:kern w:val="0"/>
          <w:szCs w:val="21"/>
        </w:rPr>
        <w:t>3.7投标文件的递交、修改和撤回</w:t>
      </w:r>
    </w:p>
    <w:p w14:paraId="78341EE6">
      <w:pPr>
        <w:spacing w:before="120" w:line="320" w:lineRule="atLeast"/>
        <w:ind w:firstLine="420" w:firstLineChars="200"/>
        <w:rPr>
          <w:szCs w:val="21"/>
        </w:rPr>
      </w:pPr>
      <w:r>
        <w:rPr>
          <w:szCs w:val="21"/>
        </w:rPr>
        <w:t>3.7.1</w:t>
      </w:r>
      <w:r>
        <w:rPr>
          <w:rFonts w:hint="eastAsia"/>
          <w:szCs w:val="21"/>
        </w:rPr>
        <w:t>投标人必须在投标人须知前附表规定的投标文件开标时间和投标地点提交电子版投标文件。电子投标文件应在制作完成后，在投标截止时间前通过有效数字证书（CA认证锁）进行电子签章、加密，然后通过网络将加密的电子投标文件递交至广西政府采购云平台。</w:t>
      </w:r>
    </w:p>
    <w:p w14:paraId="2633B13D">
      <w:pPr>
        <w:spacing w:before="120" w:line="320" w:lineRule="atLeast"/>
        <w:ind w:firstLine="420" w:firstLineChars="200"/>
        <w:rPr>
          <w:szCs w:val="21"/>
        </w:rPr>
      </w:pPr>
      <w:r>
        <w:rPr>
          <w:rFonts w:hint="eastAsia"/>
          <w:szCs w:val="21"/>
        </w:rPr>
        <w:t>3</w:t>
      </w:r>
      <w:r>
        <w:rPr>
          <w:szCs w:val="21"/>
        </w:rPr>
        <w:t>.7.2</w:t>
      </w:r>
      <w:r>
        <w:rPr>
          <w:rFonts w:hint="eastAsia"/>
          <w:szCs w:val="21"/>
        </w:rPr>
        <w:t xml:space="preserve">未在规定时间内提交或者未按照招标文件要求签章、加密的电子投标文件，广西政府采购云平台将拒收。 </w:t>
      </w:r>
    </w:p>
    <w:p w14:paraId="378FB46A">
      <w:pPr>
        <w:spacing w:before="120" w:line="320" w:lineRule="atLeast"/>
        <w:ind w:left="2" w:leftChars="1" w:firstLine="420" w:firstLineChars="200"/>
        <w:rPr>
          <w:szCs w:val="21"/>
        </w:rPr>
      </w:pPr>
      <w:bookmarkStart w:id="76" w:name="_Toc254970685"/>
      <w:bookmarkStart w:id="77" w:name="_Toc254970544"/>
      <w:r>
        <w:rPr>
          <w:rFonts w:hint="eastAsia"/>
          <w:szCs w:val="21"/>
        </w:rPr>
        <w:t>3</w:t>
      </w:r>
      <w:r>
        <w:rPr>
          <w:szCs w:val="21"/>
        </w:rPr>
        <w:t>.7.3</w:t>
      </w:r>
      <w:r>
        <w:rPr>
          <w:rFonts w:hint="eastAsia"/>
          <w:szCs w:val="21"/>
        </w:rPr>
        <w:t>投标人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广西政府采购云平台将拒收。</w:t>
      </w:r>
    </w:p>
    <w:p w14:paraId="6B233C6C">
      <w:pPr>
        <w:spacing w:before="120" w:line="320" w:lineRule="atLeast"/>
        <w:ind w:left="2" w:leftChars="1" w:firstLine="420" w:firstLineChars="200"/>
        <w:rPr>
          <w:szCs w:val="21"/>
        </w:rPr>
      </w:pPr>
      <w:r>
        <w:rPr>
          <w:szCs w:val="21"/>
        </w:rPr>
        <w:t>3.7.4</w:t>
      </w:r>
      <w:r>
        <w:rPr>
          <w:rFonts w:hint="eastAsia"/>
          <w:szCs w:val="21"/>
        </w:rPr>
        <w:t>在投标截止时间前，除投标人补充、修改或者撤回投标文件外，任何单位和个人不得解密或提取投标文件。</w:t>
      </w:r>
    </w:p>
    <w:p w14:paraId="40A2A470">
      <w:pPr>
        <w:spacing w:before="120" w:line="320" w:lineRule="atLeast"/>
        <w:ind w:left="2" w:leftChars="1" w:firstLine="420" w:firstLineChars="200"/>
        <w:rPr>
          <w:szCs w:val="21"/>
        </w:rPr>
      </w:pPr>
      <w:r>
        <w:rPr>
          <w:szCs w:val="21"/>
        </w:rPr>
        <w:t>3.7.5</w:t>
      </w:r>
      <w:r>
        <w:rPr>
          <w:rFonts w:hint="eastAsia"/>
          <w:szCs w:val="21"/>
        </w:rPr>
        <w:t>在投标截止时间止提交电子版投标文件的投标人不足3家时，电子版投标文件由代理机构在广西政府采购云平台操作退回，除此之外采购人和采购代理机构对已提交的投标文件概不退回。</w:t>
      </w:r>
    </w:p>
    <w:p w14:paraId="5DA32932">
      <w:pPr>
        <w:spacing w:before="120" w:line="320" w:lineRule="atLeast"/>
        <w:ind w:left="2" w:leftChars="1" w:firstLine="420" w:firstLineChars="200"/>
        <w:rPr>
          <w:color w:val="auto"/>
          <w:szCs w:val="21"/>
        </w:rPr>
      </w:pPr>
      <w:bookmarkStart w:id="78" w:name="_Hlk93046827"/>
      <w:r>
        <w:rPr>
          <w:rFonts w:hint="eastAsia"/>
          <w:szCs w:val="21"/>
        </w:rPr>
        <w:t>3</w:t>
      </w:r>
      <w:r>
        <w:rPr>
          <w:szCs w:val="21"/>
        </w:rPr>
        <w:t>.7.6</w:t>
      </w:r>
      <w:r>
        <w:rPr>
          <w:rFonts w:hint="eastAsia"/>
          <w:szCs w:val="21"/>
        </w:rPr>
        <w:t>招标文件未允许同一投标</w:t>
      </w:r>
      <w:r>
        <w:rPr>
          <w:rFonts w:hint="eastAsia"/>
          <w:color w:val="auto"/>
          <w:szCs w:val="21"/>
        </w:rPr>
        <w:t>人提交两个或以上不同的</w:t>
      </w:r>
      <w:r>
        <w:rPr>
          <w:rFonts w:hint="eastAsia"/>
          <w:color w:val="auto"/>
          <w:szCs w:val="21"/>
          <w:lang w:eastAsia="zh-CN"/>
        </w:rPr>
        <w:t>投标文件</w:t>
      </w:r>
      <w:r>
        <w:rPr>
          <w:rFonts w:hint="eastAsia"/>
          <w:color w:val="auto"/>
          <w:szCs w:val="21"/>
        </w:rPr>
        <w:t>，但存在</w:t>
      </w:r>
      <w:r>
        <w:rPr>
          <w:rFonts w:hint="eastAsia"/>
          <w:color w:val="auto"/>
        </w:rPr>
        <w:t>同</w:t>
      </w:r>
      <w:r>
        <w:rPr>
          <w:rFonts w:hint="eastAsia"/>
          <w:color w:val="auto"/>
          <w:szCs w:val="21"/>
        </w:rPr>
        <w:t>一投标人提交两个或以上不同的</w:t>
      </w:r>
      <w:r>
        <w:rPr>
          <w:rFonts w:hint="eastAsia"/>
          <w:color w:val="auto"/>
          <w:szCs w:val="21"/>
          <w:lang w:eastAsia="zh-CN"/>
        </w:rPr>
        <w:t>投标文件</w:t>
      </w:r>
      <w:r>
        <w:rPr>
          <w:rFonts w:hint="eastAsia"/>
          <w:color w:val="auto"/>
          <w:szCs w:val="21"/>
        </w:rPr>
        <w:t>的，</w:t>
      </w:r>
      <w:r>
        <w:rPr>
          <w:rFonts w:hint="eastAsia"/>
          <w:b/>
          <w:bCs/>
          <w:color w:val="auto"/>
          <w:szCs w:val="21"/>
        </w:rPr>
        <w:t>其投标无效。</w:t>
      </w:r>
      <w:r>
        <w:rPr>
          <w:rFonts w:hint="eastAsia"/>
          <w:color w:val="auto"/>
          <w:szCs w:val="21"/>
        </w:rPr>
        <w:t>投标人在同一投标文件中对某项技术、商务要求提供有选择性的响应参数或方案等同于提交两个或以上不同的投标文件。</w:t>
      </w:r>
    </w:p>
    <w:bookmarkEnd w:id="78"/>
    <w:p w14:paraId="1D54A609">
      <w:pPr>
        <w:spacing w:before="120" w:line="320" w:lineRule="atLeast"/>
        <w:ind w:left="2" w:leftChars="1" w:firstLine="422" w:firstLineChars="200"/>
        <w:outlineLvl w:val="1"/>
        <w:rPr>
          <w:b/>
          <w:bCs/>
          <w:kern w:val="0"/>
          <w:szCs w:val="21"/>
        </w:rPr>
      </w:pPr>
      <w:r>
        <w:rPr>
          <w:b/>
          <w:bCs/>
          <w:kern w:val="0"/>
          <w:szCs w:val="21"/>
        </w:rPr>
        <w:t>4．开标</w:t>
      </w:r>
      <w:bookmarkEnd w:id="76"/>
      <w:bookmarkEnd w:id="77"/>
    </w:p>
    <w:p w14:paraId="4604659D">
      <w:pPr>
        <w:spacing w:before="120" w:line="320" w:lineRule="atLeast"/>
        <w:ind w:firstLine="422" w:firstLineChars="200"/>
        <w:outlineLvl w:val="2"/>
        <w:rPr>
          <w:b/>
          <w:bCs/>
          <w:kern w:val="0"/>
          <w:szCs w:val="21"/>
        </w:rPr>
      </w:pPr>
      <w:r>
        <w:rPr>
          <w:b/>
          <w:bCs/>
          <w:kern w:val="0"/>
          <w:szCs w:val="21"/>
        </w:rPr>
        <w:t>4.1开标准备</w:t>
      </w:r>
    </w:p>
    <w:p w14:paraId="0AE47409">
      <w:pPr>
        <w:spacing w:before="120" w:line="276" w:lineRule="auto"/>
        <w:ind w:firstLine="420" w:firstLineChars="200"/>
        <w:rPr>
          <w:szCs w:val="21"/>
        </w:rPr>
      </w:pPr>
      <w:r>
        <w:rPr>
          <w:szCs w:val="21"/>
        </w:rPr>
        <w:t>本项目投标截止时间及地点见“</w:t>
      </w:r>
      <w:r>
        <w:rPr>
          <w:rFonts w:hint="eastAsia"/>
          <w:szCs w:val="21"/>
        </w:rPr>
        <w:t>投标人须知</w:t>
      </w:r>
      <w:r>
        <w:rPr>
          <w:szCs w:val="21"/>
        </w:rPr>
        <w:t>前附表”规定。</w:t>
      </w:r>
    </w:p>
    <w:p w14:paraId="3B120DE0">
      <w:pPr>
        <w:autoSpaceDE w:val="0"/>
        <w:autoSpaceDN w:val="0"/>
        <w:adjustRightInd w:val="0"/>
        <w:spacing w:line="276" w:lineRule="auto"/>
        <w:ind w:firstLine="420" w:firstLineChars="200"/>
        <w:rPr>
          <w:szCs w:val="21"/>
        </w:rPr>
      </w:pPr>
      <w:r>
        <w:rPr>
          <w:rFonts w:hint="eastAsia"/>
          <w:szCs w:val="21"/>
        </w:rPr>
        <w:t>全流程电子化项目没有现场递交投标文件及现场开标环节。采购代理机构将按照招标文件规定的时间通过广西政府采购云平台组织线上开标活动、开启投标文件，所有投标人均应当准时在线参加。投标人</w:t>
      </w:r>
      <w:r>
        <w:rPr>
          <w:szCs w:val="21"/>
        </w:rPr>
        <w:t>如不</w:t>
      </w:r>
      <w:r>
        <w:rPr>
          <w:rFonts w:hint="eastAsia"/>
          <w:szCs w:val="21"/>
        </w:rPr>
        <w:t>参加</w:t>
      </w:r>
      <w:r>
        <w:rPr>
          <w:szCs w:val="21"/>
        </w:rPr>
        <w:t>开标大会的，</w:t>
      </w:r>
      <w:r>
        <w:rPr>
          <w:rFonts w:hint="eastAsia"/>
          <w:szCs w:val="21"/>
        </w:rPr>
        <w:t>视同认可开标结果，</w:t>
      </w:r>
      <w:r>
        <w:rPr>
          <w:szCs w:val="21"/>
        </w:rPr>
        <w:t>事后不得对采购相关人员、开标过程和开标结果提出异议</w:t>
      </w:r>
      <w:r>
        <w:rPr>
          <w:rFonts w:hint="eastAsia"/>
          <w:szCs w:val="21"/>
        </w:rPr>
        <w:t>，同时投标人因未在线参加开标而导致投标文件无法按时解密等一切后果由投标人自己承担。</w:t>
      </w:r>
    </w:p>
    <w:p w14:paraId="21A3C6EE">
      <w:pPr>
        <w:spacing w:before="120" w:line="276" w:lineRule="auto"/>
        <w:ind w:firstLine="420" w:firstLineChars="200"/>
        <w:rPr>
          <w:szCs w:val="21"/>
        </w:rPr>
      </w:pPr>
      <w:r>
        <w:rPr>
          <w:rFonts w:hint="eastAsia"/>
          <w:szCs w:val="21"/>
        </w:rPr>
        <w:t xml:space="preserve">如投标人成功解密投标文件，但未在广西政府采购云平台电子开标大厅参加开标的，视同认可开标过程和结果，由此产生的后果由投标人自行负责。 </w:t>
      </w:r>
    </w:p>
    <w:p w14:paraId="5F8D6563">
      <w:pPr>
        <w:spacing w:before="120" w:line="320" w:lineRule="atLeast"/>
        <w:ind w:firstLine="422" w:firstLineChars="200"/>
        <w:outlineLvl w:val="2"/>
        <w:rPr>
          <w:b/>
          <w:bCs/>
          <w:kern w:val="0"/>
          <w:szCs w:val="21"/>
        </w:rPr>
      </w:pPr>
      <w:r>
        <w:rPr>
          <w:b/>
          <w:bCs/>
          <w:kern w:val="0"/>
          <w:szCs w:val="21"/>
        </w:rPr>
        <w:t>4.2开标程序</w:t>
      </w:r>
    </w:p>
    <w:p w14:paraId="1387F103">
      <w:pPr>
        <w:spacing w:before="120" w:line="320" w:lineRule="atLeast"/>
        <w:ind w:firstLine="420" w:firstLineChars="200"/>
        <w:rPr>
          <w:szCs w:val="21"/>
        </w:rPr>
      </w:pPr>
      <w:r>
        <w:rPr>
          <w:szCs w:val="21"/>
        </w:rPr>
        <w:t>4.2.1</w:t>
      </w:r>
      <w:r>
        <w:rPr>
          <w:rFonts w:hint="eastAsia"/>
          <w:szCs w:val="21"/>
        </w:rPr>
        <w:t>投标人登录广西政府采购云平台进入开标大厅签到。</w:t>
      </w:r>
    </w:p>
    <w:p w14:paraId="300B849D">
      <w:pPr>
        <w:spacing w:before="120" w:line="320" w:lineRule="atLeast"/>
        <w:ind w:firstLine="420" w:firstLineChars="200"/>
        <w:rPr>
          <w:szCs w:val="21"/>
        </w:rPr>
      </w:pPr>
      <w:r>
        <w:rPr>
          <w:rFonts w:hint="eastAsia"/>
          <w:szCs w:val="21"/>
        </w:rPr>
        <w:t>4</w:t>
      </w:r>
      <w:r>
        <w:rPr>
          <w:szCs w:val="21"/>
        </w:rPr>
        <w:t>.2.2</w:t>
      </w:r>
      <w:r>
        <w:rPr>
          <w:rFonts w:hint="eastAsia"/>
          <w:szCs w:val="21"/>
        </w:rPr>
        <w:t>解密电子投标文件。广西政府采购云平台按开标时间自动提取所有投标文件。采购代理机构在广西政府采购云平台向各投标人发出电子加密投标文件开始解密通知，由投标</w:t>
      </w:r>
      <w:r>
        <w:rPr>
          <w:rFonts w:hint="eastAsia"/>
          <w:szCs w:val="21"/>
          <w:lang w:eastAsia="zh-CN"/>
        </w:rPr>
        <w:t>人在</w:t>
      </w:r>
      <w:r>
        <w:rPr>
          <w:rFonts w:hint="eastAsia"/>
          <w:szCs w:val="21"/>
        </w:rPr>
        <w:t>平台设置时间内自行进行投标文件解密。投标人须使用加密时所用的CA锁准时登录到广西政府采购云平台电子开标大厅签到并对电子投标文件解密。开标后投标人未及时进行解密的，代理机构可通知投标人。</w:t>
      </w:r>
      <w:r>
        <w:rPr>
          <w:rFonts w:hint="eastAsia"/>
        </w:rPr>
        <w:t>通知后投标人仍未在上述规定时间内解密</w:t>
      </w:r>
      <w:r>
        <w:rPr>
          <w:rFonts w:hint="eastAsia"/>
          <w:lang w:eastAsia="zh-CN"/>
        </w:rPr>
        <w:t>投标文件</w:t>
      </w:r>
      <w:r>
        <w:rPr>
          <w:rFonts w:hint="eastAsia"/>
          <w:szCs w:val="21"/>
        </w:rPr>
        <w:t>，或者投标人没预留联系方式或预留联系方式无效导致代理机构无法联系到投标人进行解密的，均视为无效投标。</w:t>
      </w:r>
    </w:p>
    <w:p w14:paraId="7F3EFC03">
      <w:pPr>
        <w:spacing w:before="120" w:line="320" w:lineRule="atLeast"/>
        <w:ind w:firstLine="420" w:firstLineChars="200"/>
        <w:rPr>
          <w:szCs w:val="21"/>
        </w:rPr>
      </w:pPr>
      <w:r>
        <w:rPr>
          <w:rFonts w:hint="eastAsia"/>
          <w:szCs w:val="21"/>
        </w:rPr>
        <w:t>4</w:t>
      </w:r>
      <w:r>
        <w:rPr>
          <w:szCs w:val="21"/>
        </w:rPr>
        <w:t>.2.3</w:t>
      </w:r>
      <w:r>
        <w:rPr>
          <w:rFonts w:hint="eastAsia"/>
          <w:szCs w:val="21"/>
        </w:rPr>
        <w:t>广西政府采购云平台设置有备份</w:t>
      </w:r>
      <w:r>
        <w:rPr>
          <w:rFonts w:hint="eastAsia"/>
          <w:szCs w:val="21"/>
          <w:lang w:eastAsia="zh-CN"/>
        </w:rPr>
        <w:t>投标文件</w:t>
      </w:r>
      <w:r>
        <w:rPr>
          <w:rFonts w:hint="eastAsia"/>
          <w:szCs w:val="21"/>
        </w:rPr>
        <w:t>功能。备份</w:t>
      </w:r>
      <w:r>
        <w:rPr>
          <w:rFonts w:hint="eastAsia"/>
          <w:szCs w:val="21"/>
          <w:lang w:eastAsia="zh-CN"/>
        </w:rPr>
        <w:t>投标文件</w:t>
      </w:r>
      <w:r>
        <w:rPr>
          <w:rFonts w:hint="eastAsia"/>
          <w:szCs w:val="21"/>
        </w:rPr>
        <w:t>是指平台设置为接受备份</w:t>
      </w:r>
      <w:r>
        <w:rPr>
          <w:rFonts w:hint="eastAsia"/>
          <w:szCs w:val="21"/>
          <w:lang w:eastAsia="zh-CN"/>
        </w:rPr>
        <w:t>投标文件</w:t>
      </w:r>
      <w:r>
        <w:rPr>
          <w:rFonts w:hint="eastAsia"/>
          <w:szCs w:val="21"/>
        </w:rPr>
        <w:t>时，如出现投标人上传的</w:t>
      </w:r>
      <w:r>
        <w:rPr>
          <w:rFonts w:hint="eastAsia"/>
          <w:szCs w:val="21"/>
          <w:lang w:eastAsia="zh-CN"/>
        </w:rPr>
        <w:t>投标文件</w:t>
      </w:r>
      <w:r>
        <w:rPr>
          <w:rFonts w:hint="eastAsia"/>
          <w:szCs w:val="21"/>
        </w:rPr>
        <w:t>存在问题或其他投标人原因引起解密异常时，投标人可以在规定时间内将备份</w:t>
      </w:r>
      <w:r>
        <w:rPr>
          <w:rFonts w:hint="eastAsia"/>
          <w:szCs w:val="21"/>
          <w:lang w:eastAsia="zh-CN"/>
        </w:rPr>
        <w:t>投标文件</w:t>
      </w:r>
      <w:r>
        <w:rPr>
          <w:rFonts w:hint="eastAsia"/>
          <w:szCs w:val="21"/>
        </w:rPr>
        <w:t>通过邮箱发送至采购代理机构，由代理机构上传备份</w:t>
      </w:r>
      <w:r>
        <w:rPr>
          <w:rFonts w:hint="eastAsia"/>
          <w:szCs w:val="21"/>
          <w:lang w:eastAsia="zh-CN"/>
        </w:rPr>
        <w:t>投标文件</w:t>
      </w:r>
      <w:r>
        <w:rPr>
          <w:rFonts w:hint="eastAsia"/>
          <w:szCs w:val="21"/>
        </w:rPr>
        <w:t>后自动解密从而避免被视为无效响应。是否接受备份</w:t>
      </w:r>
      <w:r>
        <w:rPr>
          <w:rFonts w:hint="eastAsia"/>
          <w:szCs w:val="21"/>
          <w:lang w:eastAsia="zh-CN"/>
        </w:rPr>
        <w:t>投标文件</w:t>
      </w:r>
      <w:r>
        <w:rPr>
          <w:rFonts w:hint="eastAsia"/>
          <w:szCs w:val="21"/>
        </w:rPr>
        <w:t>详见投标人须知前附表，如接受备份文件，投标人未在规定时间内发送备份</w:t>
      </w:r>
      <w:r>
        <w:rPr>
          <w:rFonts w:hint="eastAsia"/>
          <w:szCs w:val="21"/>
          <w:lang w:eastAsia="zh-CN"/>
        </w:rPr>
        <w:t>投标文件</w:t>
      </w:r>
      <w:r>
        <w:rPr>
          <w:rFonts w:hint="eastAsia"/>
          <w:szCs w:val="21"/>
        </w:rPr>
        <w:t>的将视为无效响应。</w:t>
      </w:r>
    </w:p>
    <w:p w14:paraId="18CA3E9B">
      <w:pPr>
        <w:spacing w:before="120" w:line="320" w:lineRule="atLeast"/>
        <w:ind w:firstLine="420" w:firstLineChars="200"/>
        <w:rPr>
          <w:szCs w:val="21"/>
        </w:rPr>
      </w:pPr>
      <w:r>
        <w:rPr>
          <w:rFonts w:hint="eastAsia"/>
          <w:szCs w:val="21"/>
        </w:rPr>
        <w:t>4</w:t>
      </w:r>
      <w:r>
        <w:rPr>
          <w:szCs w:val="21"/>
        </w:rPr>
        <w:t>.2.4</w:t>
      </w:r>
      <w:r>
        <w:rPr>
          <w:rFonts w:hint="eastAsia"/>
          <w:szCs w:val="21"/>
        </w:rPr>
        <w:t>解密异常情况处理：详见本章</w:t>
      </w:r>
      <w:r>
        <w:rPr>
          <w:szCs w:val="21"/>
        </w:rPr>
        <w:t>9.2</w:t>
      </w:r>
      <w:r>
        <w:rPr>
          <w:rFonts w:hint="eastAsia"/>
          <w:szCs w:val="21"/>
        </w:rPr>
        <w:t>电子交易活动的中止。</w:t>
      </w:r>
    </w:p>
    <w:p w14:paraId="6329B6D0">
      <w:pPr>
        <w:spacing w:before="120" w:line="320" w:lineRule="atLeast"/>
        <w:ind w:firstLine="420" w:firstLineChars="200"/>
        <w:rPr>
          <w:szCs w:val="21"/>
        </w:rPr>
      </w:pPr>
      <w:r>
        <w:rPr>
          <w:rFonts w:hint="eastAsia"/>
          <w:szCs w:val="21"/>
        </w:rPr>
        <w:t>4</w:t>
      </w:r>
      <w:r>
        <w:rPr>
          <w:szCs w:val="21"/>
        </w:rPr>
        <w:t>.2.5</w:t>
      </w:r>
      <w:r>
        <w:rPr>
          <w:rFonts w:hint="eastAsia"/>
          <w:szCs w:val="21"/>
        </w:rPr>
        <w:t>投标人对报价进行确认。</w:t>
      </w:r>
    </w:p>
    <w:p w14:paraId="6191E38F">
      <w:pPr>
        <w:spacing w:before="120" w:line="320" w:lineRule="atLeast"/>
        <w:ind w:firstLine="420" w:firstLineChars="200"/>
        <w:rPr>
          <w:szCs w:val="21"/>
        </w:rPr>
      </w:pPr>
      <w:r>
        <w:rPr>
          <w:szCs w:val="21"/>
        </w:rPr>
        <w:t>4.2.6开标结束。</w:t>
      </w:r>
    </w:p>
    <w:p w14:paraId="2D406813">
      <w:pPr>
        <w:pStyle w:val="28"/>
        <w:snapToGrid w:val="0"/>
        <w:spacing w:line="440" w:lineRule="exact"/>
        <w:ind w:firstLine="422" w:firstLineChars="200"/>
        <w:rPr>
          <w:rFonts w:hint="eastAsia" w:hAnsi="宋体"/>
        </w:rPr>
      </w:pPr>
      <w:r>
        <w:rPr>
          <w:rFonts w:hint="eastAsia" w:hAnsi="宋体"/>
          <w:b/>
          <w:bCs/>
        </w:rPr>
        <w:t>特别说明：</w:t>
      </w:r>
      <w:r>
        <w:rPr>
          <w:rFonts w:hint="eastAsia" w:hAnsi="宋体"/>
        </w:rPr>
        <w:t>如遇</w:t>
      </w:r>
      <w:r>
        <w:rPr>
          <w:rFonts w:hint="eastAsia"/>
        </w:rPr>
        <w:t>广西政府采购云平台</w:t>
      </w:r>
      <w:r>
        <w:rPr>
          <w:rFonts w:hint="eastAsia" w:hAnsi="宋体"/>
        </w:rPr>
        <w:t>电子化开标或评审程序调整的，按调整后的程序执行。</w:t>
      </w:r>
    </w:p>
    <w:p w14:paraId="28AA6C79">
      <w:pPr>
        <w:spacing w:before="120" w:line="320" w:lineRule="atLeast"/>
        <w:ind w:firstLine="422" w:firstLineChars="200"/>
        <w:outlineLvl w:val="2"/>
        <w:rPr>
          <w:b/>
          <w:bCs/>
          <w:kern w:val="0"/>
          <w:szCs w:val="21"/>
        </w:rPr>
      </w:pPr>
      <w:r>
        <w:rPr>
          <w:b/>
          <w:bCs/>
          <w:kern w:val="0"/>
          <w:szCs w:val="21"/>
        </w:rPr>
        <w:t>4.3演示</w:t>
      </w:r>
    </w:p>
    <w:p w14:paraId="790995AC">
      <w:pPr>
        <w:spacing w:before="120" w:line="320" w:lineRule="atLeast"/>
        <w:ind w:firstLine="420" w:firstLineChars="200"/>
        <w:rPr>
          <w:szCs w:val="21"/>
        </w:rPr>
      </w:pPr>
      <w:r>
        <w:rPr>
          <w:szCs w:val="21"/>
        </w:rPr>
        <w:t>4.3.1“</w:t>
      </w:r>
      <w:r>
        <w:rPr>
          <w:rFonts w:hint="eastAsia"/>
          <w:szCs w:val="21"/>
        </w:rPr>
        <w:t>投标人须知</w:t>
      </w:r>
      <w:r>
        <w:rPr>
          <w:szCs w:val="21"/>
        </w:rPr>
        <w:t>前附表”规定在开标会议结束后进行演示的，</w:t>
      </w:r>
      <w:r>
        <w:rPr>
          <w:rFonts w:hint="eastAsia"/>
          <w:szCs w:val="21"/>
        </w:rPr>
        <w:t>投标人</w:t>
      </w:r>
      <w:r>
        <w:rPr>
          <w:szCs w:val="21"/>
        </w:rPr>
        <w:t>应按规定进行演示。</w:t>
      </w:r>
    </w:p>
    <w:p w14:paraId="1B5EC9F9">
      <w:pPr>
        <w:spacing w:before="120" w:line="320" w:lineRule="atLeast"/>
        <w:ind w:firstLine="420" w:firstLineChars="200"/>
        <w:rPr>
          <w:szCs w:val="21"/>
        </w:rPr>
      </w:pPr>
      <w:r>
        <w:rPr>
          <w:szCs w:val="21"/>
        </w:rPr>
        <w:t>4.3.2未按规定时间进行演示可能引起的演示分数被计为0分或投标无效等后果由</w:t>
      </w:r>
      <w:r>
        <w:rPr>
          <w:rFonts w:hint="eastAsia"/>
          <w:szCs w:val="21"/>
        </w:rPr>
        <w:t>投标人</w:t>
      </w:r>
      <w:r>
        <w:rPr>
          <w:szCs w:val="21"/>
        </w:rPr>
        <w:t>自行承担。</w:t>
      </w:r>
    </w:p>
    <w:p w14:paraId="719B6A53">
      <w:pPr>
        <w:spacing w:before="120" w:line="320" w:lineRule="atLeast"/>
        <w:ind w:firstLine="422" w:firstLineChars="200"/>
        <w:outlineLvl w:val="2"/>
        <w:rPr>
          <w:szCs w:val="21"/>
        </w:rPr>
      </w:pPr>
      <w:r>
        <w:rPr>
          <w:b/>
          <w:bCs/>
          <w:kern w:val="0"/>
          <w:szCs w:val="21"/>
        </w:rPr>
        <w:t>4.4样品</w:t>
      </w:r>
    </w:p>
    <w:p w14:paraId="1A4D7F7B">
      <w:pPr>
        <w:spacing w:before="120" w:line="320" w:lineRule="atLeast"/>
        <w:ind w:firstLine="420" w:firstLineChars="200"/>
        <w:rPr>
          <w:szCs w:val="21"/>
        </w:rPr>
      </w:pPr>
      <w:r>
        <w:rPr>
          <w:szCs w:val="21"/>
        </w:rPr>
        <w:t>4.4.1“</w:t>
      </w:r>
      <w:r>
        <w:rPr>
          <w:rFonts w:hint="eastAsia"/>
          <w:szCs w:val="21"/>
        </w:rPr>
        <w:t>投标人须知</w:t>
      </w:r>
      <w:r>
        <w:rPr>
          <w:szCs w:val="21"/>
        </w:rPr>
        <w:t>前附表”规定递交样品的，</w:t>
      </w:r>
      <w:r>
        <w:rPr>
          <w:rFonts w:hint="eastAsia"/>
          <w:szCs w:val="21"/>
        </w:rPr>
        <w:t>投标人</w:t>
      </w:r>
      <w:r>
        <w:rPr>
          <w:szCs w:val="21"/>
        </w:rPr>
        <w:t>应按前附表规定递交样品，递交样品时应附样品递交表（格式见第六章）。</w:t>
      </w:r>
    </w:p>
    <w:p w14:paraId="2E33904D">
      <w:pPr>
        <w:spacing w:before="120" w:line="320" w:lineRule="atLeast"/>
        <w:ind w:firstLine="420" w:firstLineChars="200"/>
        <w:rPr>
          <w:szCs w:val="21"/>
        </w:rPr>
      </w:pPr>
      <w:r>
        <w:rPr>
          <w:szCs w:val="21"/>
        </w:rPr>
        <w:t>4.4.2未按规定时间递交样品可能引起的样品分数被计为0分或投标无效等后果由</w:t>
      </w:r>
      <w:r>
        <w:rPr>
          <w:rFonts w:hint="eastAsia"/>
          <w:szCs w:val="21"/>
        </w:rPr>
        <w:t>投标人</w:t>
      </w:r>
      <w:r>
        <w:rPr>
          <w:szCs w:val="21"/>
        </w:rPr>
        <w:t>自行承担。</w:t>
      </w:r>
    </w:p>
    <w:p w14:paraId="6923E2A1">
      <w:pPr>
        <w:spacing w:before="120" w:line="320" w:lineRule="atLeast"/>
        <w:ind w:firstLine="420" w:firstLineChars="200"/>
        <w:rPr>
          <w:szCs w:val="21"/>
        </w:rPr>
      </w:pPr>
      <w:bookmarkStart w:id="79" w:name="_Toc254970686"/>
      <w:bookmarkStart w:id="80" w:name="_Toc254970545"/>
      <w:r>
        <w:rPr>
          <w:szCs w:val="21"/>
        </w:rPr>
        <w:t>4.4.3样品封存或退还的说明请见第六章投标文件格式所附样品递交表。</w:t>
      </w:r>
    </w:p>
    <w:p w14:paraId="4FF0665A">
      <w:pPr>
        <w:spacing w:before="120" w:line="320" w:lineRule="atLeast"/>
        <w:ind w:left="2" w:leftChars="1" w:firstLine="422" w:firstLineChars="200"/>
        <w:outlineLvl w:val="1"/>
        <w:rPr>
          <w:b/>
          <w:bCs/>
          <w:kern w:val="0"/>
          <w:szCs w:val="21"/>
        </w:rPr>
      </w:pPr>
      <w:bookmarkStart w:id="81" w:name="_Hlk93420947"/>
      <w:r>
        <w:rPr>
          <w:b/>
          <w:bCs/>
          <w:kern w:val="0"/>
          <w:szCs w:val="21"/>
        </w:rPr>
        <w:t>5．</w:t>
      </w:r>
      <w:r>
        <w:rPr>
          <w:rFonts w:hint="eastAsia"/>
          <w:b/>
          <w:bCs/>
          <w:kern w:val="0"/>
          <w:szCs w:val="21"/>
        </w:rPr>
        <w:t>资格审查</w:t>
      </w:r>
    </w:p>
    <w:p w14:paraId="76707422">
      <w:pPr>
        <w:spacing w:before="120" w:line="320" w:lineRule="atLeast"/>
        <w:ind w:left="2" w:leftChars="1" w:firstLine="420" w:firstLineChars="200"/>
        <w:outlineLvl w:val="1"/>
        <w:rPr>
          <w:bCs/>
          <w:kern w:val="0"/>
          <w:szCs w:val="21"/>
        </w:rPr>
      </w:pPr>
      <w:r>
        <w:rPr>
          <w:rFonts w:hint="eastAsia"/>
          <w:bCs/>
          <w:kern w:val="0"/>
          <w:szCs w:val="21"/>
        </w:rPr>
        <w:t>5</w:t>
      </w:r>
      <w:r>
        <w:rPr>
          <w:bCs/>
          <w:kern w:val="0"/>
          <w:szCs w:val="21"/>
        </w:rPr>
        <w:t>.1</w:t>
      </w:r>
      <w:r>
        <w:rPr>
          <w:rFonts w:ascii="宋体" w:hAnsi="宋体"/>
          <w:bCs/>
          <w:szCs w:val="21"/>
        </w:rPr>
        <w:t>开标结束后，</w:t>
      </w:r>
      <w:r>
        <w:rPr>
          <w:rFonts w:hint="eastAsia" w:ascii="宋体" w:hAnsi="宋体"/>
          <w:bCs/>
          <w:szCs w:val="21"/>
        </w:rPr>
        <w:t>采购人或者采购代理机构通过电子交易平台</w:t>
      </w:r>
      <w:r>
        <w:rPr>
          <w:rFonts w:ascii="宋体" w:hAnsi="宋体"/>
          <w:bCs/>
          <w:szCs w:val="21"/>
        </w:rPr>
        <w:t>对</w:t>
      </w:r>
      <w:r>
        <w:rPr>
          <w:rFonts w:hint="eastAsia" w:ascii="宋体" w:hAnsi="宋体"/>
          <w:bCs/>
          <w:szCs w:val="21"/>
        </w:rPr>
        <w:t>投标人</w:t>
      </w:r>
      <w:r>
        <w:rPr>
          <w:rFonts w:ascii="宋体" w:hAnsi="宋体"/>
          <w:bCs/>
          <w:szCs w:val="21"/>
        </w:rPr>
        <w:t>的资格进行审查。</w:t>
      </w:r>
      <w:r>
        <w:rPr>
          <w:rFonts w:hint="eastAsia" w:ascii="宋体" w:hAnsi="宋体"/>
          <w:bCs/>
          <w:szCs w:val="21"/>
        </w:rPr>
        <w:t>资格审查</w:t>
      </w:r>
      <w:r>
        <w:rPr>
          <w:rFonts w:hint="eastAsia"/>
          <w:bCs/>
          <w:kern w:val="0"/>
          <w:szCs w:val="21"/>
        </w:rPr>
        <w:t>是根据法律法规和招标文件的规定，对投标人的基本资格条件、特定资格条件进行审查。</w:t>
      </w:r>
    </w:p>
    <w:p w14:paraId="5D7A22AB">
      <w:pPr>
        <w:spacing w:before="120" w:line="320" w:lineRule="atLeast"/>
        <w:ind w:left="2" w:leftChars="1" w:firstLine="420" w:firstLineChars="200"/>
        <w:outlineLvl w:val="1"/>
        <w:rPr>
          <w:bCs/>
          <w:kern w:val="0"/>
          <w:szCs w:val="21"/>
        </w:rPr>
      </w:pPr>
      <w:r>
        <w:rPr>
          <w:rFonts w:hint="eastAsia"/>
          <w:bCs/>
          <w:kern w:val="0"/>
          <w:szCs w:val="21"/>
        </w:rPr>
        <w:t>5.</w:t>
      </w:r>
      <w:r>
        <w:rPr>
          <w:bCs/>
          <w:kern w:val="0"/>
          <w:szCs w:val="21"/>
        </w:rPr>
        <w:t>2</w:t>
      </w:r>
      <w:r>
        <w:rPr>
          <w:rFonts w:hint="eastAsia"/>
          <w:bCs/>
          <w:kern w:val="0"/>
          <w:szCs w:val="21"/>
        </w:rPr>
        <w:t>资格审查标准在第四章评审方法及标准中规定，符合资格审查标准要求的投标人即为资格审查合格。</w:t>
      </w:r>
    </w:p>
    <w:p w14:paraId="31154D30">
      <w:pPr>
        <w:spacing w:before="120" w:line="276" w:lineRule="auto"/>
        <w:ind w:left="2" w:leftChars="1" w:firstLine="420" w:firstLineChars="200"/>
        <w:outlineLvl w:val="1"/>
        <w:rPr>
          <w:bCs/>
          <w:kern w:val="0"/>
          <w:szCs w:val="21"/>
        </w:rPr>
      </w:pPr>
      <w:r>
        <w:rPr>
          <w:bCs/>
          <w:kern w:val="0"/>
          <w:szCs w:val="21"/>
        </w:rPr>
        <w:t>5.3</w:t>
      </w:r>
      <w:r>
        <w:rPr>
          <w:rFonts w:hint="eastAsia"/>
          <w:bCs/>
          <w:kern w:val="0"/>
          <w:szCs w:val="21"/>
        </w:rPr>
        <w:t>投标人有下列情形之一的，资格审查不合格，作无效投标处理：</w:t>
      </w:r>
    </w:p>
    <w:p w14:paraId="76BA3FE9">
      <w:pPr>
        <w:spacing w:line="276" w:lineRule="auto"/>
        <w:ind w:firstLine="420" w:firstLineChars="200"/>
        <w:rPr>
          <w:rFonts w:hint="eastAsia" w:hAnsi="宋体"/>
          <w:color w:val="000000"/>
          <w:szCs w:val="21"/>
        </w:rPr>
      </w:pPr>
      <w:r>
        <w:rPr>
          <w:rFonts w:hint="eastAsia"/>
          <w:szCs w:val="21"/>
        </w:rPr>
        <w:t>5</w:t>
      </w:r>
      <w:r>
        <w:rPr>
          <w:szCs w:val="21"/>
        </w:rPr>
        <w:t>.3.1</w:t>
      </w:r>
      <w:r>
        <w:rPr>
          <w:rFonts w:hint="eastAsia"/>
          <w:szCs w:val="21"/>
        </w:rPr>
        <w:t>不具备招标文件中规定的资格要求或资格条件的；（注：其中信用查询规则见“投标人须知前附表”，广西政府采购云平台已与“信用中国”平台做接口，可直接在线查询）</w:t>
      </w:r>
    </w:p>
    <w:p w14:paraId="42433805">
      <w:pPr>
        <w:spacing w:before="120" w:line="276" w:lineRule="auto"/>
        <w:ind w:firstLine="420" w:firstLineChars="200"/>
        <w:rPr>
          <w:szCs w:val="21"/>
        </w:rPr>
      </w:pPr>
      <w:r>
        <w:rPr>
          <w:rFonts w:hint="eastAsia"/>
          <w:szCs w:val="21"/>
        </w:rPr>
        <w:t>5</w:t>
      </w:r>
      <w:r>
        <w:rPr>
          <w:szCs w:val="21"/>
        </w:rPr>
        <w:t>.3.2</w:t>
      </w:r>
      <w:r>
        <w:rPr>
          <w:rFonts w:hint="eastAsia"/>
          <w:szCs w:val="21"/>
        </w:rPr>
        <w:t>投标文件缺少任何一项资格证明文件或不符合第四章评审方法及标准中资格审查标准规定的评审内容的；</w:t>
      </w:r>
    </w:p>
    <w:p w14:paraId="48B4A436">
      <w:pPr>
        <w:spacing w:before="120" w:line="276" w:lineRule="auto"/>
        <w:ind w:left="2" w:leftChars="1" w:firstLine="420" w:firstLineChars="200"/>
        <w:outlineLvl w:val="1"/>
        <w:rPr>
          <w:bCs/>
          <w:kern w:val="0"/>
          <w:szCs w:val="21"/>
        </w:rPr>
      </w:pPr>
      <w:r>
        <w:rPr>
          <w:bCs/>
          <w:kern w:val="0"/>
          <w:szCs w:val="21"/>
        </w:rPr>
        <w:t>5.4</w:t>
      </w:r>
      <w:r>
        <w:rPr>
          <w:rFonts w:hint="eastAsia"/>
          <w:bCs/>
          <w:kern w:val="0"/>
          <w:szCs w:val="21"/>
        </w:rPr>
        <w:t>资格审查合格的投标人不足3家的，不得评审。</w:t>
      </w:r>
    </w:p>
    <w:bookmarkEnd w:id="81"/>
    <w:p w14:paraId="108C07D4">
      <w:pPr>
        <w:spacing w:before="120" w:line="320" w:lineRule="atLeast"/>
        <w:ind w:left="2" w:leftChars="1" w:firstLine="422" w:firstLineChars="200"/>
        <w:outlineLvl w:val="1"/>
        <w:rPr>
          <w:b/>
          <w:bCs/>
          <w:kern w:val="0"/>
          <w:szCs w:val="21"/>
        </w:rPr>
      </w:pPr>
      <w:bookmarkStart w:id="82" w:name="_Hlk93420990"/>
      <w:r>
        <w:rPr>
          <w:b/>
          <w:bCs/>
          <w:kern w:val="0"/>
          <w:szCs w:val="21"/>
        </w:rPr>
        <w:t>6．评审</w:t>
      </w:r>
      <w:bookmarkEnd w:id="79"/>
      <w:bookmarkEnd w:id="80"/>
    </w:p>
    <w:p w14:paraId="799F34CA">
      <w:pPr>
        <w:spacing w:before="120" w:line="320" w:lineRule="atLeast"/>
        <w:ind w:firstLine="422" w:firstLineChars="200"/>
        <w:outlineLvl w:val="2"/>
        <w:rPr>
          <w:b/>
          <w:bCs/>
          <w:kern w:val="0"/>
          <w:szCs w:val="21"/>
        </w:rPr>
      </w:pPr>
      <w:r>
        <w:rPr>
          <w:b/>
          <w:bCs/>
          <w:kern w:val="0"/>
          <w:szCs w:val="21"/>
        </w:rPr>
        <w:t>6.1评审委员会</w:t>
      </w:r>
      <w:r>
        <w:rPr>
          <w:rFonts w:hint="eastAsia"/>
          <w:b/>
          <w:bCs/>
          <w:kern w:val="0"/>
          <w:szCs w:val="21"/>
        </w:rPr>
        <w:t>及评审原则</w:t>
      </w:r>
    </w:p>
    <w:p w14:paraId="06EFD4CD">
      <w:pPr>
        <w:spacing w:before="120" w:line="320" w:lineRule="atLeast"/>
        <w:ind w:firstLine="420" w:firstLineChars="200"/>
        <w:rPr>
          <w:szCs w:val="21"/>
        </w:rPr>
      </w:pPr>
      <w:bookmarkStart w:id="83" w:name="_Hlk91249317"/>
      <w:r>
        <w:rPr>
          <w:rFonts w:hint="eastAsia"/>
          <w:szCs w:val="21"/>
        </w:rPr>
        <w:t>6.1.1</w:t>
      </w:r>
      <w:r>
        <w:rPr>
          <w:szCs w:val="21"/>
        </w:rPr>
        <w:t>本项目</w:t>
      </w:r>
      <w:r>
        <w:rPr>
          <w:rFonts w:hint="eastAsia"/>
          <w:szCs w:val="21"/>
        </w:rPr>
        <w:t>评审工作由</w:t>
      </w:r>
      <w:r>
        <w:rPr>
          <w:szCs w:val="21"/>
        </w:rPr>
        <w:t>评审委员会</w:t>
      </w:r>
      <w:r>
        <w:rPr>
          <w:rFonts w:hint="eastAsia"/>
          <w:szCs w:val="21"/>
        </w:rPr>
        <w:t>负责，评审委员会</w:t>
      </w:r>
      <w:r>
        <w:rPr>
          <w:szCs w:val="21"/>
        </w:rPr>
        <w:t>由</w:t>
      </w:r>
      <w:r>
        <w:rPr>
          <w:rFonts w:hint="eastAsia"/>
          <w:szCs w:val="21"/>
        </w:rPr>
        <w:t>评审专家</w:t>
      </w:r>
      <w:r>
        <w:rPr>
          <w:szCs w:val="21"/>
        </w:rPr>
        <w:t>和采购人代表</w:t>
      </w:r>
      <w:r>
        <w:rPr>
          <w:rFonts w:hint="eastAsia"/>
          <w:szCs w:val="21"/>
        </w:rPr>
        <w:t>（如有）</w:t>
      </w:r>
      <w:r>
        <w:rPr>
          <w:szCs w:val="21"/>
        </w:rPr>
        <w:t>组成。</w:t>
      </w:r>
      <w:r>
        <w:rPr>
          <w:rFonts w:hint="eastAsia"/>
          <w:szCs w:val="21"/>
        </w:rPr>
        <w:t>评审委员会评审时必须公平、公正、客观，不带任何倾向性和启发性；不得向外界透露任何与评审有关的内容；任何单位和个人不得干扰、影响评标的正常进行；评审委员会及有关工作人员不得私下与投标人接触，不得收受利害关系人的财物或者其他好处；</w:t>
      </w:r>
      <w:r>
        <w:rPr>
          <w:szCs w:val="21"/>
        </w:rPr>
        <w:t>评审专家发现本人与参加采购活动的</w:t>
      </w:r>
      <w:r>
        <w:rPr>
          <w:rFonts w:hint="eastAsia"/>
          <w:szCs w:val="21"/>
        </w:rPr>
        <w:t>投标人</w:t>
      </w:r>
      <w:r>
        <w:rPr>
          <w:szCs w:val="21"/>
        </w:rPr>
        <w:t>有利害关系的，应当主动提出回避</w:t>
      </w:r>
      <w:r>
        <w:rPr>
          <w:rFonts w:hint="eastAsia"/>
          <w:szCs w:val="21"/>
        </w:rPr>
        <w:t>。</w:t>
      </w:r>
    </w:p>
    <w:p w14:paraId="3F05DA0B">
      <w:pPr>
        <w:spacing w:before="120" w:line="320" w:lineRule="atLeast"/>
        <w:ind w:firstLine="420" w:firstLineChars="200"/>
        <w:rPr>
          <w:szCs w:val="21"/>
        </w:rPr>
      </w:pPr>
      <w:r>
        <w:rPr>
          <w:rFonts w:hint="eastAsia"/>
          <w:szCs w:val="21"/>
        </w:rPr>
        <w:t>6.1.2评审委员会成员应当通过电子交易平台进行独立评审，评审委员会成员对需要共同认定的事项存在争议的，应当按照少数服从多数的原则作出结论。持不同意见的评审委员会成员应当在评审报告上签署不同意见及理由，否则视为同意评审报告。如果在评审过程中出现法律法规和招标文件均没有明确规定的情形时，由评审委员会现场协商确定，协商不一致的，由全体评审委员会成员投票表决，应当按照少数服从多数的原则作出结论并记录在评审报告中。</w:t>
      </w:r>
    </w:p>
    <w:p w14:paraId="4D49C0A9">
      <w:pPr>
        <w:spacing w:before="120" w:line="320" w:lineRule="atLeast"/>
        <w:ind w:firstLine="420" w:firstLineChars="200"/>
        <w:rPr>
          <w:szCs w:val="21"/>
        </w:rPr>
      </w:pPr>
      <w:r>
        <w:rPr>
          <w:rFonts w:hint="eastAsia"/>
          <w:szCs w:val="21"/>
        </w:rPr>
        <w:t>6.1.3采购人、采购代理机构应当采取必要措施，保证评审在严格保密（封闭式评审）的情况下进行。除采购人代表、评审现场组织人员外，采购人的其他工作人员以及与评审工作无关的人员不得进入评审现场。有关人员对评审情况以及在评审过程中获悉的国家秘密、商业秘密负有保密责任。</w:t>
      </w:r>
    </w:p>
    <w:p w14:paraId="0C1BD606">
      <w:pPr>
        <w:spacing w:before="120" w:line="320" w:lineRule="atLeast"/>
        <w:ind w:firstLine="420" w:firstLineChars="200"/>
        <w:rPr>
          <w:szCs w:val="21"/>
        </w:rPr>
      </w:pPr>
      <w:r>
        <w:rPr>
          <w:rFonts w:hint="eastAsia"/>
          <w:szCs w:val="21"/>
        </w:rPr>
        <w:t>6.1.4本项目评审过程实行全程网上留痕及录音、录像监控，投标人在评审过程中所进行的试图影响评审结果的不公正活动，可能导致其投标按无效处理。</w:t>
      </w:r>
    </w:p>
    <w:bookmarkEnd w:id="83"/>
    <w:p w14:paraId="7EA0CCA9">
      <w:pPr>
        <w:spacing w:before="120" w:line="320" w:lineRule="atLeast"/>
        <w:ind w:firstLine="422" w:firstLineChars="200"/>
        <w:outlineLvl w:val="2"/>
        <w:rPr>
          <w:b/>
          <w:bCs/>
          <w:kern w:val="0"/>
          <w:szCs w:val="21"/>
        </w:rPr>
      </w:pPr>
      <w:bookmarkStart w:id="84" w:name="_Hlk91324148"/>
      <w:r>
        <w:rPr>
          <w:b/>
          <w:bCs/>
          <w:kern w:val="0"/>
          <w:szCs w:val="21"/>
        </w:rPr>
        <w:t>6.2</w:t>
      </w:r>
      <w:r>
        <w:rPr>
          <w:rFonts w:hint="eastAsia"/>
          <w:b/>
          <w:bCs/>
          <w:kern w:val="0"/>
          <w:szCs w:val="21"/>
        </w:rPr>
        <w:t>评审方法及依据</w:t>
      </w:r>
    </w:p>
    <w:p w14:paraId="7E706D3F">
      <w:pPr>
        <w:spacing w:before="120" w:line="320" w:lineRule="atLeast"/>
        <w:ind w:firstLine="420" w:firstLineChars="200"/>
        <w:rPr>
          <w:bCs/>
          <w:kern w:val="0"/>
          <w:szCs w:val="21"/>
        </w:rPr>
      </w:pPr>
      <w:r>
        <w:rPr>
          <w:bCs/>
          <w:kern w:val="0"/>
          <w:szCs w:val="21"/>
        </w:rPr>
        <w:t>6.2.1</w:t>
      </w:r>
      <w:r>
        <w:rPr>
          <w:rFonts w:hint="eastAsia"/>
          <w:bCs/>
          <w:kern w:val="0"/>
          <w:szCs w:val="21"/>
        </w:rPr>
        <w:t>本项目采用第四章评审方法及标准规定的方法进行评审。</w:t>
      </w:r>
    </w:p>
    <w:p w14:paraId="6393EA48">
      <w:pPr>
        <w:suppressAutoHyphens/>
        <w:spacing w:before="120" w:line="320" w:lineRule="atLeast"/>
        <w:ind w:firstLine="420" w:firstLineChars="200"/>
        <w:rPr>
          <w:bCs/>
          <w:kern w:val="0"/>
          <w:szCs w:val="21"/>
        </w:rPr>
      </w:pPr>
      <w:r>
        <w:rPr>
          <w:bCs/>
          <w:kern w:val="0"/>
          <w:szCs w:val="21"/>
        </w:rPr>
        <w:t>6.2.2</w:t>
      </w:r>
      <w:r>
        <w:rPr>
          <w:rFonts w:hint="eastAsia"/>
        </w:rPr>
        <w:t>评审委员会</w:t>
      </w:r>
      <w:r>
        <w:t>以</w:t>
      </w:r>
      <w:r>
        <w:rPr>
          <w:rFonts w:hint="eastAsia"/>
        </w:rPr>
        <w:t>招标</w:t>
      </w:r>
      <w:r>
        <w:t>文件、补充文件、</w:t>
      </w:r>
      <w:r>
        <w:rPr>
          <w:rFonts w:hint="eastAsia"/>
        </w:rPr>
        <w:t>投标</w:t>
      </w:r>
      <w:r>
        <w:t>文件、澄清及答复为评审依据</w:t>
      </w:r>
      <w:r>
        <w:rPr>
          <w:rFonts w:hint="eastAsia"/>
        </w:rPr>
        <w:t>，</w:t>
      </w:r>
      <w:r>
        <w:rPr>
          <w:rFonts w:hint="eastAsia"/>
          <w:bCs/>
          <w:kern w:val="0"/>
          <w:szCs w:val="21"/>
        </w:rPr>
        <w:t>第四章评审方法及标准没有规定的评审方法、标准及因素，不得作为评审依据。</w:t>
      </w:r>
    </w:p>
    <w:bookmarkEnd w:id="84"/>
    <w:p w14:paraId="7A27CBF3">
      <w:pPr>
        <w:spacing w:before="120" w:line="320" w:lineRule="atLeast"/>
        <w:ind w:firstLine="422" w:firstLineChars="200"/>
        <w:outlineLvl w:val="2"/>
        <w:rPr>
          <w:b/>
          <w:bCs/>
          <w:kern w:val="0"/>
          <w:szCs w:val="21"/>
        </w:rPr>
      </w:pPr>
      <w:bookmarkStart w:id="85" w:name="_Hlk91324322"/>
      <w:r>
        <w:rPr>
          <w:b/>
          <w:bCs/>
          <w:kern w:val="0"/>
          <w:szCs w:val="21"/>
        </w:rPr>
        <w:t>6.3评审</w:t>
      </w:r>
      <w:r>
        <w:rPr>
          <w:rFonts w:hint="eastAsia"/>
          <w:b/>
          <w:bCs/>
          <w:kern w:val="0"/>
          <w:szCs w:val="21"/>
        </w:rPr>
        <w:t>程序</w:t>
      </w:r>
    </w:p>
    <w:p w14:paraId="7F586426">
      <w:pPr>
        <w:spacing w:before="120" w:line="320" w:lineRule="atLeast"/>
        <w:ind w:firstLine="420" w:firstLineChars="200"/>
      </w:pPr>
      <w:r>
        <w:t>6.</w:t>
      </w:r>
      <w:bookmarkStart w:id="86" w:name="_Hlk19175507"/>
      <w:bookmarkStart w:id="87" w:name="_Hlk80956880"/>
      <w:r>
        <w:t>3.1</w:t>
      </w:r>
      <w:r>
        <w:rPr>
          <w:rFonts w:hint="eastAsia"/>
        </w:rPr>
        <w:t>符合性审查</w:t>
      </w:r>
    </w:p>
    <w:p w14:paraId="309AB3B3">
      <w:pPr>
        <w:spacing w:before="120" w:line="320" w:lineRule="atLeast"/>
        <w:ind w:firstLine="420" w:firstLineChars="200"/>
        <w:rPr>
          <w:szCs w:val="21"/>
        </w:rPr>
      </w:pPr>
      <w:r>
        <w:rPr>
          <w:bCs/>
          <w:kern w:val="1"/>
          <w:szCs w:val="21"/>
        </w:rPr>
        <w:t>资格审查结束后，</w:t>
      </w:r>
      <w:r>
        <w:rPr>
          <w:rFonts w:hint="eastAsia" w:hAnsi="宋体"/>
        </w:rPr>
        <w:t>评审委员会对</w:t>
      </w:r>
      <w:r>
        <w:t>通过资格审查的</w:t>
      </w:r>
      <w:r>
        <w:rPr>
          <w:rFonts w:hint="eastAsia"/>
        </w:rPr>
        <w:t>投标人</w:t>
      </w:r>
      <w:r>
        <w:rPr>
          <w:rFonts w:hint="eastAsia" w:hAnsi="宋体"/>
        </w:rPr>
        <w:t>的投标文件报价、商务资信、技术等方面实质性内容进行符合性审查，</w:t>
      </w:r>
      <w:r>
        <w:rPr>
          <w:rFonts w:hint="eastAsia"/>
          <w:szCs w:val="21"/>
        </w:rPr>
        <w:t>符合性审查标准</w:t>
      </w:r>
      <w:r>
        <w:rPr>
          <w:szCs w:val="21"/>
        </w:rPr>
        <w:t>详见第四章评审方法及标准。</w:t>
      </w:r>
    </w:p>
    <w:bookmarkEnd w:id="86"/>
    <w:bookmarkEnd w:id="87"/>
    <w:p w14:paraId="0EE38F7E">
      <w:pPr>
        <w:spacing w:before="120" w:line="320" w:lineRule="atLeast"/>
        <w:ind w:firstLine="420" w:firstLineChars="200"/>
        <w:rPr>
          <w:szCs w:val="21"/>
        </w:rPr>
      </w:pPr>
      <w:r>
        <w:rPr>
          <w:rFonts w:hint="eastAsia"/>
          <w:szCs w:val="21"/>
        </w:rPr>
        <w:t>6</w:t>
      </w:r>
      <w:r>
        <w:rPr>
          <w:szCs w:val="21"/>
        </w:rPr>
        <w:t>.3.2</w:t>
      </w:r>
      <w:r>
        <w:rPr>
          <w:rFonts w:hAnsi="宋体"/>
        </w:rPr>
        <w:t>强制性</w:t>
      </w:r>
      <w:r>
        <w:rPr>
          <w:szCs w:val="21"/>
        </w:rPr>
        <w:t>采购要求</w:t>
      </w:r>
      <w:r>
        <w:rPr>
          <w:rFonts w:hint="eastAsia"/>
          <w:szCs w:val="21"/>
        </w:rPr>
        <w:t>（仅适用于货物采购项目）</w:t>
      </w:r>
    </w:p>
    <w:p w14:paraId="7B18CF6A">
      <w:pPr>
        <w:suppressAutoHyphens/>
        <w:spacing w:before="120" w:line="320" w:lineRule="atLeast"/>
        <w:ind w:firstLine="422" w:firstLineChars="201"/>
        <w:rPr>
          <w:rFonts w:hint="eastAsia"/>
          <w:szCs w:val="21"/>
        </w:rPr>
      </w:pPr>
      <w:r>
        <w:rPr>
          <w:rFonts w:hint="eastAsia"/>
          <w:lang w:eastAsia="zh-CN"/>
        </w:rPr>
        <w:t>（</w:t>
      </w:r>
      <w:r>
        <w:rPr>
          <w:rFonts w:hint="eastAsia"/>
          <w:lang w:val="en-US" w:eastAsia="zh-CN"/>
        </w:rPr>
        <w:t>1</w:t>
      </w:r>
      <w:r>
        <w:rPr>
          <w:rFonts w:hint="eastAsia"/>
          <w:lang w:eastAsia="zh-CN"/>
        </w:rPr>
        <w:t>）</w:t>
      </w:r>
      <w:r>
        <w:rPr>
          <w:rFonts w:hint="eastAsia"/>
          <w:szCs w:val="21"/>
        </w:rPr>
        <w:t>根据《财政部 发展改革委 生态环境部 市场监管总局关于调整优化节能产品、环境标志产品政府采购执行机制的通知》（财库〔2019〕9号）和《关于印发节能产品政府采购品目清单的通知》（财库〔2019〕19号）规定，本项目采购需求中的产品属于节能产品政府采购品目清单内标注“★”的，投标人的投标货物必须使用政府强制采购的节能产品，否则投标文件作无效处理；属于品目清单内非标注“★”的产品时，应优先采购。</w:t>
      </w:r>
    </w:p>
    <w:p w14:paraId="3B8FAEDB">
      <w:pPr>
        <w:spacing w:before="120" w:line="276" w:lineRule="auto"/>
        <w:ind w:firstLine="420" w:firstLineChars="200"/>
        <w:rPr>
          <w:szCs w:val="21"/>
        </w:rPr>
      </w:pPr>
      <w:r>
        <w:rPr>
          <w:rFonts w:hint="eastAsia"/>
          <w:szCs w:val="21"/>
        </w:rPr>
        <w:t>（2）根据《关于调整网络安全专用产品安全管理有关事项的公告》（2023年1号）及关于调整《网络关键设备和网络安全专用产品目录》（2023年2号）的公告规定，本项目采购需求中的产品如果包括《网络关键设备和网络安全专用产品目录》的网络安全专用产品，投标人在投标文件中应主动列明供货范围中属于网络安全专用产品的投标产品，并提供由中共中央网络安全和信息化委员会办公室网站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p>
    <w:p w14:paraId="0AD28FC0">
      <w:pPr>
        <w:spacing w:before="120" w:line="276" w:lineRule="auto"/>
        <w:ind w:firstLine="420" w:firstLineChars="200"/>
        <w:rPr>
          <w:rFonts w:hint="eastAsia"/>
          <w:szCs w:val="21"/>
        </w:rPr>
      </w:pPr>
      <w:r>
        <w:rPr>
          <w:rFonts w:hint="eastAsia"/>
          <w:szCs w:val="21"/>
        </w:rPr>
        <w:t>注：网络安全专用产品在中共中央网络安全和信息化委员会办公室网站上发布的《网络关键设备和网络安全专用产品目录》中查询。</w:t>
      </w:r>
      <w:r>
        <w:rPr>
          <w:szCs w:val="21"/>
        </w:rPr>
        <w:t xml:space="preserve"> </w:t>
      </w:r>
      <w:r>
        <w:rPr>
          <w:rFonts w:hint="eastAsia"/>
          <w:szCs w:val="21"/>
          <w:lang w:eastAsia="zh-CN"/>
        </w:rPr>
        <w:t>“</w:t>
      </w:r>
      <w:r>
        <w:rPr>
          <w:rFonts w:hint="eastAsia"/>
          <w:szCs w:val="21"/>
          <w:lang w:val="en-US" w:eastAsia="zh-CN"/>
        </w:rPr>
        <w:t>网络安全专用产品”内“产品类别”</w:t>
      </w:r>
      <w:r>
        <w:rPr>
          <w:rFonts w:hint="eastAsia"/>
          <w:szCs w:val="21"/>
        </w:rPr>
        <w:t>共</w:t>
      </w:r>
      <w:r>
        <w:rPr>
          <w:rFonts w:hint="eastAsia"/>
          <w:szCs w:val="21"/>
          <w:lang w:val="en-US" w:eastAsia="zh-CN"/>
        </w:rPr>
        <w:t>34</w:t>
      </w:r>
      <w:r>
        <w:rPr>
          <w:rFonts w:hint="eastAsia"/>
          <w:szCs w:val="21"/>
        </w:rPr>
        <w:t>类：数据备份与恢复产品、防火墙、入侵检测系统（I</w:t>
      </w:r>
      <w:r>
        <w:rPr>
          <w:szCs w:val="21"/>
        </w:rPr>
        <w:t>DS</w:t>
      </w:r>
      <w:r>
        <w:rPr>
          <w:rFonts w:hint="eastAsia"/>
          <w:szCs w:val="21"/>
        </w:rPr>
        <w:t>）、入侵防御系统（</w:t>
      </w:r>
      <w:r>
        <w:rPr>
          <w:szCs w:val="21"/>
        </w:rPr>
        <w:t>IPS</w:t>
      </w:r>
      <w:r>
        <w:rPr>
          <w:rFonts w:hint="eastAsia"/>
          <w:szCs w:val="21"/>
        </w:rPr>
        <w:t>）、</w:t>
      </w:r>
      <w:r>
        <w:rPr>
          <w:rFonts w:hint="eastAsia"/>
          <w:szCs w:val="21"/>
          <w:lang w:val="en-US" w:eastAsia="zh-CN"/>
        </w:rPr>
        <w:t>网络和终端隔离产品</w:t>
      </w:r>
      <w:r>
        <w:rPr>
          <w:rFonts w:hint="eastAsia"/>
          <w:szCs w:val="21"/>
        </w:rPr>
        <w:t>、反垃圾邮件产品、网络综合审计</w:t>
      </w:r>
      <w:r>
        <w:rPr>
          <w:rFonts w:hint="eastAsia"/>
          <w:szCs w:val="21"/>
          <w:lang w:val="en-US" w:eastAsia="zh-CN"/>
        </w:rPr>
        <w:t>产品</w:t>
      </w:r>
      <w:r>
        <w:rPr>
          <w:rFonts w:hint="eastAsia"/>
          <w:szCs w:val="21"/>
        </w:rPr>
        <w:t>、网络脆弱性扫描产品、安全数据库系统、网站恢复产品</w:t>
      </w:r>
      <w:r>
        <w:rPr>
          <w:rFonts w:hint="eastAsia"/>
          <w:szCs w:val="21"/>
          <w:lang w:eastAsia="zh-CN"/>
        </w:rPr>
        <w:t>、</w:t>
      </w:r>
      <w:r>
        <w:rPr>
          <w:rFonts w:hint="eastAsia"/>
          <w:szCs w:val="21"/>
          <w:lang w:val="en-US" w:eastAsia="zh-CN"/>
        </w:rPr>
        <w:t>虚拟专用网产品、防病毒网关、统一威胁管理产品（UTM）、病毒防治产品、安全操作系统、安全网络存储、公钥基础设施、网络安全态势感知产品、信息系统安全管理平台、网络型流量控制产品、负载均衡产品、信息过滤产品、抗拒绝服务攻击产品、终端接入控制产品、USB移动存储介质管理系统、文件加密产品、数据泄露防护产品、数据销毁软件产品、安全配置检查产品、运维安全管理产品、日志分析产品、身份鉴别产品、终端安全监护产品、电子文档安全管理产品。</w:t>
      </w:r>
    </w:p>
    <w:p w14:paraId="6E776D8B">
      <w:pPr>
        <w:spacing w:before="120" w:line="320" w:lineRule="atLeast"/>
        <w:ind w:firstLine="420" w:firstLineChars="200"/>
      </w:pPr>
      <w:bookmarkStart w:id="88" w:name="_Hlk19176155"/>
      <w:r>
        <w:t>6.3.3澄清、说明或补正</w:t>
      </w:r>
    </w:p>
    <w:p w14:paraId="1F97CA81">
      <w:pPr>
        <w:spacing w:before="120" w:line="320" w:lineRule="atLeast"/>
        <w:ind w:firstLine="420" w:firstLineChars="200"/>
      </w:pPr>
      <w:r>
        <w:rPr>
          <w:rFonts w:hint="eastAsia"/>
        </w:rPr>
        <w:t>（1）对投标文件中含义不明确、同类问题表述不一致或者有明显文字和计算错误的内容，评审委员会应在</w:t>
      </w:r>
      <w:r>
        <w:rPr>
          <w:rFonts w:hint="eastAsia"/>
          <w:szCs w:val="21"/>
        </w:rPr>
        <w:t>广西政府采购云平台</w:t>
      </w:r>
      <w:r>
        <w:rPr>
          <w:rFonts w:hint="eastAsia"/>
        </w:rPr>
        <w:t>发布电子澄清函，要求投标人在平台设置的时间内作出必要的澄清、说明或者补正。投标人在</w:t>
      </w:r>
      <w:r>
        <w:rPr>
          <w:rFonts w:hint="eastAsia"/>
          <w:szCs w:val="21"/>
        </w:rPr>
        <w:t>广西政府采购云平台</w:t>
      </w:r>
      <w:r>
        <w:rPr>
          <w:rFonts w:hint="eastAsia"/>
        </w:rPr>
        <w:t>接收到电子澄清函后根据澄清函内容直接在线编辑或上传PDF格式回函，电子澄清答复函使用CA证书加盖单位电子签章后提交至评审委员会。投标人的澄清、说明或者补正不得超出投标文件的范围或者改变投标文件的实质性内容。投标人未在规定时间内进行澄清、说明或者补正的，按无效投标处理。</w:t>
      </w:r>
    </w:p>
    <w:p w14:paraId="2123D512">
      <w:pPr>
        <w:spacing w:before="120" w:line="320" w:lineRule="atLeast"/>
        <w:ind w:firstLine="420" w:firstLineChars="200"/>
      </w:pPr>
      <w:r>
        <w:rPr>
          <w:rFonts w:hint="eastAsia"/>
        </w:rPr>
        <w:t>（2）异常情况处理：如遇无法正常使用线上发送澄清函的情况，将以书面形式执行。评审委员会以书面形式要求投标人在规定时间内作出必要的澄清、说明或者补正。投标人的澄清、说明或者补正必须采用书面形式，并加盖公章或者由法定代表人或者其授权的代表签字。</w:t>
      </w:r>
    </w:p>
    <w:p w14:paraId="650E22B7">
      <w:pPr>
        <w:spacing w:before="120" w:line="320" w:lineRule="atLeast"/>
        <w:ind w:firstLine="420" w:firstLineChars="200"/>
      </w:pPr>
      <w:r>
        <w:t>6.3.4</w:t>
      </w:r>
      <w:r>
        <w:rPr>
          <w:rFonts w:hint="eastAsia"/>
        </w:rPr>
        <w:t>报价</w:t>
      </w:r>
      <w:r>
        <w:t>修正</w:t>
      </w:r>
    </w:p>
    <w:p w14:paraId="769B260D">
      <w:pPr>
        <w:spacing w:before="120" w:line="320" w:lineRule="atLeast"/>
        <w:ind w:firstLine="420" w:firstLineChars="200"/>
      </w:pPr>
      <w:r>
        <w:rPr>
          <w:rFonts w:hint="eastAsia"/>
        </w:rPr>
        <w:t>（1）报价出现前后不一致的，按照下列规定修正：</w:t>
      </w:r>
    </w:p>
    <w:p w14:paraId="2694F33A">
      <w:pPr>
        <w:spacing w:before="120" w:line="320" w:lineRule="atLeast"/>
        <w:ind w:firstLine="420" w:firstLineChars="200"/>
        <w:rPr>
          <w:szCs w:val="21"/>
        </w:rPr>
      </w:pPr>
      <w:r>
        <w:rPr>
          <w:rFonts w:hint="eastAsia" w:ascii="宋体" w:hAnsi="宋体"/>
          <w:szCs w:val="21"/>
        </w:rPr>
        <w:t>①</w:t>
      </w:r>
      <w:r>
        <w:rPr>
          <w:szCs w:val="21"/>
        </w:rPr>
        <w:t>投标文件中开标一览表（报价表）内容与投标文件中相应内容不一致的，以开标一览表（报价表）为准；</w:t>
      </w:r>
    </w:p>
    <w:p w14:paraId="1BA28B38">
      <w:pPr>
        <w:spacing w:before="120" w:line="320" w:lineRule="atLeast"/>
        <w:ind w:firstLine="420" w:firstLineChars="200"/>
        <w:rPr>
          <w:szCs w:val="21"/>
        </w:rPr>
      </w:pPr>
      <w:r>
        <w:rPr>
          <w:rFonts w:ascii="宋体" w:hAnsi="宋体"/>
          <w:szCs w:val="21"/>
        </w:rPr>
        <w:t>②</w:t>
      </w:r>
      <w:r>
        <w:rPr>
          <w:szCs w:val="21"/>
        </w:rPr>
        <w:t>大写金额和小写金额不一致的，以大写金额为准；</w:t>
      </w:r>
    </w:p>
    <w:p w14:paraId="5BAC777B">
      <w:pPr>
        <w:spacing w:before="120" w:line="320" w:lineRule="atLeast"/>
        <w:ind w:firstLine="420" w:firstLineChars="200"/>
        <w:rPr>
          <w:szCs w:val="21"/>
        </w:rPr>
      </w:pPr>
      <w:r>
        <w:rPr>
          <w:rFonts w:hint="eastAsia"/>
          <w:szCs w:val="21"/>
        </w:rPr>
        <w:t>③</w:t>
      </w:r>
      <w:r>
        <w:rPr>
          <w:szCs w:val="21"/>
        </w:rPr>
        <w:t>单价金额小数点或者百分比有明显错位的，以开标一览表的总价为准，并修改单价；</w:t>
      </w:r>
    </w:p>
    <w:p w14:paraId="100F802B">
      <w:pPr>
        <w:spacing w:before="120" w:line="320" w:lineRule="atLeast"/>
        <w:ind w:firstLine="420" w:firstLineChars="200"/>
        <w:rPr>
          <w:szCs w:val="21"/>
        </w:rPr>
      </w:pPr>
      <w:r>
        <w:rPr>
          <w:rFonts w:hint="eastAsia"/>
          <w:szCs w:val="21"/>
        </w:rPr>
        <w:t>④</w:t>
      </w:r>
      <w:r>
        <w:rPr>
          <w:szCs w:val="21"/>
        </w:rPr>
        <w:t>总价金额与按单价汇总金额不一致的，以单价金额计算结果为准</w:t>
      </w:r>
      <w:r>
        <w:rPr>
          <w:rFonts w:hint="eastAsia"/>
          <w:szCs w:val="21"/>
        </w:rPr>
        <w:t>。</w:t>
      </w:r>
    </w:p>
    <w:p w14:paraId="70AF6416">
      <w:pPr>
        <w:spacing w:before="120" w:line="320" w:lineRule="atLeast"/>
        <w:ind w:firstLine="420" w:firstLineChars="200"/>
        <w:rPr>
          <w:szCs w:val="21"/>
        </w:rPr>
      </w:pPr>
      <w:r>
        <w:rPr>
          <w:rFonts w:hint="eastAsia"/>
          <w:szCs w:val="21"/>
        </w:rPr>
        <w:t>同时出现两种以上不一致的，按照上述</w:t>
      </w:r>
      <w:r>
        <w:rPr>
          <w:rFonts w:hint="eastAsia" w:ascii="宋体" w:hAnsi="宋体"/>
          <w:szCs w:val="21"/>
        </w:rPr>
        <w:t>①-</w:t>
      </w:r>
      <w:r>
        <w:rPr>
          <w:rFonts w:hint="eastAsia"/>
          <w:szCs w:val="21"/>
        </w:rPr>
        <w:t>④顺序修正。修正后的报价按照上述“</w:t>
      </w:r>
      <w:r>
        <w:rPr>
          <w:szCs w:val="21"/>
        </w:rPr>
        <w:t>6.3.3</w:t>
      </w:r>
      <w:r>
        <w:rPr>
          <w:rFonts w:hint="eastAsia"/>
          <w:szCs w:val="21"/>
        </w:rPr>
        <w:t>澄清、说明或补正”的规定经投标人确认后产生约束力，投标人不确认的，其投标无效。</w:t>
      </w:r>
    </w:p>
    <w:p w14:paraId="7DC57286">
      <w:pPr>
        <w:spacing w:before="120" w:line="320" w:lineRule="atLeast"/>
        <w:ind w:firstLine="420" w:firstLineChars="200"/>
        <w:rPr>
          <w:szCs w:val="21"/>
        </w:rPr>
      </w:pPr>
      <w:r>
        <w:rPr>
          <w:rFonts w:hint="eastAsia"/>
          <w:szCs w:val="21"/>
        </w:rPr>
        <w:t>处理。</w:t>
      </w:r>
    </w:p>
    <w:p w14:paraId="530F691C">
      <w:pPr>
        <w:spacing w:before="120" w:line="320" w:lineRule="atLeast"/>
        <w:ind w:firstLine="420" w:firstLineChars="200"/>
        <w:rPr>
          <w:szCs w:val="21"/>
        </w:rPr>
      </w:pPr>
      <w:r>
        <w:rPr>
          <w:rFonts w:hint="eastAsia"/>
          <w:szCs w:val="21"/>
        </w:rPr>
        <w:t>（</w:t>
      </w:r>
      <w:r>
        <w:rPr>
          <w:rFonts w:hint="eastAsia"/>
          <w:szCs w:val="21"/>
          <w:lang w:val="en-US" w:eastAsia="zh-CN"/>
        </w:rPr>
        <w:t>2</w:t>
      </w:r>
      <w:r>
        <w:rPr>
          <w:rFonts w:hint="eastAsia"/>
          <w:szCs w:val="21"/>
        </w:rPr>
        <w:t>）经投标人确认修正后的报价若超过采购预算金额或者最高限价，其投标文件作无效投标处理。</w:t>
      </w:r>
    </w:p>
    <w:p w14:paraId="1F9FE683">
      <w:pPr>
        <w:spacing w:before="120" w:line="320" w:lineRule="atLeast"/>
        <w:ind w:firstLine="420" w:firstLineChars="200"/>
        <w:rPr>
          <w:rFonts w:hint="eastAsia"/>
          <w:szCs w:val="21"/>
        </w:rPr>
      </w:pPr>
      <w:r>
        <w:rPr>
          <w:rFonts w:hint="eastAsia"/>
          <w:szCs w:val="21"/>
        </w:rPr>
        <w:t>（</w:t>
      </w:r>
      <w:r>
        <w:rPr>
          <w:rFonts w:hint="eastAsia"/>
          <w:szCs w:val="21"/>
          <w:lang w:val="en-US" w:eastAsia="zh-CN"/>
        </w:rPr>
        <w:t>3</w:t>
      </w:r>
      <w:r>
        <w:rPr>
          <w:rFonts w:hint="eastAsia"/>
          <w:szCs w:val="21"/>
        </w:rPr>
        <w:t>）经投标人确认修正后的报价作为签订合同的依据，并以此报价计算价格分。</w:t>
      </w:r>
    </w:p>
    <w:p w14:paraId="5E7F82FF">
      <w:pPr>
        <w:spacing w:before="120" w:line="320" w:lineRule="atLeast"/>
        <w:ind w:firstLine="420" w:firstLineChars="200"/>
        <w:rPr>
          <w:rFonts w:hint="eastAsia"/>
          <w:szCs w:val="21"/>
          <w:lang w:val="en-US" w:eastAsia="zh-CN"/>
        </w:rPr>
      </w:pPr>
      <w:r>
        <w:rPr>
          <w:rFonts w:hint="eastAsia"/>
          <w:szCs w:val="21"/>
          <w:lang w:val="en-US" w:eastAsia="zh-CN"/>
        </w:rPr>
        <w:t>6.3.5异常低价审查</w:t>
      </w:r>
    </w:p>
    <w:p w14:paraId="1565AC64">
      <w:pPr>
        <w:spacing w:before="120" w:line="320" w:lineRule="atLeast"/>
        <w:ind w:firstLine="420" w:firstLineChars="200"/>
        <w:rPr>
          <w:szCs w:val="21"/>
          <w:highlight w:val="none"/>
        </w:rPr>
      </w:pPr>
      <w:r>
        <w:rPr>
          <w:szCs w:val="21"/>
          <w:highlight w:val="none"/>
        </w:rPr>
        <w:t>本项目</w:t>
      </w:r>
      <w:r>
        <w:rPr>
          <w:rFonts w:hint="eastAsia"/>
          <w:szCs w:val="21"/>
          <w:highlight w:val="none"/>
          <w:lang w:val="en-US" w:eastAsia="zh-CN"/>
        </w:rPr>
        <w:t>异常低价审查情形见</w:t>
      </w:r>
      <w:r>
        <w:rPr>
          <w:szCs w:val="21"/>
          <w:highlight w:val="none"/>
        </w:rPr>
        <w:t>“</w:t>
      </w:r>
      <w:r>
        <w:rPr>
          <w:rFonts w:hint="eastAsia"/>
          <w:szCs w:val="21"/>
          <w:highlight w:val="none"/>
          <w:lang w:eastAsia="zh-CN"/>
        </w:rPr>
        <w:t>投标人须知</w:t>
      </w:r>
      <w:r>
        <w:rPr>
          <w:szCs w:val="21"/>
          <w:highlight w:val="none"/>
        </w:rPr>
        <w:t>前附表”规定。</w:t>
      </w:r>
    </w:p>
    <w:p w14:paraId="6BFF4C10">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评审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BF3AF65">
      <w:pPr>
        <w:numPr>
          <w:ilvl w:val="0"/>
          <w:numId w:val="0"/>
        </w:numPr>
        <w:spacing w:before="120" w:line="320" w:lineRule="atLeast"/>
        <w:ind w:firstLine="420" w:firstLineChars="200"/>
        <w:rPr>
          <w:rFonts w:hint="eastAsia"/>
          <w:strike/>
          <w:dstrike w:val="0"/>
          <w:color w:val="auto"/>
          <w:szCs w:val="21"/>
          <w:highlight w:val="none"/>
          <w:lang w:val="en-US" w:eastAsia="zh-CN"/>
        </w:rPr>
      </w:pPr>
      <w:r>
        <w:rPr>
          <w:rFonts w:hint="eastAsia"/>
          <w:color w:val="auto"/>
          <w:szCs w:val="21"/>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w:t>
      </w:r>
      <w:r>
        <w:rPr>
          <w:rFonts w:hint="eastAsia"/>
          <w:strike w:val="0"/>
          <w:dstrike w:val="0"/>
          <w:color w:val="auto"/>
          <w:szCs w:val="21"/>
          <w:highlight w:val="none"/>
          <w:lang w:val="en-US" w:eastAsia="zh-CN"/>
        </w:rPr>
        <w:t>投标（响应）供应商不能提供书面说明、证明材料，或者提供的书面说明、证明材料不能证明其报价合理性的，评审委员会应当将其作为无效投标处理。</w:t>
      </w:r>
    </w:p>
    <w:p w14:paraId="1D07FE73">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159C602">
      <w:pPr>
        <w:numPr>
          <w:ilvl w:val="0"/>
          <w:numId w:val="0"/>
        </w:numPr>
        <w:spacing w:before="120" w:line="320" w:lineRule="atLeast"/>
        <w:ind w:firstLine="420" w:firstLineChars="200"/>
        <w:rPr>
          <w:rFonts w:hint="eastAsia"/>
          <w:color w:val="auto"/>
          <w:szCs w:val="21"/>
          <w:highlight w:val="none"/>
          <w:lang w:val="en-US" w:eastAsia="zh-CN"/>
        </w:rPr>
      </w:pPr>
      <w:r>
        <w:rPr>
          <w:rFonts w:hint="eastAsia"/>
          <w:color w:val="auto"/>
          <w:szCs w:val="21"/>
          <w:highlight w:val="none"/>
          <w:lang w:val="en-US" w:eastAsia="zh-CN"/>
        </w:rPr>
        <w:t>异常低价投标审查的启动原因、审查意见和审查结果应当在评审报告中记录，并随供应商提供的相关书面说明及证明材料，以及评审委员会有关互联网浏览、查询历史一并归档。</w:t>
      </w:r>
    </w:p>
    <w:p w14:paraId="1A1F95F7">
      <w:pPr>
        <w:numPr>
          <w:ilvl w:val="0"/>
          <w:numId w:val="0"/>
        </w:numPr>
        <w:spacing w:before="120" w:line="320" w:lineRule="atLeast"/>
        <w:ind w:firstLine="420" w:firstLineChars="200"/>
        <w:rPr>
          <w:rFonts w:hint="eastAsia"/>
          <w:szCs w:val="21"/>
          <w:highlight w:val="none"/>
        </w:rPr>
      </w:pPr>
      <w:r>
        <w:rPr>
          <w:rFonts w:hint="eastAsia"/>
          <w:szCs w:val="21"/>
          <w:highlight w:val="none"/>
        </w:rPr>
        <w:t>书面证明应当按照上述“</w:t>
      </w:r>
      <w:r>
        <w:rPr>
          <w:szCs w:val="21"/>
          <w:highlight w:val="none"/>
        </w:rPr>
        <w:t>6.3.3</w:t>
      </w:r>
      <w:r>
        <w:rPr>
          <w:rFonts w:hint="eastAsia"/>
          <w:szCs w:val="21"/>
          <w:highlight w:val="none"/>
        </w:rPr>
        <w:t>澄清、说明或补正”的规定提交</w:t>
      </w:r>
      <w:r>
        <w:rPr>
          <w:rFonts w:hint="eastAsia"/>
          <w:color w:val="auto"/>
          <w:szCs w:val="21"/>
          <w:highlight w:val="none"/>
          <w:lang w:val="en-US" w:eastAsia="zh-CN"/>
        </w:rPr>
        <w:t>。</w:t>
      </w:r>
    </w:p>
    <w:p w14:paraId="598D902C">
      <w:pPr>
        <w:spacing w:before="120" w:line="320" w:lineRule="atLeast"/>
        <w:ind w:firstLine="420" w:firstLineChars="200"/>
        <w:rPr>
          <w:szCs w:val="21"/>
        </w:rPr>
      </w:pPr>
      <w:r>
        <w:rPr>
          <w:rFonts w:hint="eastAsia"/>
          <w:szCs w:val="21"/>
        </w:rPr>
        <w:t>6</w:t>
      </w:r>
      <w:r>
        <w:rPr>
          <w:szCs w:val="21"/>
        </w:rPr>
        <w:t>.3.</w:t>
      </w:r>
      <w:r>
        <w:rPr>
          <w:rFonts w:hint="eastAsia"/>
          <w:szCs w:val="21"/>
          <w:lang w:val="en-US" w:eastAsia="zh-CN"/>
        </w:rPr>
        <w:t>6</w:t>
      </w:r>
      <w:r>
        <w:rPr>
          <w:rFonts w:hint="eastAsia"/>
          <w:szCs w:val="21"/>
        </w:rPr>
        <w:t>相同品牌认定（仅适用于货物采购项目）</w:t>
      </w:r>
    </w:p>
    <w:p w14:paraId="578DFEA1">
      <w:pPr>
        <w:spacing w:before="120" w:line="320" w:lineRule="atLeast"/>
        <w:ind w:firstLine="420" w:firstLineChars="200"/>
        <w:rPr>
          <w:szCs w:val="21"/>
        </w:rPr>
      </w:pPr>
      <w:r>
        <w:rPr>
          <w:rFonts w:hint="eastAsia"/>
          <w:szCs w:val="21"/>
        </w:rPr>
        <w:t>（1）单一产品采购项目，</w:t>
      </w:r>
      <w:r>
        <w:t>不同</w:t>
      </w:r>
      <w:r>
        <w:rPr>
          <w:rFonts w:hint="eastAsia"/>
        </w:rPr>
        <w:t>投标人</w:t>
      </w:r>
      <w:r>
        <w:t>提供的产品品牌相同时，</w:t>
      </w:r>
      <w:r>
        <w:rPr>
          <w:rFonts w:hint="eastAsia"/>
        </w:rPr>
        <w:t>按以下</w:t>
      </w:r>
      <w:r>
        <w:t>规定</w:t>
      </w:r>
      <w:r>
        <w:rPr>
          <w:rFonts w:hint="eastAsia"/>
        </w:rPr>
        <w:t>确定</w:t>
      </w:r>
      <w:r>
        <w:rPr>
          <w:bCs/>
          <w:kern w:val="0"/>
          <w:szCs w:val="21"/>
        </w:rPr>
        <w:t>相同品牌的投标有效性</w:t>
      </w:r>
      <w:r>
        <w:t>。</w:t>
      </w:r>
    </w:p>
    <w:bookmarkEnd w:id="88"/>
    <w:p w14:paraId="7142F1A8">
      <w:pPr>
        <w:spacing w:before="120" w:line="320" w:lineRule="atLeast"/>
        <w:ind w:firstLine="420" w:firstLineChars="200"/>
        <w:rPr>
          <w:szCs w:val="21"/>
        </w:rPr>
      </w:pPr>
      <w:r>
        <w:rPr>
          <w:rFonts w:hint="eastAsia" w:ascii="宋体" w:hAnsi="宋体"/>
          <w:szCs w:val="21"/>
        </w:rPr>
        <w:t>①采</w:t>
      </w:r>
      <w:r>
        <w:rPr>
          <w:rFonts w:hint="eastAsia"/>
          <w:szCs w:val="21"/>
        </w:rPr>
        <w:t>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52A4D600">
      <w:pPr>
        <w:spacing w:before="120" w:line="320" w:lineRule="atLeast"/>
        <w:ind w:firstLine="420" w:firstLineChars="200"/>
        <w:rPr>
          <w:szCs w:val="21"/>
        </w:rPr>
      </w:pPr>
      <w:r>
        <w:rPr>
          <w:rFonts w:ascii="宋体" w:hAnsi="宋体"/>
          <w:szCs w:val="21"/>
        </w:rPr>
        <w:t>②</w:t>
      </w:r>
      <w:r>
        <w:rPr>
          <w:rFonts w:hint="eastAsia"/>
          <w:szCs w:val="21"/>
        </w:rPr>
        <w:t>采用最低评标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标的投标人，招标文件未规定的采取随机抽取方式确定，其他投标无效。</w:t>
      </w:r>
    </w:p>
    <w:p w14:paraId="3CBEE815">
      <w:pPr>
        <w:spacing w:before="120" w:line="320" w:lineRule="atLeast"/>
        <w:ind w:firstLine="420" w:firstLineChars="200"/>
      </w:pPr>
      <w:r>
        <w:rPr>
          <w:rFonts w:hint="eastAsia"/>
          <w:szCs w:val="21"/>
        </w:rPr>
        <w:t>（2）非单一产品采购项目，</w:t>
      </w:r>
      <w:r>
        <w:rPr>
          <w:szCs w:val="21"/>
        </w:rPr>
        <w:t>采购人应当确定核心产品，并在招标文件中载明。</w:t>
      </w:r>
      <w:r>
        <w:rPr>
          <w:rFonts w:hint="eastAsia"/>
          <w:szCs w:val="21"/>
        </w:rPr>
        <w:t>不同投标人</w:t>
      </w:r>
      <w:r>
        <w:rPr>
          <w:szCs w:val="21"/>
        </w:rPr>
        <w:t>提供的核心产品品牌相同的，按上述规定处理。核心产品</w:t>
      </w:r>
      <w:r>
        <w:rPr>
          <w:rFonts w:hint="eastAsia"/>
          <w:szCs w:val="21"/>
        </w:rPr>
        <w:t>在第二章</w:t>
      </w:r>
      <w:r>
        <w:rPr>
          <w:szCs w:val="21"/>
        </w:rPr>
        <w:t>采购需求规定。</w:t>
      </w:r>
    </w:p>
    <w:p w14:paraId="4D226A79">
      <w:pPr>
        <w:spacing w:before="120" w:line="320" w:lineRule="atLeast"/>
        <w:ind w:firstLine="420" w:firstLineChars="200"/>
        <w:rPr>
          <w:szCs w:val="21"/>
        </w:rPr>
      </w:pPr>
      <w:r>
        <w:rPr>
          <w:szCs w:val="21"/>
        </w:rPr>
        <w:t>6.3.</w:t>
      </w:r>
      <w:r>
        <w:rPr>
          <w:rFonts w:hint="eastAsia"/>
          <w:szCs w:val="21"/>
          <w:lang w:val="en-US" w:eastAsia="zh-CN"/>
        </w:rPr>
        <w:t>7</w:t>
      </w:r>
      <w:r>
        <w:rPr>
          <w:szCs w:val="21"/>
        </w:rPr>
        <w:t>串通投标认定</w:t>
      </w:r>
    </w:p>
    <w:p w14:paraId="627F1F58">
      <w:pPr>
        <w:spacing w:before="120" w:line="320" w:lineRule="atLeast"/>
        <w:ind w:firstLine="420" w:firstLineChars="200"/>
      </w:pPr>
      <w:r>
        <w:rPr>
          <w:szCs w:val="21"/>
        </w:rPr>
        <w:t>评审委员会须根据</w:t>
      </w:r>
      <w:r>
        <w:rPr>
          <w:rFonts w:hint="eastAsia"/>
          <w:szCs w:val="21"/>
        </w:rPr>
        <w:t>以下</w:t>
      </w:r>
      <w:r>
        <w:rPr>
          <w:szCs w:val="21"/>
        </w:rPr>
        <w:t>规定</w:t>
      </w:r>
      <w:r>
        <w:rPr>
          <w:rFonts w:hint="eastAsia"/>
          <w:szCs w:val="21"/>
        </w:rPr>
        <w:t>认定投标人</w:t>
      </w:r>
      <w:r>
        <w:rPr>
          <w:szCs w:val="21"/>
        </w:rPr>
        <w:t>是否有</w:t>
      </w:r>
      <w:r>
        <w:rPr>
          <w:bCs/>
          <w:kern w:val="0"/>
          <w:szCs w:val="21"/>
        </w:rPr>
        <w:t>串通投标的行为</w:t>
      </w:r>
      <w:r>
        <w:t>。</w:t>
      </w:r>
    </w:p>
    <w:p w14:paraId="573FEB8A">
      <w:pPr>
        <w:spacing w:before="120" w:line="320" w:lineRule="atLeast"/>
        <w:ind w:firstLine="420" w:firstLineChars="200"/>
        <w:rPr>
          <w:szCs w:val="21"/>
        </w:rPr>
      </w:pPr>
      <w:bookmarkStart w:id="89" w:name="_Hlk19122026"/>
      <w:r>
        <w:rPr>
          <w:rFonts w:hint="eastAsia"/>
          <w:szCs w:val="21"/>
        </w:rPr>
        <w:t>（1）</w:t>
      </w:r>
      <w:bookmarkEnd w:id="89"/>
      <w:r>
        <w:rPr>
          <w:szCs w:val="21"/>
        </w:rPr>
        <w:t>根据《关于防治政府采购招标中串通投标行为的通知》</w:t>
      </w:r>
      <w:r>
        <w:rPr>
          <w:rFonts w:hint="eastAsia"/>
          <w:szCs w:val="21"/>
        </w:rPr>
        <w:t>（</w:t>
      </w:r>
      <w:r>
        <w:rPr>
          <w:szCs w:val="21"/>
        </w:rPr>
        <w:t>桂财采</w:t>
      </w:r>
      <w:r>
        <w:rPr>
          <w:rFonts w:hint="eastAsia"/>
          <w:szCs w:val="21"/>
          <w:lang w:eastAsia="zh-CN"/>
        </w:rPr>
        <w:t>〔2016〕42号</w:t>
      </w:r>
      <w:r>
        <w:rPr>
          <w:rFonts w:hint="eastAsia"/>
          <w:szCs w:val="21"/>
        </w:rPr>
        <w:t>）</w:t>
      </w:r>
      <w:r>
        <w:rPr>
          <w:szCs w:val="21"/>
        </w:rPr>
        <w:t>规定，出现下述情况的，相关供应商的投标作无效投标处理。</w:t>
      </w:r>
    </w:p>
    <w:p w14:paraId="25FF4291">
      <w:pPr>
        <w:spacing w:before="120" w:line="320" w:lineRule="atLeast"/>
        <w:ind w:firstLine="420" w:firstLineChars="200"/>
        <w:rPr>
          <w:szCs w:val="21"/>
        </w:rPr>
      </w:pPr>
      <w:bookmarkStart w:id="90" w:name="_Hlk19122039"/>
      <w:r>
        <w:rPr>
          <w:rFonts w:hint="eastAsia" w:ascii="宋体" w:hAnsi="宋体" w:cs="宋体"/>
          <w:szCs w:val="21"/>
        </w:rPr>
        <w:t>①</w:t>
      </w:r>
      <w:r>
        <w:rPr>
          <w:szCs w:val="21"/>
        </w:rPr>
        <w:t>单位负责人为同一人或者存在直接控股、管理关系，参加同一合同项下政府采购活动的不同供应商。</w:t>
      </w:r>
    </w:p>
    <w:p w14:paraId="7881943B">
      <w:pPr>
        <w:spacing w:before="120" w:line="320" w:lineRule="atLeast"/>
        <w:ind w:firstLine="420" w:firstLineChars="200"/>
        <w:rPr>
          <w:szCs w:val="21"/>
        </w:rPr>
      </w:pPr>
      <w:r>
        <w:rPr>
          <w:rFonts w:hint="eastAsia"/>
          <w:szCs w:val="21"/>
        </w:rPr>
        <w:t>②</w:t>
      </w:r>
      <w:r>
        <w:rPr>
          <w:szCs w:val="21"/>
        </w:rPr>
        <w:t>授权给供应商后参加同一合同项（分标、分包）投标的生产厂商。</w:t>
      </w:r>
    </w:p>
    <w:p w14:paraId="24CD66B5">
      <w:pPr>
        <w:spacing w:before="120" w:line="320" w:lineRule="atLeast"/>
        <w:ind w:firstLine="420" w:firstLineChars="200"/>
        <w:rPr>
          <w:szCs w:val="21"/>
        </w:rPr>
      </w:pPr>
      <w:r>
        <w:rPr>
          <w:rFonts w:hint="eastAsia"/>
          <w:szCs w:val="21"/>
        </w:rPr>
        <w:t>③</w:t>
      </w:r>
      <w:r>
        <w:rPr>
          <w:szCs w:val="21"/>
        </w:rPr>
        <w:t>视为或被认定为串通投标的相关供应商。</w:t>
      </w:r>
    </w:p>
    <w:bookmarkEnd w:id="90"/>
    <w:p w14:paraId="4918122D">
      <w:pPr>
        <w:spacing w:before="120" w:line="320" w:lineRule="atLeast"/>
        <w:ind w:firstLine="420" w:firstLineChars="200"/>
        <w:rPr>
          <w:szCs w:val="21"/>
        </w:rPr>
      </w:pPr>
      <w:bookmarkStart w:id="91" w:name="_Hlk19122058"/>
      <w:r>
        <w:rPr>
          <w:rFonts w:hint="eastAsia"/>
          <w:szCs w:val="21"/>
        </w:rPr>
        <w:t>（2）</w:t>
      </w:r>
      <w:bookmarkEnd w:id="91"/>
      <w:r>
        <w:rPr>
          <w:szCs w:val="21"/>
        </w:rPr>
        <w:t>根据《关于防治政府采购招标中串通投标行为的通知》</w:t>
      </w:r>
      <w:r>
        <w:rPr>
          <w:rFonts w:hint="eastAsia"/>
          <w:szCs w:val="21"/>
        </w:rPr>
        <w:t>（</w:t>
      </w:r>
      <w:r>
        <w:rPr>
          <w:szCs w:val="21"/>
        </w:rPr>
        <w:t>桂财采</w:t>
      </w:r>
      <w:r>
        <w:rPr>
          <w:rFonts w:hint="eastAsia"/>
          <w:szCs w:val="21"/>
          <w:lang w:eastAsia="zh-CN"/>
        </w:rPr>
        <w:t>〔2016〕42号</w:t>
      </w:r>
      <w:r>
        <w:rPr>
          <w:rFonts w:hint="eastAsia"/>
          <w:szCs w:val="21"/>
        </w:rPr>
        <w:t>）</w:t>
      </w:r>
      <w:r>
        <w:rPr>
          <w:szCs w:val="21"/>
        </w:rPr>
        <w:t>规定，有下列情形之一的视为</w:t>
      </w:r>
      <w:r>
        <w:rPr>
          <w:rFonts w:hint="eastAsia"/>
          <w:szCs w:val="21"/>
        </w:rPr>
        <w:t>投标人</w:t>
      </w:r>
      <w:r>
        <w:rPr>
          <w:szCs w:val="21"/>
        </w:rPr>
        <w:t>相互串通投标，投标文件将被视为无效。</w:t>
      </w:r>
    </w:p>
    <w:p w14:paraId="7DC7012A">
      <w:pPr>
        <w:spacing w:before="120" w:line="320" w:lineRule="atLeast"/>
        <w:ind w:firstLine="420" w:firstLineChars="200"/>
        <w:rPr>
          <w:szCs w:val="21"/>
        </w:rPr>
      </w:pPr>
      <w:bookmarkStart w:id="92" w:name="_Hlk19122048"/>
      <w:r>
        <w:rPr>
          <w:rFonts w:hint="eastAsia" w:ascii="宋体" w:hAnsi="宋体" w:cs="宋体"/>
          <w:szCs w:val="21"/>
        </w:rPr>
        <w:t>①</w:t>
      </w:r>
      <w:r>
        <w:rPr>
          <w:szCs w:val="21"/>
        </w:rPr>
        <w:t>不同</w:t>
      </w:r>
      <w:r>
        <w:rPr>
          <w:rFonts w:hint="eastAsia"/>
          <w:szCs w:val="21"/>
        </w:rPr>
        <w:t>投标人</w:t>
      </w:r>
      <w:r>
        <w:rPr>
          <w:szCs w:val="21"/>
        </w:rPr>
        <w:t>的投标文件由同一单位或者个人编制；或不同</w:t>
      </w:r>
      <w:r>
        <w:rPr>
          <w:rFonts w:hint="eastAsia"/>
          <w:szCs w:val="21"/>
        </w:rPr>
        <w:t>投标人</w:t>
      </w:r>
      <w:r>
        <w:rPr>
          <w:szCs w:val="21"/>
        </w:rPr>
        <w:t>报名的IP地址一致的；</w:t>
      </w:r>
    </w:p>
    <w:p w14:paraId="7B19804B">
      <w:pPr>
        <w:spacing w:before="120" w:line="320" w:lineRule="atLeast"/>
        <w:ind w:firstLine="420" w:firstLineChars="200"/>
        <w:rPr>
          <w:szCs w:val="21"/>
        </w:rPr>
      </w:pPr>
      <w:r>
        <w:rPr>
          <w:rFonts w:hint="eastAsia"/>
          <w:szCs w:val="21"/>
        </w:rPr>
        <w:t>②</w:t>
      </w:r>
      <w:r>
        <w:rPr>
          <w:szCs w:val="21"/>
        </w:rPr>
        <w:t>不同</w:t>
      </w:r>
      <w:r>
        <w:rPr>
          <w:rFonts w:hint="eastAsia"/>
          <w:szCs w:val="21"/>
        </w:rPr>
        <w:t>投标人</w:t>
      </w:r>
      <w:r>
        <w:rPr>
          <w:szCs w:val="21"/>
        </w:rPr>
        <w:t>委托同一单位或者个人办理投标事宜；</w:t>
      </w:r>
    </w:p>
    <w:p w14:paraId="5EFCB065">
      <w:pPr>
        <w:spacing w:before="120" w:line="320" w:lineRule="atLeast"/>
        <w:ind w:firstLine="420" w:firstLineChars="200"/>
        <w:rPr>
          <w:szCs w:val="21"/>
        </w:rPr>
      </w:pPr>
      <w:r>
        <w:rPr>
          <w:rFonts w:hint="eastAsia"/>
          <w:szCs w:val="21"/>
        </w:rPr>
        <w:t>③</w:t>
      </w:r>
      <w:r>
        <w:rPr>
          <w:szCs w:val="21"/>
        </w:rPr>
        <w:t>不同的</w:t>
      </w:r>
      <w:r>
        <w:rPr>
          <w:rFonts w:hint="eastAsia"/>
          <w:szCs w:val="21"/>
        </w:rPr>
        <w:t>投标人</w:t>
      </w:r>
      <w:r>
        <w:rPr>
          <w:szCs w:val="21"/>
        </w:rPr>
        <w:t>的投标文件载明的项目管理员为同一个人；</w:t>
      </w:r>
    </w:p>
    <w:p w14:paraId="2EFD02DA">
      <w:pPr>
        <w:spacing w:before="120" w:line="320" w:lineRule="atLeast"/>
        <w:ind w:firstLine="420" w:firstLineChars="200"/>
        <w:rPr>
          <w:szCs w:val="21"/>
        </w:rPr>
      </w:pPr>
      <w:r>
        <w:rPr>
          <w:rFonts w:hint="eastAsia"/>
          <w:szCs w:val="21"/>
        </w:rPr>
        <w:t>④</w:t>
      </w:r>
      <w:r>
        <w:rPr>
          <w:szCs w:val="21"/>
        </w:rPr>
        <w:t>不同</w:t>
      </w:r>
      <w:r>
        <w:rPr>
          <w:rFonts w:hint="eastAsia"/>
          <w:szCs w:val="21"/>
        </w:rPr>
        <w:t>投标人</w:t>
      </w:r>
      <w:r>
        <w:rPr>
          <w:szCs w:val="21"/>
        </w:rPr>
        <w:t>的投标文件异常一致或投标报价呈规律性差异；</w:t>
      </w:r>
    </w:p>
    <w:p w14:paraId="7714FBDC">
      <w:pPr>
        <w:spacing w:before="120" w:line="320" w:lineRule="atLeast"/>
        <w:ind w:firstLine="420" w:firstLineChars="200"/>
        <w:rPr>
          <w:szCs w:val="21"/>
        </w:rPr>
      </w:pPr>
      <w:r>
        <w:rPr>
          <w:rFonts w:hint="eastAsia"/>
          <w:szCs w:val="21"/>
        </w:rPr>
        <w:t>⑤</w:t>
      </w:r>
      <w:r>
        <w:rPr>
          <w:szCs w:val="21"/>
        </w:rPr>
        <w:t>不同</w:t>
      </w:r>
      <w:r>
        <w:rPr>
          <w:rFonts w:hint="eastAsia"/>
          <w:szCs w:val="21"/>
        </w:rPr>
        <w:t>投标人</w:t>
      </w:r>
      <w:r>
        <w:rPr>
          <w:szCs w:val="21"/>
        </w:rPr>
        <w:t>的投标文件相互混装；</w:t>
      </w:r>
    </w:p>
    <w:p w14:paraId="3B6BDD8F">
      <w:pPr>
        <w:spacing w:before="120" w:line="320" w:lineRule="atLeast"/>
        <w:ind w:firstLine="420" w:firstLineChars="200"/>
        <w:rPr>
          <w:szCs w:val="21"/>
        </w:rPr>
      </w:pPr>
      <w:r>
        <w:rPr>
          <w:rFonts w:hint="eastAsia"/>
          <w:szCs w:val="21"/>
        </w:rPr>
        <w:t>⑥</w:t>
      </w:r>
      <w:r>
        <w:rPr>
          <w:szCs w:val="21"/>
        </w:rPr>
        <w:t>不同</w:t>
      </w:r>
      <w:r>
        <w:rPr>
          <w:rFonts w:hint="eastAsia"/>
          <w:szCs w:val="21"/>
        </w:rPr>
        <w:t>投标人</w:t>
      </w:r>
      <w:r>
        <w:rPr>
          <w:szCs w:val="21"/>
        </w:rPr>
        <w:t>的保证金从同一单位或者个人账户转出。</w:t>
      </w:r>
    </w:p>
    <w:bookmarkEnd w:id="92"/>
    <w:p w14:paraId="6E899994">
      <w:pPr>
        <w:spacing w:before="120" w:line="320" w:lineRule="atLeast"/>
        <w:ind w:firstLine="420" w:firstLineChars="200"/>
        <w:rPr>
          <w:szCs w:val="21"/>
        </w:rPr>
      </w:pPr>
      <w:bookmarkStart w:id="93" w:name="_Hlk19122102"/>
      <w:r>
        <w:rPr>
          <w:rFonts w:hint="eastAsia"/>
          <w:szCs w:val="21"/>
        </w:rPr>
        <w:t>（3）</w:t>
      </w:r>
      <w:bookmarkEnd w:id="93"/>
      <w:r>
        <w:rPr>
          <w:szCs w:val="21"/>
        </w:rPr>
        <w:t>根据《关于防治政府采购招标中串通投标行为的通知》</w:t>
      </w:r>
      <w:r>
        <w:rPr>
          <w:rFonts w:hint="eastAsia"/>
          <w:szCs w:val="21"/>
        </w:rPr>
        <w:t>（</w:t>
      </w:r>
      <w:r>
        <w:rPr>
          <w:szCs w:val="21"/>
        </w:rPr>
        <w:t>桂财采</w:t>
      </w:r>
      <w:r>
        <w:rPr>
          <w:rFonts w:hint="eastAsia"/>
          <w:szCs w:val="21"/>
          <w:lang w:eastAsia="zh-CN"/>
        </w:rPr>
        <w:t>〔2016〕42号</w:t>
      </w:r>
      <w:r>
        <w:rPr>
          <w:rFonts w:hint="eastAsia"/>
          <w:szCs w:val="21"/>
        </w:rPr>
        <w:t>）</w:t>
      </w:r>
      <w:r>
        <w:rPr>
          <w:szCs w:val="21"/>
        </w:rPr>
        <w:t>规定，供应商有下列情形之一的，属于恶意串通行为，投标文件将被视为无效。</w:t>
      </w:r>
    </w:p>
    <w:p w14:paraId="1A787694">
      <w:pPr>
        <w:spacing w:before="120" w:line="320" w:lineRule="atLeast"/>
        <w:ind w:firstLine="420" w:firstLineChars="200"/>
        <w:rPr>
          <w:szCs w:val="21"/>
        </w:rPr>
      </w:pPr>
      <w:bookmarkStart w:id="94" w:name="_Hlk19122095"/>
      <w:r>
        <w:rPr>
          <w:rFonts w:hint="eastAsia"/>
          <w:szCs w:val="21"/>
        </w:rPr>
        <w:t>①</w:t>
      </w:r>
      <w:r>
        <w:rPr>
          <w:szCs w:val="21"/>
        </w:rPr>
        <w:t>供应商直接或者间接从采购人或者采购代理机构处获得其他供应商的相关信息并修改其投标文件或者</w:t>
      </w:r>
      <w:r>
        <w:rPr>
          <w:rFonts w:hint="eastAsia"/>
          <w:szCs w:val="21"/>
          <w:lang w:eastAsia="zh-CN"/>
        </w:rPr>
        <w:t>投标文件</w:t>
      </w:r>
      <w:r>
        <w:rPr>
          <w:szCs w:val="21"/>
        </w:rPr>
        <w:t>；</w:t>
      </w:r>
    </w:p>
    <w:p w14:paraId="43F71FF0">
      <w:pPr>
        <w:spacing w:before="120" w:line="320" w:lineRule="atLeast"/>
        <w:ind w:firstLine="420" w:firstLineChars="200"/>
        <w:rPr>
          <w:szCs w:val="21"/>
        </w:rPr>
      </w:pPr>
      <w:r>
        <w:rPr>
          <w:rFonts w:hint="eastAsia"/>
          <w:szCs w:val="21"/>
        </w:rPr>
        <w:t>②</w:t>
      </w:r>
      <w:r>
        <w:rPr>
          <w:szCs w:val="21"/>
        </w:rPr>
        <w:t>供应商按照采购人或者采购代理机构的授意撤换、修改投标文件或者</w:t>
      </w:r>
      <w:r>
        <w:rPr>
          <w:rFonts w:hint="eastAsia"/>
          <w:szCs w:val="21"/>
          <w:lang w:eastAsia="zh-CN"/>
        </w:rPr>
        <w:t>投标文件;</w:t>
      </w:r>
    </w:p>
    <w:p w14:paraId="481C2977">
      <w:pPr>
        <w:spacing w:before="120" w:line="320" w:lineRule="atLeast"/>
        <w:ind w:firstLine="420" w:firstLineChars="200"/>
        <w:rPr>
          <w:szCs w:val="21"/>
        </w:rPr>
      </w:pPr>
      <w:r>
        <w:rPr>
          <w:rFonts w:hint="eastAsia"/>
          <w:szCs w:val="21"/>
        </w:rPr>
        <w:t>③</w:t>
      </w:r>
      <w:r>
        <w:rPr>
          <w:szCs w:val="21"/>
        </w:rPr>
        <w:t>供应商之间协商报价、技术方案等投标文件或者</w:t>
      </w:r>
      <w:r>
        <w:rPr>
          <w:rFonts w:hint="eastAsia"/>
          <w:szCs w:val="21"/>
          <w:lang w:eastAsia="zh-CN"/>
        </w:rPr>
        <w:t>投标文件</w:t>
      </w:r>
      <w:r>
        <w:rPr>
          <w:szCs w:val="21"/>
        </w:rPr>
        <w:t>的实质性内容；</w:t>
      </w:r>
    </w:p>
    <w:p w14:paraId="3B14FA16">
      <w:pPr>
        <w:spacing w:before="120" w:line="320" w:lineRule="atLeast"/>
        <w:ind w:firstLine="420" w:firstLineChars="200"/>
        <w:rPr>
          <w:szCs w:val="21"/>
        </w:rPr>
      </w:pPr>
      <w:r>
        <w:rPr>
          <w:rFonts w:hint="eastAsia"/>
          <w:szCs w:val="21"/>
        </w:rPr>
        <w:t>④</w:t>
      </w:r>
      <w:r>
        <w:rPr>
          <w:szCs w:val="21"/>
        </w:rPr>
        <w:t>属于同一集团、协会、商会等组织成员的供应商按照该组织要求协同参加政府采购活动；</w:t>
      </w:r>
    </w:p>
    <w:p w14:paraId="2AFB5A9B">
      <w:pPr>
        <w:spacing w:before="120" w:line="320" w:lineRule="atLeast"/>
        <w:ind w:firstLine="420" w:firstLineChars="200"/>
        <w:rPr>
          <w:szCs w:val="21"/>
        </w:rPr>
      </w:pPr>
      <w:r>
        <w:rPr>
          <w:rFonts w:hint="eastAsia"/>
          <w:szCs w:val="21"/>
        </w:rPr>
        <w:t>⑤</w:t>
      </w:r>
      <w:r>
        <w:rPr>
          <w:szCs w:val="21"/>
        </w:rPr>
        <w:t>供应商之间事先约定一致抬高或者压低投标报价，或者在招标项目中事先约定轮流以高价位或者低价位中标，或者事先约定由某一特定供应商中标，然后再参加投标；</w:t>
      </w:r>
    </w:p>
    <w:p w14:paraId="50D07776">
      <w:pPr>
        <w:spacing w:before="120" w:line="320" w:lineRule="atLeast"/>
        <w:ind w:firstLine="420" w:firstLineChars="200"/>
        <w:rPr>
          <w:szCs w:val="21"/>
        </w:rPr>
      </w:pPr>
      <w:r>
        <w:rPr>
          <w:rFonts w:hint="eastAsia"/>
          <w:szCs w:val="21"/>
        </w:rPr>
        <w:t>⑥</w:t>
      </w:r>
      <w:r>
        <w:rPr>
          <w:szCs w:val="21"/>
        </w:rPr>
        <w:t>供应商之间商定部分供应商放弃参加政府采购活动或者放弃中标；</w:t>
      </w:r>
    </w:p>
    <w:p w14:paraId="5E4D6E6A">
      <w:pPr>
        <w:spacing w:before="120" w:line="320" w:lineRule="atLeast"/>
        <w:ind w:firstLine="420" w:firstLineChars="200"/>
        <w:rPr>
          <w:szCs w:val="21"/>
        </w:rPr>
      </w:pPr>
      <w:r>
        <w:rPr>
          <w:rFonts w:hint="eastAsia"/>
          <w:szCs w:val="21"/>
        </w:rPr>
        <w:t>⑦</w:t>
      </w:r>
      <w:r>
        <w:rPr>
          <w:szCs w:val="21"/>
        </w:rPr>
        <w:t>供应商与采购人或者采购代理机构之间、供应商相互之间，为谋求特定供应商中标或者排斥其他供应商的其他串通行为。</w:t>
      </w:r>
    </w:p>
    <w:bookmarkEnd w:id="94"/>
    <w:p w14:paraId="7F37D745">
      <w:pPr>
        <w:spacing w:before="120" w:line="320" w:lineRule="atLeast"/>
        <w:ind w:firstLine="420" w:firstLineChars="200"/>
        <w:rPr>
          <w:szCs w:val="21"/>
        </w:rPr>
      </w:pPr>
      <w:r>
        <w:rPr>
          <w:szCs w:val="21"/>
        </w:rPr>
        <w:t>6.3.</w:t>
      </w:r>
      <w:r>
        <w:rPr>
          <w:rFonts w:hint="eastAsia"/>
          <w:szCs w:val="21"/>
          <w:lang w:val="en-US" w:eastAsia="zh-CN"/>
        </w:rPr>
        <w:t>8</w:t>
      </w:r>
      <w:r>
        <w:rPr>
          <w:szCs w:val="21"/>
        </w:rPr>
        <w:t>投标</w:t>
      </w:r>
      <w:r>
        <w:rPr>
          <w:rFonts w:hint="eastAsia"/>
          <w:szCs w:val="21"/>
        </w:rPr>
        <w:t>无效</w:t>
      </w:r>
      <w:r>
        <w:rPr>
          <w:szCs w:val="21"/>
        </w:rPr>
        <w:t>认定</w:t>
      </w:r>
    </w:p>
    <w:p w14:paraId="4F58D4ED">
      <w:pPr>
        <w:spacing w:before="120" w:line="320" w:lineRule="atLeast"/>
        <w:ind w:firstLine="420" w:firstLineChars="200"/>
        <w:rPr>
          <w:szCs w:val="21"/>
        </w:rPr>
      </w:pPr>
      <w:bookmarkStart w:id="95" w:name="_Hlk19113301"/>
      <w:r>
        <w:rPr>
          <w:rFonts w:hint="eastAsia"/>
          <w:szCs w:val="21"/>
        </w:rPr>
        <w:t>（</w:t>
      </w:r>
      <w:r>
        <w:rPr>
          <w:szCs w:val="21"/>
        </w:rPr>
        <w:t>1）在</w:t>
      </w:r>
      <w:r>
        <w:rPr>
          <w:rFonts w:hint="eastAsia"/>
          <w:szCs w:val="21"/>
        </w:rPr>
        <w:t>评审过程中</w:t>
      </w:r>
      <w:r>
        <w:rPr>
          <w:szCs w:val="21"/>
        </w:rPr>
        <w:t>如发现下列情形之一的，投标文件将被视为无效：</w:t>
      </w:r>
    </w:p>
    <w:p w14:paraId="1B57E9B4">
      <w:pPr>
        <w:spacing w:before="120" w:line="320" w:lineRule="atLeast"/>
        <w:ind w:firstLine="420" w:firstLineChars="200"/>
      </w:pPr>
      <w:r>
        <w:rPr>
          <w:rFonts w:hint="eastAsia"/>
          <w:szCs w:val="21"/>
        </w:rPr>
        <w:t>①</w:t>
      </w:r>
      <w:r>
        <w:rPr>
          <w:szCs w:val="21"/>
        </w:rPr>
        <w:t>投标文件</w:t>
      </w:r>
      <w:r>
        <w:rPr>
          <w:rFonts w:hint="eastAsia"/>
          <w:szCs w:val="21"/>
        </w:rPr>
        <w:t>存在法律、法规及监督部门有关文件规定的无效情形</w:t>
      </w:r>
      <w:r>
        <w:rPr>
          <w:szCs w:val="21"/>
        </w:rPr>
        <w:t>。</w:t>
      </w:r>
    </w:p>
    <w:p w14:paraId="21FF05BD">
      <w:pPr>
        <w:spacing w:before="120" w:line="320" w:lineRule="atLeast"/>
        <w:ind w:firstLine="420" w:firstLineChars="200"/>
        <w:rPr>
          <w:szCs w:val="21"/>
        </w:rPr>
      </w:pPr>
      <w:r>
        <w:rPr>
          <w:rFonts w:hint="eastAsia"/>
          <w:szCs w:val="21"/>
        </w:rPr>
        <w:t>②</w:t>
      </w:r>
      <w:r>
        <w:rPr>
          <w:szCs w:val="21"/>
        </w:rPr>
        <w:t>投标文件</w:t>
      </w:r>
      <w:r>
        <w:rPr>
          <w:rFonts w:hint="eastAsia"/>
          <w:szCs w:val="21"/>
        </w:rPr>
        <w:t>存在招标文件规定的无效情形。</w:t>
      </w:r>
    </w:p>
    <w:bookmarkEnd w:id="95"/>
    <w:p w14:paraId="26C76488">
      <w:pPr>
        <w:spacing w:before="120" w:line="320" w:lineRule="atLeast"/>
        <w:ind w:firstLine="420" w:firstLineChars="200"/>
        <w:rPr>
          <w:szCs w:val="21"/>
        </w:rPr>
      </w:pPr>
      <w:bookmarkStart w:id="96" w:name="_Hlk19113313"/>
      <w:r>
        <w:rPr>
          <w:rFonts w:hint="eastAsia"/>
          <w:szCs w:val="21"/>
        </w:rPr>
        <w:t>（2）根据</w:t>
      </w:r>
      <w:r>
        <w:rPr>
          <w:szCs w:val="21"/>
        </w:rPr>
        <w:t>财库</w:t>
      </w:r>
      <w:r>
        <w:rPr>
          <w:rFonts w:hint="eastAsia"/>
          <w:szCs w:val="21"/>
        </w:rPr>
        <w:t>《</w:t>
      </w:r>
      <w:r>
        <w:rPr>
          <w:szCs w:val="21"/>
        </w:rPr>
        <w:t>关于促进政府采购公平竞争优化营商环境的通知</w:t>
      </w:r>
      <w:r>
        <w:rPr>
          <w:rFonts w:hint="eastAsia"/>
          <w:szCs w:val="21"/>
        </w:rPr>
        <w:t>》（</w:t>
      </w:r>
      <w:r>
        <w:rPr>
          <w:szCs w:val="21"/>
        </w:rPr>
        <w:t>〔2019〕38号</w:t>
      </w:r>
      <w:r>
        <w:rPr>
          <w:rFonts w:hint="eastAsia"/>
          <w:szCs w:val="21"/>
        </w:rPr>
        <w:t>）以及《广西壮族自治区财政厅转发财政部关于促进政府采购公平竞争优化营商环境的通知》（桂财采〔2019〕41号）规定，评审委员会不得因装订、纸张、文件排序等非实质性的格式、形式问题认定投标无效或否决投标，从而限制和影响供应商投标（响应）。</w:t>
      </w:r>
    </w:p>
    <w:bookmarkEnd w:id="96"/>
    <w:p w14:paraId="6469FD0C">
      <w:pPr>
        <w:spacing w:before="120" w:line="320" w:lineRule="atLeast"/>
        <w:ind w:firstLine="420" w:firstLineChars="200"/>
        <w:rPr>
          <w:szCs w:val="21"/>
        </w:rPr>
      </w:pPr>
      <w:bookmarkStart w:id="97" w:name="_Hlk19113363"/>
      <w:r>
        <w:rPr>
          <w:szCs w:val="21"/>
        </w:rPr>
        <w:t>6.3.</w:t>
      </w:r>
      <w:r>
        <w:rPr>
          <w:rFonts w:hint="eastAsia"/>
          <w:szCs w:val="21"/>
          <w:lang w:val="en-US" w:eastAsia="zh-CN"/>
        </w:rPr>
        <w:t>9</w:t>
      </w:r>
      <w:r>
        <w:rPr>
          <w:szCs w:val="21"/>
        </w:rPr>
        <w:t>比较与评价</w:t>
      </w:r>
    </w:p>
    <w:p w14:paraId="3131A7BF">
      <w:pPr>
        <w:spacing w:before="120" w:line="320" w:lineRule="atLeast"/>
        <w:ind w:firstLine="420" w:firstLineChars="200"/>
        <w:rPr>
          <w:szCs w:val="21"/>
        </w:rPr>
      </w:pPr>
      <w:r>
        <w:rPr>
          <w:rFonts w:hint="eastAsia"/>
          <w:szCs w:val="21"/>
        </w:rPr>
        <w:t>（1）评审委员会</w:t>
      </w:r>
      <w:r>
        <w:rPr>
          <w:szCs w:val="21"/>
        </w:rPr>
        <w:t>按招标文件中规定的评审方法和标准，对符合性审查合格的投标文件进行综合比较与评价。</w:t>
      </w:r>
    </w:p>
    <w:p w14:paraId="46227254">
      <w:pPr>
        <w:spacing w:before="120" w:line="320" w:lineRule="atLeast"/>
        <w:ind w:firstLine="420" w:firstLineChars="200"/>
        <w:rPr>
          <w:szCs w:val="21"/>
        </w:rPr>
      </w:pPr>
      <w:r>
        <w:rPr>
          <w:rFonts w:hint="eastAsia"/>
          <w:szCs w:val="21"/>
        </w:rPr>
        <w:t>（2）</w:t>
      </w:r>
      <w:r>
        <w:rPr>
          <w:szCs w:val="21"/>
        </w:rPr>
        <w:t>评审委员会各成员独立对每个有效供应商的投标文件进行评价</w:t>
      </w:r>
      <w:r>
        <w:rPr>
          <w:rFonts w:hint="eastAsia"/>
          <w:szCs w:val="21"/>
        </w:rPr>
        <w:t>。评价</w:t>
      </w:r>
      <w:r>
        <w:rPr>
          <w:szCs w:val="21"/>
        </w:rPr>
        <w:t>有误的应及时进行修正。评</w:t>
      </w:r>
      <w:r>
        <w:rPr>
          <w:rFonts w:hint="eastAsia"/>
          <w:szCs w:val="21"/>
        </w:rPr>
        <w:t>分</w:t>
      </w:r>
      <w:r>
        <w:rPr>
          <w:szCs w:val="21"/>
        </w:rPr>
        <w:t>标准如有客观分定义，评审委员会所有成员的客观分</w:t>
      </w:r>
      <w:r>
        <w:rPr>
          <w:rFonts w:hint="eastAsia"/>
          <w:szCs w:val="21"/>
        </w:rPr>
        <w:t>评分分值</w:t>
      </w:r>
      <w:r>
        <w:rPr>
          <w:szCs w:val="21"/>
        </w:rPr>
        <w:t>应当一致。</w:t>
      </w:r>
    </w:p>
    <w:p w14:paraId="0DFD3838">
      <w:pPr>
        <w:spacing w:before="120" w:line="320" w:lineRule="atLeast"/>
        <w:ind w:firstLine="420" w:firstLineChars="200"/>
        <w:rPr>
          <w:color w:val="auto"/>
          <w:szCs w:val="21"/>
        </w:rPr>
      </w:pPr>
      <w:r>
        <w:rPr>
          <w:rFonts w:hint="eastAsia"/>
          <w:szCs w:val="21"/>
        </w:rPr>
        <w:t>（3）评审委员</w:t>
      </w:r>
      <w:r>
        <w:rPr>
          <w:rFonts w:hint="eastAsia"/>
          <w:color w:val="auto"/>
          <w:szCs w:val="21"/>
        </w:rPr>
        <w:t>会</w:t>
      </w:r>
      <w:r>
        <w:rPr>
          <w:color w:val="auto"/>
          <w:szCs w:val="21"/>
        </w:rPr>
        <w:t>按</w:t>
      </w:r>
      <w:r>
        <w:rPr>
          <w:rFonts w:hint="eastAsia"/>
          <w:color w:val="auto"/>
          <w:szCs w:val="21"/>
        </w:rPr>
        <w:t>综合评</w:t>
      </w:r>
      <w:r>
        <w:rPr>
          <w:color w:val="auto"/>
          <w:szCs w:val="21"/>
        </w:rPr>
        <w:t>分由高到低的排列顺序推荐中标候选人</w:t>
      </w:r>
      <w:r>
        <w:rPr>
          <w:rFonts w:hint="eastAsia"/>
          <w:color w:val="auto"/>
          <w:szCs w:val="21"/>
        </w:rPr>
        <w:t>，中标候选人最多不超过3名。</w:t>
      </w:r>
      <w:r>
        <w:rPr>
          <w:color w:val="auto"/>
          <w:szCs w:val="21"/>
        </w:rPr>
        <w:t>若中标候选人综合</w:t>
      </w:r>
      <w:r>
        <w:rPr>
          <w:rFonts w:hint="eastAsia"/>
          <w:color w:val="auto"/>
          <w:szCs w:val="21"/>
        </w:rPr>
        <w:t>评</w:t>
      </w:r>
      <w:r>
        <w:rPr>
          <w:color w:val="auto"/>
          <w:szCs w:val="21"/>
        </w:rPr>
        <w:t>分相同的，按投标报价由低到高顺序排列；综合</w:t>
      </w:r>
      <w:r>
        <w:rPr>
          <w:rFonts w:hint="eastAsia"/>
          <w:color w:val="auto"/>
          <w:szCs w:val="21"/>
        </w:rPr>
        <w:t>评</w:t>
      </w:r>
      <w:r>
        <w:rPr>
          <w:color w:val="auto"/>
          <w:szCs w:val="21"/>
        </w:rPr>
        <w:t>分且投标报价相同的</w:t>
      </w:r>
      <w:r>
        <w:rPr>
          <w:color w:val="auto"/>
        </w:rPr>
        <w:t>并列</w:t>
      </w:r>
      <w:r>
        <w:rPr>
          <w:color w:val="auto"/>
          <w:szCs w:val="21"/>
        </w:rPr>
        <w:t>；中标候选人并列的，按技术部分得分由高到低顺序排列，若综合评分、投标报价、技术部分均相同的，按商务部分得分由高到低顺序排列</w:t>
      </w:r>
      <w:r>
        <w:rPr>
          <w:rFonts w:hint="eastAsia"/>
          <w:color w:val="auto"/>
          <w:szCs w:val="21"/>
        </w:rPr>
        <w:t>。</w:t>
      </w:r>
    </w:p>
    <w:p w14:paraId="0A5BB78D">
      <w:pPr>
        <w:spacing w:before="120" w:line="320" w:lineRule="atLeast"/>
        <w:ind w:firstLine="420" w:firstLineChars="200"/>
      </w:pPr>
      <w:r>
        <w:rPr>
          <w:rFonts w:hint="eastAsia"/>
          <w:color w:val="auto"/>
          <w:szCs w:val="21"/>
        </w:rPr>
        <w:t>（</w:t>
      </w:r>
      <w:r>
        <w:rPr>
          <w:color w:val="auto"/>
          <w:szCs w:val="21"/>
        </w:rPr>
        <w:t>4</w:t>
      </w:r>
      <w:r>
        <w:rPr>
          <w:rFonts w:hint="eastAsia"/>
          <w:color w:val="auto"/>
          <w:szCs w:val="21"/>
        </w:rPr>
        <w:t>）评审委员会根据评审记录及评审结</w:t>
      </w:r>
      <w:r>
        <w:rPr>
          <w:rFonts w:hint="eastAsia"/>
          <w:szCs w:val="21"/>
        </w:rPr>
        <w:t>果编写评审报告，评审委员会成员均应当在评审报告上签字，对自己的评审意见承担法律责任。</w:t>
      </w:r>
      <w:r>
        <w:t>评审报告签署前，经复核发现存在以</w:t>
      </w:r>
      <w:r>
        <w:rPr>
          <w:rFonts w:hint="eastAsia"/>
        </w:rPr>
        <w:t>下</w:t>
      </w:r>
      <w:r>
        <w:t>情形之一的，评审委员会应当当场修改评审结果，并在评审报告中记载；评审报告签署后，采购人或者采购代理机构发现存在以</w:t>
      </w:r>
      <w:r>
        <w:rPr>
          <w:rFonts w:hint="eastAsia"/>
        </w:rPr>
        <w:t>下</w:t>
      </w:r>
      <w:r>
        <w:t>情形之一的，应当组织原评审委员会进行重新评审。</w:t>
      </w:r>
    </w:p>
    <w:p w14:paraId="59B5A510">
      <w:pPr>
        <w:spacing w:before="120" w:line="320" w:lineRule="atLeast"/>
        <w:ind w:firstLine="420" w:firstLineChars="200"/>
      </w:pPr>
      <w:r>
        <w:t>分值汇总计算错误的；分项评分超出评分标准范围的；评审委员会成员对客观评审因素评分不一致的；经评审委员会认定评分畸高、畸低的。</w:t>
      </w:r>
    </w:p>
    <w:bookmarkEnd w:id="97"/>
    <w:p w14:paraId="294F588C">
      <w:pPr>
        <w:spacing w:before="120" w:line="320" w:lineRule="atLeast"/>
        <w:ind w:firstLine="422" w:firstLineChars="200"/>
        <w:outlineLvl w:val="2"/>
        <w:rPr>
          <w:b/>
          <w:bCs/>
          <w:kern w:val="0"/>
          <w:szCs w:val="21"/>
        </w:rPr>
      </w:pPr>
      <w:r>
        <w:rPr>
          <w:b/>
          <w:bCs/>
          <w:kern w:val="0"/>
          <w:szCs w:val="21"/>
        </w:rPr>
        <w:t>6.4确定中标人</w:t>
      </w:r>
    </w:p>
    <w:p w14:paraId="43D61C39">
      <w:pPr>
        <w:spacing w:before="120" w:line="276" w:lineRule="auto"/>
        <w:ind w:firstLine="420" w:firstLineChars="200"/>
        <w:rPr>
          <w:szCs w:val="21"/>
        </w:rPr>
      </w:pPr>
      <w:r>
        <w:rPr>
          <w:rFonts w:hint="eastAsia"/>
          <w:szCs w:val="21"/>
        </w:rPr>
        <w:t>6.4</w:t>
      </w:r>
      <w:r>
        <w:rPr>
          <w:szCs w:val="21"/>
        </w:rPr>
        <w:t>.1采购代理机构在评审结束后2个工作日内将评审报告送采购人，采购人在5个工作日内按照评审报告中推荐的中标候选</w:t>
      </w:r>
      <w:r>
        <w:rPr>
          <w:rFonts w:hint="eastAsia"/>
          <w:szCs w:val="21"/>
        </w:rPr>
        <w:t>人</w:t>
      </w:r>
      <w:r>
        <w:rPr>
          <w:szCs w:val="21"/>
        </w:rPr>
        <w:t>顺序确定中标人。</w:t>
      </w:r>
      <w:r>
        <w:rPr>
          <w:rFonts w:hint="eastAsia"/>
          <w:szCs w:val="21"/>
        </w:rPr>
        <w:t>中标候选人并列的，由采购人或者采购人委托</w:t>
      </w:r>
      <w:r>
        <w:rPr>
          <w:rFonts w:hint="eastAsia"/>
          <w:szCs w:val="21"/>
          <w:lang w:eastAsia="zh-CN"/>
        </w:rPr>
        <w:t>评审委员会</w:t>
      </w:r>
      <w:r>
        <w:rPr>
          <w:rFonts w:hint="eastAsia"/>
          <w:szCs w:val="21"/>
        </w:rPr>
        <w:t>按照招标文件规定的方式确定中标人；招标文件未规定的，采取随机抽取的方式确定。</w:t>
      </w:r>
    </w:p>
    <w:p w14:paraId="0E541B60">
      <w:pPr>
        <w:spacing w:before="120" w:line="276" w:lineRule="auto"/>
        <w:ind w:firstLine="420" w:firstLineChars="200"/>
        <w:rPr>
          <w:szCs w:val="21"/>
        </w:rPr>
      </w:pPr>
      <w:r>
        <w:rPr>
          <w:szCs w:val="21"/>
        </w:rPr>
        <w:t>6.4.2</w:t>
      </w:r>
      <w:r>
        <w:rPr>
          <w:rFonts w:hint="eastAsia"/>
          <w:szCs w:val="21"/>
        </w:rPr>
        <w:t>采购人、采购代理机构认为供应商对采购过程、中标结果提出的质疑成立且影响或者可能影响中标结果的，合格供应商符合法定数量时，可以从合格的中标候选人中另行确定中标人的，应当依法另行确定中标人；否则应当重新开展采购活动。</w:t>
      </w:r>
    </w:p>
    <w:p w14:paraId="253D4F8E">
      <w:pPr>
        <w:spacing w:before="120" w:line="320" w:lineRule="atLeast"/>
        <w:ind w:firstLine="422" w:firstLineChars="200"/>
        <w:outlineLvl w:val="2"/>
        <w:rPr>
          <w:b/>
          <w:bCs/>
          <w:kern w:val="0"/>
          <w:szCs w:val="21"/>
        </w:rPr>
      </w:pPr>
      <w:r>
        <w:rPr>
          <w:b/>
          <w:bCs/>
          <w:kern w:val="0"/>
          <w:szCs w:val="21"/>
        </w:rPr>
        <w:t>6.5</w:t>
      </w:r>
      <w:r>
        <w:rPr>
          <w:rFonts w:hint="eastAsia"/>
          <w:b/>
          <w:bCs/>
          <w:kern w:val="0"/>
          <w:szCs w:val="21"/>
        </w:rPr>
        <w:t>结果公告</w:t>
      </w:r>
    </w:p>
    <w:p w14:paraId="54F37C32">
      <w:pPr>
        <w:spacing w:before="120" w:line="320" w:lineRule="atLeast"/>
        <w:ind w:firstLine="420" w:firstLineChars="200"/>
        <w:rPr>
          <w:szCs w:val="21"/>
        </w:rPr>
      </w:pPr>
      <w:r>
        <w:rPr>
          <w:rFonts w:hint="eastAsia"/>
          <w:szCs w:val="21"/>
        </w:rPr>
        <w:t>6</w:t>
      </w:r>
      <w:r>
        <w:rPr>
          <w:szCs w:val="21"/>
        </w:rPr>
        <w:t>.5.1自中标人确定后2个工作日内，采购代理机构</w:t>
      </w:r>
      <w:r>
        <w:rPr>
          <w:rFonts w:hint="eastAsia"/>
          <w:szCs w:val="21"/>
        </w:rPr>
        <w:t>按照投标人须知</w:t>
      </w:r>
      <w:r>
        <w:rPr>
          <w:rFonts w:hint="eastAsia"/>
          <w:kern w:val="0"/>
          <w:szCs w:val="21"/>
        </w:rPr>
        <w:t>前附表的规定</w:t>
      </w:r>
      <w:r>
        <w:rPr>
          <w:kern w:val="0"/>
          <w:szCs w:val="21"/>
        </w:rPr>
        <w:t>公告</w:t>
      </w:r>
      <w:r>
        <w:rPr>
          <w:szCs w:val="21"/>
        </w:rPr>
        <w:t>中标结果</w:t>
      </w:r>
      <w:r>
        <w:rPr>
          <w:rFonts w:hint="eastAsia"/>
          <w:szCs w:val="21"/>
          <w:lang w:eastAsia="zh-CN"/>
        </w:rPr>
        <w:t>，</w:t>
      </w:r>
      <w:r>
        <w:rPr>
          <w:rFonts w:hint="eastAsia"/>
          <w:szCs w:val="21"/>
        </w:rPr>
        <w:t>中标结果公告期限为1个工作日</w:t>
      </w:r>
      <w:r>
        <w:rPr>
          <w:rFonts w:hint="eastAsia"/>
          <w:szCs w:val="21"/>
          <w:lang w:eastAsia="zh-CN"/>
        </w:rPr>
        <w:t>，</w:t>
      </w:r>
      <w:r>
        <w:rPr>
          <w:rFonts w:hint="eastAsia"/>
          <w:szCs w:val="21"/>
        </w:rPr>
        <w:t>发布中标结果公告的同时向中标</w:t>
      </w:r>
      <w:r>
        <w:rPr>
          <w:rFonts w:hint="eastAsia"/>
          <w:szCs w:val="21"/>
          <w:lang w:val="en-US" w:eastAsia="zh-CN"/>
        </w:rPr>
        <w:t>人</w:t>
      </w:r>
      <w:r>
        <w:rPr>
          <w:rFonts w:hint="eastAsia"/>
          <w:szCs w:val="21"/>
        </w:rPr>
        <w:t>发出中标通知书。采购代理机构发出中标通知书前，应当对中标人信用进行核实，对列入失信被执行人、重大税收违法案件当事人名 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w:t>
      </w:r>
      <w:r>
        <w:rPr>
          <w:rFonts w:hint="eastAsia"/>
          <w:szCs w:val="21"/>
          <w:lang w:val="en-US" w:eastAsia="zh-CN"/>
        </w:rPr>
        <w:t>采购人</w:t>
      </w:r>
      <w:r>
        <w:rPr>
          <w:rFonts w:hint="eastAsia"/>
          <w:szCs w:val="21"/>
        </w:rPr>
        <w:t>可以确定排名第三的中标候选人为中标人，以此类推。以上信息查询记录及相关证据与采购文件一并保存。</w:t>
      </w:r>
    </w:p>
    <w:p w14:paraId="1DF301FA">
      <w:pPr>
        <w:spacing w:before="120" w:line="320" w:lineRule="atLeast"/>
        <w:ind w:firstLine="420" w:firstLineChars="200"/>
        <w:rPr>
          <w:szCs w:val="21"/>
        </w:rPr>
      </w:pPr>
      <w:r>
        <w:rPr>
          <w:rFonts w:hint="eastAsia"/>
          <w:szCs w:val="21"/>
        </w:rPr>
        <w:t>6</w:t>
      </w:r>
      <w:r>
        <w:rPr>
          <w:szCs w:val="21"/>
        </w:rPr>
        <w:t>.5.2在发布</w:t>
      </w:r>
      <w:r>
        <w:rPr>
          <w:rFonts w:hint="eastAsia"/>
          <w:szCs w:val="21"/>
        </w:rPr>
        <w:t>结果</w:t>
      </w:r>
      <w:r>
        <w:rPr>
          <w:szCs w:val="21"/>
        </w:rPr>
        <w:t>公告的同时，采购代理机构以</w:t>
      </w:r>
      <w:r>
        <w:rPr>
          <w:rFonts w:hint="eastAsia"/>
          <w:szCs w:val="21"/>
        </w:rPr>
        <w:t>投标人须知</w:t>
      </w:r>
      <w:r>
        <w:rPr>
          <w:szCs w:val="21"/>
        </w:rPr>
        <w:t>前附表规定的形式向中标人发出中标通知书。中标通知书发出后，采购人改变中标结果，或者中标人放弃中标，应当承担相应的法律责任。</w:t>
      </w:r>
    </w:p>
    <w:p w14:paraId="3F1BBD28">
      <w:pPr>
        <w:spacing w:before="120" w:line="320" w:lineRule="atLeast"/>
        <w:ind w:firstLine="420" w:firstLineChars="200"/>
        <w:rPr>
          <w:b/>
          <w:bCs/>
          <w:kern w:val="0"/>
          <w:szCs w:val="21"/>
        </w:rPr>
      </w:pPr>
      <w:r>
        <w:rPr>
          <w:rFonts w:hint="eastAsia"/>
          <w:szCs w:val="21"/>
        </w:rPr>
        <w:t>6</w:t>
      </w:r>
      <w:r>
        <w:rPr>
          <w:szCs w:val="21"/>
        </w:rPr>
        <w:t>.5.3</w:t>
      </w:r>
      <w:r>
        <w:rPr>
          <w:rFonts w:hint="eastAsia"/>
          <w:szCs w:val="21"/>
        </w:rPr>
        <w:t>在发布结果公告的同时，</w:t>
      </w:r>
      <w:r>
        <w:rPr>
          <w:szCs w:val="21"/>
        </w:rPr>
        <w:t>采购代理机构以</w:t>
      </w:r>
      <w:r>
        <w:rPr>
          <w:rFonts w:hint="eastAsia"/>
          <w:szCs w:val="21"/>
        </w:rPr>
        <w:t>投标人须知</w:t>
      </w:r>
      <w:r>
        <w:rPr>
          <w:szCs w:val="21"/>
        </w:rPr>
        <w:t>前附表规定的形式</w:t>
      </w:r>
      <w:r>
        <w:rPr>
          <w:rFonts w:hint="eastAsia"/>
          <w:szCs w:val="21"/>
        </w:rPr>
        <w:t>向未中标人发出招标结果通知书，供应商自行承担未及时查收的后果。</w:t>
      </w:r>
    </w:p>
    <w:p w14:paraId="1614C6F8">
      <w:pPr>
        <w:suppressAutoHyphens/>
        <w:spacing w:before="120" w:line="320" w:lineRule="atLeast"/>
        <w:ind w:firstLine="422" w:firstLineChars="200"/>
        <w:outlineLvl w:val="2"/>
        <w:rPr>
          <w:b/>
          <w:bCs/>
          <w:kern w:val="0"/>
          <w:szCs w:val="21"/>
        </w:rPr>
      </w:pPr>
      <w:r>
        <w:rPr>
          <w:b/>
          <w:bCs/>
          <w:kern w:val="0"/>
          <w:szCs w:val="21"/>
        </w:rPr>
        <w:t>6.6</w:t>
      </w:r>
      <w:r>
        <w:rPr>
          <w:rFonts w:hint="eastAsia"/>
          <w:b/>
          <w:bCs/>
          <w:kern w:val="0"/>
          <w:szCs w:val="21"/>
        </w:rPr>
        <w:t>废标</w:t>
      </w:r>
    </w:p>
    <w:p w14:paraId="61D0720F">
      <w:pPr>
        <w:spacing w:before="120" w:line="320" w:lineRule="atLeast"/>
        <w:ind w:firstLine="420" w:firstLineChars="200"/>
        <w:rPr>
          <w:kern w:val="1"/>
          <w:szCs w:val="21"/>
        </w:rPr>
      </w:pPr>
      <w:r>
        <w:rPr>
          <w:kern w:val="1"/>
          <w:szCs w:val="21"/>
        </w:rPr>
        <w:t>6.6.1</w:t>
      </w:r>
      <w:r>
        <w:rPr>
          <w:rFonts w:hint="eastAsia"/>
          <w:kern w:val="1"/>
          <w:szCs w:val="21"/>
        </w:rPr>
        <w:t xml:space="preserve">出现下列情形之一，将导致项目废标： </w:t>
      </w:r>
    </w:p>
    <w:p w14:paraId="3DC82FF2">
      <w:pPr>
        <w:spacing w:before="120" w:line="320" w:lineRule="atLeast"/>
        <w:ind w:firstLine="420" w:firstLineChars="200"/>
        <w:rPr>
          <w:szCs w:val="21"/>
        </w:rPr>
      </w:pPr>
      <w:r>
        <w:rPr>
          <w:rFonts w:hint="eastAsia"/>
          <w:kern w:val="1"/>
          <w:szCs w:val="21"/>
        </w:rPr>
        <w:t>（1</w:t>
      </w:r>
      <w:r>
        <w:rPr>
          <w:rFonts w:hint="eastAsia"/>
          <w:szCs w:val="21"/>
        </w:rPr>
        <w:t>）符合专业条件的供应商或者对招标文件做实质性响应的供应商不足三家；</w:t>
      </w:r>
    </w:p>
    <w:p w14:paraId="2247397F">
      <w:pPr>
        <w:spacing w:before="120" w:line="320" w:lineRule="atLeast"/>
        <w:ind w:firstLine="420" w:firstLineChars="200"/>
        <w:rPr>
          <w:szCs w:val="21"/>
        </w:rPr>
      </w:pPr>
      <w:r>
        <w:rPr>
          <w:rFonts w:hint="eastAsia"/>
          <w:szCs w:val="21"/>
        </w:rPr>
        <w:t>（2）出现影响采购公正的违法、违规行为的；</w:t>
      </w:r>
    </w:p>
    <w:p w14:paraId="2CDDAA14">
      <w:pPr>
        <w:spacing w:before="120" w:line="320" w:lineRule="atLeast"/>
        <w:ind w:firstLine="420" w:firstLineChars="200"/>
        <w:rPr>
          <w:szCs w:val="21"/>
        </w:rPr>
      </w:pPr>
      <w:r>
        <w:rPr>
          <w:rFonts w:hint="eastAsia"/>
          <w:szCs w:val="21"/>
        </w:rPr>
        <w:t>（3）供应商的报价均超过了采购预算，采购人不能支付的；</w:t>
      </w:r>
    </w:p>
    <w:p w14:paraId="75B1E6D8">
      <w:pPr>
        <w:spacing w:before="120" w:line="320" w:lineRule="atLeast"/>
        <w:ind w:firstLine="420" w:firstLineChars="200"/>
      </w:pPr>
      <w:r>
        <w:rPr>
          <w:rFonts w:hint="eastAsia"/>
          <w:szCs w:val="21"/>
        </w:rPr>
        <w:t>（4）</w:t>
      </w:r>
      <w:r>
        <w:rPr>
          <w:rFonts w:hint="eastAsia"/>
        </w:rPr>
        <w:t>因发生重大变故或采购任务取消的。</w:t>
      </w:r>
    </w:p>
    <w:p w14:paraId="2E2B1B61">
      <w:pPr>
        <w:spacing w:before="120" w:line="320" w:lineRule="atLeast"/>
        <w:ind w:firstLine="420" w:firstLineChars="200"/>
        <w:rPr>
          <w:szCs w:val="21"/>
        </w:rPr>
      </w:pPr>
      <w:r>
        <w:rPr>
          <w:kern w:val="1"/>
          <w:szCs w:val="21"/>
        </w:rPr>
        <w:t>6.6.2</w:t>
      </w:r>
      <w:r>
        <w:rPr>
          <w:rFonts w:hint="eastAsia"/>
          <w:kern w:val="1"/>
          <w:szCs w:val="21"/>
        </w:rPr>
        <w:t>废标后</w:t>
      </w:r>
      <w:r>
        <w:rPr>
          <w:rFonts w:hint="eastAsia"/>
          <w:szCs w:val="21"/>
        </w:rPr>
        <w:t>采购</w:t>
      </w:r>
      <w:r>
        <w:rPr>
          <w:rFonts w:hint="eastAsia"/>
          <w:kern w:val="1"/>
          <w:szCs w:val="21"/>
        </w:rPr>
        <w:t>代理机构将发布废标公告通知供应商。</w:t>
      </w:r>
      <w:bookmarkEnd w:id="85"/>
    </w:p>
    <w:bookmarkEnd w:id="82"/>
    <w:p w14:paraId="4E669EED">
      <w:pPr>
        <w:spacing w:before="120" w:line="320" w:lineRule="atLeast"/>
        <w:ind w:left="2" w:leftChars="1" w:firstLine="422" w:firstLineChars="200"/>
        <w:outlineLvl w:val="1"/>
        <w:rPr>
          <w:b/>
          <w:bCs/>
          <w:kern w:val="0"/>
          <w:szCs w:val="21"/>
        </w:rPr>
      </w:pPr>
      <w:r>
        <w:rPr>
          <w:b/>
          <w:bCs/>
          <w:kern w:val="0"/>
          <w:szCs w:val="21"/>
        </w:rPr>
        <w:t>7．合同</w:t>
      </w:r>
    </w:p>
    <w:p w14:paraId="139CB87D">
      <w:pPr>
        <w:spacing w:before="120" w:line="320" w:lineRule="atLeast"/>
        <w:ind w:firstLine="422" w:firstLineChars="200"/>
        <w:outlineLvl w:val="2"/>
        <w:rPr>
          <w:b/>
          <w:bCs/>
          <w:kern w:val="0"/>
          <w:szCs w:val="21"/>
        </w:rPr>
      </w:pPr>
      <w:r>
        <w:rPr>
          <w:b/>
          <w:bCs/>
          <w:kern w:val="0"/>
          <w:szCs w:val="21"/>
        </w:rPr>
        <w:t>7.1合同授予标准</w:t>
      </w:r>
    </w:p>
    <w:p w14:paraId="4DB73FE8">
      <w:pPr>
        <w:spacing w:before="120" w:line="320" w:lineRule="atLeast"/>
        <w:ind w:firstLine="420" w:firstLineChars="200"/>
        <w:rPr>
          <w:szCs w:val="21"/>
        </w:rPr>
      </w:pPr>
      <w:r>
        <w:rPr>
          <w:szCs w:val="21"/>
        </w:rPr>
        <w:t>合同将授予被确定实质上响应招标文件要求，具备履行合同能力，综合评分排名第一的供应商。在</w:t>
      </w:r>
      <w:r>
        <w:rPr>
          <w:rFonts w:hint="eastAsia"/>
          <w:szCs w:val="21"/>
        </w:rPr>
        <w:t>中标</w:t>
      </w:r>
      <w:r>
        <w:rPr>
          <w:szCs w:val="21"/>
        </w:rPr>
        <w:t>通知书发出前或签订合同前，如果</w:t>
      </w:r>
      <w:r>
        <w:rPr>
          <w:rFonts w:hint="eastAsia"/>
          <w:szCs w:val="21"/>
        </w:rPr>
        <w:t>中标</w:t>
      </w:r>
      <w:r>
        <w:rPr>
          <w:szCs w:val="21"/>
        </w:rPr>
        <w:t>人的组织机构</w:t>
      </w:r>
      <w:r>
        <w:rPr>
          <w:rFonts w:hint="eastAsia"/>
          <w:szCs w:val="21"/>
        </w:rPr>
        <w:t>、</w:t>
      </w:r>
      <w:r>
        <w:rPr>
          <w:szCs w:val="21"/>
        </w:rPr>
        <w:t>经营、财务状况发生较大变化，可能造成不能履行合同、无法按照</w:t>
      </w:r>
      <w:r>
        <w:rPr>
          <w:rFonts w:hint="eastAsia"/>
          <w:szCs w:val="21"/>
        </w:rPr>
        <w:t>招标</w:t>
      </w:r>
      <w:r>
        <w:rPr>
          <w:szCs w:val="21"/>
        </w:rPr>
        <w:t>文件要求提交履约保证金等情形，不符合中标条件或不满足供应商资格条件要求 ，应在</w:t>
      </w:r>
      <w:r>
        <w:rPr>
          <w:rFonts w:hint="eastAsia"/>
          <w:szCs w:val="21"/>
        </w:rPr>
        <w:t>中标</w:t>
      </w:r>
      <w:r>
        <w:rPr>
          <w:szCs w:val="21"/>
        </w:rPr>
        <w:t>通知书发出前或签订合同前及时书面告知采购人</w:t>
      </w:r>
      <w:r>
        <w:rPr>
          <w:rFonts w:hint="eastAsia"/>
          <w:szCs w:val="21"/>
        </w:rPr>
        <w:t>，</w:t>
      </w:r>
      <w:r>
        <w:rPr>
          <w:szCs w:val="21"/>
        </w:rPr>
        <w:t>未主动告知</w:t>
      </w:r>
      <w:r>
        <w:rPr>
          <w:rFonts w:hint="eastAsia"/>
          <w:szCs w:val="21"/>
        </w:rPr>
        <w:t>，</w:t>
      </w:r>
      <w:r>
        <w:rPr>
          <w:szCs w:val="21"/>
        </w:rPr>
        <w:t>给采购人造成损失的</w:t>
      </w:r>
      <w:r>
        <w:rPr>
          <w:rFonts w:hint="eastAsia"/>
          <w:szCs w:val="21"/>
        </w:rPr>
        <w:t>，</w:t>
      </w:r>
      <w:r>
        <w:rPr>
          <w:szCs w:val="21"/>
        </w:rPr>
        <w:t>采购人有权</w:t>
      </w:r>
      <w:r>
        <w:rPr>
          <w:rFonts w:hint="eastAsia"/>
          <w:szCs w:val="21"/>
        </w:rPr>
        <w:t>取消其中标资格并</w:t>
      </w:r>
      <w:r>
        <w:rPr>
          <w:szCs w:val="21"/>
        </w:rPr>
        <w:t>没收投标保证金</w:t>
      </w:r>
      <w:r>
        <w:rPr>
          <w:rFonts w:hint="eastAsia"/>
          <w:szCs w:val="21"/>
        </w:rPr>
        <w:t>。</w:t>
      </w:r>
    </w:p>
    <w:p w14:paraId="6354AC65">
      <w:pPr>
        <w:spacing w:before="120" w:line="320" w:lineRule="atLeast"/>
        <w:ind w:firstLine="422" w:firstLineChars="200"/>
        <w:outlineLvl w:val="2"/>
        <w:rPr>
          <w:b/>
          <w:bCs/>
          <w:kern w:val="0"/>
          <w:szCs w:val="21"/>
        </w:rPr>
      </w:pPr>
      <w:r>
        <w:rPr>
          <w:b/>
          <w:bCs/>
          <w:kern w:val="0"/>
          <w:szCs w:val="21"/>
        </w:rPr>
        <w:t>7.2签订合同</w:t>
      </w:r>
    </w:p>
    <w:p w14:paraId="3CA4FD68">
      <w:pPr>
        <w:spacing w:before="120" w:line="320" w:lineRule="atLeast"/>
        <w:ind w:firstLine="420" w:firstLineChars="200"/>
        <w:rPr>
          <w:szCs w:val="21"/>
        </w:rPr>
      </w:pPr>
      <w:bookmarkStart w:id="98" w:name="_Hlk93421039"/>
      <w:r>
        <w:rPr>
          <w:szCs w:val="21"/>
        </w:rPr>
        <w:t>7.2.1如</w:t>
      </w:r>
      <w:r>
        <w:rPr>
          <w:rFonts w:hint="eastAsia"/>
          <w:szCs w:val="21"/>
        </w:rPr>
        <w:t>招标</w:t>
      </w:r>
      <w:r>
        <w:rPr>
          <w:szCs w:val="21"/>
        </w:rPr>
        <w:t>文件无</w:t>
      </w:r>
      <w:r>
        <w:rPr>
          <w:rFonts w:hint="eastAsia"/>
          <w:szCs w:val="21"/>
        </w:rPr>
        <w:t>特别</w:t>
      </w:r>
      <w:r>
        <w:rPr>
          <w:szCs w:val="21"/>
        </w:rPr>
        <w:t>规定，</w:t>
      </w:r>
      <w:r>
        <w:rPr>
          <w:rFonts w:hint="eastAsia"/>
          <w:szCs w:val="21"/>
        </w:rPr>
        <w:t>中标人按招标文件确定的事项签订政府采购合同。</w:t>
      </w:r>
    </w:p>
    <w:p w14:paraId="4706BC50">
      <w:pPr>
        <w:spacing w:before="120" w:line="320" w:lineRule="atLeast"/>
        <w:ind w:firstLine="420" w:firstLineChars="200"/>
        <w:rPr>
          <w:szCs w:val="21"/>
        </w:rPr>
      </w:pPr>
      <w:r>
        <w:rPr>
          <w:szCs w:val="21"/>
        </w:rPr>
        <w:t>7.2.2</w:t>
      </w:r>
      <w:r>
        <w:rPr>
          <w:rFonts w:hint="eastAsia"/>
          <w:szCs w:val="21"/>
        </w:rPr>
        <w:t>政府采购合同应当包括采购人与中标人的名称和住所、标的、数量、质量、价款或者报酬、履行期限及地点和方式、验收要求、违约责任、解决争议的方法等内容。</w:t>
      </w:r>
      <w:r>
        <w:rPr>
          <w:szCs w:val="21"/>
        </w:rPr>
        <w:t>招标文件、中标人的投标文件及澄清文件等，均为签订政府采购合同的依据。</w:t>
      </w:r>
    </w:p>
    <w:p w14:paraId="2BFE6140">
      <w:pPr>
        <w:spacing w:before="120" w:line="320" w:lineRule="atLeast"/>
        <w:ind w:firstLine="420" w:firstLineChars="200"/>
        <w:rPr>
          <w:szCs w:val="21"/>
        </w:rPr>
      </w:pPr>
      <w:r>
        <w:rPr>
          <w:szCs w:val="21"/>
        </w:rPr>
        <w:t>7.2.3如中标人不按中标通知书的规定签订合同，</w:t>
      </w:r>
      <w:r>
        <w:rPr>
          <w:rFonts w:hint="eastAsia"/>
          <w:szCs w:val="21"/>
        </w:rPr>
        <w:t>其投标保证金将不予退还，并报由同级政府采购监督管理部门处理。</w:t>
      </w:r>
    </w:p>
    <w:p w14:paraId="77626565">
      <w:pPr>
        <w:spacing w:before="120" w:line="320" w:lineRule="atLeast"/>
        <w:ind w:firstLine="420" w:firstLineChars="200"/>
        <w:rPr>
          <w:szCs w:val="21"/>
        </w:rPr>
      </w:pPr>
      <w:r>
        <w:rPr>
          <w:rFonts w:hint="eastAsia"/>
          <w:szCs w:val="21"/>
        </w:rPr>
        <w:t>7</w:t>
      </w:r>
      <w:r>
        <w:rPr>
          <w:szCs w:val="21"/>
        </w:rPr>
        <w:t>.2.4</w:t>
      </w:r>
      <w:r>
        <w:rPr>
          <w:rFonts w:hint="eastAsia"/>
          <w:szCs w:val="21"/>
        </w:rPr>
        <w:t>中标人拒绝与采购人签订合同的，采购人可以按照评审报告推荐的中标候选人名单排序，确定下一候选人为中标人，也可以重新开展政府采购活动。</w:t>
      </w:r>
    </w:p>
    <w:p w14:paraId="51721EA2">
      <w:pPr>
        <w:spacing w:before="120" w:line="320" w:lineRule="atLeast"/>
        <w:ind w:firstLine="420" w:firstLineChars="200"/>
        <w:rPr>
          <w:szCs w:val="21"/>
        </w:rPr>
      </w:pPr>
      <w:bookmarkStart w:id="99" w:name="_Hlk155170999"/>
      <w:r>
        <w:rPr>
          <w:rFonts w:hint="eastAsia"/>
          <w:szCs w:val="21"/>
        </w:rPr>
        <w:t>7</w:t>
      </w:r>
      <w:r>
        <w:rPr>
          <w:szCs w:val="21"/>
        </w:rPr>
        <w:t>.2.5</w:t>
      </w:r>
      <w:r>
        <w:rPr>
          <w:rFonts w:hint="eastAsia"/>
          <w:szCs w:val="21"/>
        </w:rPr>
        <w:t>采购人因不可抗力原因迟延签订合同的，应当自不可抗力事由消除之日起5个工作日内完成合同签订事宜。</w:t>
      </w:r>
    </w:p>
    <w:bookmarkEnd w:id="98"/>
    <w:bookmarkEnd w:id="99"/>
    <w:p w14:paraId="7617F088">
      <w:pPr>
        <w:spacing w:before="120" w:line="320" w:lineRule="atLeast"/>
        <w:ind w:firstLine="422" w:firstLineChars="200"/>
        <w:outlineLvl w:val="2"/>
        <w:rPr>
          <w:b/>
          <w:bCs/>
          <w:kern w:val="0"/>
          <w:szCs w:val="21"/>
        </w:rPr>
      </w:pPr>
      <w:r>
        <w:rPr>
          <w:b/>
          <w:bCs/>
          <w:kern w:val="0"/>
          <w:szCs w:val="21"/>
        </w:rPr>
        <w:t>7.3合同公告</w:t>
      </w:r>
    </w:p>
    <w:p w14:paraId="303DD41C">
      <w:pPr>
        <w:spacing w:before="120" w:line="320" w:lineRule="atLeast"/>
        <w:ind w:firstLine="420" w:firstLineChars="200"/>
        <w:rPr>
          <w:szCs w:val="21"/>
        </w:rPr>
      </w:pPr>
      <w:bookmarkStart w:id="100" w:name="_Hlk93421052"/>
      <w:r>
        <w:rPr>
          <w:szCs w:val="21"/>
        </w:rPr>
        <w:t>7.3.1如</w:t>
      </w:r>
      <w:r>
        <w:rPr>
          <w:rFonts w:hint="eastAsia"/>
          <w:szCs w:val="21"/>
        </w:rPr>
        <w:t>招标</w:t>
      </w:r>
      <w:r>
        <w:rPr>
          <w:szCs w:val="21"/>
        </w:rPr>
        <w:t>文件无特殊规定</w:t>
      </w:r>
      <w:r>
        <w:rPr>
          <w:rFonts w:hint="eastAsia"/>
          <w:szCs w:val="21"/>
        </w:rPr>
        <w:t>，</w:t>
      </w:r>
      <w:r>
        <w:rPr>
          <w:szCs w:val="21"/>
        </w:rPr>
        <w:t>中标人应在签订合同后1个工作日内，将政府采购合同副本送采购代理机构</w:t>
      </w:r>
      <w:r>
        <w:rPr>
          <w:rFonts w:hint="eastAsia"/>
          <w:szCs w:val="21"/>
        </w:rPr>
        <w:t>存档</w:t>
      </w:r>
      <w:r>
        <w:rPr>
          <w:szCs w:val="21"/>
        </w:rPr>
        <w:t>。</w:t>
      </w:r>
    </w:p>
    <w:p w14:paraId="44319782">
      <w:pPr>
        <w:spacing w:before="120" w:line="320" w:lineRule="atLeast"/>
        <w:ind w:firstLine="420" w:firstLineChars="200"/>
        <w:rPr>
          <w:szCs w:val="21"/>
        </w:rPr>
      </w:pPr>
      <w:r>
        <w:rPr>
          <w:szCs w:val="21"/>
        </w:rPr>
        <w:t>7.3.2采购人应当自政府采购合同签订之日起2个工作日内，将政府采购合同在省级以上人民政府财政部门指定的媒体上公告，但政府采购合同中涉及国家秘密、商业秘密的内容除外。</w:t>
      </w:r>
    </w:p>
    <w:p w14:paraId="1AD78984">
      <w:pPr>
        <w:spacing w:before="120" w:line="320" w:lineRule="atLeast"/>
        <w:ind w:firstLine="420" w:firstLineChars="200"/>
        <w:rPr>
          <w:szCs w:val="21"/>
        </w:rPr>
      </w:pPr>
      <w:bookmarkStart w:id="101" w:name="_Hlk155171014"/>
      <w:r>
        <w:rPr>
          <w:rFonts w:hint="eastAsia"/>
          <w:szCs w:val="21"/>
        </w:rPr>
        <w:t>7</w:t>
      </w:r>
      <w:r>
        <w:rPr>
          <w:szCs w:val="21"/>
        </w:rPr>
        <w:t xml:space="preserve">.3.3 </w:t>
      </w:r>
      <w:r>
        <w:rPr>
          <w:rFonts w:hint="eastAsia"/>
          <w:szCs w:val="21"/>
        </w:rPr>
        <w:t>政府采购合同双方不得擅自变更合同，依照政府采购法确需变更政府采购合同内容的，采购人应当自合同变更之日起2个工作日内在省级以上财政部门指定的媒体上发布政府采购合同变更公告，但涉及国家秘密、商业秘密的信息和其他依法不得公开的信息除外。</w:t>
      </w:r>
    </w:p>
    <w:bookmarkEnd w:id="100"/>
    <w:bookmarkEnd w:id="101"/>
    <w:p w14:paraId="2DCD7CD4">
      <w:pPr>
        <w:spacing w:before="120" w:line="320" w:lineRule="atLeast"/>
        <w:ind w:firstLine="422" w:firstLineChars="200"/>
        <w:outlineLvl w:val="2"/>
        <w:rPr>
          <w:b/>
          <w:bCs/>
          <w:kern w:val="0"/>
          <w:szCs w:val="21"/>
        </w:rPr>
      </w:pPr>
      <w:r>
        <w:rPr>
          <w:b/>
          <w:bCs/>
          <w:kern w:val="0"/>
          <w:szCs w:val="21"/>
        </w:rPr>
        <w:t>7.4 履行合同</w:t>
      </w:r>
    </w:p>
    <w:p w14:paraId="1D685859">
      <w:pPr>
        <w:spacing w:before="120" w:line="320" w:lineRule="atLeast"/>
        <w:ind w:firstLine="420" w:firstLineChars="200"/>
        <w:rPr>
          <w:szCs w:val="21"/>
        </w:rPr>
      </w:pPr>
      <w:bookmarkStart w:id="102" w:name="_Hlk93421061"/>
      <w:r>
        <w:rPr>
          <w:szCs w:val="21"/>
        </w:rPr>
        <w:t>7.4.1</w:t>
      </w:r>
      <w:bookmarkStart w:id="103" w:name="_Toc217446070"/>
      <w:bookmarkStart w:id="104" w:name="_Toc308164814"/>
      <w:r>
        <w:rPr>
          <w:rFonts w:hint="eastAsia"/>
          <w:szCs w:val="21"/>
        </w:rPr>
        <w:t>采购人与中标人签订合同后，政府采购合同的履行、违约责任和解决争议的方法等适用《中华人民共和国民法典》。合同双方应严格执行合同条款，履行合同规定的义务，保证合同的顺利完成。双方均不得擅自变更、中止或者终止政府采购合同。</w:t>
      </w:r>
    </w:p>
    <w:bookmarkEnd w:id="102"/>
    <w:p w14:paraId="5F564A9C">
      <w:pPr>
        <w:spacing w:before="120" w:line="320" w:lineRule="atLeast"/>
        <w:ind w:firstLine="422" w:firstLineChars="200"/>
        <w:rPr>
          <w:b/>
          <w:bCs/>
          <w:kern w:val="0"/>
          <w:szCs w:val="21"/>
        </w:rPr>
      </w:pPr>
      <w:r>
        <w:rPr>
          <w:b/>
          <w:bCs/>
          <w:kern w:val="0"/>
          <w:szCs w:val="21"/>
        </w:rPr>
        <w:t>7.5履约验收</w:t>
      </w:r>
      <w:bookmarkEnd w:id="103"/>
      <w:bookmarkEnd w:id="104"/>
    </w:p>
    <w:p w14:paraId="7953824C">
      <w:pPr>
        <w:spacing w:before="120" w:line="320" w:lineRule="atLeast"/>
        <w:ind w:firstLine="420" w:firstLineChars="200"/>
        <w:rPr>
          <w:szCs w:val="21"/>
        </w:rPr>
      </w:pPr>
      <w:bookmarkStart w:id="105" w:name="_Hlk93421069"/>
      <w:r>
        <w:rPr>
          <w:szCs w:val="21"/>
        </w:rPr>
        <w:t>7.5.1采购人可以根据政府采购项目具体情况自行组织验收，或者委托政府采购代理机构、国家认可的质量检测机构开展采购项目履约验收工作。</w:t>
      </w:r>
    </w:p>
    <w:p w14:paraId="1D9A95D8">
      <w:pPr>
        <w:spacing w:before="120" w:line="320" w:lineRule="atLeast"/>
        <w:ind w:firstLine="420" w:firstLineChars="200"/>
        <w:rPr>
          <w:szCs w:val="21"/>
        </w:rPr>
      </w:pPr>
      <w:r>
        <w:rPr>
          <w:szCs w:val="21"/>
        </w:rPr>
        <w:t>7.5.2验收结果合格的，中标人可向采购人申请办理履约保证金（如有）的退付手续；验收结果不合格的，履约保证金（如有）将不予退还，并按合同约定处理，还可能会报告本项目同级财政部门并按照政府采购法律法规及有关规定给予行政处罚或者以失信行为记入诚信档案。</w:t>
      </w:r>
    </w:p>
    <w:p w14:paraId="0358EF45">
      <w:pPr>
        <w:spacing w:before="120" w:line="320" w:lineRule="atLeast"/>
        <w:ind w:firstLine="420" w:firstLineChars="200"/>
        <w:rPr>
          <w:szCs w:val="21"/>
        </w:rPr>
      </w:pPr>
      <w:r>
        <w:rPr>
          <w:szCs w:val="21"/>
        </w:rPr>
        <w:t>7.5.3采购合同项目完成验收后，采购人应当将验收原始记录、验收书等资料作为该采购项目档案妥善保管，不得伪造、变造、隐匿或者销毁，验收资料保存期为采购结束之日起至少保存15年。</w:t>
      </w:r>
    </w:p>
    <w:p w14:paraId="723414AC">
      <w:pPr>
        <w:spacing w:before="120" w:line="320" w:lineRule="atLeast"/>
        <w:ind w:firstLine="420" w:firstLineChars="200"/>
        <w:rPr>
          <w:szCs w:val="21"/>
        </w:rPr>
      </w:pPr>
      <w:r>
        <w:rPr>
          <w:szCs w:val="21"/>
        </w:rPr>
        <w:t>7.5.4本项目将严格按照本招标文件及合同有关规定进行合同履约验收。招标文件或合同未规定的按财政部关于进一步加强政府采购需求和履约验收管理的指导意见（财库〔2016〕205号）以及《广西壮族自治区政府采购项目履约验收管理办法》（桂财采〔2015〕22号）的规定执行。</w:t>
      </w:r>
    </w:p>
    <w:bookmarkEnd w:id="105"/>
    <w:p w14:paraId="3671BBDA">
      <w:pPr>
        <w:spacing w:before="120" w:line="320" w:lineRule="atLeast"/>
        <w:ind w:left="2" w:leftChars="1" w:firstLine="422" w:firstLineChars="200"/>
        <w:outlineLvl w:val="1"/>
        <w:rPr>
          <w:b/>
          <w:bCs/>
          <w:kern w:val="0"/>
          <w:szCs w:val="21"/>
        </w:rPr>
      </w:pPr>
      <w:bookmarkStart w:id="106" w:name="_Toc254970674"/>
      <w:bookmarkStart w:id="107" w:name="_Toc254970533"/>
      <w:r>
        <w:rPr>
          <w:b/>
          <w:bCs/>
          <w:kern w:val="0"/>
          <w:szCs w:val="21"/>
        </w:rPr>
        <w:t>8．质疑和投诉</w:t>
      </w:r>
      <w:bookmarkEnd w:id="106"/>
      <w:bookmarkEnd w:id="107"/>
    </w:p>
    <w:p w14:paraId="702FA6E5">
      <w:pPr>
        <w:spacing w:before="120" w:line="320" w:lineRule="atLeast"/>
        <w:ind w:firstLine="422" w:firstLineChars="200"/>
        <w:outlineLvl w:val="2"/>
        <w:rPr>
          <w:b/>
          <w:bCs/>
          <w:kern w:val="0"/>
          <w:szCs w:val="21"/>
        </w:rPr>
      </w:pPr>
      <w:r>
        <w:rPr>
          <w:b/>
          <w:bCs/>
          <w:kern w:val="0"/>
          <w:szCs w:val="21"/>
        </w:rPr>
        <w:t>8.1质疑</w:t>
      </w:r>
    </w:p>
    <w:p w14:paraId="35B5A79B">
      <w:pPr>
        <w:spacing w:before="120" w:line="320" w:lineRule="atLeast"/>
        <w:ind w:firstLine="420" w:firstLineChars="200"/>
        <w:rPr>
          <w:szCs w:val="21"/>
        </w:rPr>
      </w:pPr>
      <w:r>
        <w:rPr>
          <w:szCs w:val="21"/>
        </w:rPr>
        <w:t>8.1.1质疑内容、时限</w:t>
      </w:r>
    </w:p>
    <w:p w14:paraId="1F3D18C5">
      <w:pPr>
        <w:spacing w:before="120" w:line="320" w:lineRule="atLeast"/>
        <w:ind w:firstLine="420" w:firstLineChars="200"/>
        <w:rPr>
          <w:szCs w:val="21"/>
        </w:rPr>
      </w:pPr>
      <w:r>
        <w:rPr>
          <w:rFonts w:hint="eastAsia"/>
          <w:szCs w:val="21"/>
        </w:rPr>
        <w:t>（1）供应商对政府采购活动有疑问的，可以向采购人或采购代理机构提出询问。采购人或者采购代理机构应当在3个工作日内对供应商依法提出的询问作出答复。</w:t>
      </w:r>
    </w:p>
    <w:p w14:paraId="3D918DC2">
      <w:pPr>
        <w:spacing w:before="120" w:line="320" w:lineRule="atLeast"/>
        <w:ind w:firstLine="420" w:firstLineChars="200"/>
        <w:rPr>
          <w:szCs w:val="21"/>
        </w:rPr>
      </w:pPr>
      <w:r>
        <w:rPr>
          <w:rFonts w:hint="eastAsia"/>
          <w:szCs w:val="21"/>
        </w:rPr>
        <w:t>（2）</w:t>
      </w:r>
      <w:r>
        <w:rPr>
          <w:rFonts w:hint="eastAsia"/>
          <w:szCs w:val="21"/>
          <w:lang w:eastAsia="zh-CN"/>
        </w:rPr>
        <w:t>供应商</w:t>
      </w:r>
      <w:r>
        <w:rPr>
          <w:rFonts w:hint="eastAsia"/>
          <w:szCs w:val="21"/>
        </w:rPr>
        <w:t>认为招标文件、采购过程、中标或者成交结果使自己的权益受到损害的，可以在知道或者应知其权益受到损害之日起7个工作日内向采购人或采购代理机构提出质疑。采购人或</w:t>
      </w:r>
      <w:r>
        <w:rPr>
          <w:szCs w:val="21"/>
        </w:rPr>
        <w:t>采购代理机构在收到供应商书面质疑后7个工作日内，对质疑内容作出答复。</w:t>
      </w:r>
    </w:p>
    <w:p w14:paraId="59B17321">
      <w:pPr>
        <w:spacing w:before="120" w:line="320" w:lineRule="atLeast"/>
        <w:ind w:firstLine="420" w:firstLineChars="200"/>
        <w:rPr>
          <w:szCs w:val="21"/>
        </w:rPr>
      </w:pPr>
      <w:r>
        <w:rPr>
          <w:szCs w:val="21"/>
        </w:rPr>
        <w:t>8.1.2质疑形式</w:t>
      </w:r>
    </w:p>
    <w:p w14:paraId="68EAD7CC">
      <w:pPr>
        <w:spacing w:before="120" w:line="320" w:lineRule="atLeast"/>
        <w:ind w:firstLine="420" w:firstLineChars="200"/>
        <w:rPr>
          <w:szCs w:val="21"/>
        </w:rPr>
      </w:pPr>
      <w:r>
        <w:rPr>
          <w:szCs w:val="21"/>
        </w:rPr>
        <w:t>质疑应当采用</w:t>
      </w:r>
      <w:r>
        <w:rPr>
          <w:rFonts w:hint="eastAsia"/>
          <w:szCs w:val="21"/>
        </w:rPr>
        <w:t>投标人须知</w:t>
      </w:r>
      <w:r>
        <w:rPr>
          <w:szCs w:val="21"/>
        </w:rPr>
        <w:t>前附表所规定的形式，质疑书应明确阐述</w:t>
      </w:r>
      <w:r>
        <w:rPr>
          <w:rFonts w:hint="eastAsia"/>
          <w:szCs w:val="21"/>
        </w:rPr>
        <w:t>招标文件</w:t>
      </w:r>
      <w:r>
        <w:rPr>
          <w:szCs w:val="21"/>
        </w:rPr>
        <w:t>、</w:t>
      </w:r>
      <w:r>
        <w:rPr>
          <w:rFonts w:hint="eastAsia"/>
          <w:szCs w:val="21"/>
        </w:rPr>
        <w:t>采购</w:t>
      </w:r>
      <w:r>
        <w:rPr>
          <w:szCs w:val="21"/>
        </w:rPr>
        <w:t>过程或中标结果中使自己合法权益受到损害的实质性内容，提供相关事实、依据和证据及其来源或线索，便于有关单位调查、答复和处理。</w:t>
      </w:r>
    </w:p>
    <w:p w14:paraId="3C6048CE">
      <w:pPr>
        <w:spacing w:before="120" w:line="320" w:lineRule="atLeast"/>
        <w:ind w:firstLine="420" w:firstLineChars="200"/>
        <w:rPr>
          <w:szCs w:val="21"/>
        </w:rPr>
      </w:pPr>
      <w:r>
        <w:rPr>
          <w:rFonts w:hint="eastAsia"/>
          <w:szCs w:val="21"/>
        </w:rPr>
        <w:t>8</w:t>
      </w:r>
      <w:r>
        <w:rPr>
          <w:szCs w:val="21"/>
        </w:rPr>
        <w:t>.1.3</w:t>
      </w:r>
      <w:r>
        <w:rPr>
          <w:rFonts w:hint="eastAsia"/>
        </w:rPr>
        <w:t xml:space="preserve"> </w:t>
      </w:r>
      <w:r>
        <w:rPr>
          <w:rFonts w:hint="eastAsia"/>
          <w:szCs w:val="21"/>
        </w:rPr>
        <w:t>供应商提出质疑应当提交质疑函和必要的证明材料。质疑函应当包括下列内容：</w:t>
      </w:r>
    </w:p>
    <w:p w14:paraId="4AAF52CB">
      <w:pPr>
        <w:spacing w:before="120" w:line="320" w:lineRule="atLeast"/>
        <w:ind w:firstLine="420" w:firstLineChars="200"/>
        <w:rPr>
          <w:szCs w:val="21"/>
        </w:rPr>
      </w:pPr>
      <w:r>
        <w:rPr>
          <w:rFonts w:hint="eastAsia"/>
          <w:szCs w:val="21"/>
        </w:rPr>
        <w:t>（1）供应商的姓名或者名称、地址、邮编、联系人及联系电话；</w:t>
      </w:r>
    </w:p>
    <w:p w14:paraId="63B739A7">
      <w:pPr>
        <w:spacing w:before="120" w:line="320" w:lineRule="atLeast"/>
        <w:ind w:firstLine="420" w:firstLineChars="200"/>
        <w:rPr>
          <w:szCs w:val="21"/>
        </w:rPr>
      </w:pPr>
      <w:r>
        <w:rPr>
          <w:rFonts w:hint="eastAsia"/>
          <w:szCs w:val="21"/>
        </w:rPr>
        <w:t>（2）质疑项目的名称、编号；</w:t>
      </w:r>
    </w:p>
    <w:p w14:paraId="156651EF">
      <w:pPr>
        <w:spacing w:before="120" w:line="320" w:lineRule="atLeast"/>
        <w:ind w:firstLine="420" w:firstLineChars="200"/>
        <w:rPr>
          <w:szCs w:val="21"/>
        </w:rPr>
      </w:pPr>
      <w:r>
        <w:rPr>
          <w:rFonts w:hint="eastAsia"/>
          <w:szCs w:val="21"/>
        </w:rPr>
        <w:t>（3）具体、明确的质疑事项和与质疑事项相关的请求；</w:t>
      </w:r>
    </w:p>
    <w:p w14:paraId="3B62C66E">
      <w:pPr>
        <w:spacing w:before="120" w:line="320" w:lineRule="atLeast"/>
        <w:ind w:firstLine="420" w:firstLineChars="200"/>
        <w:rPr>
          <w:szCs w:val="21"/>
        </w:rPr>
      </w:pPr>
      <w:r>
        <w:rPr>
          <w:rFonts w:hint="eastAsia"/>
          <w:szCs w:val="21"/>
        </w:rPr>
        <w:t>（4）事实依据；</w:t>
      </w:r>
    </w:p>
    <w:p w14:paraId="608EF13D">
      <w:pPr>
        <w:spacing w:before="120" w:line="320" w:lineRule="atLeast"/>
        <w:ind w:firstLine="420" w:firstLineChars="200"/>
        <w:rPr>
          <w:szCs w:val="21"/>
        </w:rPr>
      </w:pPr>
      <w:r>
        <w:rPr>
          <w:rFonts w:hint="eastAsia"/>
          <w:szCs w:val="21"/>
        </w:rPr>
        <w:t>（5）必要的法律依据；</w:t>
      </w:r>
    </w:p>
    <w:p w14:paraId="4EC79F1B">
      <w:pPr>
        <w:spacing w:before="120" w:line="320" w:lineRule="atLeast"/>
        <w:ind w:firstLine="420" w:firstLineChars="200"/>
        <w:rPr>
          <w:szCs w:val="21"/>
        </w:rPr>
      </w:pPr>
      <w:r>
        <w:rPr>
          <w:rFonts w:hint="eastAsia"/>
          <w:szCs w:val="21"/>
        </w:rPr>
        <w:t>（6）提出质疑的日期。</w:t>
      </w:r>
    </w:p>
    <w:p w14:paraId="69EA99CA">
      <w:pPr>
        <w:spacing w:before="120" w:line="320" w:lineRule="atLeast"/>
        <w:ind w:firstLine="420" w:firstLineChars="200"/>
        <w:rPr>
          <w:szCs w:val="21"/>
        </w:rPr>
      </w:pPr>
      <w:r>
        <w:rPr>
          <w:rFonts w:hint="eastAsia"/>
          <w:szCs w:val="21"/>
        </w:rPr>
        <w:t>供应商为自然人的，应当由本人签字；供应商为法人或者其他组织的，应当由法定代表人、主要负责人，或者其授权代表签字或者盖章，并加盖公章。</w:t>
      </w:r>
      <w:r>
        <w:rPr>
          <w:szCs w:val="21"/>
        </w:rPr>
        <w:t xml:space="preserve"> </w:t>
      </w:r>
    </w:p>
    <w:p w14:paraId="431B3630">
      <w:pPr>
        <w:spacing w:before="120" w:line="320" w:lineRule="atLeast"/>
        <w:ind w:firstLine="422" w:firstLineChars="200"/>
        <w:outlineLvl w:val="2"/>
        <w:rPr>
          <w:b/>
          <w:bCs/>
          <w:kern w:val="0"/>
          <w:szCs w:val="21"/>
        </w:rPr>
      </w:pPr>
      <w:r>
        <w:rPr>
          <w:b/>
          <w:bCs/>
          <w:kern w:val="0"/>
          <w:szCs w:val="21"/>
        </w:rPr>
        <w:t>8.2投诉</w:t>
      </w:r>
    </w:p>
    <w:p w14:paraId="391FEEB6">
      <w:pPr>
        <w:spacing w:before="120" w:line="320" w:lineRule="atLeast"/>
        <w:ind w:firstLine="420" w:firstLineChars="200"/>
        <w:rPr>
          <w:szCs w:val="21"/>
        </w:rPr>
      </w:pPr>
      <w:r>
        <w:rPr>
          <w:szCs w:val="21"/>
        </w:rPr>
        <w:t>8.2.1供应商对采购人、采购代理机构的答复不满意，或者采购人、采购代理机构未在规定时间内答复的，可在答复期满后15个工作日内按有关规定，向同级财政部门投诉。</w:t>
      </w:r>
    </w:p>
    <w:p w14:paraId="595D1A6A">
      <w:pPr>
        <w:spacing w:before="120" w:line="320" w:lineRule="atLeast"/>
        <w:ind w:firstLine="420" w:firstLineChars="200"/>
        <w:rPr>
          <w:szCs w:val="21"/>
        </w:rPr>
      </w:pPr>
      <w:r>
        <w:rPr>
          <w:szCs w:val="21"/>
        </w:rPr>
        <w:t>8.2.</w:t>
      </w:r>
      <w:r>
        <w:rPr>
          <w:rFonts w:hint="eastAsia"/>
          <w:szCs w:val="21"/>
        </w:rPr>
        <w:t>2投诉</w:t>
      </w:r>
      <w:r>
        <w:rPr>
          <w:szCs w:val="21"/>
        </w:rPr>
        <w:t>书应使用财政部发布的</w:t>
      </w:r>
      <w:r>
        <w:rPr>
          <w:rFonts w:hint="eastAsia"/>
          <w:szCs w:val="21"/>
        </w:rPr>
        <w:t>政府采购供应投诉书范本，并应按照“投诉书制作说明”进行编写。</w:t>
      </w:r>
    </w:p>
    <w:p w14:paraId="05AF6FC3">
      <w:pPr>
        <w:spacing w:before="120" w:line="320" w:lineRule="atLeast"/>
        <w:ind w:left="2" w:leftChars="1" w:firstLine="422" w:firstLineChars="200"/>
        <w:outlineLvl w:val="1"/>
        <w:rPr>
          <w:b/>
          <w:bCs/>
          <w:kern w:val="0"/>
          <w:szCs w:val="21"/>
        </w:rPr>
      </w:pPr>
      <w:r>
        <w:rPr>
          <w:b/>
          <w:bCs/>
          <w:kern w:val="0"/>
          <w:szCs w:val="21"/>
        </w:rPr>
        <w:t>9．其他事项</w:t>
      </w:r>
    </w:p>
    <w:p w14:paraId="0276F1F3">
      <w:pPr>
        <w:spacing w:before="120" w:line="320" w:lineRule="atLeast"/>
        <w:ind w:left="2" w:leftChars="1" w:firstLine="420" w:firstLineChars="200"/>
        <w:rPr>
          <w:szCs w:val="21"/>
        </w:rPr>
      </w:pPr>
      <w:r>
        <w:rPr>
          <w:szCs w:val="21"/>
        </w:rPr>
        <w:t>9.1代理服务收费由采购代理机构向中标人收取。签订合同前，中标人应向采购代理机构一次付清代理服务费。</w:t>
      </w:r>
    </w:p>
    <w:p w14:paraId="3E1EE7DB">
      <w:pPr>
        <w:spacing w:before="120" w:line="320" w:lineRule="atLeast"/>
        <w:ind w:left="2" w:leftChars="1" w:firstLine="420" w:firstLineChars="200"/>
        <w:rPr>
          <w:szCs w:val="21"/>
        </w:rPr>
      </w:pPr>
      <w:r>
        <w:rPr>
          <w:szCs w:val="21"/>
        </w:rPr>
        <w:t>9.2</w:t>
      </w:r>
      <w:r>
        <w:rPr>
          <w:rFonts w:hint="eastAsia"/>
          <w:szCs w:val="21"/>
        </w:rPr>
        <w:t>电子交易活动的中止。采购过程中出现以下情形，导致电子交易平台无法正常运行，或者无法保证电子交易的公平、公正和安全时，采购机构可中止电子交易活动：</w:t>
      </w:r>
    </w:p>
    <w:p w14:paraId="037D5CA4">
      <w:pPr>
        <w:spacing w:before="120" w:line="276" w:lineRule="auto"/>
        <w:ind w:firstLine="420" w:firstLineChars="200"/>
        <w:rPr>
          <w:szCs w:val="21"/>
        </w:rPr>
      </w:pPr>
      <w:r>
        <w:rPr>
          <w:rFonts w:hint="eastAsia"/>
          <w:szCs w:val="21"/>
        </w:rPr>
        <w:t xml:space="preserve">（1）电子交易平台发生故障而无法登录访问的； </w:t>
      </w:r>
    </w:p>
    <w:p w14:paraId="7285ACA3">
      <w:pPr>
        <w:spacing w:before="120" w:line="276" w:lineRule="auto"/>
        <w:ind w:firstLine="420" w:firstLineChars="200"/>
        <w:rPr>
          <w:szCs w:val="21"/>
        </w:rPr>
      </w:pPr>
      <w:r>
        <w:rPr>
          <w:rFonts w:hint="eastAsia"/>
          <w:szCs w:val="21"/>
        </w:rPr>
        <w:t>（2）电子交易平台应用或数据库出现错误，不能进行正常操作的；</w:t>
      </w:r>
    </w:p>
    <w:p w14:paraId="5EEE9A4E">
      <w:pPr>
        <w:spacing w:before="120" w:line="276" w:lineRule="auto"/>
        <w:ind w:firstLine="420" w:firstLineChars="200"/>
        <w:rPr>
          <w:szCs w:val="21"/>
        </w:rPr>
      </w:pPr>
      <w:r>
        <w:rPr>
          <w:rFonts w:hint="eastAsia"/>
          <w:szCs w:val="21"/>
        </w:rPr>
        <w:t>（3）电子交易平台发现严重安全漏洞，有潜在泄密危险的；</w:t>
      </w:r>
    </w:p>
    <w:p w14:paraId="3AA856DB">
      <w:pPr>
        <w:spacing w:before="120" w:line="276" w:lineRule="auto"/>
        <w:ind w:firstLine="420" w:firstLineChars="200"/>
        <w:rPr>
          <w:szCs w:val="21"/>
        </w:rPr>
      </w:pPr>
      <w:r>
        <w:rPr>
          <w:rFonts w:hint="eastAsia"/>
          <w:szCs w:val="21"/>
        </w:rPr>
        <w:t xml:space="preserve">（4）病毒发作导致不能进行正常操作的； </w:t>
      </w:r>
    </w:p>
    <w:p w14:paraId="5E566CF2">
      <w:pPr>
        <w:spacing w:before="120" w:line="276" w:lineRule="auto"/>
        <w:ind w:firstLine="420" w:firstLineChars="200"/>
        <w:rPr>
          <w:szCs w:val="21"/>
        </w:rPr>
      </w:pPr>
      <w:r>
        <w:rPr>
          <w:rFonts w:hint="eastAsia"/>
          <w:szCs w:val="21"/>
        </w:rPr>
        <w:t>（</w:t>
      </w:r>
      <w:r>
        <w:rPr>
          <w:szCs w:val="21"/>
        </w:rPr>
        <w:t>5</w:t>
      </w:r>
      <w:r>
        <w:rPr>
          <w:rFonts w:hint="eastAsia"/>
          <w:szCs w:val="21"/>
        </w:rPr>
        <w:t>）其他无法保证电子交易的公平、公正和安全的情况。</w:t>
      </w:r>
    </w:p>
    <w:p w14:paraId="396917BC">
      <w:pPr>
        <w:tabs>
          <w:tab w:val="left" w:pos="4820"/>
        </w:tabs>
        <w:spacing w:before="120" w:line="360" w:lineRule="auto"/>
        <w:ind w:firstLine="420" w:firstLineChars="200"/>
        <w:rPr>
          <w:color w:val="FF0000"/>
          <w:szCs w:val="21"/>
        </w:rPr>
      </w:pPr>
      <w:r>
        <w:rPr>
          <w:rFonts w:hint="eastAsia"/>
          <w:szCs w:val="21"/>
        </w:rPr>
        <w:t>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r>
        <w:rPr>
          <w:color w:val="FF0000"/>
          <w:szCs w:val="21"/>
        </w:rPr>
        <w:t xml:space="preserve"> </w:t>
      </w:r>
    </w:p>
    <w:p w14:paraId="7962D945">
      <w:pPr>
        <w:spacing w:before="120" w:line="320" w:lineRule="atLeast"/>
        <w:ind w:left="2" w:leftChars="1" w:firstLine="420" w:firstLineChars="200"/>
        <w:rPr>
          <w:szCs w:val="21"/>
        </w:rPr>
      </w:pPr>
      <w:r>
        <w:rPr>
          <w:szCs w:val="21"/>
        </w:rPr>
        <w:t>9.3</w:t>
      </w:r>
      <w:r>
        <w:rPr>
          <w:rFonts w:hint="eastAsia"/>
          <w:szCs w:val="21"/>
        </w:rPr>
        <w:t>本项目的附件及图纸</w:t>
      </w:r>
      <w:r>
        <w:rPr>
          <w:szCs w:val="21"/>
        </w:rPr>
        <w:t>详见</w:t>
      </w:r>
      <w:r>
        <w:rPr>
          <w:rFonts w:hint="eastAsia"/>
          <w:szCs w:val="21"/>
        </w:rPr>
        <w:t>投标人须知</w:t>
      </w:r>
      <w:r>
        <w:rPr>
          <w:szCs w:val="21"/>
        </w:rPr>
        <w:t>前附表</w:t>
      </w:r>
      <w:r>
        <w:rPr>
          <w:rFonts w:hint="eastAsia"/>
          <w:szCs w:val="21"/>
        </w:rPr>
        <w:t>。</w:t>
      </w:r>
    </w:p>
    <w:p w14:paraId="4B0EAC75">
      <w:pPr>
        <w:spacing w:before="120" w:line="320" w:lineRule="atLeast"/>
        <w:ind w:left="2" w:leftChars="1" w:firstLine="420" w:firstLineChars="200"/>
        <w:rPr>
          <w:szCs w:val="21"/>
        </w:rPr>
      </w:pPr>
      <w:r>
        <w:rPr>
          <w:szCs w:val="21"/>
        </w:rPr>
        <w:t>9.4</w:t>
      </w:r>
      <w:r>
        <w:rPr>
          <w:rFonts w:hint="eastAsia"/>
          <w:szCs w:val="21"/>
        </w:rPr>
        <w:t>本项目的其他事项</w:t>
      </w:r>
      <w:r>
        <w:rPr>
          <w:szCs w:val="21"/>
        </w:rPr>
        <w:t>详见</w:t>
      </w:r>
      <w:r>
        <w:rPr>
          <w:rFonts w:hint="eastAsia"/>
          <w:szCs w:val="21"/>
        </w:rPr>
        <w:t>投标人须知</w:t>
      </w:r>
      <w:r>
        <w:rPr>
          <w:szCs w:val="21"/>
        </w:rPr>
        <w:t>前附表</w:t>
      </w:r>
      <w:r>
        <w:rPr>
          <w:rFonts w:hint="eastAsia"/>
          <w:szCs w:val="21"/>
        </w:rPr>
        <w:t>。</w:t>
      </w:r>
    </w:p>
    <w:p w14:paraId="1F615615">
      <w:pPr>
        <w:spacing w:before="120" w:line="320" w:lineRule="atLeast"/>
        <w:ind w:left="2" w:leftChars="1" w:firstLine="422" w:firstLineChars="200"/>
        <w:outlineLvl w:val="1"/>
        <w:rPr>
          <w:b/>
          <w:bCs/>
          <w:kern w:val="0"/>
          <w:szCs w:val="21"/>
        </w:rPr>
      </w:pPr>
      <w:bookmarkStart w:id="108" w:name="_Toc254970549"/>
      <w:bookmarkStart w:id="109" w:name="_Toc254970690"/>
      <w:r>
        <w:rPr>
          <w:b/>
          <w:bCs/>
          <w:kern w:val="0"/>
          <w:szCs w:val="21"/>
        </w:rPr>
        <w:t>10．</w:t>
      </w:r>
      <w:r>
        <w:rPr>
          <w:rFonts w:hint="eastAsia"/>
          <w:b/>
          <w:bCs/>
          <w:kern w:val="0"/>
          <w:szCs w:val="21"/>
        </w:rPr>
        <w:t>其他说明</w:t>
      </w:r>
    </w:p>
    <w:p w14:paraId="09FB715A">
      <w:pPr>
        <w:spacing w:before="120" w:line="320" w:lineRule="atLeast"/>
        <w:ind w:left="2" w:leftChars="1" w:firstLine="420" w:firstLineChars="200"/>
        <w:rPr>
          <w:kern w:val="0"/>
          <w:szCs w:val="21"/>
        </w:rPr>
      </w:pPr>
      <w:r>
        <w:rPr>
          <w:rFonts w:hint="eastAsia"/>
          <w:kern w:val="0"/>
          <w:szCs w:val="21"/>
        </w:rPr>
        <w:t>1</w:t>
      </w:r>
      <w:r>
        <w:rPr>
          <w:kern w:val="0"/>
          <w:szCs w:val="21"/>
        </w:rPr>
        <w:t>0.1</w:t>
      </w:r>
      <w:r>
        <w:rPr>
          <w:rFonts w:hint="eastAsia"/>
          <w:kern w:val="0"/>
          <w:szCs w:val="21"/>
        </w:rPr>
        <w:t>其余未尽事宜按</w:t>
      </w:r>
      <w:r>
        <w:rPr>
          <w:kern w:val="0"/>
          <w:szCs w:val="21"/>
        </w:rPr>
        <w:t>《中华人民共和国政府采购法》、《中华人民共和国政府采购法实施条例》</w:t>
      </w:r>
      <w:r>
        <w:rPr>
          <w:rFonts w:hint="eastAsia"/>
          <w:kern w:val="0"/>
          <w:szCs w:val="21"/>
        </w:rPr>
        <w:t>的相关规定执行。</w:t>
      </w:r>
    </w:p>
    <w:p w14:paraId="28B073E9">
      <w:pPr>
        <w:spacing w:before="120" w:line="320" w:lineRule="atLeast"/>
        <w:ind w:left="2" w:leftChars="1" w:firstLine="420" w:firstLineChars="200"/>
      </w:pPr>
      <w:r>
        <w:rPr>
          <w:kern w:val="0"/>
          <w:szCs w:val="21"/>
        </w:rPr>
        <w:t>10.2</w:t>
      </w:r>
      <w:r>
        <w:rPr>
          <w:rFonts w:hint="eastAsia"/>
        </w:rPr>
        <w:t>本</w:t>
      </w:r>
      <w:r>
        <w:t>招标文件是根据国家有关法律及有关政策、法规和参照国际惯例编制，解释权属采购代理机构。</w:t>
      </w:r>
    </w:p>
    <w:p w14:paraId="1CD966DC">
      <w:pPr>
        <w:widowControl/>
        <w:jc w:val="left"/>
      </w:pPr>
      <w:r>
        <w:br w:type="page"/>
      </w:r>
    </w:p>
    <w:bookmarkEnd w:id="46"/>
    <w:p w14:paraId="4578B147">
      <w:pPr>
        <w:pStyle w:val="28"/>
        <w:snapToGrid w:val="0"/>
        <w:spacing w:before="120" w:after="120" w:line="320" w:lineRule="exact"/>
        <w:jc w:val="center"/>
        <w:outlineLvl w:val="0"/>
        <w:rPr>
          <w:rFonts w:ascii="Times New Roman" w:hAnsi="Times New Roman" w:cs="Times New Roman"/>
          <w:sz w:val="32"/>
          <w:szCs w:val="32"/>
        </w:rPr>
      </w:pPr>
      <w:bookmarkStart w:id="110" w:name="_Toc30739"/>
      <w:r>
        <w:rPr>
          <w:rFonts w:ascii="Times New Roman" w:hAnsi="Times New Roman" w:cs="Times New Roman"/>
          <w:sz w:val="32"/>
          <w:szCs w:val="32"/>
        </w:rPr>
        <w:t>第四章  评审方法及标准</w:t>
      </w:r>
      <w:bookmarkEnd w:id="110"/>
    </w:p>
    <w:p w14:paraId="7ECA45C7">
      <w:pPr>
        <w:spacing w:before="120" w:line="320" w:lineRule="atLeast"/>
        <w:ind w:firstLine="413" w:firstLineChars="196"/>
        <w:outlineLvl w:val="1"/>
        <w:rPr>
          <w:b/>
          <w:bCs/>
          <w:kern w:val="0"/>
          <w:szCs w:val="21"/>
        </w:rPr>
      </w:pPr>
      <w:bookmarkStart w:id="111" w:name="_Hlk93421148"/>
      <w:r>
        <w:rPr>
          <w:rFonts w:hint="eastAsia"/>
          <w:b/>
          <w:bCs/>
          <w:kern w:val="0"/>
          <w:szCs w:val="21"/>
        </w:rPr>
        <w:t>1.</w:t>
      </w:r>
      <w:r>
        <w:rPr>
          <w:b/>
          <w:bCs/>
          <w:kern w:val="0"/>
          <w:szCs w:val="21"/>
        </w:rPr>
        <w:t>评审方法</w:t>
      </w:r>
    </w:p>
    <w:p w14:paraId="4203CC43">
      <w:pPr>
        <w:suppressAutoHyphens/>
        <w:spacing w:before="120" w:line="320" w:lineRule="atLeast"/>
        <w:ind w:firstLine="420" w:firstLineChars="200"/>
      </w:pPr>
      <w:r>
        <w:rPr>
          <w:szCs w:val="21"/>
        </w:rPr>
        <w:sym w:font="Wingdings 2" w:char="F052"/>
      </w:r>
      <w:r>
        <w:t>本项目采用综合评分法进行评审。</w:t>
      </w:r>
    </w:p>
    <w:p w14:paraId="46A2A30D">
      <w:pPr>
        <w:suppressAutoHyphens/>
        <w:spacing w:before="120" w:line="320" w:lineRule="atLeast"/>
        <w:ind w:firstLine="420" w:firstLineChars="200"/>
      </w:pPr>
      <w:r>
        <w:t>综合评分法，是指投标文件满足招标文件全部实质性要求且按照评审因素的量化指标评审得分最高的</w:t>
      </w:r>
      <w:r>
        <w:rPr>
          <w:rFonts w:hint="eastAsia"/>
        </w:rPr>
        <w:t>投标人</w:t>
      </w:r>
      <w:r>
        <w:t>为中标候选人的评审方法。</w:t>
      </w:r>
    </w:p>
    <w:p w14:paraId="2056018A">
      <w:pPr>
        <w:suppressAutoHyphens/>
        <w:spacing w:before="120" w:line="320" w:lineRule="atLeast"/>
        <w:ind w:firstLine="420" w:firstLineChars="200"/>
      </w:pPr>
      <w:r>
        <w:rPr>
          <w:rFonts w:hint="eastAsia" w:hAnsi="宋体"/>
        </w:rPr>
        <w:t>□</w:t>
      </w:r>
      <w:r>
        <w:t>本项目采用</w:t>
      </w:r>
      <w:r>
        <w:rPr>
          <w:rFonts w:hint="eastAsia"/>
        </w:rPr>
        <w:t>最低评标价</w:t>
      </w:r>
      <w:r>
        <w:t>法进行评审。</w:t>
      </w:r>
    </w:p>
    <w:p w14:paraId="602EAFE2">
      <w:pPr>
        <w:suppressAutoHyphens/>
        <w:spacing w:before="120" w:line="320" w:lineRule="atLeast"/>
        <w:ind w:firstLine="420" w:firstLineChars="200"/>
      </w:pPr>
      <w:r>
        <w:rPr>
          <w:rFonts w:hint="eastAsia"/>
        </w:rPr>
        <w:t>最低评标价法，是指投标文件满足招标文件全部实质性要求且投标报价最低的投标人为中标候选人的评标方法。</w:t>
      </w:r>
    </w:p>
    <w:p w14:paraId="70E07A4F">
      <w:pPr>
        <w:suppressAutoHyphens/>
        <w:spacing w:before="120" w:line="320" w:lineRule="atLeast"/>
        <w:ind w:firstLine="420" w:firstLineChars="200"/>
      </w:pPr>
      <w:bookmarkStart w:id="112" w:name="_Hlk92206009"/>
      <w:r>
        <w:rPr>
          <w:rFonts w:hint="eastAsia"/>
        </w:rPr>
        <w:t>本项目评审的其他详细规定在第三章投标人须知中规定。</w:t>
      </w:r>
      <w:bookmarkEnd w:id="112"/>
    </w:p>
    <w:bookmarkEnd w:id="111"/>
    <w:p w14:paraId="47C2FBBF">
      <w:pPr>
        <w:spacing w:before="120" w:line="320" w:lineRule="atLeast"/>
        <w:ind w:firstLine="413" w:firstLineChars="196"/>
        <w:outlineLvl w:val="1"/>
        <w:rPr>
          <w:b/>
          <w:kern w:val="0"/>
          <w:szCs w:val="21"/>
        </w:rPr>
      </w:pPr>
      <w:bookmarkStart w:id="113" w:name="_Hlk93421162"/>
      <w:r>
        <w:rPr>
          <w:b/>
          <w:kern w:val="0"/>
          <w:szCs w:val="21"/>
        </w:rPr>
        <w:t>2</w:t>
      </w:r>
      <w:r>
        <w:rPr>
          <w:rFonts w:hint="eastAsia"/>
          <w:b/>
          <w:kern w:val="0"/>
          <w:szCs w:val="21"/>
        </w:rPr>
        <w:t>.资格审查标准</w:t>
      </w:r>
      <w:r>
        <w:rPr>
          <w:rFonts w:hint="eastAsia"/>
          <w:b/>
          <w:bCs/>
          <w:kern w:val="0"/>
          <w:szCs w:val="21"/>
        </w:rPr>
        <w:t>（不满足任何一项审查内容要求，资格审查即为不合格；</w:t>
      </w:r>
      <w:bookmarkStart w:id="114" w:name="_Hlk160525103"/>
      <w:r>
        <w:rPr>
          <w:rFonts w:hint="eastAsia"/>
          <w:b/>
          <w:bCs/>
          <w:kern w:val="0"/>
          <w:szCs w:val="21"/>
        </w:rPr>
        <w:t>联合体投标的，</w:t>
      </w:r>
      <w:bookmarkEnd w:id="113"/>
      <w:bookmarkEnd w:id="114"/>
      <w:bookmarkStart w:id="115" w:name="_Hlk19052412"/>
      <w:r>
        <w:rPr>
          <w:rFonts w:hint="eastAsia"/>
          <w:b/>
          <w:bCs/>
          <w:kern w:val="0"/>
          <w:szCs w:val="21"/>
        </w:rPr>
        <w:t>联合体各方均</w:t>
      </w:r>
      <w:r>
        <w:rPr>
          <w:rFonts w:hint="eastAsia"/>
          <w:b/>
          <w:bCs/>
          <w:color w:val="000000"/>
          <w:kern w:val="0"/>
          <w:szCs w:val="21"/>
        </w:rPr>
        <w:t>应提交第一项基本资格要求</w:t>
      </w:r>
      <w:r>
        <w:rPr>
          <w:rFonts w:hint="eastAsia"/>
          <w:b/>
          <w:bCs/>
          <w:kern w:val="0"/>
          <w:szCs w:val="21"/>
        </w:rPr>
        <w:t>的资格证明文件）</w:t>
      </w:r>
    </w:p>
    <w:tbl>
      <w:tblPr>
        <w:tblStyle w:val="53"/>
        <w:tblW w:w="8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6242"/>
      </w:tblGrid>
      <w:tr w14:paraId="4751F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46" w:type="dxa"/>
            <w:noWrap w:val="0"/>
            <w:vAlign w:val="center"/>
          </w:tcPr>
          <w:p w14:paraId="34E85DB6">
            <w:pPr>
              <w:spacing w:line="240" w:lineRule="exact"/>
              <w:jc w:val="center"/>
              <w:rPr>
                <w:b/>
                <w:kern w:val="0"/>
                <w:szCs w:val="21"/>
              </w:rPr>
            </w:pPr>
            <w:bookmarkStart w:id="116" w:name="_Hlk93421270"/>
            <w:r>
              <w:rPr>
                <w:rFonts w:hint="eastAsia"/>
                <w:b/>
                <w:kern w:val="0"/>
                <w:szCs w:val="21"/>
              </w:rPr>
              <w:t>审查</w:t>
            </w:r>
            <w:r>
              <w:rPr>
                <w:b/>
                <w:kern w:val="0"/>
                <w:szCs w:val="21"/>
              </w:rPr>
              <w:t>因素</w:t>
            </w:r>
          </w:p>
        </w:tc>
        <w:tc>
          <w:tcPr>
            <w:tcW w:w="1843" w:type="dxa"/>
            <w:noWrap w:val="0"/>
            <w:vAlign w:val="center"/>
          </w:tcPr>
          <w:p w14:paraId="05D0D66D">
            <w:pPr>
              <w:spacing w:line="240" w:lineRule="exact"/>
              <w:jc w:val="center"/>
              <w:rPr>
                <w:b/>
                <w:kern w:val="0"/>
                <w:szCs w:val="21"/>
              </w:rPr>
            </w:pPr>
            <w:r>
              <w:rPr>
                <w:rFonts w:hint="eastAsia"/>
                <w:b/>
                <w:kern w:val="0"/>
                <w:szCs w:val="21"/>
              </w:rPr>
              <w:t>审查</w:t>
            </w:r>
            <w:r>
              <w:rPr>
                <w:b/>
                <w:kern w:val="0"/>
                <w:szCs w:val="21"/>
              </w:rPr>
              <w:t>内容</w:t>
            </w:r>
          </w:p>
        </w:tc>
        <w:tc>
          <w:tcPr>
            <w:tcW w:w="6242" w:type="dxa"/>
            <w:noWrap w:val="0"/>
            <w:vAlign w:val="center"/>
          </w:tcPr>
          <w:p w14:paraId="018F9CA7">
            <w:pPr>
              <w:spacing w:line="240" w:lineRule="exact"/>
              <w:jc w:val="center"/>
              <w:rPr>
                <w:b/>
                <w:kern w:val="0"/>
                <w:szCs w:val="21"/>
              </w:rPr>
            </w:pPr>
            <w:r>
              <w:rPr>
                <w:rFonts w:hint="eastAsia"/>
                <w:b/>
                <w:kern w:val="0"/>
                <w:szCs w:val="21"/>
              </w:rPr>
              <w:t>说明</w:t>
            </w:r>
          </w:p>
        </w:tc>
      </w:tr>
      <w:tr w14:paraId="1538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trPr>
        <w:tc>
          <w:tcPr>
            <w:tcW w:w="846" w:type="dxa"/>
            <w:vMerge w:val="restart"/>
            <w:noWrap w:val="0"/>
            <w:vAlign w:val="center"/>
          </w:tcPr>
          <w:p w14:paraId="1429667C">
            <w:pPr>
              <w:spacing w:line="240" w:lineRule="exact"/>
              <w:rPr>
                <w:szCs w:val="21"/>
                <w:lang w:val="zh-CN"/>
              </w:rPr>
            </w:pPr>
            <w:r>
              <w:rPr>
                <w:rFonts w:hint="eastAsia"/>
                <w:szCs w:val="21"/>
                <w:lang w:val="zh-CN"/>
              </w:rPr>
              <w:t>投标人</w:t>
            </w:r>
            <w:r>
              <w:rPr>
                <w:szCs w:val="21"/>
                <w:lang w:val="zh-CN"/>
              </w:rPr>
              <w:t>应符合的</w:t>
            </w:r>
            <w:r>
              <w:rPr>
                <w:rFonts w:hint="eastAsia"/>
                <w:szCs w:val="21"/>
                <w:lang w:val="zh-CN"/>
              </w:rPr>
              <w:t>基本</w:t>
            </w:r>
            <w:r>
              <w:rPr>
                <w:szCs w:val="21"/>
              </w:rPr>
              <w:t>资格</w:t>
            </w:r>
            <w:r>
              <w:rPr>
                <w:rFonts w:hint="eastAsia"/>
                <w:szCs w:val="21"/>
              </w:rPr>
              <w:t>要求</w:t>
            </w:r>
          </w:p>
        </w:tc>
        <w:tc>
          <w:tcPr>
            <w:tcW w:w="1843" w:type="dxa"/>
            <w:noWrap w:val="0"/>
            <w:vAlign w:val="center"/>
          </w:tcPr>
          <w:p w14:paraId="4B1E3D03">
            <w:pPr>
              <w:spacing w:line="240" w:lineRule="exact"/>
              <w:jc w:val="left"/>
              <w:rPr>
                <w:szCs w:val="21"/>
              </w:rPr>
            </w:pPr>
            <w:r>
              <w:rPr>
                <w:szCs w:val="21"/>
              </w:rPr>
              <w:t>（1）具有独立承担民事责任的能力</w:t>
            </w:r>
          </w:p>
        </w:tc>
        <w:tc>
          <w:tcPr>
            <w:tcW w:w="6242" w:type="dxa"/>
            <w:noWrap w:val="0"/>
            <w:vAlign w:val="top"/>
          </w:tcPr>
          <w:p w14:paraId="0E03E957">
            <w:pPr>
              <w:spacing w:line="240" w:lineRule="exact"/>
              <w:jc w:val="left"/>
              <w:rPr>
                <w:szCs w:val="21"/>
              </w:rPr>
            </w:pPr>
            <w:r>
              <w:rPr>
                <w:rFonts w:hint="eastAsia"/>
                <w:szCs w:val="21"/>
              </w:rPr>
              <w:t>审查供应商为法人或者其他组织的，提供营业执照等证明文件（如营业执照或者事业单位法人证书或者执业许可证等），供应商为自然人的，提供身份证复印件</w:t>
            </w:r>
          </w:p>
        </w:tc>
      </w:tr>
      <w:tr w14:paraId="6BAD1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386C05D1">
            <w:pPr>
              <w:spacing w:line="240" w:lineRule="exact"/>
              <w:rPr>
                <w:szCs w:val="21"/>
                <w:lang w:val="zh-CN"/>
              </w:rPr>
            </w:pPr>
          </w:p>
        </w:tc>
        <w:tc>
          <w:tcPr>
            <w:tcW w:w="1843" w:type="dxa"/>
            <w:noWrap w:val="0"/>
            <w:vAlign w:val="center"/>
          </w:tcPr>
          <w:p w14:paraId="7048998C">
            <w:pPr>
              <w:spacing w:line="240" w:lineRule="exact"/>
              <w:jc w:val="left"/>
              <w:rPr>
                <w:szCs w:val="21"/>
              </w:rPr>
            </w:pPr>
            <w:r>
              <w:rPr>
                <w:szCs w:val="21"/>
                <w:lang w:val="zh-CN"/>
              </w:rPr>
              <w:t>（2）</w:t>
            </w:r>
            <w:r>
              <w:rPr>
                <w:szCs w:val="21"/>
              </w:rPr>
              <w:t>具有良好的商业信誉和健全的财务会计制度</w:t>
            </w:r>
          </w:p>
        </w:tc>
        <w:tc>
          <w:tcPr>
            <w:tcW w:w="6242" w:type="dxa"/>
            <w:noWrap w:val="0"/>
            <w:vAlign w:val="top"/>
          </w:tcPr>
          <w:p w14:paraId="5A469A6C">
            <w:pPr>
              <w:spacing w:line="240" w:lineRule="exact"/>
              <w:jc w:val="left"/>
              <w:rPr>
                <w:szCs w:val="21"/>
              </w:rPr>
            </w:pPr>
            <w:r>
              <w:rPr>
                <w:rFonts w:hint="eastAsia" w:ascii="宋体" w:hAnsi="宋体" w:cs="宋体"/>
                <w:szCs w:val="21"/>
              </w:rPr>
              <w:t>①</w:t>
            </w:r>
            <w:r>
              <w:rPr>
                <w:szCs w:val="21"/>
              </w:rPr>
              <w:t>审查商业信誉声明。须提供，格式见第六章投标文件格式“投标声明书”。</w:t>
            </w:r>
          </w:p>
          <w:p w14:paraId="32BABF65">
            <w:pPr>
              <w:spacing w:line="240" w:lineRule="exact"/>
              <w:jc w:val="left"/>
              <w:rPr>
                <w:szCs w:val="21"/>
              </w:rPr>
            </w:pPr>
            <w:r>
              <w:rPr>
                <w:rFonts w:hint="eastAsia" w:ascii="宋体" w:hAnsi="宋体" w:cs="宋体"/>
                <w:szCs w:val="21"/>
              </w:rPr>
              <w:t>②</w:t>
            </w:r>
            <w:r>
              <w:rPr>
                <w:szCs w:val="21"/>
              </w:rPr>
              <w:t>审</w:t>
            </w:r>
            <w:r>
              <w:rPr>
                <w:color w:val="auto"/>
                <w:szCs w:val="21"/>
              </w:rPr>
              <w:t>查</w:t>
            </w:r>
            <w:r>
              <w:rPr>
                <w:rFonts w:hint="eastAsia"/>
                <w:color w:val="auto"/>
                <w:szCs w:val="21"/>
                <w:lang w:val="en-US" w:eastAsia="zh-CN"/>
              </w:rPr>
              <w:t>2025</w:t>
            </w:r>
            <w:r>
              <w:rPr>
                <w:rFonts w:hint="eastAsia"/>
                <w:color w:val="auto"/>
                <w:szCs w:val="21"/>
              </w:rPr>
              <w:t>年</w:t>
            </w:r>
            <w:r>
              <w:rPr>
                <w:color w:val="auto"/>
                <w:szCs w:val="21"/>
              </w:rPr>
              <w:t>度财务状况报告</w:t>
            </w:r>
            <w:r>
              <w:rPr>
                <w:szCs w:val="21"/>
              </w:rPr>
              <w:t>（表）复印件或银行出具的资信证明复印件，</w:t>
            </w:r>
            <w:r>
              <w:t>对于从取得营业执照时间起到投标文件递交截止时间为止不足1年的供应商，只需提交</w:t>
            </w:r>
            <w:r>
              <w:rPr>
                <w:szCs w:val="21"/>
              </w:rPr>
              <w:t>投标文件递交截止时间前一个月的财务状况报告（表）复印件。</w:t>
            </w:r>
          </w:p>
        </w:tc>
      </w:tr>
      <w:tr w14:paraId="7497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1B9B42FA">
            <w:pPr>
              <w:spacing w:line="240" w:lineRule="exact"/>
              <w:rPr>
                <w:szCs w:val="21"/>
                <w:lang w:val="zh-CN"/>
              </w:rPr>
            </w:pPr>
          </w:p>
        </w:tc>
        <w:tc>
          <w:tcPr>
            <w:tcW w:w="1843" w:type="dxa"/>
            <w:noWrap w:val="0"/>
            <w:vAlign w:val="center"/>
          </w:tcPr>
          <w:p w14:paraId="4D9DE892">
            <w:pPr>
              <w:spacing w:line="240" w:lineRule="exact"/>
              <w:jc w:val="left"/>
              <w:rPr>
                <w:szCs w:val="21"/>
              </w:rPr>
            </w:pPr>
            <w:r>
              <w:rPr>
                <w:szCs w:val="21"/>
                <w:lang w:val="zh-CN"/>
              </w:rPr>
              <w:t>（3）具有履行合同所必需的设备和专业技术能力</w:t>
            </w:r>
          </w:p>
        </w:tc>
        <w:tc>
          <w:tcPr>
            <w:tcW w:w="6242" w:type="dxa"/>
            <w:noWrap w:val="0"/>
            <w:vAlign w:val="top"/>
          </w:tcPr>
          <w:p w14:paraId="4CD79CFA">
            <w:pPr>
              <w:spacing w:line="240" w:lineRule="exact"/>
              <w:jc w:val="left"/>
              <w:rPr>
                <w:szCs w:val="21"/>
              </w:rPr>
            </w:pPr>
            <w:r>
              <w:rPr>
                <w:rFonts w:hint="eastAsia" w:ascii="宋体" w:hAnsi="宋体" w:cs="宋体"/>
                <w:szCs w:val="21"/>
              </w:rPr>
              <w:t>①</w:t>
            </w:r>
            <w:r>
              <w:rPr>
                <w:szCs w:val="21"/>
              </w:rPr>
              <w:t xml:space="preserve">审查供应商营业执照，须有效； </w:t>
            </w:r>
          </w:p>
          <w:p w14:paraId="356759AE">
            <w:pPr>
              <w:spacing w:line="240" w:lineRule="exact"/>
              <w:jc w:val="left"/>
              <w:rPr>
                <w:szCs w:val="21"/>
              </w:rPr>
            </w:pPr>
            <w:r>
              <w:rPr>
                <w:rFonts w:hint="eastAsia" w:ascii="宋体" w:hAnsi="宋体" w:cs="宋体"/>
                <w:szCs w:val="21"/>
              </w:rPr>
              <w:t>②</w:t>
            </w:r>
            <w:r>
              <w:rPr>
                <w:szCs w:val="21"/>
              </w:rPr>
              <w:t>审查书面声明。须提供，格式见第六章投标文件格式“</w:t>
            </w:r>
            <w:r>
              <w:t>投标声明书</w:t>
            </w:r>
            <w:r>
              <w:rPr>
                <w:szCs w:val="21"/>
              </w:rPr>
              <w:t>”。</w:t>
            </w:r>
          </w:p>
          <w:p w14:paraId="342AF088">
            <w:pPr>
              <w:spacing w:line="240" w:lineRule="exact"/>
              <w:jc w:val="left"/>
              <w:rPr>
                <w:szCs w:val="21"/>
              </w:rPr>
            </w:pPr>
            <w:r>
              <w:rPr>
                <w:szCs w:val="21"/>
              </w:rPr>
              <w:t>审查</w:t>
            </w:r>
            <w:r>
              <w:rPr>
                <w:rFonts w:hint="eastAsia" w:ascii="宋体" w:hAnsi="宋体" w:cs="宋体"/>
                <w:szCs w:val="21"/>
              </w:rPr>
              <w:t>①</w:t>
            </w:r>
            <w:r>
              <w:rPr>
                <w:szCs w:val="21"/>
              </w:rPr>
              <w:t>或</w:t>
            </w:r>
            <w:r>
              <w:rPr>
                <w:rFonts w:hint="eastAsia" w:ascii="宋体" w:hAnsi="宋体" w:cs="宋体"/>
                <w:szCs w:val="21"/>
              </w:rPr>
              <w:t>②</w:t>
            </w:r>
            <w:r>
              <w:rPr>
                <w:szCs w:val="21"/>
              </w:rPr>
              <w:t>，满足其一，即为符合要求。</w:t>
            </w:r>
          </w:p>
        </w:tc>
      </w:tr>
      <w:tr w14:paraId="775B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3978C3ED">
            <w:pPr>
              <w:spacing w:line="240" w:lineRule="exact"/>
              <w:rPr>
                <w:szCs w:val="21"/>
                <w:lang w:val="zh-CN"/>
              </w:rPr>
            </w:pPr>
          </w:p>
        </w:tc>
        <w:tc>
          <w:tcPr>
            <w:tcW w:w="1843" w:type="dxa"/>
            <w:noWrap w:val="0"/>
            <w:vAlign w:val="center"/>
          </w:tcPr>
          <w:p w14:paraId="7EAF3068">
            <w:pPr>
              <w:spacing w:line="240" w:lineRule="exact"/>
              <w:jc w:val="left"/>
              <w:rPr>
                <w:szCs w:val="21"/>
              </w:rPr>
            </w:pPr>
            <w:r>
              <w:rPr>
                <w:szCs w:val="21"/>
                <w:lang w:val="zh-CN"/>
              </w:rPr>
              <w:t>（4）有依法缴纳税收和社会保障金的良好记录</w:t>
            </w:r>
          </w:p>
        </w:tc>
        <w:tc>
          <w:tcPr>
            <w:tcW w:w="6242" w:type="dxa"/>
            <w:noWrap w:val="0"/>
            <w:vAlign w:val="top"/>
          </w:tcPr>
          <w:p w14:paraId="6C9F141C">
            <w:pPr>
              <w:spacing w:line="240" w:lineRule="exact"/>
              <w:jc w:val="left"/>
              <w:rPr>
                <w:color w:val="auto"/>
                <w:szCs w:val="21"/>
              </w:rPr>
            </w:pPr>
            <w:r>
              <w:rPr>
                <w:rFonts w:hint="eastAsia" w:ascii="宋体" w:hAnsi="宋体" w:cs="宋体"/>
                <w:szCs w:val="21"/>
              </w:rPr>
              <w:t>①</w:t>
            </w:r>
            <w:r>
              <w:rPr>
                <w:szCs w:val="21"/>
              </w:rPr>
              <w:t>审查投标截止</w:t>
            </w:r>
            <w:r>
              <w:rPr>
                <w:color w:val="auto"/>
                <w:szCs w:val="21"/>
              </w:rPr>
              <w:t>时间前6个月内，</w:t>
            </w:r>
            <w:r>
              <w:rPr>
                <w:rFonts w:hint="eastAsia"/>
                <w:color w:val="auto"/>
              </w:rPr>
              <w:t>供应商</w:t>
            </w:r>
            <w:r>
              <w:rPr>
                <w:color w:val="auto"/>
              </w:rPr>
              <w:t>任意</w:t>
            </w:r>
            <w:r>
              <w:rPr>
                <w:rFonts w:hint="eastAsia"/>
                <w:color w:val="auto"/>
              </w:rPr>
              <w:t>1个月</w:t>
            </w:r>
            <w:r>
              <w:rPr>
                <w:color w:val="auto"/>
                <w:szCs w:val="21"/>
              </w:rPr>
              <w:t>依法缴纳税费证明复印件加盖供应商</w:t>
            </w:r>
            <w:r>
              <w:rPr>
                <w:rFonts w:hint="eastAsia"/>
                <w:color w:val="auto"/>
                <w:szCs w:val="21"/>
              </w:rPr>
              <w:t>电子签章</w:t>
            </w:r>
            <w:r>
              <w:rPr>
                <w:color w:val="auto"/>
                <w:szCs w:val="21"/>
              </w:rPr>
              <w:t>。</w:t>
            </w:r>
          </w:p>
          <w:p w14:paraId="2BDBF208">
            <w:pPr>
              <w:spacing w:line="240" w:lineRule="exact"/>
              <w:jc w:val="left"/>
              <w:rPr>
                <w:color w:val="auto"/>
                <w:szCs w:val="21"/>
              </w:rPr>
            </w:pPr>
            <w:r>
              <w:rPr>
                <w:rFonts w:hint="eastAsia" w:ascii="宋体" w:hAnsi="宋体" w:cs="宋体"/>
                <w:color w:val="auto"/>
                <w:szCs w:val="21"/>
              </w:rPr>
              <w:t>②</w:t>
            </w:r>
            <w:r>
              <w:rPr>
                <w:color w:val="auto"/>
                <w:szCs w:val="21"/>
              </w:rPr>
              <w:t>审查投标截止时间前6个月内，</w:t>
            </w:r>
            <w:r>
              <w:rPr>
                <w:rFonts w:hint="eastAsia"/>
                <w:color w:val="auto"/>
              </w:rPr>
              <w:t>供应商</w:t>
            </w:r>
            <w:r>
              <w:rPr>
                <w:color w:val="auto"/>
              </w:rPr>
              <w:t>任意</w:t>
            </w:r>
            <w:r>
              <w:rPr>
                <w:rFonts w:hint="eastAsia"/>
                <w:color w:val="auto"/>
              </w:rPr>
              <w:t>1个月</w:t>
            </w:r>
            <w:r>
              <w:rPr>
                <w:color w:val="auto"/>
                <w:szCs w:val="21"/>
              </w:rPr>
              <w:t>的社保缴费证明记录复印件加盖供应商</w:t>
            </w:r>
            <w:r>
              <w:rPr>
                <w:rFonts w:hint="eastAsia"/>
                <w:color w:val="auto"/>
                <w:szCs w:val="21"/>
              </w:rPr>
              <w:t>电子签章</w:t>
            </w:r>
            <w:r>
              <w:rPr>
                <w:color w:val="auto"/>
                <w:szCs w:val="21"/>
              </w:rPr>
              <w:t>。</w:t>
            </w:r>
          </w:p>
          <w:p w14:paraId="60CC3184">
            <w:pPr>
              <w:spacing w:line="240" w:lineRule="exact"/>
              <w:jc w:val="left"/>
              <w:rPr>
                <w:szCs w:val="21"/>
              </w:rPr>
            </w:pPr>
            <w:r>
              <w:rPr>
                <w:szCs w:val="21"/>
              </w:rPr>
              <w:t>供应商成立不足</w:t>
            </w:r>
            <w:r>
              <w:rPr>
                <w:rFonts w:hint="eastAsia"/>
                <w:szCs w:val="21"/>
              </w:rPr>
              <w:t>1个月的，无须提供</w:t>
            </w:r>
            <w:r>
              <w:rPr>
                <w:szCs w:val="21"/>
              </w:rPr>
              <w:t>缴纳税费证明及社保缴费证明加盖供应商电子签章</w:t>
            </w:r>
            <w:r>
              <w:rPr>
                <w:rFonts w:hint="eastAsia"/>
                <w:szCs w:val="21"/>
              </w:rPr>
              <w:t>。</w:t>
            </w:r>
          </w:p>
          <w:p w14:paraId="0705A1F4">
            <w:pPr>
              <w:spacing w:line="240" w:lineRule="exact"/>
              <w:jc w:val="left"/>
              <w:rPr>
                <w:szCs w:val="21"/>
              </w:rPr>
            </w:pPr>
            <w:r>
              <w:rPr>
                <w:szCs w:val="21"/>
              </w:rPr>
              <w:t>依法免税或不需要缴纳社会保障资金的供应商，须提供相应文件证明其依法免税或不需要缴纳社会保障资金。</w:t>
            </w:r>
          </w:p>
        </w:tc>
      </w:tr>
      <w:tr w14:paraId="4CFF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3F1E3491">
            <w:pPr>
              <w:spacing w:line="240" w:lineRule="exact"/>
              <w:rPr>
                <w:szCs w:val="21"/>
                <w:lang w:val="zh-CN"/>
              </w:rPr>
            </w:pPr>
          </w:p>
        </w:tc>
        <w:tc>
          <w:tcPr>
            <w:tcW w:w="1843" w:type="dxa"/>
            <w:noWrap w:val="0"/>
            <w:vAlign w:val="center"/>
          </w:tcPr>
          <w:p w14:paraId="26E05759">
            <w:pPr>
              <w:spacing w:line="240" w:lineRule="exact"/>
              <w:jc w:val="left"/>
              <w:rPr>
                <w:szCs w:val="21"/>
              </w:rPr>
            </w:pPr>
            <w:r>
              <w:rPr>
                <w:szCs w:val="21"/>
              </w:rPr>
              <w:t>（5）参加政府采购活动前三年内，在经营活动中没有重大违法记录</w:t>
            </w:r>
          </w:p>
        </w:tc>
        <w:tc>
          <w:tcPr>
            <w:tcW w:w="6242" w:type="dxa"/>
            <w:noWrap w:val="0"/>
            <w:vAlign w:val="center"/>
          </w:tcPr>
          <w:p w14:paraId="0223EB74">
            <w:pPr>
              <w:spacing w:line="240" w:lineRule="exact"/>
              <w:jc w:val="left"/>
              <w:rPr>
                <w:szCs w:val="21"/>
              </w:rPr>
            </w:pPr>
            <w:r>
              <w:rPr>
                <w:szCs w:val="21"/>
              </w:rPr>
              <w:t xml:space="preserve">审查无重大违法记录声明。须提供，格式见第六章投标文件格式“投标声明书”。 </w:t>
            </w:r>
          </w:p>
        </w:tc>
      </w:tr>
      <w:tr w14:paraId="5AB0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2BAF4A5D">
            <w:pPr>
              <w:spacing w:line="240" w:lineRule="exact"/>
              <w:rPr>
                <w:szCs w:val="21"/>
                <w:lang w:val="zh-CN"/>
              </w:rPr>
            </w:pPr>
          </w:p>
        </w:tc>
        <w:tc>
          <w:tcPr>
            <w:tcW w:w="1843" w:type="dxa"/>
            <w:noWrap w:val="0"/>
            <w:vAlign w:val="center"/>
          </w:tcPr>
          <w:p w14:paraId="0FA62519">
            <w:pPr>
              <w:spacing w:line="240" w:lineRule="exact"/>
              <w:jc w:val="left"/>
              <w:rPr>
                <w:color w:val="auto"/>
                <w:szCs w:val="21"/>
              </w:rPr>
            </w:pPr>
            <w:r>
              <w:rPr>
                <w:color w:val="auto"/>
                <w:szCs w:val="21"/>
              </w:rPr>
              <w:t>（6）具备法律、行政法规规定的其他要求</w:t>
            </w:r>
          </w:p>
        </w:tc>
        <w:tc>
          <w:tcPr>
            <w:tcW w:w="6242" w:type="dxa"/>
            <w:noWrap w:val="0"/>
            <w:vAlign w:val="center"/>
          </w:tcPr>
          <w:p w14:paraId="084DD063">
            <w:pPr>
              <w:spacing w:line="240" w:lineRule="exact"/>
              <w:jc w:val="left"/>
              <w:rPr>
                <w:color w:val="auto"/>
                <w:szCs w:val="21"/>
              </w:rPr>
            </w:pPr>
            <w:r>
              <w:rPr>
                <w:color w:val="auto"/>
                <w:szCs w:val="21"/>
              </w:rPr>
              <w:t>无。</w:t>
            </w:r>
          </w:p>
        </w:tc>
      </w:tr>
      <w:tr w14:paraId="59B79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 w:hRule="atLeast"/>
        </w:trPr>
        <w:tc>
          <w:tcPr>
            <w:tcW w:w="846" w:type="dxa"/>
            <w:noWrap w:val="0"/>
            <w:vAlign w:val="center"/>
          </w:tcPr>
          <w:p w14:paraId="2355236C">
            <w:pPr>
              <w:spacing w:line="240" w:lineRule="exact"/>
              <w:rPr>
                <w:szCs w:val="21"/>
                <w:lang w:val="zh-CN"/>
              </w:rPr>
            </w:pPr>
            <w:r>
              <w:rPr>
                <w:rFonts w:hint="eastAsia"/>
                <w:kern w:val="0"/>
                <w:szCs w:val="21"/>
              </w:rPr>
              <w:t>采购政策</w:t>
            </w:r>
          </w:p>
        </w:tc>
        <w:tc>
          <w:tcPr>
            <w:tcW w:w="1843" w:type="dxa"/>
            <w:noWrap w:val="0"/>
            <w:vAlign w:val="center"/>
          </w:tcPr>
          <w:p w14:paraId="02AF0245">
            <w:pPr>
              <w:spacing w:line="240" w:lineRule="exact"/>
              <w:jc w:val="left"/>
              <w:rPr>
                <w:szCs w:val="21"/>
              </w:rPr>
            </w:pPr>
            <w:r>
              <w:rPr>
                <w:rFonts w:hint="eastAsia"/>
                <w:szCs w:val="21"/>
              </w:rPr>
              <w:t>落实政府采购政策需满足的资格要求</w:t>
            </w:r>
          </w:p>
        </w:tc>
        <w:tc>
          <w:tcPr>
            <w:tcW w:w="6242" w:type="dxa"/>
            <w:noWrap w:val="0"/>
            <w:vAlign w:val="center"/>
          </w:tcPr>
          <w:p w14:paraId="030C2CCB">
            <w:pPr>
              <w:spacing w:line="240" w:lineRule="exact"/>
              <w:rPr>
                <w:rFonts w:hint="eastAsia" w:ascii="宋体" w:hAnsi="宋体" w:cs="宋体"/>
                <w:szCs w:val="21"/>
              </w:rPr>
            </w:pPr>
            <w:r>
              <w:rPr>
                <w:rFonts w:hint="eastAsia" w:ascii="宋体" w:hAnsi="宋体" w:cs="宋体"/>
                <w:b/>
                <w:bCs/>
                <w:szCs w:val="21"/>
              </w:rPr>
              <w:t>情况一：</w:t>
            </w:r>
            <w:r>
              <w:rPr>
                <w:rFonts w:hint="eastAsia" w:ascii="宋体" w:hAnsi="宋体" w:cs="宋体"/>
                <w:szCs w:val="21"/>
              </w:rPr>
              <w:t>供应商独立投标：</w:t>
            </w:r>
          </w:p>
          <w:p w14:paraId="124D3382">
            <w:pPr>
              <w:spacing w:line="240" w:lineRule="exact"/>
              <w:rPr>
                <w:szCs w:val="21"/>
              </w:rPr>
            </w:pPr>
            <w:r>
              <w:rPr>
                <w:rFonts w:hint="eastAsia" w:ascii="宋体" w:hAnsi="宋体" w:cs="宋体"/>
                <w:szCs w:val="21"/>
              </w:rPr>
              <w:t>提供</w:t>
            </w:r>
            <w:r>
              <w:rPr>
                <w:rFonts w:hint="eastAsia"/>
                <w:szCs w:val="21"/>
              </w:rPr>
              <w:t>《中小企业声明函》</w:t>
            </w:r>
            <w:r>
              <w:rPr>
                <w:rFonts w:hint="eastAsia" w:ascii="宋体" w:hAnsi="宋体" w:cs="宋体"/>
                <w:szCs w:val="21"/>
              </w:rPr>
              <w:t>，符合</w:t>
            </w:r>
            <w:r>
              <w:rPr>
                <w:rFonts w:hint="eastAsia"/>
                <w:szCs w:val="21"/>
              </w:rPr>
              <w:t>提供招标文件标明所属行业的标的物的制造商应全部为中型或小型或微型企业</w:t>
            </w:r>
            <w:r>
              <w:rPr>
                <w:rFonts w:hint="eastAsia" w:ascii="宋体" w:hAnsi="宋体" w:cs="宋体"/>
                <w:szCs w:val="21"/>
              </w:rPr>
              <w:t>的条件</w:t>
            </w:r>
            <w:r>
              <w:rPr>
                <w:rFonts w:hint="eastAsia"/>
                <w:szCs w:val="21"/>
              </w:rPr>
              <w:t>。</w:t>
            </w:r>
          </w:p>
          <w:p w14:paraId="421A8410">
            <w:pPr>
              <w:spacing w:line="240" w:lineRule="exact"/>
              <w:rPr>
                <w:szCs w:val="21"/>
                <w:lang w:val="zh-CN"/>
              </w:rPr>
            </w:pPr>
            <w:r>
              <w:rPr>
                <w:rFonts w:hint="eastAsia"/>
                <w:b/>
                <w:bCs/>
                <w:szCs w:val="21"/>
              </w:rPr>
              <w:t>情况二：</w:t>
            </w:r>
            <w:r>
              <w:rPr>
                <w:rFonts w:hint="eastAsia"/>
                <w:szCs w:val="21"/>
              </w:rPr>
              <w:t>供应商以合同分包形式或联合体形式参与投标同时提供</w:t>
            </w:r>
            <w:r>
              <w:rPr>
                <w:rFonts w:hint="eastAsia"/>
                <w:szCs w:val="21"/>
                <w:lang w:val="zh-CN"/>
              </w:rPr>
              <w:t>：</w:t>
            </w:r>
          </w:p>
          <w:p w14:paraId="760CBBA9">
            <w:pPr>
              <w:tabs>
                <w:tab w:val="left" w:pos="1657"/>
              </w:tabs>
              <w:spacing w:line="240" w:lineRule="exact"/>
              <w:rPr>
                <w:rFonts w:hint="eastAsia" w:ascii="宋体" w:hAnsi="宋体" w:cs="宋体"/>
                <w:szCs w:val="21"/>
              </w:rPr>
            </w:pPr>
            <w:r>
              <w:rPr>
                <w:rFonts w:hint="eastAsia" w:ascii="宋体" w:hAnsi="宋体" w:cs="宋体"/>
                <w:szCs w:val="21"/>
              </w:rPr>
              <w:t>①提供分包意向协议书或联合体协议书且分包意向协议书或联合体协议书</w:t>
            </w:r>
            <w:r>
              <w:rPr>
                <w:rFonts w:hint="eastAsia"/>
                <w:szCs w:val="21"/>
              </w:rPr>
              <w:t>填报的中小微企业制造商提供的产品的比例为1</w:t>
            </w:r>
            <w:r>
              <w:rPr>
                <w:szCs w:val="21"/>
              </w:rPr>
              <w:t>00</w:t>
            </w:r>
            <w:r>
              <w:rPr>
                <w:rFonts w:hint="eastAsia"/>
                <w:szCs w:val="21"/>
              </w:rPr>
              <w:t>%</w:t>
            </w:r>
            <w:r>
              <w:rPr>
                <w:rFonts w:hint="eastAsia" w:ascii="宋体" w:hAnsi="宋体" w:cs="宋体"/>
                <w:szCs w:val="21"/>
              </w:rPr>
              <w:t>。</w:t>
            </w:r>
          </w:p>
          <w:p w14:paraId="0BE8F528">
            <w:pPr>
              <w:spacing w:line="240" w:lineRule="exact"/>
              <w:rPr>
                <w:szCs w:val="21"/>
              </w:rPr>
            </w:pPr>
            <w:r>
              <w:rPr>
                <w:rFonts w:hint="eastAsia" w:ascii="宋体" w:hAnsi="宋体" w:cs="宋体"/>
                <w:szCs w:val="21"/>
              </w:rPr>
              <w:t>②提供</w:t>
            </w:r>
            <w:r>
              <w:rPr>
                <w:rFonts w:hint="eastAsia"/>
                <w:szCs w:val="21"/>
              </w:rPr>
              <w:t>由供应商盖章的《中小企业声明函》，《中小企业声明函》中填报的招标文件标明所属行业标的物的制造商为中型或小型或微型企业。</w:t>
            </w:r>
          </w:p>
          <w:p w14:paraId="13CF8735">
            <w:pPr>
              <w:spacing w:line="240" w:lineRule="exact"/>
              <w:jc w:val="left"/>
              <w:rPr>
                <w:rFonts w:hint="eastAsia" w:ascii="宋体" w:hAnsi="宋体" w:cs="宋体"/>
                <w:szCs w:val="21"/>
              </w:rPr>
            </w:pPr>
            <w:r>
              <w:rPr>
                <w:rFonts w:hint="eastAsia"/>
                <w:szCs w:val="21"/>
              </w:rPr>
              <w:t>注：1、符合</w:t>
            </w:r>
            <w:r>
              <w:rPr>
                <w:rFonts w:hint="eastAsia" w:ascii="宋体" w:hAnsi="宋体" w:cs="宋体"/>
                <w:szCs w:val="21"/>
              </w:rPr>
              <w:t>监狱企业出具监狱企业证明文件的、符合残疾人福利性单位出具《残疾人福利性单位声明函》的视同小微企业。</w:t>
            </w:r>
          </w:p>
          <w:p w14:paraId="0E8872A2">
            <w:pPr>
              <w:spacing w:line="240" w:lineRule="exact"/>
              <w:jc w:val="left"/>
              <w:rPr>
                <w:szCs w:val="21"/>
              </w:rPr>
            </w:pPr>
            <w:r>
              <w:rPr>
                <w:szCs w:val="21"/>
              </w:rPr>
              <w:t>2</w:t>
            </w:r>
            <w:r>
              <w:rPr>
                <w:rFonts w:hint="eastAsia"/>
                <w:szCs w:val="21"/>
              </w:rPr>
              <w:t>、律师事务所、司法鉴定机构不适用《中小企业划型标准规定》，不享受中小企业发展政策。</w:t>
            </w:r>
          </w:p>
        </w:tc>
      </w:tr>
      <w:tr w14:paraId="6024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6" w:hRule="atLeast"/>
        </w:trPr>
        <w:tc>
          <w:tcPr>
            <w:tcW w:w="846" w:type="dxa"/>
            <w:vMerge w:val="restart"/>
            <w:noWrap w:val="0"/>
            <w:vAlign w:val="center"/>
          </w:tcPr>
          <w:p w14:paraId="4ACCF642">
            <w:pPr>
              <w:spacing w:line="240" w:lineRule="exact"/>
              <w:rPr>
                <w:szCs w:val="21"/>
              </w:rPr>
            </w:pPr>
            <w:r>
              <w:rPr>
                <w:rFonts w:hint="eastAsia"/>
                <w:szCs w:val="21"/>
                <w:lang w:val="zh-CN"/>
              </w:rPr>
              <w:t>投标人</w:t>
            </w:r>
            <w:r>
              <w:rPr>
                <w:szCs w:val="21"/>
                <w:lang w:val="zh-CN"/>
              </w:rPr>
              <w:t>应符合的</w:t>
            </w:r>
            <w:r>
              <w:rPr>
                <w:szCs w:val="21"/>
              </w:rPr>
              <w:t>特定资格</w:t>
            </w:r>
            <w:r>
              <w:rPr>
                <w:rFonts w:hint="eastAsia"/>
                <w:szCs w:val="21"/>
              </w:rPr>
              <w:t>要求</w:t>
            </w:r>
          </w:p>
        </w:tc>
        <w:tc>
          <w:tcPr>
            <w:tcW w:w="1843" w:type="dxa"/>
            <w:noWrap w:val="0"/>
            <w:vAlign w:val="center"/>
          </w:tcPr>
          <w:p w14:paraId="648DF753">
            <w:pPr>
              <w:spacing w:line="240" w:lineRule="exact"/>
              <w:jc w:val="left"/>
              <w:rPr>
                <w:szCs w:val="21"/>
              </w:rPr>
            </w:pPr>
            <w:r>
              <w:rPr>
                <w:szCs w:val="21"/>
              </w:rPr>
              <w:t>（1）资质</w:t>
            </w:r>
            <w:r>
              <w:rPr>
                <w:rFonts w:hint="eastAsia"/>
                <w:szCs w:val="21"/>
              </w:rPr>
              <w:t>要求</w:t>
            </w:r>
          </w:p>
        </w:tc>
        <w:tc>
          <w:tcPr>
            <w:tcW w:w="6242" w:type="dxa"/>
            <w:noWrap w:val="0"/>
            <w:vAlign w:val="center"/>
          </w:tcPr>
          <w:p w14:paraId="1CB4E092">
            <w:pPr>
              <w:spacing w:line="240" w:lineRule="exact"/>
              <w:jc w:val="left"/>
              <w:rPr>
                <w:szCs w:val="21"/>
              </w:rPr>
            </w:pPr>
            <w:r>
              <w:rPr>
                <w:szCs w:val="21"/>
              </w:rPr>
              <w:t>须符合</w:t>
            </w:r>
            <w:r>
              <w:rPr>
                <w:rFonts w:hint="eastAsia"/>
                <w:szCs w:val="21"/>
              </w:rPr>
              <w:t>“招标公告”</w:t>
            </w:r>
            <w:r>
              <w:rPr>
                <w:szCs w:val="21"/>
              </w:rPr>
              <w:t>的要求</w:t>
            </w:r>
          </w:p>
        </w:tc>
      </w:tr>
      <w:tr w14:paraId="34A5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rPr>
        <w:tc>
          <w:tcPr>
            <w:tcW w:w="846" w:type="dxa"/>
            <w:vMerge w:val="continue"/>
            <w:noWrap w:val="0"/>
            <w:vAlign w:val="center"/>
          </w:tcPr>
          <w:p w14:paraId="3EB46C54">
            <w:pPr>
              <w:spacing w:line="240" w:lineRule="exact"/>
              <w:rPr>
                <w:szCs w:val="21"/>
              </w:rPr>
            </w:pPr>
          </w:p>
        </w:tc>
        <w:tc>
          <w:tcPr>
            <w:tcW w:w="1843" w:type="dxa"/>
            <w:noWrap w:val="0"/>
            <w:vAlign w:val="center"/>
          </w:tcPr>
          <w:p w14:paraId="2D12722F">
            <w:pPr>
              <w:spacing w:line="240" w:lineRule="exact"/>
              <w:jc w:val="left"/>
              <w:rPr>
                <w:szCs w:val="21"/>
              </w:rPr>
            </w:pPr>
            <w:r>
              <w:rPr>
                <w:szCs w:val="21"/>
              </w:rPr>
              <w:t>（2）业绩要求</w:t>
            </w:r>
          </w:p>
        </w:tc>
        <w:tc>
          <w:tcPr>
            <w:tcW w:w="6242" w:type="dxa"/>
            <w:noWrap w:val="0"/>
            <w:vAlign w:val="center"/>
          </w:tcPr>
          <w:p w14:paraId="34326EF4">
            <w:pPr>
              <w:spacing w:line="240" w:lineRule="exact"/>
              <w:jc w:val="left"/>
              <w:rPr>
                <w:szCs w:val="21"/>
              </w:rPr>
            </w:pPr>
            <w:r>
              <w:rPr>
                <w:szCs w:val="21"/>
              </w:rPr>
              <w:t>须符合</w:t>
            </w:r>
            <w:r>
              <w:rPr>
                <w:rFonts w:hint="eastAsia"/>
                <w:szCs w:val="21"/>
              </w:rPr>
              <w:t>“招标公告”</w:t>
            </w:r>
            <w:r>
              <w:rPr>
                <w:szCs w:val="21"/>
              </w:rPr>
              <w:t>的要求</w:t>
            </w:r>
          </w:p>
        </w:tc>
      </w:tr>
      <w:tr w14:paraId="32746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4" w:hRule="atLeast"/>
        </w:trPr>
        <w:tc>
          <w:tcPr>
            <w:tcW w:w="846" w:type="dxa"/>
            <w:vMerge w:val="continue"/>
            <w:noWrap w:val="0"/>
            <w:vAlign w:val="center"/>
          </w:tcPr>
          <w:p w14:paraId="44BF9DBB">
            <w:pPr>
              <w:spacing w:line="240" w:lineRule="exact"/>
              <w:jc w:val="left"/>
              <w:rPr>
                <w:szCs w:val="21"/>
              </w:rPr>
            </w:pPr>
          </w:p>
        </w:tc>
        <w:tc>
          <w:tcPr>
            <w:tcW w:w="1843" w:type="dxa"/>
            <w:noWrap w:val="0"/>
            <w:vAlign w:val="center"/>
          </w:tcPr>
          <w:p w14:paraId="21B00F29">
            <w:pPr>
              <w:spacing w:line="240" w:lineRule="exact"/>
              <w:jc w:val="left"/>
              <w:rPr>
                <w:szCs w:val="21"/>
              </w:rPr>
            </w:pPr>
            <w:r>
              <w:rPr>
                <w:rFonts w:hint="eastAsia"/>
                <w:szCs w:val="21"/>
              </w:rPr>
              <w:t>（</w:t>
            </w:r>
            <w:r>
              <w:rPr>
                <w:szCs w:val="21"/>
              </w:rPr>
              <w:t>3</w:t>
            </w:r>
            <w:r>
              <w:rPr>
                <w:rFonts w:hint="eastAsia"/>
                <w:szCs w:val="21"/>
              </w:rPr>
              <w:t>）供应商不得参加投标的情形</w:t>
            </w:r>
          </w:p>
        </w:tc>
        <w:tc>
          <w:tcPr>
            <w:tcW w:w="6242" w:type="dxa"/>
            <w:noWrap w:val="0"/>
            <w:vAlign w:val="center"/>
          </w:tcPr>
          <w:p w14:paraId="6CD0B9B9">
            <w:pPr>
              <w:spacing w:line="240" w:lineRule="exact"/>
              <w:jc w:val="left"/>
              <w:rPr>
                <w:kern w:val="0"/>
                <w:szCs w:val="21"/>
              </w:rPr>
            </w:pPr>
            <w:r>
              <w:rPr>
                <w:kern w:val="0"/>
                <w:szCs w:val="21"/>
              </w:rPr>
              <w:t>单位负责人为同一人或者存在直接控股、管理关系的不同供应商，不得参加本项目同一合同项下的政府采购活动。为本项目提供整体设计、规范编制或者项目管理、监理、检测等服务的供应商，不得再参加</w:t>
            </w:r>
            <w:r>
              <w:rPr>
                <w:rFonts w:hint="eastAsia"/>
                <w:kern w:val="0"/>
                <w:szCs w:val="21"/>
              </w:rPr>
              <w:t>本</w:t>
            </w:r>
            <w:r>
              <w:rPr>
                <w:kern w:val="0"/>
                <w:szCs w:val="21"/>
              </w:rPr>
              <w:t>项目的采购活动。</w:t>
            </w:r>
          </w:p>
          <w:p w14:paraId="5ABB4EA9">
            <w:pPr>
              <w:spacing w:line="240" w:lineRule="exact"/>
              <w:jc w:val="left"/>
              <w:rPr>
                <w:szCs w:val="21"/>
              </w:rPr>
            </w:pPr>
            <w:r>
              <w:rPr>
                <w:szCs w:val="21"/>
              </w:rPr>
              <w:t>须提供，格式见第六章投标文件格式“</w:t>
            </w:r>
            <w:r>
              <w:rPr>
                <w:rFonts w:hint="eastAsia"/>
                <w:szCs w:val="21"/>
              </w:rPr>
              <w:t>投标人直接控股股东、管理关系信息表</w:t>
            </w:r>
            <w:r>
              <w:rPr>
                <w:szCs w:val="21"/>
              </w:rPr>
              <w:t>”。</w:t>
            </w:r>
          </w:p>
        </w:tc>
      </w:tr>
      <w:tr w14:paraId="68A25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846" w:type="dxa"/>
            <w:vMerge w:val="continue"/>
            <w:noWrap w:val="0"/>
            <w:vAlign w:val="center"/>
          </w:tcPr>
          <w:p w14:paraId="3CCD487E">
            <w:pPr>
              <w:spacing w:line="240" w:lineRule="exact"/>
              <w:jc w:val="left"/>
              <w:rPr>
                <w:kern w:val="0"/>
                <w:szCs w:val="21"/>
              </w:rPr>
            </w:pPr>
          </w:p>
        </w:tc>
        <w:tc>
          <w:tcPr>
            <w:tcW w:w="1843" w:type="dxa"/>
            <w:noWrap w:val="0"/>
            <w:vAlign w:val="center"/>
          </w:tcPr>
          <w:p w14:paraId="7D25D6DA">
            <w:pPr>
              <w:spacing w:line="240" w:lineRule="exact"/>
              <w:jc w:val="left"/>
              <w:rPr>
                <w:kern w:val="0"/>
                <w:szCs w:val="21"/>
              </w:rPr>
            </w:pPr>
            <w:r>
              <w:rPr>
                <w:rFonts w:hint="eastAsia"/>
                <w:szCs w:val="21"/>
              </w:rPr>
              <w:t>（</w:t>
            </w:r>
            <w:r>
              <w:rPr>
                <w:szCs w:val="21"/>
              </w:rPr>
              <w:t>4</w:t>
            </w:r>
            <w:r>
              <w:rPr>
                <w:rFonts w:hint="eastAsia"/>
                <w:szCs w:val="21"/>
              </w:rPr>
              <w:t>）诚信要求</w:t>
            </w:r>
          </w:p>
        </w:tc>
        <w:tc>
          <w:tcPr>
            <w:tcW w:w="6242" w:type="dxa"/>
            <w:noWrap w:val="0"/>
            <w:vAlign w:val="top"/>
          </w:tcPr>
          <w:p w14:paraId="1E4B68DE">
            <w:pPr>
              <w:spacing w:line="240" w:lineRule="exact"/>
              <w:jc w:val="left"/>
              <w:rPr>
                <w:kern w:val="0"/>
                <w:szCs w:val="21"/>
              </w:rPr>
            </w:pPr>
            <w:r>
              <w:rPr>
                <w:rFonts w:hint="eastAsia"/>
                <w:szCs w:val="21"/>
              </w:rPr>
              <w:t>未被列入失信被执行人、</w:t>
            </w:r>
            <w:r>
              <w:rPr>
                <w:szCs w:val="21"/>
              </w:rPr>
              <w:t>重大税收违法失信主体、政府采购严重违法失信行为记录名单</w:t>
            </w:r>
            <w:r>
              <w:rPr>
                <w:rFonts w:hint="eastAsia"/>
                <w:szCs w:val="21"/>
              </w:rPr>
              <w:t>。</w:t>
            </w:r>
          </w:p>
        </w:tc>
      </w:tr>
      <w:tr w14:paraId="7B673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846" w:type="dxa"/>
            <w:vMerge w:val="continue"/>
            <w:noWrap w:val="0"/>
            <w:vAlign w:val="center"/>
          </w:tcPr>
          <w:p w14:paraId="4319127E">
            <w:pPr>
              <w:spacing w:line="240" w:lineRule="exact"/>
              <w:jc w:val="left"/>
              <w:rPr>
                <w:kern w:val="0"/>
                <w:szCs w:val="21"/>
              </w:rPr>
            </w:pPr>
          </w:p>
        </w:tc>
        <w:tc>
          <w:tcPr>
            <w:tcW w:w="1843" w:type="dxa"/>
            <w:noWrap w:val="0"/>
            <w:vAlign w:val="center"/>
          </w:tcPr>
          <w:p w14:paraId="5AE7340D">
            <w:pPr>
              <w:spacing w:line="240" w:lineRule="exact"/>
              <w:jc w:val="left"/>
              <w:rPr>
                <w:szCs w:val="21"/>
              </w:rPr>
            </w:pPr>
            <w:r>
              <w:rPr>
                <w:rFonts w:hint="eastAsia"/>
                <w:szCs w:val="21"/>
              </w:rPr>
              <w:t>（5）分公司</w:t>
            </w:r>
          </w:p>
        </w:tc>
        <w:tc>
          <w:tcPr>
            <w:tcW w:w="6242" w:type="dxa"/>
            <w:noWrap w:val="0"/>
            <w:vAlign w:val="center"/>
          </w:tcPr>
          <w:p w14:paraId="701F72AF">
            <w:pPr>
              <w:spacing w:line="240" w:lineRule="exact"/>
              <w:rPr>
                <w:szCs w:val="21"/>
              </w:rPr>
            </w:pPr>
            <w:r>
              <w:rPr>
                <w:rFonts w:hint="eastAsia"/>
                <w:szCs w:val="21"/>
              </w:rPr>
              <w:t>允许分公司参与投标的，供应商须提供总公司出具的授权其参与本项目的授权文件或制度。</w:t>
            </w:r>
          </w:p>
        </w:tc>
      </w:tr>
      <w:tr w14:paraId="1CBB7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846" w:type="dxa"/>
            <w:vMerge w:val="continue"/>
            <w:noWrap w:val="0"/>
            <w:vAlign w:val="center"/>
          </w:tcPr>
          <w:p w14:paraId="1B45EFF3">
            <w:pPr>
              <w:spacing w:line="240" w:lineRule="exact"/>
              <w:jc w:val="left"/>
              <w:rPr>
                <w:kern w:val="0"/>
                <w:szCs w:val="21"/>
              </w:rPr>
            </w:pPr>
          </w:p>
        </w:tc>
        <w:tc>
          <w:tcPr>
            <w:tcW w:w="1843" w:type="dxa"/>
            <w:noWrap w:val="0"/>
            <w:vAlign w:val="center"/>
          </w:tcPr>
          <w:p w14:paraId="75BFA705">
            <w:pPr>
              <w:spacing w:line="240" w:lineRule="exact"/>
              <w:jc w:val="left"/>
              <w:rPr>
                <w:szCs w:val="21"/>
              </w:rPr>
            </w:pPr>
            <w:r>
              <w:rPr>
                <w:rFonts w:hint="eastAsia"/>
                <w:szCs w:val="21"/>
              </w:rPr>
              <w:t>（</w:t>
            </w:r>
            <w:r>
              <w:rPr>
                <w:szCs w:val="21"/>
              </w:rPr>
              <w:t>6</w:t>
            </w:r>
            <w:r>
              <w:rPr>
                <w:rFonts w:hint="eastAsia"/>
                <w:szCs w:val="21"/>
              </w:rPr>
              <w:t>）分包</w:t>
            </w:r>
          </w:p>
        </w:tc>
        <w:tc>
          <w:tcPr>
            <w:tcW w:w="6242" w:type="dxa"/>
            <w:noWrap w:val="0"/>
            <w:vAlign w:val="center"/>
          </w:tcPr>
          <w:p w14:paraId="674F35C1">
            <w:pPr>
              <w:spacing w:line="240" w:lineRule="exact"/>
              <w:rPr>
                <w:szCs w:val="21"/>
                <w:lang w:val="zh-CN"/>
              </w:rPr>
            </w:pPr>
            <w:r>
              <w:rPr>
                <w:szCs w:val="21"/>
              </w:rPr>
              <w:t>须符合</w:t>
            </w:r>
            <w:r>
              <w:rPr>
                <w:rFonts w:hint="eastAsia"/>
                <w:szCs w:val="21"/>
              </w:rPr>
              <w:t>“招标公告”</w:t>
            </w:r>
            <w:r>
              <w:rPr>
                <w:szCs w:val="21"/>
              </w:rPr>
              <w:t>的要求</w:t>
            </w:r>
          </w:p>
        </w:tc>
      </w:tr>
      <w:tr w14:paraId="5658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846" w:type="dxa"/>
            <w:vMerge w:val="continue"/>
            <w:noWrap w:val="0"/>
            <w:vAlign w:val="center"/>
          </w:tcPr>
          <w:p w14:paraId="71074975">
            <w:pPr>
              <w:spacing w:line="240" w:lineRule="exact"/>
              <w:jc w:val="left"/>
              <w:rPr>
                <w:kern w:val="0"/>
                <w:szCs w:val="21"/>
              </w:rPr>
            </w:pPr>
          </w:p>
        </w:tc>
        <w:tc>
          <w:tcPr>
            <w:tcW w:w="1843" w:type="dxa"/>
            <w:noWrap w:val="0"/>
            <w:vAlign w:val="center"/>
          </w:tcPr>
          <w:p w14:paraId="3323C197">
            <w:pPr>
              <w:spacing w:line="240" w:lineRule="exact"/>
              <w:jc w:val="left"/>
              <w:rPr>
                <w:szCs w:val="21"/>
              </w:rPr>
            </w:pPr>
            <w:r>
              <w:rPr>
                <w:rFonts w:hint="eastAsia"/>
                <w:szCs w:val="21"/>
              </w:rPr>
              <w:t>（</w:t>
            </w:r>
            <w:r>
              <w:rPr>
                <w:szCs w:val="21"/>
              </w:rPr>
              <w:t>7</w:t>
            </w:r>
            <w:r>
              <w:rPr>
                <w:rFonts w:hint="eastAsia"/>
                <w:szCs w:val="21"/>
              </w:rPr>
              <w:t>）联合体</w:t>
            </w:r>
          </w:p>
        </w:tc>
        <w:tc>
          <w:tcPr>
            <w:tcW w:w="6242" w:type="dxa"/>
            <w:noWrap w:val="0"/>
            <w:vAlign w:val="center"/>
          </w:tcPr>
          <w:p w14:paraId="011D07A7">
            <w:pPr>
              <w:spacing w:line="240" w:lineRule="exact"/>
              <w:rPr>
                <w:szCs w:val="21"/>
              </w:rPr>
            </w:pPr>
            <w:r>
              <w:rPr>
                <w:rFonts w:hint="eastAsia"/>
                <w:szCs w:val="21"/>
                <w:lang w:val="zh-CN"/>
              </w:rPr>
              <w:t>须符合“招标公告”的要求</w:t>
            </w:r>
          </w:p>
        </w:tc>
      </w:tr>
      <w:tr w14:paraId="501C8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trPr>
        <w:tc>
          <w:tcPr>
            <w:tcW w:w="846" w:type="dxa"/>
            <w:vMerge w:val="continue"/>
            <w:noWrap w:val="0"/>
            <w:vAlign w:val="center"/>
          </w:tcPr>
          <w:p w14:paraId="4BCC9F59">
            <w:pPr>
              <w:spacing w:line="240" w:lineRule="exact"/>
              <w:jc w:val="left"/>
              <w:rPr>
                <w:kern w:val="0"/>
                <w:szCs w:val="21"/>
              </w:rPr>
            </w:pPr>
          </w:p>
        </w:tc>
        <w:tc>
          <w:tcPr>
            <w:tcW w:w="1843" w:type="dxa"/>
            <w:noWrap w:val="0"/>
            <w:vAlign w:val="center"/>
          </w:tcPr>
          <w:p w14:paraId="332315FE">
            <w:pPr>
              <w:spacing w:line="240" w:lineRule="exact"/>
              <w:jc w:val="left"/>
              <w:rPr>
                <w:szCs w:val="21"/>
              </w:rPr>
            </w:pPr>
            <w:r>
              <w:rPr>
                <w:rFonts w:hint="eastAsia"/>
                <w:szCs w:val="21"/>
              </w:rPr>
              <w:t>（</w:t>
            </w:r>
            <w:r>
              <w:rPr>
                <w:szCs w:val="21"/>
              </w:rPr>
              <w:t>8</w:t>
            </w:r>
            <w:r>
              <w:rPr>
                <w:rFonts w:hint="eastAsia"/>
                <w:szCs w:val="21"/>
              </w:rPr>
              <w:t>）其他要求</w:t>
            </w:r>
          </w:p>
        </w:tc>
        <w:tc>
          <w:tcPr>
            <w:tcW w:w="6242" w:type="dxa"/>
            <w:noWrap w:val="0"/>
            <w:vAlign w:val="top"/>
          </w:tcPr>
          <w:p w14:paraId="504921FA">
            <w:pPr>
              <w:spacing w:line="312" w:lineRule="auto"/>
              <w:jc w:val="left"/>
              <w:rPr>
                <w:kern w:val="0"/>
                <w:szCs w:val="21"/>
              </w:rPr>
            </w:pPr>
            <w:r>
              <w:rPr>
                <w:rFonts w:hint="eastAsia"/>
                <w:kern w:val="0"/>
                <w:szCs w:val="21"/>
              </w:rPr>
              <w:t>按</w:t>
            </w:r>
            <w:r>
              <w:rPr>
                <w:kern w:val="0"/>
                <w:szCs w:val="21"/>
              </w:rPr>
              <w:t>照招标公告规定获得招标文件。</w:t>
            </w:r>
            <w:r>
              <w:rPr>
                <w:rFonts w:hint="eastAsia"/>
                <w:kern w:val="0"/>
                <w:szCs w:val="21"/>
              </w:rPr>
              <w:t>足额、及时缴纳投标保证金。</w:t>
            </w:r>
          </w:p>
        </w:tc>
      </w:tr>
      <w:bookmarkEnd w:id="116"/>
    </w:tbl>
    <w:p w14:paraId="3BDFB28D">
      <w:pPr>
        <w:suppressAutoHyphens/>
        <w:spacing w:before="120" w:line="320" w:lineRule="atLeast"/>
        <w:ind w:firstLine="422" w:firstLineChars="200"/>
        <w:rPr>
          <w:b/>
          <w:bCs/>
          <w:kern w:val="0"/>
          <w:szCs w:val="21"/>
        </w:rPr>
      </w:pPr>
    </w:p>
    <w:p w14:paraId="4EB5CFB4">
      <w:pPr>
        <w:spacing w:before="120" w:line="320" w:lineRule="atLeast"/>
        <w:ind w:firstLine="413" w:firstLineChars="196"/>
        <w:outlineLvl w:val="1"/>
        <w:rPr>
          <w:szCs w:val="21"/>
        </w:rPr>
      </w:pPr>
      <w:bookmarkStart w:id="117" w:name="_Hlk19113393"/>
      <w:r>
        <w:rPr>
          <w:b/>
          <w:bCs/>
          <w:kern w:val="0"/>
          <w:szCs w:val="21"/>
        </w:rPr>
        <w:t>3</w:t>
      </w:r>
      <w:r>
        <w:rPr>
          <w:rFonts w:hint="eastAsia"/>
          <w:b/>
          <w:bCs/>
          <w:kern w:val="0"/>
          <w:szCs w:val="21"/>
        </w:rPr>
        <w:t>.</w:t>
      </w:r>
      <w:r>
        <w:rPr>
          <w:b/>
          <w:bCs/>
          <w:kern w:val="0"/>
          <w:szCs w:val="21"/>
        </w:rPr>
        <w:t>符合性审查</w:t>
      </w:r>
      <w:r>
        <w:rPr>
          <w:rFonts w:hint="eastAsia"/>
          <w:b/>
          <w:bCs/>
          <w:kern w:val="0"/>
          <w:szCs w:val="21"/>
        </w:rPr>
        <w:t>标准（不满足任何一项审查内容要求，符合性审查即为不合格）</w:t>
      </w:r>
    </w:p>
    <w:tbl>
      <w:tblPr>
        <w:tblStyle w:val="53"/>
        <w:tblW w:w="92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2405"/>
        <w:gridCol w:w="5241"/>
      </w:tblGrid>
      <w:tr w14:paraId="14EBC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559" w:type="dxa"/>
            <w:noWrap w:val="0"/>
            <w:vAlign w:val="center"/>
          </w:tcPr>
          <w:p w14:paraId="2C3FC03F">
            <w:pPr>
              <w:spacing w:line="240" w:lineRule="exact"/>
              <w:jc w:val="center"/>
              <w:rPr>
                <w:b/>
                <w:kern w:val="0"/>
                <w:szCs w:val="21"/>
              </w:rPr>
            </w:pPr>
            <w:bookmarkStart w:id="118" w:name="_Hlk92966680"/>
            <w:r>
              <w:rPr>
                <w:rFonts w:hint="eastAsia"/>
                <w:b/>
                <w:kern w:val="0"/>
                <w:szCs w:val="21"/>
              </w:rPr>
              <w:t>审查</w:t>
            </w:r>
            <w:r>
              <w:rPr>
                <w:b/>
                <w:kern w:val="0"/>
                <w:szCs w:val="21"/>
              </w:rPr>
              <w:t>因素</w:t>
            </w:r>
          </w:p>
        </w:tc>
        <w:tc>
          <w:tcPr>
            <w:tcW w:w="2405" w:type="dxa"/>
            <w:noWrap w:val="0"/>
            <w:vAlign w:val="center"/>
          </w:tcPr>
          <w:p w14:paraId="12286F99">
            <w:pPr>
              <w:spacing w:line="240" w:lineRule="exact"/>
              <w:jc w:val="center"/>
              <w:rPr>
                <w:b/>
                <w:kern w:val="0"/>
                <w:szCs w:val="21"/>
              </w:rPr>
            </w:pPr>
            <w:r>
              <w:rPr>
                <w:rFonts w:hint="eastAsia"/>
                <w:b/>
                <w:kern w:val="0"/>
                <w:szCs w:val="21"/>
              </w:rPr>
              <w:t>审查内容</w:t>
            </w:r>
          </w:p>
        </w:tc>
        <w:tc>
          <w:tcPr>
            <w:tcW w:w="5241" w:type="dxa"/>
            <w:noWrap w:val="0"/>
            <w:vAlign w:val="top"/>
          </w:tcPr>
          <w:p w14:paraId="44144E6F">
            <w:pPr>
              <w:spacing w:line="240" w:lineRule="exact"/>
              <w:jc w:val="center"/>
              <w:rPr>
                <w:b/>
                <w:kern w:val="0"/>
                <w:szCs w:val="21"/>
              </w:rPr>
            </w:pPr>
            <w:r>
              <w:rPr>
                <w:rFonts w:hint="eastAsia"/>
                <w:b/>
                <w:kern w:val="0"/>
                <w:szCs w:val="21"/>
              </w:rPr>
              <w:t>说明</w:t>
            </w:r>
          </w:p>
        </w:tc>
      </w:tr>
      <w:tr w14:paraId="7B48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1559" w:type="dxa"/>
            <w:vMerge w:val="restart"/>
            <w:noWrap w:val="0"/>
            <w:vAlign w:val="center"/>
          </w:tcPr>
          <w:p w14:paraId="45573621">
            <w:pPr>
              <w:spacing w:line="240" w:lineRule="exact"/>
              <w:jc w:val="center"/>
              <w:rPr>
                <w:kern w:val="0"/>
                <w:szCs w:val="21"/>
              </w:rPr>
            </w:pPr>
            <w:r>
              <w:rPr>
                <w:rFonts w:hint="eastAsia"/>
                <w:kern w:val="0"/>
                <w:szCs w:val="21"/>
              </w:rPr>
              <w:t>商务资信</w:t>
            </w:r>
          </w:p>
        </w:tc>
        <w:tc>
          <w:tcPr>
            <w:tcW w:w="2405" w:type="dxa"/>
            <w:noWrap w:val="0"/>
            <w:vAlign w:val="center"/>
          </w:tcPr>
          <w:p w14:paraId="2E98E486">
            <w:pPr>
              <w:spacing w:line="240" w:lineRule="exact"/>
            </w:pPr>
            <w:r>
              <w:rPr>
                <w:rFonts w:hint="eastAsia"/>
              </w:rPr>
              <w:t>法定代表人身份证明及授权委托书</w:t>
            </w:r>
          </w:p>
        </w:tc>
        <w:tc>
          <w:tcPr>
            <w:tcW w:w="5241" w:type="dxa"/>
            <w:noWrap w:val="0"/>
            <w:vAlign w:val="center"/>
          </w:tcPr>
          <w:p w14:paraId="4741EADA">
            <w:pPr>
              <w:spacing w:line="240" w:lineRule="exact"/>
              <w:rPr>
                <w:szCs w:val="21"/>
              </w:rPr>
            </w:pPr>
            <w:r>
              <w:rPr>
                <w:rFonts w:hint="eastAsia"/>
                <w:szCs w:val="21"/>
              </w:rPr>
              <w:t>授权</w:t>
            </w:r>
            <w:r>
              <w:rPr>
                <w:szCs w:val="21"/>
              </w:rPr>
              <w:t>代表</w:t>
            </w:r>
            <w:r>
              <w:rPr>
                <w:rFonts w:hint="eastAsia"/>
                <w:szCs w:val="21"/>
              </w:rPr>
              <w:t>参加投标</w:t>
            </w:r>
            <w:r>
              <w:rPr>
                <w:szCs w:val="21"/>
              </w:rPr>
              <w:t>时审查</w:t>
            </w:r>
            <w:r>
              <w:t>：</w:t>
            </w:r>
            <w:r>
              <w:rPr>
                <w:rFonts w:ascii="宋体" w:hAnsi="宋体"/>
                <w:szCs w:val="21"/>
              </w:rPr>
              <w:t>法定代表人授权委托书及附件</w:t>
            </w:r>
            <w:r>
              <w:rPr>
                <w:szCs w:val="21"/>
              </w:rPr>
              <w:t xml:space="preserve"> </w:t>
            </w:r>
          </w:p>
          <w:p w14:paraId="0EB3B001">
            <w:pPr>
              <w:spacing w:line="240" w:lineRule="exact"/>
              <w:rPr>
                <w:rFonts w:hint="eastAsia" w:ascii="宋体" w:hAnsi="宋体"/>
                <w:szCs w:val="21"/>
              </w:rPr>
            </w:pPr>
            <w:r>
              <w:rPr>
                <w:rFonts w:hint="eastAsia"/>
                <w:szCs w:val="21"/>
              </w:rPr>
              <w:t>法定代表人直接参加投标</w:t>
            </w:r>
            <w:r>
              <w:rPr>
                <w:szCs w:val="21"/>
              </w:rPr>
              <w:t>时审查</w:t>
            </w:r>
            <w:r>
              <w:t>：</w:t>
            </w:r>
            <w:r>
              <w:rPr>
                <w:rFonts w:ascii="宋体" w:hAnsi="宋体"/>
                <w:szCs w:val="21"/>
              </w:rPr>
              <w:t>法定代表人身份证明</w:t>
            </w:r>
            <w:r>
              <w:rPr>
                <w:rFonts w:hint="eastAsia" w:ascii="宋体" w:hAnsi="宋体"/>
                <w:szCs w:val="21"/>
              </w:rPr>
              <w:t>及</w:t>
            </w:r>
            <w:r>
              <w:rPr>
                <w:rFonts w:ascii="宋体" w:hAnsi="宋体"/>
                <w:szCs w:val="21"/>
              </w:rPr>
              <w:t>附件</w:t>
            </w:r>
          </w:p>
          <w:p w14:paraId="07A90087">
            <w:pPr>
              <w:spacing w:line="240" w:lineRule="exact"/>
            </w:pPr>
            <w:r>
              <w:rPr>
                <w:rFonts w:ascii="宋体" w:hAnsi="宋体"/>
                <w:szCs w:val="21"/>
              </w:rPr>
              <w:t>格式及附件见第六章投标文件格式要求</w:t>
            </w:r>
          </w:p>
        </w:tc>
      </w:tr>
      <w:tr w14:paraId="5F5F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559" w:type="dxa"/>
            <w:vMerge w:val="continue"/>
            <w:noWrap w:val="0"/>
            <w:vAlign w:val="center"/>
          </w:tcPr>
          <w:p w14:paraId="1D42C604">
            <w:pPr>
              <w:spacing w:line="240" w:lineRule="exact"/>
              <w:jc w:val="center"/>
              <w:rPr>
                <w:kern w:val="0"/>
                <w:szCs w:val="21"/>
              </w:rPr>
            </w:pPr>
          </w:p>
        </w:tc>
        <w:tc>
          <w:tcPr>
            <w:tcW w:w="2405" w:type="dxa"/>
            <w:noWrap w:val="0"/>
            <w:vAlign w:val="center"/>
          </w:tcPr>
          <w:p w14:paraId="1AB87E25">
            <w:pPr>
              <w:spacing w:line="240" w:lineRule="exact"/>
              <w:rPr>
                <w:szCs w:val="21"/>
              </w:rPr>
            </w:pPr>
            <w:r>
              <w:rPr>
                <w:rFonts w:hint="eastAsia"/>
                <w:szCs w:val="21"/>
              </w:rPr>
              <w:t>实质性条款响应</w:t>
            </w:r>
          </w:p>
        </w:tc>
        <w:tc>
          <w:tcPr>
            <w:tcW w:w="5241" w:type="dxa"/>
            <w:noWrap w:val="0"/>
            <w:vAlign w:val="center"/>
          </w:tcPr>
          <w:p w14:paraId="56CE662A">
            <w:pPr>
              <w:spacing w:line="240" w:lineRule="exact"/>
              <w:rPr>
                <w:szCs w:val="21"/>
              </w:rPr>
            </w:pPr>
            <w:r>
              <w:rPr>
                <w:rFonts w:hint="eastAsia" w:ascii="宋体" w:hAnsi="宋体"/>
                <w:color w:val="000000"/>
                <w:szCs w:val="21"/>
              </w:rPr>
              <w:t>招标文件实质性要求响应均无负偏离</w:t>
            </w:r>
          </w:p>
        </w:tc>
      </w:tr>
      <w:tr w14:paraId="051CF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1559" w:type="dxa"/>
            <w:vMerge w:val="continue"/>
            <w:noWrap w:val="0"/>
            <w:vAlign w:val="center"/>
          </w:tcPr>
          <w:p w14:paraId="43371DCD">
            <w:pPr>
              <w:spacing w:line="240" w:lineRule="exact"/>
              <w:jc w:val="center"/>
              <w:rPr>
                <w:kern w:val="0"/>
                <w:szCs w:val="21"/>
              </w:rPr>
            </w:pPr>
          </w:p>
        </w:tc>
        <w:tc>
          <w:tcPr>
            <w:tcW w:w="2405" w:type="dxa"/>
            <w:noWrap w:val="0"/>
            <w:vAlign w:val="center"/>
          </w:tcPr>
          <w:p w14:paraId="56B4FEF9">
            <w:pPr>
              <w:spacing w:line="240" w:lineRule="exact"/>
              <w:rPr>
                <w:szCs w:val="21"/>
              </w:rPr>
            </w:pPr>
            <w:r>
              <w:rPr>
                <w:rFonts w:hint="eastAsia"/>
                <w:szCs w:val="21"/>
              </w:rPr>
              <w:t>串通投标</w:t>
            </w:r>
          </w:p>
        </w:tc>
        <w:tc>
          <w:tcPr>
            <w:tcW w:w="5241" w:type="dxa"/>
            <w:noWrap w:val="0"/>
            <w:vAlign w:val="center"/>
          </w:tcPr>
          <w:p w14:paraId="5A36881E">
            <w:pPr>
              <w:spacing w:line="240" w:lineRule="exact"/>
              <w:rPr>
                <w:szCs w:val="21"/>
              </w:rPr>
            </w:pPr>
            <w:r>
              <w:rPr>
                <w:rFonts w:hint="eastAsia" w:ascii="宋体" w:hAnsi="宋体"/>
                <w:color w:val="000000"/>
                <w:szCs w:val="21"/>
              </w:rPr>
              <w:t>不属于投标人须知正文</w:t>
            </w:r>
            <w:r>
              <w:rPr>
                <w:rFonts w:hint="eastAsia" w:ascii="宋体" w:hAnsi="宋体"/>
                <w:szCs w:val="21"/>
              </w:rPr>
              <w:t>第</w:t>
            </w:r>
            <w:r>
              <w:rPr>
                <w:rFonts w:ascii="宋体" w:hAnsi="宋体"/>
                <w:szCs w:val="21"/>
              </w:rPr>
              <w:t>6</w:t>
            </w:r>
            <w:r>
              <w:rPr>
                <w:rFonts w:hint="eastAsia" w:ascii="宋体" w:hAnsi="宋体"/>
                <w:szCs w:val="21"/>
              </w:rPr>
              <w:t>.</w:t>
            </w:r>
            <w:r>
              <w:rPr>
                <w:rFonts w:ascii="宋体" w:hAnsi="宋体"/>
                <w:szCs w:val="21"/>
              </w:rPr>
              <w:t>3</w:t>
            </w:r>
            <w:r>
              <w:rPr>
                <w:rFonts w:hint="eastAsia" w:ascii="宋体" w:hAnsi="宋体"/>
                <w:szCs w:val="21"/>
              </w:rPr>
              <w:t>.</w:t>
            </w:r>
            <w:r>
              <w:rPr>
                <w:rFonts w:hint="eastAsia" w:ascii="宋体" w:hAnsi="宋体"/>
                <w:szCs w:val="21"/>
                <w:lang w:val="en-US" w:eastAsia="zh-CN"/>
              </w:rPr>
              <w:t>7</w:t>
            </w:r>
            <w:r>
              <w:rPr>
                <w:rFonts w:hint="eastAsia" w:ascii="宋体" w:hAnsi="宋体"/>
                <w:szCs w:val="21"/>
              </w:rPr>
              <w:t>规定的串通投标情形，见</w:t>
            </w:r>
            <w:r>
              <w:rPr>
                <w:rFonts w:ascii="宋体" w:hAnsi="宋体"/>
                <w:szCs w:val="21"/>
              </w:rPr>
              <w:t>第六章投标文件格式要求</w:t>
            </w:r>
          </w:p>
        </w:tc>
      </w:tr>
      <w:tr w14:paraId="36AE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559" w:type="dxa"/>
            <w:vMerge w:val="restart"/>
            <w:noWrap w:val="0"/>
            <w:vAlign w:val="center"/>
          </w:tcPr>
          <w:p w14:paraId="44D12433">
            <w:pPr>
              <w:spacing w:line="240" w:lineRule="exact"/>
              <w:jc w:val="center"/>
              <w:rPr>
                <w:szCs w:val="21"/>
              </w:rPr>
            </w:pPr>
            <w:r>
              <w:rPr>
                <w:rFonts w:hint="eastAsia"/>
                <w:kern w:val="0"/>
                <w:szCs w:val="21"/>
              </w:rPr>
              <w:t>技术</w:t>
            </w:r>
          </w:p>
        </w:tc>
        <w:tc>
          <w:tcPr>
            <w:tcW w:w="2405" w:type="dxa"/>
            <w:noWrap w:val="0"/>
            <w:vAlign w:val="center"/>
          </w:tcPr>
          <w:p w14:paraId="4B3D1C55">
            <w:pPr>
              <w:spacing w:line="240" w:lineRule="exact"/>
              <w:rPr>
                <w:szCs w:val="21"/>
              </w:rPr>
            </w:pPr>
            <w:r>
              <w:rPr>
                <w:rFonts w:hint="eastAsia"/>
                <w:szCs w:val="21"/>
              </w:rPr>
              <w:t>节能产品（如有）</w:t>
            </w:r>
          </w:p>
        </w:tc>
        <w:tc>
          <w:tcPr>
            <w:tcW w:w="5241" w:type="dxa"/>
            <w:noWrap w:val="0"/>
            <w:vAlign w:val="center"/>
          </w:tcPr>
          <w:p w14:paraId="06928BDE">
            <w:pPr>
              <w:spacing w:line="240" w:lineRule="exact"/>
              <w:rPr>
                <w:bCs/>
                <w:kern w:val="0"/>
                <w:szCs w:val="21"/>
              </w:rPr>
            </w:pPr>
            <w:r>
              <w:rPr>
                <w:rFonts w:hint="eastAsia"/>
                <w:szCs w:val="21"/>
              </w:rPr>
              <w:t>采购需求</w:t>
            </w:r>
            <w:r>
              <w:rPr>
                <w:szCs w:val="21"/>
              </w:rPr>
              <w:t>如果包括政府强制采购节能产品</w:t>
            </w:r>
            <w:r>
              <w:rPr>
                <w:rFonts w:hint="eastAsia"/>
                <w:szCs w:val="21"/>
              </w:rPr>
              <w:t>，投标</w:t>
            </w:r>
            <w:r>
              <w:rPr>
                <w:szCs w:val="21"/>
              </w:rPr>
              <w:t>产品</w:t>
            </w:r>
            <w:r>
              <w:rPr>
                <w:rFonts w:hint="eastAsia"/>
                <w:szCs w:val="21"/>
              </w:rPr>
              <w:t>未使用节能产品政府采购品目清单内的产品，或未处于有效期之内，</w:t>
            </w:r>
            <w:r>
              <w:rPr>
                <w:rFonts w:ascii="宋体" w:hAnsi="宋体"/>
                <w:szCs w:val="21"/>
              </w:rPr>
              <w:t>见第六章投标文件格式要求</w:t>
            </w:r>
          </w:p>
        </w:tc>
      </w:tr>
      <w:tr w14:paraId="10A38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59" w:type="dxa"/>
            <w:vMerge w:val="continue"/>
            <w:noWrap w:val="0"/>
            <w:vAlign w:val="center"/>
          </w:tcPr>
          <w:p w14:paraId="4FDA0E2C">
            <w:pPr>
              <w:spacing w:line="240" w:lineRule="exact"/>
              <w:jc w:val="center"/>
              <w:rPr>
                <w:kern w:val="0"/>
                <w:szCs w:val="21"/>
              </w:rPr>
            </w:pPr>
          </w:p>
        </w:tc>
        <w:tc>
          <w:tcPr>
            <w:tcW w:w="2405" w:type="dxa"/>
            <w:noWrap w:val="0"/>
            <w:vAlign w:val="center"/>
          </w:tcPr>
          <w:p w14:paraId="27970CB6">
            <w:pPr>
              <w:spacing w:line="240" w:lineRule="exact"/>
              <w:rPr>
                <w:szCs w:val="21"/>
              </w:rPr>
            </w:pPr>
            <w:r>
              <w:rPr>
                <w:rFonts w:hint="eastAsia"/>
                <w:szCs w:val="21"/>
              </w:rPr>
              <w:t>网络安全专用产品（如有）</w:t>
            </w:r>
          </w:p>
        </w:tc>
        <w:tc>
          <w:tcPr>
            <w:tcW w:w="5241" w:type="dxa"/>
            <w:noWrap w:val="0"/>
            <w:vAlign w:val="center"/>
          </w:tcPr>
          <w:p w14:paraId="60B4E18C">
            <w:pPr>
              <w:spacing w:line="240" w:lineRule="exact"/>
              <w:rPr>
                <w:rFonts w:hint="eastAsia" w:ascii="宋体" w:hAnsi="宋体"/>
                <w:szCs w:val="21"/>
              </w:rPr>
            </w:pPr>
            <w:r>
              <w:rPr>
                <w:szCs w:val="21"/>
              </w:rPr>
              <w:t>采购</w:t>
            </w:r>
            <w:r>
              <w:rPr>
                <w:rFonts w:hint="eastAsia"/>
                <w:szCs w:val="21"/>
              </w:rPr>
              <w:t>需求</w:t>
            </w:r>
            <w:r>
              <w:rPr>
                <w:szCs w:val="21"/>
              </w:rPr>
              <w:t>如果包括《</w:t>
            </w:r>
            <w:r>
              <w:rPr>
                <w:rFonts w:hint="eastAsia"/>
                <w:szCs w:val="21"/>
              </w:rPr>
              <w:t>网络关键设备和网络安全专用产品目录</w:t>
            </w:r>
            <w:r>
              <w:rPr>
                <w:szCs w:val="21"/>
              </w:rPr>
              <w:t>》</w:t>
            </w:r>
            <w:r>
              <w:rPr>
                <w:rFonts w:hint="eastAsia"/>
                <w:szCs w:val="21"/>
              </w:rPr>
              <w:t>所规定的网络安全专用产品，投标提供的网络安全专用产品</w:t>
            </w:r>
            <w:r>
              <w:rPr>
                <w:szCs w:val="21"/>
              </w:rPr>
              <w:t>应</w:t>
            </w:r>
            <w:r>
              <w:rPr>
                <w:rFonts w:hint="eastAsia"/>
                <w:szCs w:val="21"/>
              </w:rPr>
              <w:t>在</w:t>
            </w:r>
            <w:r>
              <w:rPr>
                <w:rFonts w:hint="eastAsia"/>
              </w:rPr>
              <w:t>《网络关键设备和网络安全专用产品安全认证和安全检测结果》</w:t>
            </w:r>
            <w:r>
              <w:rPr>
                <w:rFonts w:hint="eastAsia"/>
                <w:szCs w:val="21"/>
              </w:rPr>
              <w:t>中或具备在有效期内的</w:t>
            </w:r>
            <w:r>
              <w:rPr>
                <w:rFonts w:hint="eastAsia"/>
              </w:rPr>
              <w:t>《计算机信息系统安全专用产品销售许可证》</w:t>
            </w:r>
            <w:r>
              <w:rPr>
                <w:rFonts w:hint="eastAsia"/>
                <w:szCs w:val="21"/>
              </w:rPr>
              <w:t>，</w:t>
            </w:r>
            <w:r>
              <w:rPr>
                <w:rFonts w:ascii="宋体" w:hAnsi="宋体"/>
                <w:szCs w:val="21"/>
              </w:rPr>
              <w:t>见第六章投标文件格式要求</w:t>
            </w:r>
            <w:r>
              <w:rPr>
                <w:rFonts w:hint="eastAsia" w:ascii="宋体" w:hAnsi="宋体"/>
                <w:szCs w:val="21"/>
              </w:rPr>
              <w:t>。</w:t>
            </w:r>
          </w:p>
        </w:tc>
      </w:tr>
      <w:tr w14:paraId="183A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59" w:type="dxa"/>
            <w:vMerge w:val="restart"/>
            <w:noWrap w:val="0"/>
            <w:vAlign w:val="center"/>
          </w:tcPr>
          <w:p w14:paraId="49E90D15">
            <w:pPr>
              <w:spacing w:line="240" w:lineRule="exact"/>
              <w:jc w:val="center"/>
              <w:rPr>
                <w:kern w:val="0"/>
                <w:szCs w:val="21"/>
              </w:rPr>
            </w:pPr>
            <w:r>
              <w:rPr>
                <w:rFonts w:hint="eastAsia"/>
                <w:kern w:val="0"/>
                <w:szCs w:val="21"/>
              </w:rPr>
              <w:t>报价</w:t>
            </w:r>
          </w:p>
        </w:tc>
        <w:tc>
          <w:tcPr>
            <w:tcW w:w="2405" w:type="dxa"/>
            <w:noWrap w:val="0"/>
            <w:vAlign w:val="center"/>
          </w:tcPr>
          <w:p w14:paraId="5965187B">
            <w:pPr>
              <w:spacing w:line="240" w:lineRule="exact"/>
              <w:rPr>
                <w:szCs w:val="21"/>
              </w:rPr>
            </w:pPr>
            <w:r>
              <w:rPr>
                <w:rFonts w:hint="eastAsia"/>
                <w:szCs w:val="21"/>
              </w:rPr>
              <w:t>有效报价</w:t>
            </w:r>
          </w:p>
        </w:tc>
        <w:tc>
          <w:tcPr>
            <w:tcW w:w="5241" w:type="dxa"/>
            <w:noWrap w:val="0"/>
            <w:vAlign w:val="center"/>
          </w:tcPr>
          <w:p w14:paraId="3CECD111">
            <w:pPr>
              <w:pStyle w:val="20"/>
              <w:rPr>
                <w:bCs/>
                <w:kern w:val="0"/>
                <w:szCs w:val="21"/>
              </w:rPr>
            </w:pPr>
            <w:r>
              <w:rPr>
                <w:rFonts w:hint="eastAsia"/>
              </w:rPr>
              <w:t>报价未超出采购预算金额，也未超出最高限价（如有）</w:t>
            </w:r>
          </w:p>
        </w:tc>
      </w:tr>
      <w:tr w14:paraId="07949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59" w:type="dxa"/>
            <w:vMerge w:val="continue"/>
            <w:noWrap w:val="0"/>
            <w:vAlign w:val="center"/>
          </w:tcPr>
          <w:p w14:paraId="2D8D5B53">
            <w:pPr>
              <w:spacing w:line="240" w:lineRule="exact"/>
              <w:jc w:val="center"/>
              <w:rPr>
                <w:kern w:val="0"/>
                <w:szCs w:val="21"/>
              </w:rPr>
            </w:pPr>
          </w:p>
        </w:tc>
        <w:tc>
          <w:tcPr>
            <w:tcW w:w="2405" w:type="dxa"/>
            <w:noWrap w:val="0"/>
            <w:vAlign w:val="center"/>
          </w:tcPr>
          <w:p w14:paraId="4EC7EEB6">
            <w:pPr>
              <w:spacing w:line="240" w:lineRule="exact"/>
              <w:rPr>
                <w:bCs/>
                <w:kern w:val="0"/>
                <w:szCs w:val="21"/>
              </w:rPr>
            </w:pPr>
            <w:r>
              <w:rPr>
                <w:rFonts w:hint="eastAsia"/>
                <w:bCs/>
                <w:kern w:val="0"/>
                <w:szCs w:val="21"/>
              </w:rPr>
              <w:t>漏项报价</w:t>
            </w:r>
          </w:p>
        </w:tc>
        <w:tc>
          <w:tcPr>
            <w:tcW w:w="5241" w:type="dxa"/>
            <w:noWrap w:val="0"/>
            <w:vAlign w:val="center"/>
          </w:tcPr>
          <w:p w14:paraId="407CCA0C">
            <w:pPr>
              <w:spacing w:line="240" w:lineRule="exact"/>
              <w:rPr>
                <w:rFonts w:hint="eastAsia" w:hAnsi="宋体"/>
                <w:color w:val="000000"/>
                <w:szCs w:val="21"/>
              </w:rPr>
            </w:pPr>
            <w:r>
              <w:rPr>
                <w:rFonts w:hint="eastAsia" w:ascii="宋体" w:hAnsi="宋体"/>
                <w:color w:val="000000"/>
                <w:szCs w:val="21"/>
              </w:rPr>
              <w:t>未就所投分标进行报价或者存在漏项报价；</w:t>
            </w:r>
          </w:p>
        </w:tc>
      </w:tr>
      <w:tr w14:paraId="298EE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559" w:type="dxa"/>
            <w:vMerge w:val="continue"/>
            <w:noWrap w:val="0"/>
            <w:vAlign w:val="center"/>
          </w:tcPr>
          <w:p w14:paraId="0359389F">
            <w:pPr>
              <w:spacing w:line="240" w:lineRule="exact"/>
              <w:jc w:val="center"/>
              <w:rPr>
                <w:kern w:val="0"/>
                <w:szCs w:val="21"/>
              </w:rPr>
            </w:pPr>
          </w:p>
        </w:tc>
        <w:tc>
          <w:tcPr>
            <w:tcW w:w="2405" w:type="dxa"/>
            <w:noWrap w:val="0"/>
            <w:vAlign w:val="center"/>
          </w:tcPr>
          <w:p w14:paraId="286B1D49">
            <w:pPr>
              <w:spacing w:line="240" w:lineRule="exact"/>
              <w:rPr>
                <w:rFonts w:hint="eastAsia" w:hAnsi="宋体"/>
                <w:color w:val="000000"/>
                <w:szCs w:val="21"/>
              </w:rPr>
            </w:pPr>
            <w:r>
              <w:rPr>
                <w:rFonts w:hint="eastAsia" w:hAnsi="宋体"/>
                <w:color w:val="000000"/>
                <w:szCs w:val="21"/>
              </w:rPr>
              <w:t>投标报价唯一性</w:t>
            </w:r>
          </w:p>
        </w:tc>
        <w:tc>
          <w:tcPr>
            <w:tcW w:w="5241" w:type="dxa"/>
            <w:noWrap w:val="0"/>
            <w:vAlign w:val="center"/>
          </w:tcPr>
          <w:p w14:paraId="6E5B06BC">
            <w:pPr>
              <w:spacing w:line="240" w:lineRule="exact"/>
              <w:rPr>
                <w:szCs w:val="21"/>
              </w:rPr>
            </w:pPr>
            <w:r>
              <w:rPr>
                <w:rFonts w:hint="eastAsia" w:ascii="宋体" w:hAnsi="宋体"/>
                <w:color w:val="000000"/>
                <w:szCs w:val="21"/>
              </w:rPr>
              <w:t>不存在有选择、有条件报价（招标文件允许有备选方案或者其他约定的除外）</w:t>
            </w:r>
          </w:p>
        </w:tc>
      </w:tr>
      <w:tr w14:paraId="5932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59" w:type="dxa"/>
            <w:vMerge w:val="continue"/>
            <w:noWrap w:val="0"/>
            <w:vAlign w:val="center"/>
          </w:tcPr>
          <w:p w14:paraId="68688C10">
            <w:pPr>
              <w:spacing w:line="240" w:lineRule="exact"/>
              <w:jc w:val="center"/>
              <w:rPr>
                <w:kern w:val="0"/>
                <w:szCs w:val="21"/>
              </w:rPr>
            </w:pPr>
          </w:p>
        </w:tc>
        <w:tc>
          <w:tcPr>
            <w:tcW w:w="2405" w:type="dxa"/>
            <w:noWrap w:val="0"/>
            <w:vAlign w:val="center"/>
          </w:tcPr>
          <w:p w14:paraId="37FD776A">
            <w:pPr>
              <w:spacing w:line="240" w:lineRule="exact"/>
              <w:rPr>
                <w:lang w:val="zh-CN"/>
              </w:rPr>
            </w:pPr>
            <w:r>
              <w:rPr>
                <w:rFonts w:hint="eastAsia"/>
                <w:szCs w:val="21"/>
                <w:lang w:val="zh-CN"/>
              </w:rPr>
              <w:t>过低报价合理性</w:t>
            </w:r>
          </w:p>
        </w:tc>
        <w:tc>
          <w:tcPr>
            <w:tcW w:w="5241" w:type="dxa"/>
            <w:noWrap w:val="0"/>
            <w:vAlign w:val="center"/>
          </w:tcPr>
          <w:p w14:paraId="7B6A4AF4">
            <w:pPr>
              <w:spacing w:line="240" w:lineRule="exact"/>
              <w:rPr>
                <w:rFonts w:hint="eastAsia"/>
              </w:rPr>
            </w:pPr>
            <w:r>
              <w:rPr>
                <w:rFonts w:hint="eastAsia"/>
              </w:rPr>
              <w:t>投标人的</w:t>
            </w:r>
            <w:r>
              <w:rPr>
                <w:rFonts w:hint="eastAsia"/>
                <w:lang w:val="en-US" w:eastAsia="zh-CN"/>
              </w:rPr>
              <w:t>报价</w:t>
            </w:r>
            <w:r>
              <w:rPr>
                <w:rFonts w:hint="eastAsia"/>
              </w:rPr>
              <w:t>存在异常低价问题</w:t>
            </w:r>
            <w:r>
              <w:rPr>
                <w:rFonts w:hint="eastAsia"/>
                <w:lang w:eastAsia="zh-CN"/>
              </w:rPr>
              <w:t>的</w:t>
            </w:r>
            <w:r>
              <w:rPr>
                <w:rFonts w:hint="eastAsia"/>
                <w:lang w:val="en-US" w:eastAsia="zh-CN"/>
              </w:rPr>
              <w:t>情形，评审委员会</w:t>
            </w:r>
            <w:r>
              <w:rPr>
                <w:rFonts w:hint="eastAsia"/>
                <w:szCs w:val="21"/>
              </w:rPr>
              <w:t>应当要求其在评标现场合理的时间内</w:t>
            </w:r>
            <w:r>
              <w:rPr>
                <w:rFonts w:hint="eastAsia"/>
                <w:szCs w:val="21"/>
                <w:lang w:val="en-US" w:eastAsia="zh-CN"/>
              </w:rPr>
              <w:t>提供</w:t>
            </w:r>
            <w:r>
              <w:rPr>
                <w:rFonts w:hint="eastAsia"/>
                <w:szCs w:val="21"/>
              </w:rPr>
              <w:t>报价合理性相关的书面说明及必要的证明材料。</w:t>
            </w:r>
            <w:r>
              <w:rPr>
                <w:rFonts w:hint="eastAsia"/>
              </w:rPr>
              <w:t>投标人不能证明其报价合理性的，</w:t>
            </w:r>
            <w:r>
              <w:rPr>
                <w:rFonts w:hint="eastAsia"/>
                <w:lang w:eastAsia="zh-CN"/>
              </w:rPr>
              <w:t>评审委员会</w:t>
            </w:r>
            <w:r>
              <w:rPr>
                <w:rFonts w:hint="eastAsia"/>
              </w:rPr>
              <w:t>应当将其作为无效投标处理。</w:t>
            </w:r>
          </w:p>
        </w:tc>
      </w:tr>
      <w:tr w14:paraId="3929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559" w:type="dxa"/>
            <w:vMerge w:val="continue"/>
            <w:noWrap w:val="0"/>
            <w:vAlign w:val="center"/>
          </w:tcPr>
          <w:p w14:paraId="1D92A1CD">
            <w:pPr>
              <w:spacing w:line="240" w:lineRule="exact"/>
              <w:jc w:val="center"/>
              <w:rPr>
                <w:kern w:val="0"/>
                <w:szCs w:val="21"/>
              </w:rPr>
            </w:pPr>
          </w:p>
        </w:tc>
        <w:tc>
          <w:tcPr>
            <w:tcW w:w="2405" w:type="dxa"/>
            <w:noWrap w:val="0"/>
            <w:vAlign w:val="center"/>
          </w:tcPr>
          <w:p w14:paraId="25DDAF99">
            <w:pPr>
              <w:spacing w:line="240" w:lineRule="exact"/>
              <w:rPr>
                <w:szCs w:val="21"/>
                <w:lang w:val="zh-CN"/>
              </w:rPr>
            </w:pPr>
            <w:r>
              <w:rPr>
                <w:rFonts w:hint="eastAsia"/>
                <w:szCs w:val="21"/>
              </w:rPr>
              <w:t>投标有效期</w:t>
            </w:r>
          </w:p>
        </w:tc>
        <w:tc>
          <w:tcPr>
            <w:tcW w:w="5241" w:type="dxa"/>
            <w:noWrap w:val="0"/>
            <w:vAlign w:val="center"/>
          </w:tcPr>
          <w:p w14:paraId="347EBE52">
            <w:pPr>
              <w:spacing w:line="240" w:lineRule="exact"/>
            </w:pPr>
            <w:r>
              <w:rPr>
                <w:rFonts w:hint="eastAsia" w:ascii="宋体" w:hAnsi="宋体"/>
                <w:color w:val="000000"/>
                <w:szCs w:val="21"/>
              </w:rPr>
              <w:t>满足招标文件规定</w:t>
            </w:r>
          </w:p>
        </w:tc>
      </w:tr>
      <w:bookmarkEnd w:id="118"/>
    </w:tbl>
    <w:p w14:paraId="7D830868">
      <w:pPr>
        <w:widowControl/>
        <w:jc w:val="both"/>
        <w:rPr>
          <w:b/>
          <w:bCs/>
          <w:kern w:val="0"/>
          <w:szCs w:val="21"/>
        </w:rPr>
      </w:pPr>
    </w:p>
    <w:p w14:paraId="2173A93E">
      <w:pPr>
        <w:spacing w:before="120" w:line="320" w:lineRule="atLeast"/>
        <w:ind w:firstLine="422" w:firstLineChars="200"/>
        <w:outlineLvl w:val="1"/>
        <w:rPr>
          <w:rFonts w:hint="eastAsia" w:eastAsia="楷体_GB2312"/>
          <w:b/>
          <w:color w:val="4472C4"/>
          <w:sz w:val="24"/>
          <w:szCs w:val="24"/>
        </w:rPr>
      </w:pPr>
      <w:r>
        <w:rPr>
          <w:b/>
          <w:bCs/>
          <w:kern w:val="0"/>
          <w:szCs w:val="21"/>
        </w:rPr>
        <w:t>4.</w:t>
      </w:r>
      <w:r>
        <w:rPr>
          <w:rFonts w:hint="eastAsia"/>
          <w:b/>
          <w:bCs/>
          <w:kern w:val="0"/>
          <w:szCs w:val="21"/>
        </w:rPr>
        <w:t>评分</w:t>
      </w:r>
      <w:r>
        <w:rPr>
          <w:b/>
          <w:bCs/>
          <w:kern w:val="0"/>
          <w:szCs w:val="21"/>
        </w:rPr>
        <w:t>标准</w:t>
      </w:r>
      <w:bookmarkEnd w:id="117"/>
      <w:bookmarkStart w:id="119" w:name="_Hlk77609326"/>
    </w:p>
    <w:p w14:paraId="54DAB8CB">
      <w:pPr>
        <w:ind w:firstLine="420" w:firstLineChars="200"/>
      </w:pPr>
      <w:r>
        <w:rPr>
          <w:rFonts w:hint="eastAsia"/>
        </w:rPr>
        <w:t>（1）</w:t>
      </w:r>
      <w:r>
        <w:rPr>
          <w:rFonts w:hint="eastAsia"/>
          <w:lang w:val="en-US" w:eastAsia="zh-CN"/>
        </w:rPr>
        <w:t>商务</w:t>
      </w:r>
      <w:r>
        <w:rPr>
          <w:rFonts w:hint="eastAsia"/>
        </w:rPr>
        <w:t>及</w:t>
      </w:r>
      <w:r>
        <w:rPr>
          <w:rFonts w:hint="eastAsia"/>
          <w:lang w:val="en-US" w:eastAsia="zh-CN"/>
        </w:rPr>
        <w:t>技术</w:t>
      </w:r>
      <w:r>
        <w:rPr>
          <w:rFonts w:hint="eastAsia"/>
        </w:rPr>
        <w:t>分</w:t>
      </w:r>
    </w:p>
    <w:tbl>
      <w:tblPr>
        <w:tblStyle w:val="53"/>
        <w:tblW w:w="98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666"/>
        <w:gridCol w:w="1008"/>
        <w:gridCol w:w="911"/>
        <w:gridCol w:w="4781"/>
        <w:gridCol w:w="2043"/>
      </w:tblGrid>
      <w:tr w14:paraId="5011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tcBorders>
              <w:top w:val="single" w:color="auto" w:sz="4" w:space="0"/>
              <w:left w:val="single" w:color="auto" w:sz="4" w:space="0"/>
              <w:bottom w:val="single" w:color="auto" w:sz="4" w:space="0"/>
              <w:right w:val="single" w:color="auto" w:sz="4" w:space="0"/>
            </w:tcBorders>
            <w:noWrap w:val="0"/>
            <w:vAlign w:val="center"/>
          </w:tcPr>
          <w:p w14:paraId="47C15509">
            <w:pPr>
              <w:jc w:val="center"/>
              <w:rPr>
                <w:rFonts w:ascii="Times New Roman" w:hAnsi="Times New Roman"/>
                <w:b/>
                <w:color w:val="000000"/>
                <w:szCs w:val="21"/>
              </w:rPr>
            </w:pPr>
            <w:r>
              <w:rPr>
                <w:rFonts w:ascii="Times New Roman" w:hAnsi="Times New Roman"/>
                <w:b/>
                <w:bCs/>
                <w:color w:val="000000"/>
                <w:kern w:val="0"/>
                <w:szCs w:val="21"/>
              </w:rPr>
              <w:br w:type="page"/>
            </w:r>
            <w:r>
              <w:rPr>
                <w:rFonts w:ascii="Times New Roman" w:hAnsi="Times New Roman"/>
                <w:b/>
                <w:color w:val="000000"/>
                <w:szCs w:val="21"/>
              </w:rPr>
              <w:t>序号</w:t>
            </w:r>
          </w:p>
        </w:tc>
        <w:tc>
          <w:tcPr>
            <w:tcW w:w="1674" w:type="dxa"/>
            <w:gridSpan w:val="2"/>
            <w:tcBorders>
              <w:top w:val="single" w:color="auto" w:sz="4" w:space="0"/>
              <w:left w:val="single" w:color="auto" w:sz="4" w:space="0"/>
              <w:bottom w:val="single" w:color="auto" w:sz="4" w:space="0"/>
              <w:right w:val="single" w:color="auto" w:sz="4" w:space="0"/>
            </w:tcBorders>
            <w:noWrap w:val="0"/>
            <w:vAlign w:val="center"/>
          </w:tcPr>
          <w:p w14:paraId="273A40FA">
            <w:pPr>
              <w:jc w:val="center"/>
              <w:rPr>
                <w:rFonts w:ascii="Times New Roman" w:hAnsi="Times New Roman"/>
                <w:b/>
                <w:color w:val="000000"/>
                <w:szCs w:val="21"/>
              </w:rPr>
            </w:pPr>
            <w:r>
              <w:rPr>
                <w:rFonts w:ascii="Times New Roman" w:hAnsi="Times New Roman"/>
                <w:b/>
                <w:color w:val="000000"/>
                <w:szCs w:val="21"/>
              </w:rPr>
              <w:t>评审因素及分值</w:t>
            </w:r>
          </w:p>
        </w:tc>
        <w:tc>
          <w:tcPr>
            <w:tcW w:w="911" w:type="dxa"/>
            <w:tcBorders>
              <w:top w:val="single" w:color="auto" w:sz="4" w:space="0"/>
              <w:left w:val="single" w:color="auto" w:sz="4" w:space="0"/>
              <w:bottom w:val="single" w:color="auto" w:sz="4" w:space="0"/>
              <w:right w:val="single" w:color="auto" w:sz="4" w:space="0"/>
            </w:tcBorders>
            <w:noWrap w:val="0"/>
            <w:vAlign w:val="center"/>
          </w:tcPr>
          <w:p w14:paraId="6F5BB7B1">
            <w:pPr>
              <w:jc w:val="center"/>
              <w:rPr>
                <w:rFonts w:ascii="Times New Roman" w:hAnsi="Times New Roman"/>
                <w:b/>
                <w:color w:val="000000"/>
                <w:szCs w:val="21"/>
              </w:rPr>
            </w:pPr>
            <w:r>
              <w:rPr>
                <w:rFonts w:ascii="Times New Roman" w:hAnsi="Times New Roman"/>
                <w:b/>
                <w:color w:val="000000"/>
                <w:szCs w:val="21"/>
              </w:rPr>
              <w:t>分值</w:t>
            </w:r>
          </w:p>
          <w:p w14:paraId="10A924E4">
            <w:pPr>
              <w:jc w:val="center"/>
              <w:rPr>
                <w:rFonts w:ascii="Times New Roman" w:hAnsi="Times New Roman"/>
                <w:b/>
                <w:color w:val="000000"/>
                <w:szCs w:val="21"/>
              </w:rPr>
            </w:pPr>
            <w:r>
              <w:rPr>
                <w:rFonts w:ascii="Times New Roman" w:hAnsi="Times New Roman"/>
                <w:b/>
                <w:color w:val="000000"/>
                <w:szCs w:val="21"/>
              </w:rPr>
              <w:t>属性</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270D131B">
            <w:pPr>
              <w:jc w:val="center"/>
              <w:rPr>
                <w:rFonts w:ascii="Times New Roman" w:hAnsi="Times New Roman"/>
                <w:b/>
                <w:color w:val="000000"/>
                <w:szCs w:val="21"/>
              </w:rPr>
            </w:pPr>
            <w:r>
              <w:rPr>
                <w:rFonts w:ascii="Times New Roman" w:hAnsi="Times New Roman"/>
                <w:b/>
                <w:color w:val="000000"/>
                <w:szCs w:val="21"/>
              </w:rPr>
              <w:t>评审标准</w:t>
            </w:r>
          </w:p>
        </w:tc>
        <w:tc>
          <w:tcPr>
            <w:tcW w:w="2043" w:type="dxa"/>
            <w:tcBorders>
              <w:top w:val="single" w:color="auto" w:sz="4" w:space="0"/>
              <w:left w:val="single" w:color="auto" w:sz="4" w:space="0"/>
              <w:bottom w:val="single" w:color="auto" w:sz="4" w:space="0"/>
              <w:right w:val="single" w:color="auto" w:sz="4" w:space="0"/>
            </w:tcBorders>
            <w:noWrap w:val="0"/>
            <w:vAlign w:val="center"/>
          </w:tcPr>
          <w:p w14:paraId="79A15A5B">
            <w:pPr>
              <w:jc w:val="center"/>
              <w:rPr>
                <w:rFonts w:ascii="Times New Roman" w:hAnsi="Times New Roman"/>
                <w:b/>
                <w:color w:val="000000"/>
                <w:szCs w:val="21"/>
              </w:rPr>
            </w:pPr>
            <w:r>
              <w:rPr>
                <w:rFonts w:ascii="Times New Roman" w:hAnsi="Times New Roman"/>
                <w:b/>
                <w:color w:val="000000"/>
                <w:szCs w:val="21"/>
              </w:rPr>
              <w:t>说明</w:t>
            </w:r>
          </w:p>
        </w:tc>
      </w:tr>
      <w:tr w14:paraId="04A6F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2" w:hRule="atLeast"/>
          <w:jc w:val="center"/>
        </w:trPr>
        <w:tc>
          <w:tcPr>
            <w:tcW w:w="426" w:type="dxa"/>
            <w:vMerge w:val="restart"/>
            <w:tcBorders>
              <w:top w:val="single" w:color="auto" w:sz="4" w:space="0"/>
              <w:left w:val="single" w:color="auto" w:sz="4" w:space="0"/>
              <w:right w:val="single" w:color="auto" w:sz="4" w:space="0"/>
            </w:tcBorders>
            <w:noWrap w:val="0"/>
            <w:vAlign w:val="center"/>
          </w:tcPr>
          <w:p w14:paraId="5C9E3134">
            <w:pPr>
              <w:jc w:val="center"/>
              <w:rPr>
                <w:rFonts w:ascii="Times New Roman" w:hAnsi="Times New Roman"/>
                <w:color w:val="000000"/>
                <w:szCs w:val="21"/>
              </w:rPr>
            </w:pPr>
            <w:r>
              <w:rPr>
                <w:rFonts w:ascii="Times New Roman" w:hAnsi="Times New Roman"/>
                <w:color w:val="000000"/>
                <w:szCs w:val="21"/>
              </w:rPr>
              <w:t>1</w:t>
            </w:r>
          </w:p>
        </w:tc>
        <w:tc>
          <w:tcPr>
            <w:tcW w:w="666" w:type="dxa"/>
            <w:vMerge w:val="restart"/>
            <w:tcBorders>
              <w:top w:val="single" w:color="auto" w:sz="4" w:space="0"/>
              <w:left w:val="single" w:color="auto" w:sz="4" w:space="0"/>
              <w:right w:val="single" w:color="auto" w:sz="4" w:space="0"/>
            </w:tcBorders>
            <w:noWrap w:val="0"/>
            <w:vAlign w:val="center"/>
          </w:tcPr>
          <w:p w14:paraId="5385CD89">
            <w:pPr>
              <w:jc w:val="center"/>
              <w:rPr>
                <w:rFonts w:ascii="Times New Roman" w:hAnsi="Times New Roman"/>
                <w:color w:val="000000"/>
                <w:szCs w:val="21"/>
              </w:rPr>
            </w:pPr>
            <w:r>
              <w:rPr>
                <w:rFonts w:hint="eastAsia" w:ascii="Times New Roman" w:hAnsi="Times New Roman"/>
                <w:color w:val="000000"/>
                <w:szCs w:val="21"/>
              </w:rPr>
              <w:t>商务</w:t>
            </w:r>
            <w:r>
              <w:rPr>
                <w:rFonts w:hint="eastAsia" w:ascii="Times New Roman" w:hAnsi="Times New Roman"/>
                <w:color w:val="000000"/>
                <w:szCs w:val="21"/>
                <w:lang w:val="en-US" w:eastAsia="zh-CN"/>
              </w:rPr>
              <w:t>分</w:t>
            </w:r>
            <w:r>
              <w:rPr>
                <w:rFonts w:hint="eastAsia" w:ascii="Times New Roman" w:hAnsi="Times New Roman"/>
                <w:color w:val="000000"/>
                <w:szCs w:val="21"/>
              </w:rPr>
              <w:t>（</w:t>
            </w:r>
            <w:r>
              <w:rPr>
                <w:rFonts w:hint="eastAsia"/>
                <w:color w:val="000000"/>
                <w:szCs w:val="21"/>
                <w:lang w:val="en-US" w:eastAsia="zh-CN"/>
              </w:rPr>
              <w:t>23</w:t>
            </w:r>
            <w:r>
              <w:rPr>
                <w:rFonts w:hint="eastAsia" w:ascii="Times New Roman" w:hAnsi="Times New Roman"/>
                <w:color w:val="000000"/>
                <w:szCs w:val="21"/>
              </w:rPr>
              <w:t>分）</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93290E2">
            <w:pPr>
              <w:rPr>
                <w:rFonts w:hint="default" w:ascii="Times New Roman" w:hAnsi="Times New Roman"/>
                <w:color w:val="000000"/>
                <w:szCs w:val="21"/>
                <w:lang w:val="en-US"/>
              </w:rPr>
            </w:pPr>
            <w:r>
              <w:rPr>
                <w:rFonts w:hint="eastAsia" w:ascii="Times New Roman" w:hAnsi="Times New Roman"/>
                <w:color w:val="000000"/>
                <w:szCs w:val="21"/>
              </w:rPr>
              <w:t>业绩（</w:t>
            </w:r>
            <w:r>
              <w:rPr>
                <w:rFonts w:hint="eastAsia"/>
                <w:color w:val="000000"/>
                <w:szCs w:val="21"/>
                <w:lang w:val="en-US" w:eastAsia="zh-CN"/>
              </w:rPr>
              <w:t>4</w:t>
            </w:r>
            <w:r>
              <w:rPr>
                <w:rFonts w:hint="eastAsia" w:ascii="Times New Roman" w:hAnsi="Times New Roman"/>
                <w:color w:val="000000"/>
                <w:szCs w:val="21"/>
              </w:rPr>
              <w:t>分）</w:t>
            </w:r>
          </w:p>
        </w:tc>
        <w:tc>
          <w:tcPr>
            <w:tcW w:w="911" w:type="dxa"/>
            <w:tcBorders>
              <w:top w:val="single" w:color="auto" w:sz="4" w:space="0"/>
              <w:left w:val="single" w:color="auto" w:sz="4" w:space="0"/>
              <w:bottom w:val="single" w:color="auto" w:sz="4" w:space="0"/>
              <w:right w:val="single" w:color="auto" w:sz="4" w:space="0"/>
            </w:tcBorders>
            <w:noWrap w:val="0"/>
            <w:vAlign w:val="center"/>
          </w:tcPr>
          <w:p w14:paraId="681CCD85">
            <w:pPr>
              <w:jc w:val="center"/>
              <w:rPr>
                <w:rFonts w:ascii="Times New Roman" w:hAnsi="Times New Roman"/>
                <w:color w:val="000000"/>
                <w:szCs w:val="21"/>
                <w:highlight w:val="none"/>
              </w:rPr>
            </w:pPr>
            <w:r>
              <w:rPr>
                <w:rFonts w:ascii="Times New Roman" w:hAnsi="Times New Roman"/>
                <w:color w:val="000000"/>
                <w:szCs w:val="21"/>
                <w:highlight w:val="none"/>
              </w:rPr>
              <w:t>客观分</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639BF4E4">
            <w:pPr>
              <w:rPr>
                <w:rFonts w:hint="eastAsia" w:ascii="Times New Roman" w:hAnsi="Times New Roman" w:eastAsia="宋体" w:cs="宋体"/>
                <w:color w:val="000000"/>
                <w:highlight w:val="none"/>
              </w:rPr>
            </w:pPr>
            <w:r>
              <w:rPr>
                <w:rFonts w:hint="eastAsia" w:ascii="Times New Roman" w:hAnsi="Times New Roman" w:eastAsia="宋体" w:cs="宋体"/>
                <w:color w:val="000000"/>
                <w:highlight w:val="none"/>
              </w:rPr>
              <w:t>提供投标人自202</w:t>
            </w:r>
            <w:r>
              <w:rPr>
                <w:rFonts w:hint="eastAsia" w:ascii="Times New Roman" w:hAnsi="Times New Roman" w:eastAsia="宋体" w:cs="宋体"/>
                <w:color w:val="000000"/>
                <w:highlight w:val="none"/>
                <w:lang w:val="en-US" w:eastAsia="zh-CN"/>
              </w:rPr>
              <w:t>3</w:t>
            </w:r>
            <w:r>
              <w:rPr>
                <w:rFonts w:hint="eastAsia" w:ascii="Times New Roman" w:hAnsi="Times New Roman" w:eastAsia="宋体" w:cs="宋体"/>
                <w:color w:val="000000"/>
                <w:highlight w:val="none"/>
              </w:rPr>
              <w:t>年</w:t>
            </w:r>
            <w:r>
              <w:rPr>
                <w:rFonts w:hint="eastAsia" w:ascii="Times New Roman" w:hAnsi="Times New Roman" w:eastAsia="宋体" w:cs="宋体"/>
                <w:color w:val="000000"/>
                <w:highlight w:val="none"/>
                <w:lang w:val="en-US" w:eastAsia="zh-CN"/>
              </w:rPr>
              <w:t>至今类似</w:t>
            </w:r>
            <w:r>
              <w:rPr>
                <w:rFonts w:hint="eastAsia" w:ascii="Times New Roman" w:hAnsi="Times New Roman" w:eastAsia="宋体" w:cs="宋体"/>
                <w:color w:val="000000"/>
                <w:highlight w:val="none"/>
              </w:rPr>
              <w:t>项目业绩的，每提供1</w:t>
            </w:r>
            <w:r>
              <w:rPr>
                <w:rFonts w:hint="eastAsia" w:ascii="Times New Roman" w:hAnsi="Times New Roman" w:eastAsia="宋体" w:cs="宋体"/>
                <w:color w:val="000000"/>
                <w:highlight w:val="none"/>
                <w:lang w:val="en-US" w:eastAsia="zh-CN"/>
              </w:rPr>
              <w:t>个业绩</w:t>
            </w:r>
            <w:r>
              <w:rPr>
                <w:rFonts w:hint="eastAsia" w:ascii="Times New Roman" w:hAnsi="Times New Roman" w:eastAsia="宋体" w:cs="宋体"/>
                <w:color w:val="000000"/>
                <w:highlight w:val="none"/>
              </w:rPr>
              <w:t>得</w:t>
            </w:r>
            <w:r>
              <w:rPr>
                <w:rFonts w:hint="eastAsia" w:cs="宋体"/>
                <w:color w:val="000000"/>
                <w:highlight w:val="none"/>
                <w:lang w:val="en-US" w:eastAsia="zh-CN"/>
              </w:rPr>
              <w:t>2</w:t>
            </w:r>
            <w:r>
              <w:rPr>
                <w:rFonts w:hint="eastAsia" w:ascii="Times New Roman" w:hAnsi="Times New Roman" w:eastAsia="宋体" w:cs="宋体"/>
                <w:color w:val="000000"/>
                <w:highlight w:val="none"/>
              </w:rPr>
              <w:t>分，最高得</w:t>
            </w:r>
            <w:r>
              <w:rPr>
                <w:rFonts w:hint="eastAsia" w:cs="宋体"/>
                <w:color w:val="000000"/>
                <w:highlight w:val="none"/>
                <w:lang w:val="en-US" w:eastAsia="zh-CN"/>
              </w:rPr>
              <w:t>4</w:t>
            </w:r>
            <w:r>
              <w:rPr>
                <w:rFonts w:hint="eastAsia" w:ascii="Times New Roman" w:hAnsi="Times New Roman" w:eastAsia="宋体" w:cs="宋体"/>
                <w:color w:val="000000"/>
                <w:highlight w:val="none"/>
              </w:rPr>
              <w:t>分。【注：须提供合同关键页（以合同签订时间为准）</w:t>
            </w:r>
            <w:r>
              <w:rPr>
                <w:rFonts w:hint="eastAsia" w:ascii="Times New Roman" w:hAnsi="Times New Roman" w:eastAsia="宋体" w:cs="宋体"/>
                <w:color w:val="000000"/>
                <w:highlight w:val="none"/>
                <w:lang w:val="en-US" w:eastAsia="zh-CN"/>
              </w:rPr>
              <w:t>或中标（成交）通知书</w:t>
            </w:r>
            <w:r>
              <w:rPr>
                <w:rFonts w:hint="eastAsia" w:ascii="Times New Roman" w:hAnsi="Times New Roman" w:eastAsia="宋体" w:cs="宋体"/>
                <w:color w:val="000000"/>
                <w:highlight w:val="none"/>
              </w:rPr>
              <w:t>，不提供不得分。】</w:t>
            </w:r>
          </w:p>
          <w:p w14:paraId="315876EB">
            <w:pPr>
              <w:rPr>
                <w:rFonts w:hint="default" w:ascii="Times New Roman" w:hAnsi="Times New Roman" w:eastAsia="宋体" w:cs="宋体"/>
                <w:color w:val="000000"/>
                <w:highlight w:val="none"/>
                <w:lang w:val="en-US" w:eastAsia="zh-CN"/>
              </w:rPr>
            </w:pPr>
            <w:r>
              <w:rPr>
                <w:rFonts w:hint="eastAsia" w:ascii="Times New Roman" w:hAnsi="Times New Roman" w:eastAsia="宋体" w:cs="宋体"/>
                <w:color w:val="000000"/>
                <w:highlight w:val="none"/>
                <w:lang w:val="en-US" w:eastAsia="zh-CN"/>
              </w:rPr>
              <w:t>类似业绩是指：制剂生产用辅料米酒业绩。</w:t>
            </w:r>
          </w:p>
        </w:tc>
        <w:tc>
          <w:tcPr>
            <w:tcW w:w="2043" w:type="dxa"/>
            <w:tcBorders>
              <w:top w:val="single" w:color="auto" w:sz="4" w:space="0"/>
              <w:left w:val="single" w:color="auto" w:sz="4" w:space="0"/>
              <w:bottom w:val="single" w:color="auto" w:sz="4" w:space="0"/>
              <w:right w:val="single" w:color="auto" w:sz="4" w:space="0"/>
            </w:tcBorders>
            <w:noWrap w:val="0"/>
            <w:vAlign w:val="center"/>
          </w:tcPr>
          <w:p w14:paraId="5474A40D">
            <w:pPr>
              <w:rPr>
                <w:rFonts w:hint="default" w:ascii="Times New Roman" w:hAnsi="Times New Roman"/>
                <w:color w:val="000000"/>
                <w:szCs w:val="21"/>
                <w:lang w:val="en-US"/>
              </w:rPr>
            </w:pPr>
          </w:p>
        </w:tc>
      </w:tr>
      <w:tr w14:paraId="39157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426" w:type="dxa"/>
            <w:vMerge w:val="continue"/>
            <w:tcBorders>
              <w:left w:val="single" w:color="auto" w:sz="4" w:space="0"/>
              <w:right w:val="single" w:color="auto" w:sz="4" w:space="0"/>
            </w:tcBorders>
            <w:noWrap w:val="0"/>
            <w:vAlign w:val="center"/>
          </w:tcPr>
          <w:p w14:paraId="607645BE">
            <w:pPr>
              <w:jc w:val="center"/>
              <w:rPr>
                <w:rFonts w:ascii="Times New Roman" w:hAnsi="Times New Roman"/>
                <w:color w:val="000000"/>
                <w:szCs w:val="21"/>
              </w:rPr>
            </w:pPr>
          </w:p>
        </w:tc>
        <w:tc>
          <w:tcPr>
            <w:tcW w:w="666" w:type="dxa"/>
            <w:vMerge w:val="continue"/>
            <w:tcBorders>
              <w:left w:val="single" w:color="auto" w:sz="4" w:space="0"/>
              <w:right w:val="single" w:color="auto" w:sz="4" w:space="0"/>
            </w:tcBorders>
            <w:noWrap w:val="0"/>
            <w:vAlign w:val="center"/>
          </w:tcPr>
          <w:p w14:paraId="3682B420">
            <w:pPr>
              <w:jc w:val="center"/>
              <w:rPr>
                <w:rFonts w:hint="eastAsia" w:ascii="Times New Roman" w:hAnsi="Times New Roman"/>
                <w:color w:val="000000"/>
                <w:szCs w:val="21"/>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12EC596">
            <w:pPr>
              <w:rPr>
                <w:rFonts w:hint="default" w:ascii="Times New Roman" w:hAnsi="Times New Roman" w:eastAsia="宋体"/>
                <w:color w:val="000000"/>
                <w:szCs w:val="21"/>
                <w:lang w:val="en-US" w:eastAsia="zh-CN"/>
              </w:rPr>
            </w:pPr>
            <w:r>
              <w:rPr>
                <w:rFonts w:hint="eastAsia" w:ascii="Times New Roman" w:hAnsi="Times New Roman"/>
                <w:color w:val="000000"/>
                <w:szCs w:val="21"/>
                <w:lang w:val="en-US" w:eastAsia="zh-CN"/>
              </w:rPr>
              <w:t>履约情况评价（</w:t>
            </w:r>
            <w:r>
              <w:rPr>
                <w:rFonts w:hint="eastAsia"/>
                <w:color w:val="000000"/>
                <w:szCs w:val="21"/>
                <w:lang w:val="en-US" w:eastAsia="zh-CN"/>
              </w:rPr>
              <w:t>2</w:t>
            </w:r>
            <w:r>
              <w:rPr>
                <w:rFonts w:hint="eastAsia" w:ascii="Times New Roman" w:hAnsi="Times New Roman"/>
                <w:color w:val="000000"/>
                <w:szCs w:val="21"/>
                <w:lang w:val="en-US" w:eastAsia="zh-CN"/>
              </w:rPr>
              <w:t>分）</w:t>
            </w:r>
          </w:p>
        </w:tc>
        <w:tc>
          <w:tcPr>
            <w:tcW w:w="911" w:type="dxa"/>
            <w:tcBorders>
              <w:top w:val="single" w:color="auto" w:sz="4" w:space="0"/>
              <w:left w:val="single" w:color="auto" w:sz="4" w:space="0"/>
              <w:bottom w:val="single" w:color="auto" w:sz="4" w:space="0"/>
              <w:right w:val="single" w:color="auto" w:sz="4" w:space="0"/>
            </w:tcBorders>
            <w:noWrap w:val="0"/>
            <w:vAlign w:val="center"/>
          </w:tcPr>
          <w:p w14:paraId="24379010">
            <w:pPr>
              <w:jc w:val="center"/>
              <w:rPr>
                <w:rFonts w:ascii="Times New Roman" w:hAnsi="Times New Roman"/>
                <w:color w:val="000000"/>
                <w:szCs w:val="21"/>
                <w:highlight w:val="none"/>
              </w:rPr>
            </w:pPr>
            <w:r>
              <w:rPr>
                <w:rFonts w:ascii="Times New Roman" w:hAnsi="Times New Roman"/>
                <w:color w:val="000000"/>
                <w:szCs w:val="21"/>
                <w:highlight w:val="none"/>
              </w:rPr>
              <w:t>客观分</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35541211">
            <w:pPr>
              <w:keepNext w:val="0"/>
              <w:keepLines w:val="0"/>
              <w:widowControl/>
              <w:suppressLineNumbers w:val="0"/>
              <w:jc w:val="left"/>
              <w:rPr>
                <w:rFonts w:hint="default" w:ascii="Times New Roman" w:hAnsi="Times New Roman" w:eastAsia="宋体" w:cs="宋体"/>
                <w:color w:val="000000"/>
                <w:highlight w:val="none"/>
                <w:lang w:val="en-US" w:eastAsia="zh-CN"/>
              </w:rPr>
            </w:pPr>
            <w:r>
              <w:rPr>
                <w:rFonts w:hint="eastAsia" w:ascii="Times New Roman" w:hAnsi="Times New Roman" w:eastAsia="宋体" w:cs="宋体"/>
                <w:color w:val="000000"/>
                <w:highlight w:val="none"/>
                <w:lang w:val="en-US" w:eastAsia="zh-CN"/>
              </w:rPr>
              <w:t>自2023年至今，获得</w:t>
            </w:r>
            <w:r>
              <w:rPr>
                <w:rFonts w:hint="eastAsia" w:cs="宋体"/>
                <w:color w:val="000000"/>
                <w:highlight w:val="none"/>
                <w:lang w:val="en-US" w:eastAsia="zh-CN"/>
              </w:rPr>
              <w:t>客户（合同甲方/购买方/采购方）</w:t>
            </w:r>
            <w:r>
              <w:rPr>
                <w:rFonts w:hint="eastAsia" w:ascii="Times New Roman" w:hAnsi="Times New Roman" w:eastAsia="宋体" w:cs="宋体"/>
                <w:color w:val="000000"/>
                <w:highlight w:val="none"/>
                <w:lang w:val="en-US" w:eastAsia="zh-CN"/>
              </w:rPr>
              <w:t>服务质量优（或满意或正向）的评价，得</w:t>
            </w:r>
            <w:r>
              <w:rPr>
                <w:rFonts w:hint="eastAsia" w:cs="宋体"/>
                <w:color w:val="000000"/>
                <w:highlight w:val="none"/>
                <w:lang w:val="en-US" w:eastAsia="zh-CN"/>
              </w:rPr>
              <w:t>2</w:t>
            </w:r>
            <w:r>
              <w:rPr>
                <w:rFonts w:hint="eastAsia" w:ascii="Times New Roman" w:hAnsi="Times New Roman" w:eastAsia="宋体" w:cs="宋体"/>
                <w:color w:val="000000"/>
                <w:highlight w:val="none"/>
                <w:lang w:val="en-US" w:eastAsia="zh-CN"/>
              </w:rPr>
              <w:t>分。 【注：提供</w:t>
            </w:r>
            <w:r>
              <w:rPr>
                <w:rFonts w:hint="eastAsia" w:cs="宋体"/>
                <w:color w:val="000000"/>
                <w:highlight w:val="none"/>
                <w:lang w:val="en-US" w:eastAsia="zh-CN"/>
              </w:rPr>
              <w:t>客户（合同甲方/购买方/采购方）</w:t>
            </w:r>
            <w:r>
              <w:rPr>
                <w:rFonts w:hint="eastAsia" w:ascii="Times New Roman" w:hAnsi="Times New Roman" w:eastAsia="宋体" w:cs="宋体"/>
                <w:color w:val="000000"/>
                <w:highlight w:val="none"/>
                <w:lang w:val="en-US" w:eastAsia="zh-CN"/>
              </w:rPr>
              <w:t>或其管理</w:t>
            </w:r>
            <w:r>
              <w:rPr>
                <w:rFonts w:hint="eastAsia" w:cs="宋体"/>
                <w:color w:val="000000"/>
                <w:highlight w:val="none"/>
                <w:lang w:val="en-US" w:eastAsia="zh-CN"/>
              </w:rPr>
              <w:t>/使用</w:t>
            </w:r>
            <w:r>
              <w:rPr>
                <w:rFonts w:hint="eastAsia" w:ascii="Times New Roman" w:hAnsi="Times New Roman" w:eastAsia="宋体" w:cs="宋体"/>
                <w:color w:val="000000"/>
                <w:highlight w:val="none"/>
                <w:lang w:val="en-US" w:eastAsia="zh-CN"/>
              </w:rPr>
              <w:t>部门盖章出具的服务评价书或证明，不提供的不得分。】</w:t>
            </w:r>
          </w:p>
        </w:tc>
        <w:tc>
          <w:tcPr>
            <w:tcW w:w="2043" w:type="dxa"/>
            <w:tcBorders>
              <w:top w:val="single" w:color="auto" w:sz="4" w:space="0"/>
              <w:left w:val="single" w:color="auto" w:sz="4" w:space="0"/>
              <w:bottom w:val="single" w:color="auto" w:sz="4" w:space="0"/>
              <w:right w:val="single" w:color="auto" w:sz="4" w:space="0"/>
            </w:tcBorders>
            <w:noWrap w:val="0"/>
            <w:vAlign w:val="center"/>
          </w:tcPr>
          <w:p w14:paraId="21569C66">
            <w:pPr>
              <w:rPr>
                <w:rFonts w:hint="default" w:ascii="Times New Roman" w:hAnsi="Times New Roman"/>
                <w:color w:val="000000"/>
                <w:szCs w:val="21"/>
                <w:lang w:val="en-US"/>
              </w:rPr>
            </w:pPr>
          </w:p>
        </w:tc>
      </w:tr>
      <w:tr w14:paraId="17FD3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9" w:hRule="atLeast"/>
          <w:jc w:val="center"/>
        </w:trPr>
        <w:tc>
          <w:tcPr>
            <w:tcW w:w="426" w:type="dxa"/>
            <w:vMerge w:val="continue"/>
            <w:tcBorders>
              <w:left w:val="single" w:color="auto" w:sz="4" w:space="0"/>
              <w:right w:val="single" w:color="auto" w:sz="4" w:space="0"/>
            </w:tcBorders>
            <w:noWrap w:val="0"/>
            <w:vAlign w:val="center"/>
          </w:tcPr>
          <w:p w14:paraId="6E115D60">
            <w:pPr>
              <w:jc w:val="center"/>
              <w:rPr>
                <w:rFonts w:ascii="Times New Roman" w:hAnsi="Times New Roman"/>
                <w:color w:val="000000"/>
                <w:szCs w:val="21"/>
              </w:rPr>
            </w:pPr>
          </w:p>
        </w:tc>
        <w:tc>
          <w:tcPr>
            <w:tcW w:w="666" w:type="dxa"/>
            <w:vMerge w:val="continue"/>
            <w:tcBorders>
              <w:left w:val="single" w:color="auto" w:sz="4" w:space="0"/>
              <w:right w:val="single" w:color="auto" w:sz="4" w:space="0"/>
            </w:tcBorders>
            <w:noWrap w:val="0"/>
            <w:vAlign w:val="center"/>
          </w:tcPr>
          <w:p w14:paraId="79DA77A3">
            <w:pPr>
              <w:jc w:val="center"/>
              <w:rPr>
                <w:rFonts w:hint="eastAsia" w:ascii="Times New Roman" w:hAnsi="Times New Roman"/>
                <w:color w:val="000000"/>
                <w:szCs w:val="21"/>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E3EA332">
            <w:pPr>
              <w:rPr>
                <w:rFonts w:hint="eastAsia" w:ascii="Times New Roman" w:hAnsi="Times New Roman"/>
                <w:color w:val="000000"/>
                <w:szCs w:val="21"/>
                <w:highlight w:val="none"/>
                <w:lang w:val="en-US" w:eastAsia="zh-CN"/>
              </w:rPr>
            </w:pPr>
            <w:r>
              <w:rPr>
                <w:rFonts w:hint="eastAsia" w:ascii="Times New Roman" w:hAnsi="Times New Roman"/>
                <w:color w:val="000000"/>
                <w:szCs w:val="21"/>
                <w:highlight w:val="none"/>
                <w:lang w:val="en-US" w:eastAsia="zh-CN"/>
              </w:rPr>
              <w:t>生产供应能力分</w:t>
            </w:r>
            <w:r>
              <w:rPr>
                <w:rFonts w:hint="eastAsia" w:ascii="Times New Roman" w:hAnsi="Times New Roman"/>
                <w:color w:val="000000"/>
                <w:szCs w:val="21"/>
                <w:highlight w:val="none"/>
              </w:rPr>
              <w:t>（</w:t>
            </w:r>
            <w:r>
              <w:rPr>
                <w:rFonts w:hint="eastAsia"/>
                <w:color w:val="000000"/>
                <w:szCs w:val="21"/>
                <w:highlight w:val="none"/>
                <w:lang w:val="en-US" w:eastAsia="zh-CN"/>
              </w:rPr>
              <w:t>8</w:t>
            </w:r>
            <w:r>
              <w:rPr>
                <w:rFonts w:hint="eastAsia" w:ascii="Times New Roman" w:hAnsi="Times New Roman"/>
                <w:color w:val="000000"/>
                <w:szCs w:val="21"/>
                <w:highlight w:val="none"/>
              </w:rPr>
              <w:t>分）</w:t>
            </w:r>
          </w:p>
        </w:tc>
        <w:tc>
          <w:tcPr>
            <w:tcW w:w="911" w:type="dxa"/>
            <w:tcBorders>
              <w:top w:val="single" w:color="auto" w:sz="4" w:space="0"/>
              <w:left w:val="single" w:color="auto" w:sz="4" w:space="0"/>
              <w:bottom w:val="single" w:color="auto" w:sz="4" w:space="0"/>
              <w:right w:val="single" w:color="auto" w:sz="4" w:space="0"/>
            </w:tcBorders>
            <w:noWrap w:val="0"/>
            <w:vAlign w:val="center"/>
          </w:tcPr>
          <w:p w14:paraId="5F5CFEA3">
            <w:pPr>
              <w:jc w:val="center"/>
              <w:rPr>
                <w:rFonts w:ascii="Times New Roman" w:hAnsi="Times New Roman"/>
                <w:color w:val="000000"/>
                <w:szCs w:val="21"/>
                <w:highlight w:val="none"/>
              </w:rPr>
            </w:pPr>
            <w:r>
              <w:rPr>
                <w:rFonts w:ascii="Times New Roman" w:hAnsi="Times New Roman"/>
                <w:color w:val="000000"/>
                <w:szCs w:val="21"/>
                <w:highlight w:val="none"/>
              </w:rPr>
              <w:t>客观分</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71550F20">
            <w:pPr>
              <w:keepNext w:val="0"/>
              <w:keepLines w:val="0"/>
              <w:widowControl/>
              <w:suppressLineNumbers w:val="0"/>
              <w:jc w:val="left"/>
              <w:rPr>
                <w:rFonts w:hint="eastAsia" w:ascii="Times New Roman" w:hAnsi="Times New Roman" w:eastAsia="宋体" w:cs="宋体"/>
                <w:color w:val="000000"/>
                <w:highlight w:val="none"/>
              </w:rPr>
            </w:pPr>
            <w:r>
              <w:rPr>
                <w:rFonts w:hint="eastAsia" w:ascii="Times New Roman" w:hAnsi="Times New Roman" w:eastAsia="宋体" w:cs="宋体"/>
                <w:color w:val="000000"/>
                <w:szCs w:val="21"/>
                <w:highlight w:val="none"/>
                <w:lang w:val="en-US" w:eastAsia="zh-CN"/>
              </w:rPr>
              <w:t>1、投标人或投标产品的生产厂家具有生产场地，且生产场地规划合理，至少包括但不限于独立的原材料存放区、生产区、发酵存储区等，提供投标人或投标产品生产厂家生产场地证明及实景照片，得</w:t>
            </w:r>
            <w:r>
              <w:rPr>
                <w:rFonts w:hint="eastAsia" w:cs="宋体"/>
                <w:color w:val="000000"/>
                <w:szCs w:val="21"/>
                <w:highlight w:val="none"/>
                <w:lang w:val="en-US" w:eastAsia="zh-CN"/>
              </w:rPr>
              <w:t>4</w:t>
            </w:r>
            <w:r>
              <w:rPr>
                <w:rFonts w:hint="eastAsia" w:ascii="Times New Roman" w:hAnsi="Times New Roman" w:eastAsia="宋体" w:cs="宋体"/>
                <w:color w:val="000000"/>
                <w:szCs w:val="21"/>
                <w:highlight w:val="none"/>
                <w:lang w:val="en-US" w:eastAsia="zh-CN"/>
              </w:rPr>
              <w:t>分。</w:t>
            </w:r>
            <w:r>
              <w:rPr>
                <w:rFonts w:hint="eastAsia" w:ascii="Times New Roman" w:hAnsi="Times New Roman" w:eastAsia="宋体" w:cs="宋体"/>
                <w:color w:val="000000"/>
                <w:highlight w:val="none"/>
              </w:rPr>
              <w:t>【注：</w:t>
            </w:r>
            <w:r>
              <w:rPr>
                <w:rFonts w:hint="eastAsia" w:ascii="Times New Roman" w:hAnsi="Times New Roman" w:eastAsia="宋体" w:cs="宋体"/>
                <w:color w:val="000000"/>
                <w:highlight w:val="none"/>
                <w:lang w:val="en-US" w:eastAsia="zh-CN"/>
              </w:rPr>
              <w:t>1.</w:t>
            </w:r>
            <w:r>
              <w:rPr>
                <w:rFonts w:hint="eastAsia" w:ascii="Times New Roman" w:hAnsi="Times New Roman" w:eastAsia="宋体" w:cs="宋体"/>
                <w:color w:val="000000"/>
                <w:highlight w:val="none"/>
              </w:rPr>
              <w:t>须提供</w:t>
            </w:r>
            <w:r>
              <w:rPr>
                <w:rFonts w:hint="eastAsia" w:ascii="Times New Roman" w:hAnsi="Times New Roman" w:eastAsia="宋体" w:cs="宋体"/>
                <w:color w:val="000000"/>
                <w:szCs w:val="21"/>
                <w:highlight w:val="none"/>
                <w:lang w:val="en-US" w:eastAsia="zh-CN"/>
              </w:rPr>
              <w:t>生产场地</w:t>
            </w:r>
            <w:r>
              <w:rPr>
                <w:rFonts w:hint="eastAsia" w:ascii="Times New Roman" w:hAnsi="Times New Roman" w:eastAsia="宋体" w:cs="宋体"/>
                <w:color w:val="000000"/>
                <w:highlight w:val="none"/>
                <w:lang w:val="en-US" w:eastAsia="zh-CN"/>
              </w:rPr>
              <w:t>的自有产权证明或租赁合同</w:t>
            </w:r>
            <w:r>
              <w:rPr>
                <w:rFonts w:hint="eastAsia" w:ascii="Times New Roman" w:hAnsi="Times New Roman" w:eastAsia="宋体" w:cs="宋体"/>
                <w:color w:val="000000"/>
                <w:highlight w:val="none"/>
                <w:lang w:eastAsia="zh-CN"/>
              </w:rPr>
              <w:t>；</w:t>
            </w:r>
            <w:r>
              <w:rPr>
                <w:rFonts w:hint="eastAsia" w:ascii="Times New Roman" w:hAnsi="Times New Roman" w:eastAsia="宋体" w:cs="宋体"/>
                <w:color w:val="000000"/>
                <w:highlight w:val="none"/>
                <w:lang w:val="en-US" w:eastAsia="zh-CN"/>
              </w:rPr>
              <w:t>2.实景照片须分别按功能区域备注以示区别。不满足第1项不得分；满足第1项，但不满足第2项功能区域最低要求的，得</w:t>
            </w:r>
            <w:r>
              <w:rPr>
                <w:rFonts w:hint="eastAsia" w:cs="宋体"/>
                <w:color w:val="000000"/>
                <w:highlight w:val="none"/>
                <w:lang w:val="en-US" w:eastAsia="zh-CN"/>
              </w:rPr>
              <w:t>2</w:t>
            </w:r>
            <w:r>
              <w:rPr>
                <w:rFonts w:hint="eastAsia" w:ascii="Times New Roman" w:hAnsi="Times New Roman" w:eastAsia="宋体" w:cs="宋体"/>
                <w:color w:val="000000"/>
                <w:highlight w:val="none"/>
                <w:lang w:val="en-US" w:eastAsia="zh-CN"/>
              </w:rPr>
              <w:t>分</w:t>
            </w:r>
            <w:r>
              <w:rPr>
                <w:rFonts w:hint="eastAsia" w:ascii="Times New Roman" w:hAnsi="Times New Roman" w:eastAsia="宋体" w:cs="宋体"/>
                <w:color w:val="000000"/>
                <w:highlight w:val="none"/>
              </w:rPr>
              <w:t>。】</w:t>
            </w:r>
          </w:p>
          <w:p w14:paraId="7F570084">
            <w:pPr>
              <w:keepNext w:val="0"/>
              <w:keepLines w:val="0"/>
              <w:widowControl/>
              <w:suppressLineNumbers w:val="0"/>
              <w:jc w:val="left"/>
              <w:rPr>
                <w:rFonts w:hint="eastAsia" w:ascii="Times New Roman" w:hAnsi="Times New Roman" w:eastAsia="宋体" w:cs="宋体"/>
                <w:color w:val="000000"/>
                <w:highlight w:val="none"/>
                <w:lang w:val="en-US" w:eastAsia="zh-CN"/>
              </w:rPr>
            </w:pPr>
            <w:r>
              <w:rPr>
                <w:rFonts w:hint="eastAsia" w:ascii="Times New Roman" w:hAnsi="Times New Roman" w:eastAsia="宋体" w:cs="宋体"/>
                <w:color w:val="000000"/>
                <w:highlight w:val="none"/>
                <w:lang w:val="en-US" w:eastAsia="zh-CN"/>
              </w:rPr>
              <w:t>2、</w:t>
            </w:r>
            <w:r>
              <w:rPr>
                <w:rFonts w:hint="eastAsia" w:ascii="Times New Roman" w:hAnsi="Times New Roman" w:eastAsia="宋体" w:cs="宋体"/>
                <w:color w:val="000000"/>
                <w:szCs w:val="21"/>
                <w:highlight w:val="none"/>
                <w:lang w:val="en-US" w:eastAsia="zh-CN"/>
              </w:rPr>
              <w:t>投标人或投标产品的生产厂家具有必要的生产设备，包括但不限于蒸饭机、蒸馏、过滤设备以及发酵存储等相关设备设施，提供投标人或投标产品生产厂家生产设备设施的清单列表及实物照片，得</w:t>
            </w:r>
            <w:r>
              <w:rPr>
                <w:rFonts w:hint="eastAsia" w:cs="宋体"/>
                <w:color w:val="000000"/>
                <w:szCs w:val="21"/>
                <w:highlight w:val="none"/>
                <w:lang w:val="en-US" w:eastAsia="zh-CN"/>
              </w:rPr>
              <w:t>4</w:t>
            </w:r>
            <w:r>
              <w:rPr>
                <w:rFonts w:hint="eastAsia" w:ascii="Times New Roman" w:hAnsi="Times New Roman" w:eastAsia="宋体" w:cs="宋体"/>
                <w:color w:val="000000"/>
                <w:szCs w:val="21"/>
                <w:highlight w:val="none"/>
                <w:lang w:val="en-US" w:eastAsia="zh-CN"/>
              </w:rPr>
              <w:t>分。</w:t>
            </w:r>
            <w:r>
              <w:rPr>
                <w:rFonts w:hint="eastAsia" w:ascii="Times New Roman" w:hAnsi="Times New Roman" w:eastAsia="宋体" w:cs="宋体"/>
                <w:color w:val="000000"/>
                <w:highlight w:val="none"/>
              </w:rPr>
              <w:t>【注：</w:t>
            </w:r>
            <w:r>
              <w:rPr>
                <w:rFonts w:hint="eastAsia" w:ascii="Times New Roman" w:hAnsi="Times New Roman" w:eastAsia="宋体" w:cs="宋体"/>
                <w:color w:val="000000"/>
                <w:highlight w:val="none"/>
                <w:lang w:val="en-US" w:eastAsia="zh-CN"/>
              </w:rPr>
              <w:t>实物照片按清单列表名称分别排序，且必须是实拍图，不能是网图或者宣传图册。提供不齐全的得</w:t>
            </w:r>
            <w:r>
              <w:rPr>
                <w:rFonts w:hint="eastAsia" w:cs="宋体"/>
                <w:color w:val="000000"/>
                <w:highlight w:val="none"/>
                <w:lang w:val="en-US" w:eastAsia="zh-CN"/>
              </w:rPr>
              <w:t>2</w:t>
            </w:r>
            <w:r>
              <w:rPr>
                <w:rFonts w:hint="eastAsia" w:ascii="Times New Roman" w:hAnsi="Times New Roman" w:eastAsia="宋体" w:cs="宋体"/>
                <w:color w:val="000000"/>
                <w:highlight w:val="none"/>
                <w:lang w:val="en-US" w:eastAsia="zh-CN"/>
              </w:rPr>
              <w:t>分，</w:t>
            </w:r>
            <w:r>
              <w:rPr>
                <w:rFonts w:hint="eastAsia" w:ascii="Times New Roman" w:hAnsi="Times New Roman" w:eastAsia="宋体" w:cs="宋体"/>
                <w:color w:val="000000"/>
                <w:highlight w:val="none"/>
              </w:rPr>
              <w:t>不提供</w:t>
            </w:r>
            <w:r>
              <w:rPr>
                <w:rFonts w:hint="eastAsia" w:ascii="Times New Roman" w:hAnsi="Times New Roman" w:eastAsia="宋体" w:cs="宋体"/>
                <w:color w:val="000000"/>
                <w:highlight w:val="none"/>
                <w:lang w:val="en-US" w:eastAsia="zh-CN"/>
              </w:rPr>
              <w:t>的</w:t>
            </w:r>
            <w:r>
              <w:rPr>
                <w:rFonts w:hint="eastAsia" w:ascii="Times New Roman" w:hAnsi="Times New Roman" w:eastAsia="宋体" w:cs="宋体"/>
                <w:color w:val="000000"/>
                <w:highlight w:val="none"/>
              </w:rPr>
              <w:t>不得分。】</w:t>
            </w:r>
          </w:p>
        </w:tc>
        <w:tc>
          <w:tcPr>
            <w:tcW w:w="2043" w:type="dxa"/>
            <w:tcBorders>
              <w:top w:val="single" w:color="auto" w:sz="4" w:space="0"/>
              <w:left w:val="single" w:color="auto" w:sz="4" w:space="0"/>
              <w:bottom w:val="single" w:color="auto" w:sz="4" w:space="0"/>
              <w:right w:val="single" w:color="auto" w:sz="4" w:space="0"/>
            </w:tcBorders>
            <w:noWrap w:val="0"/>
            <w:vAlign w:val="center"/>
          </w:tcPr>
          <w:p w14:paraId="18C6FA59">
            <w:pPr>
              <w:rPr>
                <w:rFonts w:hint="default" w:ascii="Times New Roman" w:hAnsi="Times New Roman"/>
                <w:color w:val="000000"/>
                <w:szCs w:val="21"/>
                <w:lang w:val="en-US"/>
              </w:rPr>
            </w:pPr>
          </w:p>
        </w:tc>
      </w:tr>
      <w:tr w14:paraId="3CAB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2" w:hRule="atLeast"/>
          <w:jc w:val="center"/>
        </w:trPr>
        <w:tc>
          <w:tcPr>
            <w:tcW w:w="426" w:type="dxa"/>
            <w:vMerge w:val="continue"/>
            <w:tcBorders>
              <w:left w:val="single" w:color="auto" w:sz="4" w:space="0"/>
              <w:right w:val="single" w:color="auto" w:sz="4" w:space="0"/>
            </w:tcBorders>
            <w:noWrap w:val="0"/>
            <w:vAlign w:val="center"/>
          </w:tcPr>
          <w:p w14:paraId="0C9BE22D">
            <w:pPr>
              <w:jc w:val="center"/>
              <w:rPr>
                <w:rFonts w:ascii="Times New Roman" w:hAnsi="Times New Roman"/>
                <w:color w:val="000000"/>
                <w:szCs w:val="21"/>
              </w:rPr>
            </w:pPr>
          </w:p>
        </w:tc>
        <w:tc>
          <w:tcPr>
            <w:tcW w:w="666" w:type="dxa"/>
            <w:vMerge w:val="continue"/>
            <w:tcBorders>
              <w:left w:val="single" w:color="auto" w:sz="4" w:space="0"/>
              <w:right w:val="single" w:color="auto" w:sz="4" w:space="0"/>
            </w:tcBorders>
            <w:noWrap w:val="0"/>
            <w:vAlign w:val="center"/>
          </w:tcPr>
          <w:p w14:paraId="755038DF">
            <w:pPr>
              <w:jc w:val="center"/>
              <w:rPr>
                <w:rFonts w:hint="eastAsia" w:ascii="Times New Roman" w:hAnsi="Times New Roman"/>
                <w:color w:val="000000"/>
                <w:szCs w:val="21"/>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8AA30AD">
            <w:pPr>
              <w:rPr>
                <w:rFonts w:hint="eastAsia" w:ascii="Times New Roman" w:hAnsi="Times New Roman"/>
                <w:color w:val="000000"/>
                <w:szCs w:val="21"/>
                <w:lang w:val="en-US" w:eastAsia="zh-CN"/>
              </w:rPr>
            </w:pPr>
            <w:r>
              <w:rPr>
                <w:rFonts w:hint="eastAsia" w:ascii="Times New Roman" w:hAnsi="Times New Roman" w:eastAsia="宋体" w:cs="Times New Roman"/>
                <w:color w:val="000000"/>
                <w:szCs w:val="21"/>
                <w:lang w:val="en-US" w:eastAsia="zh-CN"/>
              </w:rPr>
              <w:t>拟投入人员方案分（</w:t>
            </w:r>
            <w:r>
              <w:rPr>
                <w:rFonts w:hint="eastAsia" w:cs="Times New Roman"/>
                <w:color w:val="000000"/>
                <w:szCs w:val="21"/>
                <w:lang w:val="en-US" w:eastAsia="zh-CN"/>
              </w:rPr>
              <w:t>9</w:t>
            </w:r>
            <w:r>
              <w:rPr>
                <w:rFonts w:hint="eastAsia" w:ascii="Times New Roman" w:hAnsi="Times New Roman" w:eastAsia="宋体" w:cs="Times New Roman"/>
                <w:color w:val="000000"/>
                <w:szCs w:val="21"/>
                <w:lang w:val="en-US" w:eastAsia="zh-CN"/>
              </w:rPr>
              <w:t>分）</w:t>
            </w:r>
          </w:p>
        </w:tc>
        <w:tc>
          <w:tcPr>
            <w:tcW w:w="911" w:type="dxa"/>
            <w:tcBorders>
              <w:top w:val="single" w:color="auto" w:sz="4" w:space="0"/>
              <w:left w:val="single" w:color="auto" w:sz="4" w:space="0"/>
              <w:bottom w:val="single" w:color="auto" w:sz="4" w:space="0"/>
              <w:right w:val="single" w:color="auto" w:sz="4" w:space="0"/>
            </w:tcBorders>
            <w:noWrap w:val="0"/>
            <w:vAlign w:val="center"/>
          </w:tcPr>
          <w:p w14:paraId="1172EB0B">
            <w:pPr>
              <w:jc w:val="center"/>
              <w:rPr>
                <w:rFonts w:hint="eastAsia" w:ascii="Times New Roman" w:hAnsi="Times New Roman" w:eastAsia="宋体"/>
                <w:color w:val="000000"/>
                <w:szCs w:val="21"/>
                <w:lang w:val="en-US" w:eastAsia="zh-CN"/>
              </w:rPr>
            </w:pPr>
            <w:r>
              <w:rPr>
                <w:rFonts w:hint="eastAsia" w:ascii="Times New Roman" w:hAnsi="Times New Roman"/>
                <w:color w:val="000000"/>
                <w:szCs w:val="21"/>
                <w:lang w:val="en-US" w:eastAsia="zh-CN"/>
              </w:rPr>
              <w:t>主观分</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752B8202">
            <w:pPr>
              <w:spacing w:before="30" w:line="320" w:lineRule="exact"/>
              <w:rPr>
                <w:rFonts w:hint="eastAsia" w:ascii="宋体" w:hAnsi="宋体" w:eastAsia="宋体" w:cs="仿宋_GB2312"/>
                <w:szCs w:val="21"/>
                <w:lang w:eastAsia="zh-CN"/>
              </w:rPr>
            </w:pPr>
            <w:r>
              <w:rPr>
                <w:rFonts w:hint="eastAsia" w:ascii="宋体" w:hAnsi="宋体" w:cs="仿宋_GB2312"/>
                <w:szCs w:val="21"/>
                <w:lang w:val="en-US" w:eastAsia="zh-CN"/>
              </w:rPr>
              <w:t>一档（0分）：</w:t>
            </w:r>
            <w:r>
              <w:rPr>
                <w:rFonts w:hint="eastAsia" w:ascii="宋体" w:hAnsi="宋体" w:cs="仿宋_GB2312"/>
                <w:szCs w:val="21"/>
              </w:rPr>
              <w:t>未提供拟投入人员方案或方案不合理</w:t>
            </w:r>
            <w:r>
              <w:rPr>
                <w:rFonts w:hint="eastAsia" w:ascii="宋体" w:hAnsi="宋体" w:cs="仿宋_GB2312"/>
                <w:szCs w:val="21"/>
                <w:lang w:eastAsia="zh-CN"/>
              </w:rPr>
              <w:t>；</w:t>
            </w:r>
          </w:p>
          <w:p w14:paraId="1BE8F801">
            <w:pPr>
              <w:spacing w:before="30" w:line="320" w:lineRule="exact"/>
              <w:rPr>
                <w:rFonts w:hint="eastAsia" w:ascii="宋体" w:hAnsi="宋体" w:eastAsia="宋体" w:cs="仿宋_GB2312"/>
                <w:szCs w:val="21"/>
                <w:lang w:eastAsia="zh-CN"/>
              </w:rPr>
            </w:pPr>
            <w:r>
              <w:rPr>
                <w:rFonts w:hint="eastAsia" w:ascii="宋体" w:hAnsi="宋体" w:cs="仿宋_GB2312"/>
                <w:szCs w:val="21"/>
                <w:lang w:val="en-US" w:eastAsia="zh-CN"/>
              </w:rPr>
              <w:t>二档（3分）：</w:t>
            </w:r>
            <w:r>
              <w:rPr>
                <w:rFonts w:hint="eastAsia" w:ascii="宋体" w:hAnsi="宋体" w:cs="仿宋_GB2312"/>
                <w:szCs w:val="21"/>
              </w:rPr>
              <w:t>提供的拟投入人员方案可行性较差，针对性不强，拟投入人员步骤、措施、工作进度安排笼统不明确或内容不齐全</w:t>
            </w:r>
            <w:r>
              <w:rPr>
                <w:rFonts w:hint="eastAsia" w:ascii="宋体" w:hAnsi="宋体" w:cs="仿宋_GB2312"/>
                <w:szCs w:val="21"/>
                <w:lang w:eastAsia="zh-CN"/>
              </w:rPr>
              <w:t>；</w:t>
            </w:r>
          </w:p>
          <w:p w14:paraId="3A8B5CD3">
            <w:pPr>
              <w:spacing w:before="30" w:line="320" w:lineRule="exact"/>
              <w:rPr>
                <w:rFonts w:hint="eastAsia" w:ascii="宋体" w:hAnsi="宋体" w:eastAsia="宋体" w:cs="仿宋_GB2312"/>
                <w:szCs w:val="21"/>
                <w:lang w:eastAsia="zh-CN"/>
              </w:rPr>
            </w:pPr>
            <w:r>
              <w:rPr>
                <w:rFonts w:hint="eastAsia" w:ascii="宋体" w:hAnsi="宋体" w:cs="仿宋_GB2312"/>
                <w:szCs w:val="21"/>
                <w:lang w:val="en-US" w:eastAsia="zh-CN"/>
              </w:rPr>
              <w:t>三档（6分）：</w:t>
            </w:r>
            <w:r>
              <w:rPr>
                <w:rFonts w:hint="eastAsia" w:ascii="宋体" w:hAnsi="宋体" w:cs="仿宋_GB2312"/>
                <w:szCs w:val="21"/>
              </w:rPr>
              <w:t>提供的拟投入人员方案可行性合理，有针对性，拟投入人员步骤、措施、工作进度安排内容齐全，措施考虑欠周全</w:t>
            </w:r>
            <w:r>
              <w:rPr>
                <w:rFonts w:hint="eastAsia" w:ascii="宋体" w:hAnsi="宋体" w:cs="仿宋_GB2312"/>
                <w:szCs w:val="21"/>
                <w:lang w:eastAsia="zh-CN"/>
              </w:rPr>
              <w:t>；</w:t>
            </w:r>
          </w:p>
          <w:p w14:paraId="4F03DD25">
            <w:pPr>
              <w:keepNext w:val="0"/>
              <w:keepLines w:val="0"/>
              <w:widowControl/>
              <w:suppressLineNumbers w:val="0"/>
              <w:jc w:val="left"/>
              <w:rPr>
                <w:rFonts w:hint="eastAsia" w:ascii="Times New Roman" w:hAnsi="Times New Roman" w:eastAsia="宋体" w:cs="宋体"/>
                <w:color w:val="000000"/>
                <w:highlight w:val="none"/>
                <w:lang w:val="en-US" w:eastAsia="zh-CN"/>
              </w:rPr>
            </w:pPr>
            <w:r>
              <w:rPr>
                <w:rFonts w:hint="eastAsia" w:ascii="宋体" w:hAnsi="宋体" w:cs="仿宋_GB2312"/>
                <w:szCs w:val="21"/>
                <w:lang w:val="en-US" w:eastAsia="zh-CN"/>
              </w:rPr>
              <w:t>四档（9分）：</w:t>
            </w:r>
            <w:r>
              <w:rPr>
                <w:rFonts w:hint="eastAsia" w:ascii="宋体" w:hAnsi="宋体" w:cs="仿宋_GB2312"/>
                <w:szCs w:val="21"/>
              </w:rPr>
              <w:t>拟投入人员方案可行性、针对性强，拟投入人员步骤、措施、工作进度安排内容齐全、详细、考虑周全，对工作能顺利开展有很强的保障性。</w:t>
            </w:r>
          </w:p>
        </w:tc>
        <w:tc>
          <w:tcPr>
            <w:tcW w:w="2043" w:type="dxa"/>
            <w:tcBorders>
              <w:top w:val="single" w:color="auto" w:sz="4" w:space="0"/>
              <w:left w:val="single" w:color="auto" w:sz="4" w:space="0"/>
              <w:bottom w:val="single" w:color="auto" w:sz="4" w:space="0"/>
              <w:right w:val="single" w:color="auto" w:sz="4" w:space="0"/>
            </w:tcBorders>
            <w:noWrap w:val="0"/>
            <w:vAlign w:val="center"/>
          </w:tcPr>
          <w:p w14:paraId="302CB753">
            <w:pPr>
              <w:rPr>
                <w:rFonts w:hint="default" w:ascii="Times New Roman" w:hAnsi="Times New Roman"/>
                <w:color w:val="000000"/>
                <w:szCs w:val="21"/>
                <w:lang w:val="en-US"/>
              </w:rPr>
            </w:pPr>
          </w:p>
        </w:tc>
      </w:tr>
      <w:tr w14:paraId="71DF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restart"/>
            <w:tcBorders>
              <w:top w:val="single" w:color="auto" w:sz="4" w:space="0"/>
              <w:left w:val="single" w:color="auto" w:sz="4" w:space="0"/>
              <w:right w:val="single" w:color="auto" w:sz="4" w:space="0"/>
            </w:tcBorders>
            <w:noWrap w:val="0"/>
            <w:vAlign w:val="center"/>
          </w:tcPr>
          <w:p w14:paraId="70CF31F5">
            <w:pPr>
              <w:jc w:val="center"/>
              <w:rPr>
                <w:rFonts w:ascii="Times New Roman" w:hAnsi="Times New Roman"/>
                <w:color w:val="000000"/>
                <w:szCs w:val="21"/>
              </w:rPr>
            </w:pPr>
            <w:r>
              <w:rPr>
                <w:rFonts w:ascii="Times New Roman" w:hAnsi="Times New Roman"/>
                <w:color w:val="000000"/>
                <w:szCs w:val="21"/>
              </w:rPr>
              <w:t>2</w:t>
            </w:r>
          </w:p>
        </w:tc>
        <w:tc>
          <w:tcPr>
            <w:tcW w:w="666" w:type="dxa"/>
            <w:vMerge w:val="restart"/>
            <w:tcBorders>
              <w:top w:val="single" w:color="auto" w:sz="4" w:space="0"/>
              <w:left w:val="single" w:color="auto" w:sz="4" w:space="0"/>
              <w:right w:val="single" w:color="auto" w:sz="4" w:space="0"/>
            </w:tcBorders>
            <w:noWrap w:val="0"/>
            <w:vAlign w:val="center"/>
          </w:tcPr>
          <w:p w14:paraId="10A77037">
            <w:pPr>
              <w:jc w:val="center"/>
              <w:rPr>
                <w:rFonts w:ascii="Times New Roman" w:hAnsi="Times New Roman"/>
                <w:color w:val="000000"/>
                <w:szCs w:val="21"/>
              </w:rPr>
            </w:pPr>
            <w:r>
              <w:rPr>
                <w:rFonts w:ascii="Times New Roman" w:hAnsi="Times New Roman"/>
                <w:color w:val="000000"/>
                <w:szCs w:val="21"/>
              </w:rPr>
              <w:t>技术</w:t>
            </w:r>
            <w:r>
              <w:rPr>
                <w:rFonts w:hint="eastAsia" w:ascii="Times New Roman" w:hAnsi="Times New Roman"/>
                <w:color w:val="000000"/>
                <w:szCs w:val="21"/>
                <w:lang w:val="en-US" w:eastAsia="zh-CN"/>
              </w:rPr>
              <w:t>分</w:t>
            </w:r>
            <w:r>
              <w:rPr>
                <w:rFonts w:ascii="Times New Roman" w:hAnsi="Times New Roman"/>
                <w:color w:val="000000"/>
                <w:szCs w:val="21"/>
              </w:rPr>
              <w:t>（</w:t>
            </w:r>
            <w:r>
              <w:rPr>
                <w:rFonts w:hint="eastAsia"/>
                <w:color w:val="000000"/>
                <w:szCs w:val="21"/>
                <w:lang w:val="en-US" w:eastAsia="zh-CN"/>
              </w:rPr>
              <w:t>27</w:t>
            </w:r>
            <w:r>
              <w:rPr>
                <w:rFonts w:ascii="Times New Roman" w:hAnsi="Times New Roman"/>
                <w:color w:val="000000"/>
                <w:szCs w:val="21"/>
              </w:rPr>
              <w:t>分）</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3C714E68">
            <w:pPr>
              <w:widowControl/>
              <w:jc w:val="left"/>
              <w:rPr>
                <w:rFonts w:ascii="Times New Roman" w:hAnsi="Times New Roman"/>
                <w:color w:val="000000"/>
              </w:rPr>
            </w:pPr>
            <w:r>
              <w:rPr>
                <w:rFonts w:hint="eastAsia" w:ascii="Times New Roman" w:hAnsi="Times New Roman"/>
                <w:color w:val="000000"/>
                <w:lang w:val="en-US" w:eastAsia="zh-CN"/>
              </w:rPr>
              <w:t>实施方案分</w:t>
            </w:r>
            <w:r>
              <w:rPr>
                <w:rFonts w:hint="eastAsia" w:ascii="Times New Roman" w:hAnsi="Times New Roman"/>
                <w:color w:val="000000"/>
              </w:rPr>
              <w:t>（</w:t>
            </w:r>
            <w:r>
              <w:rPr>
                <w:rFonts w:hint="eastAsia"/>
                <w:color w:val="000000"/>
                <w:lang w:val="en-US" w:eastAsia="zh-CN"/>
              </w:rPr>
              <w:t>9</w:t>
            </w:r>
            <w:r>
              <w:rPr>
                <w:rFonts w:hint="eastAsia" w:ascii="Times New Roman" w:hAnsi="Times New Roman"/>
                <w:color w:val="000000"/>
              </w:rPr>
              <w:t>分）</w:t>
            </w:r>
          </w:p>
        </w:tc>
        <w:tc>
          <w:tcPr>
            <w:tcW w:w="911" w:type="dxa"/>
            <w:tcBorders>
              <w:top w:val="single" w:color="auto" w:sz="4" w:space="0"/>
              <w:left w:val="single" w:color="auto" w:sz="4" w:space="0"/>
              <w:bottom w:val="single" w:color="auto" w:sz="4" w:space="0"/>
              <w:right w:val="single" w:color="auto" w:sz="4" w:space="0"/>
            </w:tcBorders>
            <w:noWrap w:val="0"/>
            <w:vAlign w:val="center"/>
          </w:tcPr>
          <w:p w14:paraId="00290985">
            <w:pPr>
              <w:jc w:val="center"/>
              <w:rPr>
                <w:rFonts w:ascii="Times New Roman" w:hAnsi="Times New Roman"/>
                <w:color w:val="000000"/>
                <w:szCs w:val="21"/>
              </w:rPr>
            </w:pPr>
            <w:r>
              <w:rPr>
                <w:rFonts w:ascii="Times New Roman" w:hAnsi="Times New Roman"/>
                <w:color w:val="000000"/>
                <w:szCs w:val="21"/>
              </w:rPr>
              <w:t>主观分</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1FC82CDC">
            <w:pPr>
              <w:keepNext w:val="0"/>
              <w:keepLines w:val="0"/>
              <w:widowControl/>
              <w:suppressLineNumbers w:val="0"/>
              <w:jc w:val="left"/>
              <w:rPr>
                <w:rFonts w:hint="eastAsia" w:ascii="宋体" w:hAnsi="宋体" w:eastAsia="宋体" w:cs="仿宋_GB2312"/>
                <w:szCs w:val="21"/>
                <w:lang w:eastAsia="zh-CN"/>
              </w:rPr>
            </w:pPr>
            <w:r>
              <w:rPr>
                <w:rFonts w:hint="eastAsia" w:ascii="宋体" w:hAnsi="宋体" w:eastAsia="宋体" w:cs="仿宋_GB2312"/>
                <w:szCs w:val="21"/>
              </w:rPr>
              <w:t>一档</w:t>
            </w:r>
            <w:r>
              <w:rPr>
                <w:rFonts w:hint="eastAsia" w:ascii="宋体" w:hAnsi="宋体" w:cs="仿宋_GB2312"/>
                <w:szCs w:val="21"/>
                <w:lang w:val="en-US" w:eastAsia="zh-CN"/>
              </w:rPr>
              <w:t>（0分）</w:t>
            </w:r>
            <w:r>
              <w:rPr>
                <w:rFonts w:hint="eastAsia" w:ascii="宋体" w:hAnsi="宋体" w:eastAsia="宋体" w:cs="仿宋_GB2312"/>
                <w:szCs w:val="21"/>
              </w:rPr>
              <w:t>：未提供</w:t>
            </w:r>
            <w:r>
              <w:rPr>
                <w:rFonts w:hint="eastAsia" w:ascii="Times New Roman" w:hAnsi="Times New Roman"/>
                <w:color w:val="000000"/>
                <w:lang w:val="en-US" w:eastAsia="zh-CN"/>
              </w:rPr>
              <w:t>实施方案</w:t>
            </w:r>
            <w:r>
              <w:rPr>
                <w:rFonts w:hint="eastAsia" w:ascii="宋体" w:hAnsi="宋体" w:eastAsia="宋体" w:cs="仿宋_GB2312"/>
                <w:szCs w:val="21"/>
              </w:rPr>
              <w:t>或</w:t>
            </w:r>
            <w:r>
              <w:rPr>
                <w:rFonts w:hint="eastAsia" w:ascii="Times New Roman" w:hAnsi="Times New Roman"/>
                <w:color w:val="000000"/>
                <w:lang w:val="en-US" w:eastAsia="zh-CN"/>
              </w:rPr>
              <w:t>实施方案</w:t>
            </w:r>
            <w:r>
              <w:rPr>
                <w:rFonts w:hint="eastAsia" w:ascii="宋体" w:hAnsi="宋体" w:eastAsia="宋体" w:cs="仿宋_GB2312"/>
                <w:szCs w:val="21"/>
              </w:rPr>
              <w:t>不合理</w:t>
            </w:r>
            <w:r>
              <w:rPr>
                <w:rFonts w:hint="eastAsia" w:ascii="宋体" w:hAnsi="宋体" w:eastAsia="宋体" w:cs="仿宋_GB2312"/>
                <w:szCs w:val="21"/>
                <w:lang w:eastAsia="zh-CN"/>
              </w:rPr>
              <w:t>；</w:t>
            </w:r>
          </w:p>
          <w:p w14:paraId="664A7EB0">
            <w:pPr>
              <w:keepNext w:val="0"/>
              <w:keepLines w:val="0"/>
              <w:widowControl/>
              <w:suppressLineNumbers w:val="0"/>
              <w:jc w:val="left"/>
              <w:rPr>
                <w:rFonts w:hint="eastAsia" w:ascii="宋体" w:hAnsi="宋体" w:eastAsia="宋体" w:cs="仿宋_GB2312"/>
                <w:szCs w:val="21"/>
                <w:lang w:eastAsia="zh-CN"/>
              </w:rPr>
            </w:pPr>
            <w:r>
              <w:rPr>
                <w:rFonts w:hint="eastAsia" w:ascii="宋体" w:hAnsi="宋体" w:eastAsia="宋体" w:cs="仿宋_GB2312"/>
                <w:szCs w:val="21"/>
              </w:rPr>
              <w:t>二档</w:t>
            </w:r>
            <w:r>
              <w:rPr>
                <w:rFonts w:hint="eastAsia" w:ascii="宋体" w:hAnsi="宋体" w:cs="仿宋_GB2312"/>
                <w:szCs w:val="21"/>
                <w:lang w:val="en-US" w:eastAsia="zh-CN"/>
              </w:rPr>
              <w:t>（3分）</w:t>
            </w:r>
            <w:r>
              <w:rPr>
                <w:rFonts w:hint="eastAsia" w:ascii="宋体" w:hAnsi="宋体" w:eastAsia="宋体" w:cs="仿宋_GB2312"/>
                <w:szCs w:val="21"/>
              </w:rPr>
              <w:t>：提供的</w:t>
            </w:r>
            <w:r>
              <w:rPr>
                <w:rFonts w:hint="eastAsia" w:ascii="Times New Roman" w:hAnsi="Times New Roman"/>
                <w:color w:val="000000"/>
                <w:lang w:val="en-US" w:eastAsia="zh-CN"/>
              </w:rPr>
              <w:t>实施方案</w:t>
            </w:r>
            <w:r>
              <w:rPr>
                <w:rFonts w:hint="eastAsia" w:ascii="宋体" w:hAnsi="宋体" w:eastAsia="宋体" w:cs="仿宋_GB2312"/>
                <w:szCs w:val="21"/>
              </w:rPr>
              <w:t>可行性较差，针对性不强，有实施计划，货物制作、运输及交付</w:t>
            </w:r>
            <w:r>
              <w:rPr>
                <w:rFonts w:hint="eastAsia" w:ascii="宋体" w:hAnsi="宋体" w:eastAsia="宋体" w:cs="仿宋_GB2312"/>
                <w:szCs w:val="21"/>
                <w:lang w:val="en-US" w:eastAsia="zh-CN"/>
              </w:rPr>
              <w:t>流程</w:t>
            </w:r>
            <w:r>
              <w:rPr>
                <w:rFonts w:hint="eastAsia" w:ascii="宋体" w:hAnsi="宋体" w:eastAsia="宋体" w:cs="仿宋_GB2312"/>
                <w:szCs w:val="21"/>
              </w:rPr>
              <w:t>，质量保证体系及措施</w:t>
            </w:r>
            <w:r>
              <w:rPr>
                <w:rFonts w:hint="eastAsia" w:ascii="宋体" w:hAnsi="宋体" w:eastAsia="宋体" w:cs="仿宋_GB2312"/>
                <w:szCs w:val="21"/>
                <w:lang w:val="en-US" w:eastAsia="zh-CN"/>
              </w:rPr>
              <w:t>等</w:t>
            </w:r>
            <w:r>
              <w:rPr>
                <w:rFonts w:hint="eastAsia" w:ascii="宋体" w:hAnsi="宋体" w:eastAsia="宋体" w:cs="仿宋_GB2312"/>
                <w:szCs w:val="21"/>
                <w:lang w:eastAsia="zh-CN"/>
              </w:rPr>
              <w:t>；</w:t>
            </w:r>
          </w:p>
          <w:p w14:paraId="66A6947D">
            <w:pPr>
              <w:keepNext w:val="0"/>
              <w:keepLines w:val="0"/>
              <w:widowControl/>
              <w:suppressLineNumbers w:val="0"/>
              <w:jc w:val="left"/>
              <w:rPr>
                <w:rFonts w:hint="eastAsia" w:ascii="宋体" w:hAnsi="宋体" w:eastAsia="宋体" w:cs="仿宋_GB2312"/>
                <w:szCs w:val="21"/>
                <w:lang w:eastAsia="zh-CN"/>
              </w:rPr>
            </w:pPr>
            <w:r>
              <w:rPr>
                <w:rFonts w:hint="eastAsia" w:ascii="宋体" w:hAnsi="宋体" w:cs="仿宋_GB2312"/>
                <w:szCs w:val="21"/>
                <w:lang w:val="en-US" w:eastAsia="zh-CN"/>
              </w:rPr>
              <w:t>三</w:t>
            </w:r>
            <w:r>
              <w:rPr>
                <w:rFonts w:hint="eastAsia" w:ascii="宋体" w:hAnsi="宋体" w:eastAsia="宋体" w:cs="仿宋_GB2312"/>
                <w:szCs w:val="21"/>
              </w:rPr>
              <w:t>档</w:t>
            </w:r>
            <w:r>
              <w:rPr>
                <w:rFonts w:hint="eastAsia" w:ascii="宋体" w:hAnsi="宋体" w:cs="仿宋_GB2312"/>
                <w:szCs w:val="21"/>
                <w:lang w:val="en-US" w:eastAsia="zh-CN"/>
              </w:rPr>
              <w:t>（6分）</w:t>
            </w:r>
            <w:r>
              <w:rPr>
                <w:rFonts w:hint="eastAsia" w:ascii="宋体" w:hAnsi="宋体" w:eastAsia="宋体" w:cs="仿宋_GB2312"/>
                <w:szCs w:val="21"/>
              </w:rPr>
              <w:t>：提供的</w:t>
            </w:r>
            <w:r>
              <w:rPr>
                <w:rFonts w:hint="eastAsia" w:ascii="宋体" w:hAnsi="宋体" w:eastAsia="宋体" w:cs="仿宋_GB2312"/>
                <w:szCs w:val="21"/>
                <w:lang w:val="en-US" w:eastAsia="zh-CN"/>
              </w:rPr>
              <w:t>实施</w:t>
            </w:r>
            <w:r>
              <w:rPr>
                <w:rFonts w:hint="eastAsia" w:ascii="宋体" w:hAnsi="宋体" w:eastAsia="宋体" w:cs="仿宋_GB2312"/>
                <w:szCs w:val="21"/>
              </w:rPr>
              <w:t>方案可行性强，有较强的针对性，实施计划，货物制作、运输及交付</w:t>
            </w:r>
            <w:r>
              <w:rPr>
                <w:rFonts w:hint="eastAsia" w:ascii="宋体" w:hAnsi="宋体" w:eastAsia="宋体" w:cs="仿宋_GB2312"/>
                <w:szCs w:val="21"/>
                <w:lang w:val="en-US" w:eastAsia="zh-CN"/>
              </w:rPr>
              <w:t>流程</w:t>
            </w:r>
            <w:r>
              <w:rPr>
                <w:rFonts w:hint="eastAsia" w:ascii="宋体" w:hAnsi="宋体" w:eastAsia="宋体" w:cs="仿宋_GB2312"/>
                <w:szCs w:val="21"/>
              </w:rPr>
              <w:t>，质量保证体系及措施</w:t>
            </w:r>
            <w:r>
              <w:rPr>
                <w:rFonts w:hint="eastAsia" w:ascii="宋体" w:hAnsi="宋体" w:eastAsia="宋体" w:cs="仿宋_GB2312"/>
                <w:szCs w:val="21"/>
                <w:lang w:val="en-US" w:eastAsia="zh-CN"/>
              </w:rPr>
              <w:t>较具体</w:t>
            </w:r>
            <w:r>
              <w:rPr>
                <w:rFonts w:hint="eastAsia" w:ascii="宋体" w:hAnsi="宋体" w:eastAsia="宋体" w:cs="仿宋_GB2312"/>
                <w:szCs w:val="21"/>
                <w:lang w:eastAsia="zh-CN"/>
              </w:rPr>
              <w:t>；</w:t>
            </w:r>
          </w:p>
          <w:p w14:paraId="5E26736B">
            <w:pPr>
              <w:keepNext w:val="0"/>
              <w:keepLines w:val="0"/>
              <w:widowControl/>
              <w:suppressLineNumbers w:val="0"/>
              <w:jc w:val="left"/>
              <w:rPr>
                <w:rFonts w:hint="eastAsia" w:ascii="宋体" w:hAnsi="宋体" w:eastAsia="宋体" w:cs="仿宋_GB2312"/>
                <w:szCs w:val="21"/>
                <w:lang w:eastAsia="zh-CN"/>
              </w:rPr>
            </w:pPr>
            <w:r>
              <w:rPr>
                <w:rFonts w:hint="eastAsia" w:ascii="宋体" w:hAnsi="宋体" w:cs="仿宋_GB2312"/>
                <w:szCs w:val="21"/>
                <w:lang w:val="en-US" w:eastAsia="zh-CN"/>
              </w:rPr>
              <w:t>四</w:t>
            </w:r>
            <w:r>
              <w:rPr>
                <w:rFonts w:hint="eastAsia" w:ascii="宋体" w:hAnsi="宋体" w:eastAsia="宋体" w:cs="仿宋_GB2312"/>
                <w:szCs w:val="21"/>
              </w:rPr>
              <w:t>档</w:t>
            </w:r>
            <w:r>
              <w:rPr>
                <w:rFonts w:hint="eastAsia" w:ascii="宋体" w:hAnsi="宋体" w:cs="仿宋_GB2312"/>
                <w:szCs w:val="21"/>
                <w:lang w:val="en-US" w:eastAsia="zh-CN"/>
              </w:rPr>
              <w:t>（9分）</w:t>
            </w:r>
            <w:r>
              <w:rPr>
                <w:rFonts w:hint="eastAsia" w:ascii="宋体" w:hAnsi="宋体" w:eastAsia="宋体" w:cs="仿宋_GB2312"/>
                <w:szCs w:val="21"/>
              </w:rPr>
              <w:t>：</w:t>
            </w:r>
            <w:r>
              <w:rPr>
                <w:rFonts w:hint="eastAsia" w:ascii="宋体" w:hAnsi="宋体" w:eastAsia="宋体" w:cs="仿宋_GB2312"/>
                <w:szCs w:val="21"/>
                <w:lang w:val="en-US" w:eastAsia="zh-CN"/>
              </w:rPr>
              <w:t>在满足</w:t>
            </w:r>
            <w:r>
              <w:rPr>
                <w:rFonts w:hint="eastAsia" w:ascii="宋体" w:hAnsi="宋体" w:cs="仿宋_GB2312"/>
                <w:szCs w:val="21"/>
                <w:lang w:val="en-US" w:eastAsia="zh-CN"/>
              </w:rPr>
              <w:t>三</w:t>
            </w:r>
            <w:r>
              <w:rPr>
                <w:rFonts w:hint="eastAsia" w:ascii="宋体" w:hAnsi="宋体" w:eastAsia="宋体" w:cs="仿宋_GB2312"/>
                <w:szCs w:val="21"/>
                <w:lang w:val="en-US" w:eastAsia="zh-CN"/>
              </w:rPr>
              <w:t>档基础上，</w:t>
            </w:r>
            <w:r>
              <w:rPr>
                <w:rFonts w:hint="eastAsia" w:ascii="宋体" w:hAnsi="宋体" w:eastAsia="宋体" w:cs="仿宋_GB2312"/>
                <w:szCs w:val="21"/>
              </w:rPr>
              <w:t>提供的服务方案可行性强、针对性强，作业流程具体，对采购人的工作要求能提出合理化建议</w:t>
            </w:r>
            <w:r>
              <w:rPr>
                <w:rFonts w:hint="eastAsia" w:ascii="宋体" w:hAnsi="宋体" w:eastAsia="宋体" w:cs="仿宋_GB2312"/>
                <w:szCs w:val="21"/>
                <w:lang w:eastAsia="zh-CN"/>
              </w:rPr>
              <w:t>；</w:t>
            </w:r>
            <w:r>
              <w:rPr>
                <w:rFonts w:hint="eastAsia" w:ascii="宋体" w:hAnsi="宋体" w:eastAsia="宋体" w:cs="仿宋_GB2312"/>
                <w:szCs w:val="21"/>
              </w:rPr>
              <w:t>满足采购人正常供应要求,对任务要求反应迅速，措施合理可行，并制定有针对性的考虑周全的实施方案</w:t>
            </w:r>
            <w:r>
              <w:rPr>
                <w:rFonts w:hint="eastAsia" w:ascii="宋体" w:hAnsi="宋体" w:eastAsia="宋体" w:cs="仿宋_GB2312"/>
                <w:szCs w:val="21"/>
                <w:lang w:eastAsia="zh-CN"/>
              </w:rPr>
              <w:t>。</w:t>
            </w:r>
          </w:p>
        </w:tc>
        <w:tc>
          <w:tcPr>
            <w:tcW w:w="2043" w:type="dxa"/>
            <w:tcBorders>
              <w:top w:val="single" w:color="auto" w:sz="4" w:space="0"/>
              <w:left w:val="single" w:color="auto" w:sz="4" w:space="0"/>
              <w:bottom w:val="single" w:color="auto" w:sz="4" w:space="0"/>
              <w:right w:val="single" w:color="auto" w:sz="4" w:space="0"/>
            </w:tcBorders>
            <w:noWrap w:val="0"/>
            <w:vAlign w:val="center"/>
          </w:tcPr>
          <w:p w14:paraId="345B13A6">
            <w:pPr>
              <w:rPr>
                <w:rFonts w:ascii="Times New Roman" w:hAnsi="Times New Roman"/>
                <w:color w:val="000000"/>
              </w:rPr>
            </w:pPr>
          </w:p>
        </w:tc>
      </w:tr>
      <w:tr w14:paraId="712AE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7" w:hRule="atLeast"/>
          <w:jc w:val="center"/>
        </w:trPr>
        <w:tc>
          <w:tcPr>
            <w:tcW w:w="426" w:type="dxa"/>
            <w:vMerge w:val="continue"/>
            <w:tcBorders>
              <w:left w:val="single" w:color="auto" w:sz="4" w:space="0"/>
              <w:right w:val="single" w:color="auto" w:sz="4" w:space="0"/>
            </w:tcBorders>
            <w:noWrap w:val="0"/>
            <w:vAlign w:val="center"/>
          </w:tcPr>
          <w:p w14:paraId="0C71AAE2">
            <w:pPr>
              <w:jc w:val="center"/>
              <w:rPr>
                <w:rFonts w:ascii="Times New Roman" w:hAnsi="Times New Roman"/>
                <w:color w:val="000000"/>
                <w:szCs w:val="21"/>
              </w:rPr>
            </w:pPr>
          </w:p>
        </w:tc>
        <w:tc>
          <w:tcPr>
            <w:tcW w:w="666" w:type="dxa"/>
            <w:vMerge w:val="continue"/>
            <w:tcBorders>
              <w:left w:val="single" w:color="auto" w:sz="4" w:space="0"/>
              <w:right w:val="single" w:color="auto" w:sz="4" w:space="0"/>
            </w:tcBorders>
            <w:noWrap w:val="0"/>
            <w:vAlign w:val="center"/>
          </w:tcPr>
          <w:p w14:paraId="77EAC9D9">
            <w:pPr>
              <w:jc w:val="center"/>
              <w:rPr>
                <w:rFonts w:ascii="Times New Roman" w:hAnsi="Times New Roman"/>
                <w:color w:val="000000"/>
                <w:szCs w:val="21"/>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FCF520D">
            <w:pPr>
              <w:widowControl/>
              <w:jc w:val="left"/>
              <w:rPr>
                <w:rFonts w:hint="default" w:ascii="Times New Roman" w:hAnsi="Times New Roman" w:eastAsia="宋体"/>
                <w:color w:val="000000"/>
                <w:lang w:val="en-US" w:eastAsia="zh-CN"/>
              </w:rPr>
            </w:pPr>
            <w:r>
              <w:rPr>
                <w:rFonts w:hint="eastAsia" w:ascii="Times New Roman" w:hAnsi="Times New Roman"/>
                <w:color w:val="000000"/>
                <w:lang w:val="en-US" w:eastAsia="zh-CN"/>
              </w:rPr>
              <w:t>卫生安全保障方案分（</w:t>
            </w:r>
            <w:r>
              <w:rPr>
                <w:rFonts w:hint="eastAsia"/>
                <w:color w:val="000000"/>
                <w:lang w:val="en-US" w:eastAsia="zh-CN"/>
              </w:rPr>
              <w:t>9</w:t>
            </w:r>
            <w:r>
              <w:rPr>
                <w:rFonts w:hint="eastAsia" w:ascii="Times New Roman" w:hAnsi="Times New Roman"/>
                <w:color w:val="000000"/>
                <w:lang w:val="en-US" w:eastAsia="zh-CN"/>
              </w:rPr>
              <w:t>分）</w:t>
            </w:r>
          </w:p>
        </w:tc>
        <w:tc>
          <w:tcPr>
            <w:tcW w:w="911" w:type="dxa"/>
            <w:tcBorders>
              <w:top w:val="single" w:color="auto" w:sz="4" w:space="0"/>
              <w:left w:val="single" w:color="auto" w:sz="4" w:space="0"/>
              <w:bottom w:val="single" w:color="auto" w:sz="4" w:space="0"/>
              <w:right w:val="single" w:color="auto" w:sz="4" w:space="0"/>
            </w:tcBorders>
            <w:noWrap w:val="0"/>
            <w:vAlign w:val="center"/>
          </w:tcPr>
          <w:p w14:paraId="65D7B929">
            <w:pPr>
              <w:jc w:val="center"/>
              <w:rPr>
                <w:rFonts w:ascii="Times New Roman" w:hAnsi="Times New Roman"/>
                <w:color w:val="000000"/>
                <w:szCs w:val="21"/>
              </w:rPr>
            </w:pPr>
            <w:r>
              <w:rPr>
                <w:rFonts w:ascii="Times New Roman" w:hAnsi="Times New Roman"/>
                <w:color w:val="000000"/>
                <w:szCs w:val="21"/>
              </w:rPr>
              <w:t>主观分</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1161BF90">
            <w:pPr>
              <w:keepNext w:val="0"/>
              <w:keepLines w:val="0"/>
              <w:widowControl/>
              <w:suppressLineNumbers w:val="0"/>
              <w:jc w:val="left"/>
              <w:rPr>
                <w:rFonts w:hint="eastAsia" w:ascii="宋体" w:hAnsi="宋体" w:eastAsia="宋体" w:cs="仿宋_GB2312"/>
                <w:szCs w:val="21"/>
                <w:lang w:val="en-US" w:eastAsia="zh-CN"/>
              </w:rPr>
            </w:pPr>
            <w:r>
              <w:rPr>
                <w:rFonts w:hint="eastAsia" w:ascii="宋体" w:hAnsi="宋体" w:eastAsia="宋体" w:cs="仿宋_GB2312"/>
                <w:szCs w:val="21"/>
                <w:lang w:val="en-US" w:eastAsia="zh-CN"/>
              </w:rPr>
              <w:t>一档</w:t>
            </w:r>
            <w:r>
              <w:rPr>
                <w:rFonts w:hint="eastAsia" w:ascii="宋体" w:hAnsi="宋体" w:cs="仿宋_GB2312"/>
                <w:szCs w:val="21"/>
                <w:lang w:val="en-US" w:eastAsia="zh-CN"/>
              </w:rPr>
              <w:t>（0分）</w:t>
            </w:r>
            <w:r>
              <w:rPr>
                <w:rFonts w:hint="eastAsia" w:ascii="宋体" w:hAnsi="宋体" w:eastAsia="宋体" w:cs="仿宋_GB2312"/>
                <w:szCs w:val="21"/>
                <w:lang w:val="en-US" w:eastAsia="zh-CN"/>
              </w:rPr>
              <w:t>：无卫生安全保障方案，未掌握环境卫生状况；</w:t>
            </w:r>
          </w:p>
          <w:p w14:paraId="0BD68B6E">
            <w:pPr>
              <w:keepNext w:val="0"/>
              <w:keepLines w:val="0"/>
              <w:widowControl/>
              <w:suppressLineNumbers w:val="0"/>
              <w:jc w:val="left"/>
              <w:rPr>
                <w:rFonts w:hint="eastAsia" w:ascii="宋体" w:hAnsi="宋体" w:eastAsia="宋体" w:cs="仿宋_GB2312"/>
                <w:szCs w:val="21"/>
                <w:lang w:val="en-US" w:eastAsia="zh-CN"/>
              </w:rPr>
            </w:pPr>
            <w:r>
              <w:rPr>
                <w:rFonts w:hint="eastAsia" w:ascii="宋体" w:hAnsi="宋体" w:eastAsia="宋体" w:cs="仿宋_GB2312"/>
                <w:szCs w:val="21"/>
                <w:lang w:val="en-US" w:eastAsia="zh-CN"/>
              </w:rPr>
              <w:t>二档</w:t>
            </w:r>
            <w:r>
              <w:rPr>
                <w:rFonts w:hint="eastAsia" w:ascii="宋体" w:hAnsi="宋体" w:cs="仿宋_GB2312"/>
                <w:szCs w:val="21"/>
                <w:lang w:val="en-US" w:eastAsia="zh-CN"/>
              </w:rPr>
              <w:t>（3分）</w:t>
            </w:r>
            <w:r>
              <w:rPr>
                <w:rFonts w:hint="eastAsia" w:ascii="宋体" w:hAnsi="宋体" w:eastAsia="宋体" w:cs="仿宋_GB2312"/>
                <w:szCs w:val="21"/>
                <w:lang w:val="en-US" w:eastAsia="zh-CN"/>
              </w:rPr>
              <w:t>：具有卫生安全保障方案，简单掌握环境卫生状况；</w:t>
            </w:r>
          </w:p>
          <w:p w14:paraId="3604D30E">
            <w:pPr>
              <w:keepNext w:val="0"/>
              <w:keepLines w:val="0"/>
              <w:widowControl/>
              <w:suppressLineNumbers w:val="0"/>
              <w:jc w:val="left"/>
              <w:rPr>
                <w:rFonts w:hint="eastAsia" w:ascii="宋体" w:hAnsi="宋体" w:eastAsia="宋体" w:cs="仿宋_GB2312"/>
                <w:szCs w:val="21"/>
                <w:lang w:val="en-US" w:eastAsia="zh-CN"/>
              </w:rPr>
            </w:pPr>
            <w:r>
              <w:rPr>
                <w:rFonts w:hint="eastAsia" w:ascii="宋体" w:hAnsi="宋体" w:eastAsia="宋体" w:cs="仿宋_GB2312"/>
                <w:szCs w:val="21"/>
                <w:lang w:val="en-US" w:eastAsia="zh-CN"/>
              </w:rPr>
              <w:t>三档</w:t>
            </w:r>
            <w:r>
              <w:rPr>
                <w:rFonts w:hint="eastAsia" w:ascii="宋体" w:hAnsi="宋体" w:cs="仿宋_GB2312"/>
                <w:szCs w:val="21"/>
                <w:lang w:val="en-US" w:eastAsia="zh-CN"/>
              </w:rPr>
              <w:t>（6分）</w:t>
            </w:r>
            <w:r>
              <w:rPr>
                <w:rFonts w:hint="eastAsia" w:ascii="宋体" w:hAnsi="宋体" w:eastAsia="宋体" w:cs="仿宋_GB2312"/>
                <w:szCs w:val="21"/>
                <w:lang w:val="en-US" w:eastAsia="zh-CN"/>
              </w:rPr>
              <w:t>：详细掌握环境卫生状况，对设施的清洗、消毒流程描述完善，定期对清洗用具及消毒设备进行检查检测，并对存在的问题提出简单的整改方案；</w:t>
            </w:r>
          </w:p>
          <w:p w14:paraId="2FD59723">
            <w:pPr>
              <w:keepNext w:val="0"/>
              <w:keepLines w:val="0"/>
              <w:widowControl/>
              <w:suppressLineNumbers w:val="0"/>
              <w:jc w:val="left"/>
              <w:rPr>
                <w:rFonts w:hint="eastAsia" w:ascii="宋体" w:hAnsi="宋体" w:eastAsia="宋体" w:cs="仿宋_GB2312"/>
                <w:szCs w:val="21"/>
              </w:rPr>
            </w:pPr>
            <w:r>
              <w:rPr>
                <w:rFonts w:hint="eastAsia" w:ascii="宋体" w:hAnsi="宋体" w:eastAsia="宋体" w:cs="仿宋_GB2312"/>
                <w:szCs w:val="21"/>
                <w:lang w:val="en-US" w:eastAsia="zh-CN"/>
              </w:rPr>
              <w:t>四档</w:t>
            </w:r>
            <w:r>
              <w:rPr>
                <w:rFonts w:hint="eastAsia" w:ascii="宋体" w:hAnsi="宋体" w:cs="仿宋_GB2312"/>
                <w:szCs w:val="21"/>
                <w:lang w:val="en-US" w:eastAsia="zh-CN"/>
              </w:rPr>
              <w:t>（9分）</w:t>
            </w:r>
            <w:r>
              <w:rPr>
                <w:rFonts w:hint="eastAsia" w:ascii="宋体" w:hAnsi="宋体" w:eastAsia="宋体" w:cs="仿宋_GB2312"/>
                <w:szCs w:val="21"/>
                <w:lang w:val="en-US" w:eastAsia="zh-CN"/>
              </w:rPr>
              <w:t>：具体详细掌握环境卫生状况，并对存在的问题提出具体的整改方案的，对设施的清洗、消毒流程描述科学、完善，定期对清洗用具及消毒设备进行检查检测，并对存在的问题提出具体的整改方案。</w:t>
            </w:r>
          </w:p>
        </w:tc>
        <w:tc>
          <w:tcPr>
            <w:tcW w:w="2043" w:type="dxa"/>
            <w:tcBorders>
              <w:top w:val="single" w:color="auto" w:sz="4" w:space="0"/>
              <w:left w:val="single" w:color="auto" w:sz="4" w:space="0"/>
              <w:bottom w:val="single" w:color="auto" w:sz="4" w:space="0"/>
              <w:right w:val="single" w:color="auto" w:sz="4" w:space="0"/>
            </w:tcBorders>
            <w:noWrap w:val="0"/>
            <w:vAlign w:val="center"/>
          </w:tcPr>
          <w:p w14:paraId="6302DC0F">
            <w:pPr>
              <w:rPr>
                <w:rFonts w:ascii="Times New Roman" w:hAnsi="Times New Roman"/>
                <w:color w:val="000000"/>
              </w:rPr>
            </w:pPr>
          </w:p>
        </w:tc>
      </w:tr>
      <w:tr w14:paraId="19D1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 w:type="dxa"/>
            <w:vMerge w:val="continue"/>
            <w:tcBorders>
              <w:left w:val="single" w:color="auto" w:sz="4" w:space="0"/>
              <w:right w:val="single" w:color="auto" w:sz="4" w:space="0"/>
            </w:tcBorders>
            <w:noWrap w:val="0"/>
            <w:vAlign w:val="center"/>
          </w:tcPr>
          <w:p w14:paraId="34A528A3">
            <w:pPr>
              <w:jc w:val="center"/>
              <w:rPr>
                <w:rFonts w:ascii="Times New Roman" w:hAnsi="Times New Roman"/>
                <w:color w:val="000000"/>
                <w:szCs w:val="21"/>
              </w:rPr>
            </w:pPr>
          </w:p>
        </w:tc>
        <w:tc>
          <w:tcPr>
            <w:tcW w:w="666" w:type="dxa"/>
            <w:vMerge w:val="continue"/>
            <w:tcBorders>
              <w:left w:val="single" w:color="auto" w:sz="4" w:space="0"/>
              <w:right w:val="single" w:color="auto" w:sz="4" w:space="0"/>
            </w:tcBorders>
            <w:noWrap w:val="0"/>
            <w:vAlign w:val="center"/>
          </w:tcPr>
          <w:p w14:paraId="40EEAC5D">
            <w:pPr>
              <w:jc w:val="center"/>
              <w:rPr>
                <w:rFonts w:ascii="Times New Roman" w:hAnsi="Times New Roman"/>
                <w:color w:val="000000"/>
                <w:szCs w:val="21"/>
              </w:rPr>
            </w:pP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C080B5A">
            <w:pPr>
              <w:widowControl/>
              <w:jc w:val="left"/>
              <w:rPr>
                <w:rFonts w:ascii="Times New Roman" w:hAnsi="Times New Roman"/>
                <w:color w:val="000000"/>
              </w:rPr>
            </w:pPr>
            <w:r>
              <w:rPr>
                <w:rFonts w:hint="eastAsia" w:ascii="Times New Roman" w:hAnsi="Times New Roman"/>
                <w:color w:val="000000"/>
                <w:lang w:val="en-US" w:eastAsia="zh-CN"/>
              </w:rPr>
              <w:t>售后服务及</w:t>
            </w:r>
            <w:r>
              <w:rPr>
                <w:rFonts w:hint="eastAsia" w:ascii="Times New Roman" w:hAnsi="Times New Roman"/>
                <w:color w:val="000000"/>
              </w:rPr>
              <w:t>突发事件应急预案分（</w:t>
            </w:r>
            <w:r>
              <w:rPr>
                <w:rFonts w:hint="eastAsia"/>
                <w:color w:val="000000"/>
                <w:lang w:val="en-US" w:eastAsia="zh-CN"/>
              </w:rPr>
              <w:t>9</w:t>
            </w:r>
            <w:r>
              <w:rPr>
                <w:rFonts w:hint="eastAsia" w:ascii="Times New Roman" w:hAnsi="Times New Roman"/>
                <w:color w:val="000000"/>
              </w:rPr>
              <w:t>分）</w:t>
            </w:r>
          </w:p>
        </w:tc>
        <w:tc>
          <w:tcPr>
            <w:tcW w:w="911" w:type="dxa"/>
            <w:tcBorders>
              <w:top w:val="single" w:color="auto" w:sz="4" w:space="0"/>
              <w:left w:val="single" w:color="auto" w:sz="4" w:space="0"/>
              <w:bottom w:val="single" w:color="auto" w:sz="4" w:space="0"/>
              <w:right w:val="single" w:color="auto" w:sz="4" w:space="0"/>
            </w:tcBorders>
            <w:noWrap w:val="0"/>
            <w:vAlign w:val="center"/>
          </w:tcPr>
          <w:p w14:paraId="00EFA032">
            <w:pPr>
              <w:jc w:val="center"/>
              <w:rPr>
                <w:rFonts w:ascii="Times New Roman" w:hAnsi="Times New Roman"/>
                <w:color w:val="000000"/>
                <w:szCs w:val="21"/>
              </w:rPr>
            </w:pPr>
            <w:r>
              <w:rPr>
                <w:rFonts w:ascii="Times New Roman" w:hAnsi="Times New Roman"/>
                <w:color w:val="000000"/>
                <w:szCs w:val="21"/>
              </w:rPr>
              <w:t>主观分</w:t>
            </w:r>
          </w:p>
        </w:tc>
        <w:tc>
          <w:tcPr>
            <w:tcW w:w="4781" w:type="dxa"/>
            <w:tcBorders>
              <w:top w:val="single" w:color="auto" w:sz="4" w:space="0"/>
              <w:left w:val="single" w:color="auto" w:sz="4" w:space="0"/>
              <w:bottom w:val="single" w:color="auto" w:sz="4" w:space="0"/>
              <w:right w:val="single" w:color="auto" w:sz="4" w:space="0"/>
            </w:tcBorders>
            <w:noWrap w:val="0"/>
            <w:vAlign w:val="center"/>
          </w:tcPr>
          <w:p w14:paraId="6C0DA292">
            <w:pPr>
              <w:keepNext w:val="0"/>
              <w:keepLines w:val="0"/>
              <w:widowControl/>
              <w:suppressLineNumbers w:val="0"/>
              <w:jc w:val="left"/>
              <w:rPr>
                <w:rFonts w:hint="eastAsia" w:ascii="宋体" w:hAnsi="宋体" w:eastAsia="宋体" w:cs="仿宋_GB2312"/>
                <w:szCs w:val="21"/>
                <w:lang w:val="en-US" w:eastAsia="zh-CN"/>
              </w:rPr>
            </w:pPr>
            <w:r>
              <w:rPr>
                <w:rFonts w:hint="eastAsia" w:ascii="宋体" w:hAnsi="宋体" w:eastAsia="宋体" w:cs="仿宋_GB2312"/>
                <w:szCs w:val="21"/>
                <w:lang w:val="en-US" w:eastAsia="zh-CN"/>
              </w:rPr>
              <w:t>一档</w:t>
            </w:r>
            <w:r>
              <w:rPr>
                <w:rFonts w:hint="eastAsia" w:ascii="宋体" w:hAnsi="宋体" w:cs="仿宋_GB2312"/>
                <w:szCs w:val="21"/>
                <w:lang w:val="en-US" w:eastAsia="zh-CN"/>
              </w:rPr>
              <w:t>（0分）</w:t>
            </w:r>
            <w:r>
              <w:rPr>
                <w:rFonts w:hint="eastAsia" w:ascii="宋体" w:hAnsi="宋体" w:eastAsia="宋体" w:cs="仿宋_GB2312"/>
                <w:szCs w:val="21"/>
                <w:lang w:val="en-US" w:eastAsia="zh-CN"/>
              </w:rPr>
              <w:t>：未提供售后服务及突发事件应急预案或提供的方案不合理；</w:t>
            </w:r>
          </w:p>
          <w:p w14:paraId="1C468C7B">
            <w:pPr>
              <w:keepNext w:val="0"/>
              <w:keepLines w:val="0"/>
              <w:widowControl/>
              <w:suppressLineNumbers w:val="0"/>
              <w:jc w:val="left"/>
              <w:rPr>
                <w:rFonts w:hint="eastAsia" w:ascii="宋体" w:hAnsi="宋体" w:eastAsia="宋体" w:cs="仿宋_GB2312"/>
                <w:szCs w:val="21"/>
                <w:lang w:val="en-US" w:eastAsia="zh-CN"/>
              </w:rPr>
            </w:pPr>
            <w:r>
              <w:rPr>
                <w:rFonts w:hint="eastAsia" w:ascii="宋体" w:hAnsi="宋体" w:eastAsia="宋体" w:cs="仿宋_GB2312"/>
                <w:szCs w:val="21"/>
                <w:lang w:val="en-US" w:eastAsia="zh-CN"/>
              </w:rPr>
              <w:t>二档</w:t>
            </w:r>
            <w:r>
              <w:rPr>
                <w:rFonts w:hint="eastAsia" w:ascii="宋体" w:hAnsi="宋体" w:cs="仿宋_GB2312"/>
                <w:szCs w:val="21"/>
                <w:lang w:val="en-US" w:eastAsia="zh-CN"/>
              </w:rPr>
              <w:t>（3分）</w:t>
            </w:r>
            <w:r>
              <w:rPr>
                <w:rFonts w:hint="eastAsia" w:ascii="宋体" w:hAnsi="宋体" w:eastAsia="宋体" w:cs="仿宋_GB2312"/>
                <w:szCs w:val="21"/>
                <w:lang w:val="en-US" w:eastAsia="zh-CN"/>
              </w:rPr>
              <w:t>：</w:t>
            </w:r>
            <w:r>
              <w:rPr>
                <w:rFonts w:hint="eastAsia" w:ascii="Times New Roman" w:hAnsi="Times New Roman"/>
                <w:color w:val="000000"/>
                <w:lang w:val="en-US" w:eastAsia="zh-CN"/>
              </w:rPr>
              <w:t>售后服务及</w:t>
            </w:r>
            <w:r>
              <w:rPr>
                <w:rFonts w:hint="eastAsia" w:ascii="Times New Roman" w:hAnsi="Times New Roman"/>
                <w:color w:val="000000"/>
              </w:rPr>
              <w:t>突发事件应急预案</w:t>
            </w:r>
            <w:r>
              <w:rPr>
                <w:rFonts w:hint="eastAsia" w:ascii="宋体" w:hAnsi="宋体" w:eastAsia="宋体" w:cs="仿宋_GB2312"/>
                <w:szCs w:val="21"/>
                <w:lang w:val="en-US" w:eastAsia="zh-CN"/>
              </w:rPr>
              <w:t>内容简略，售后响应时间及解决问题时间基本可行，难以实现服务效果；</w:t>
            </w:r>
          </w:p>
          <w:p w14:paraId="3A20FCA7">
            <w:pPr>
              <w:keepNext w:val="0"/>
              <w:keepLines w:val="0"/>
              <w:widowControl/>
              <w:suppressLineNumbers w:val="0"/>
              <w:jc w:val="left"/>
              <w:rPr>
                <w:rFonts w:hint="eastAsia" w:ascii="宋体" w:hAnsi="宋体" w:eastAsia="宋体" w:cs="仿宋_GB2312"/>
                <w:szCs w:val="21"/>
                <w:lang w:val="en-US" w:eastAsia="zh-CN"/>
              </w:rPr>
            </w:pPr>
            <w:r>
              <w:rPr>
                <w:rFonts w:hint="eastAsia" w:ascii="宋体" w:hAnsi="宋体" w:eastAsia="宋体" w:cs="仿宋_GB2312"/>
                <w:szCs w:val="21"/>
                <w:lang w:val="en-US" w:eastAsia="zh-CN"/>
              </w:rPr>
              <w:t>三档</w:t>
            </w:r>
            <w:r>
              <w:rPr>
                <w:rFonts w:hint="eastAsia" w:ascii="宋体" w:hAnsi="宋体" w:cs="仿宋_GB2312"/>
                <w:szCs w:val="21"/>
                <w:lang w:val="en-US" w:eastAsia="zh-CN"/>
              </w:rPr>
              <w:t>（6分）</w:t>
            </w:r>
            <w:r>
              <w:rPr>
                <w:rFonts w:hint="eastAsia" w:ascii="宋体" w:hAnsi="宋体" w:eastAsia="宋体" w:cs="仿宋_GB2312"/>
                <w:szCs w:val="21"/>
                <w:lang w:val="en-US" w:eastAsia="zh-CN"/>
              </w:rPr>
              <w:t>：</w:t>
            </w:r>
            <w:r>
              <w:rPr>
                <w:rFonts w:hint="eastAsia" w:ascii="Times New Roman" w:hAnsi="Times New Roman"/>
                <w:color w:val="000000"/>
                <w:lang w:val="en-US" w:eastAsia="zh-CN"/>
              </w:rPr>
              <w:t>售后服务及</w:t>
            </w:r>
            <w:r>
              <w:rPr>
                <w:rFonts w:hint="eastAsia" w:ascii="Times New Roman" w:hAnsi="Times New Roman"/>
                <w:color w:val="000000"/>
              </w:rPr>
              <w:t>突发事件应急预案</w:t>
            </w:r>
            <w:r>
              <w:rPr>
                <w:rFonts w:hint="eastAsia" w:ascii="Times New Roman" w:hAnsi="Times New Roman"/>
                <w:color w:val="000000"/>
                <w:lang w:val="en-US" w:eastAsia="zh-CN"/>
              </w:rPr>
              <w:t>考虑较全面</w:t>
            </w:r>
            <w:r>
              <w:rPr>
                <w:rFonts w:hint="eastAsia" w:ascii="宋体" w:hAnsi="宋体" w:eastAsia="宋体" w:cs="仿宋_GB2312"/>
                <w:szCs w:val="21"/>
                <w:lang w:val="en-US" w:eastAsia="zh-CN"/>
              </w:rPr>
              <w:t>，售后响应时间及解决问题时间合理可行，能配合采购人临时紧急采购任务，基本保证服务效果；</w:t>
            </w:r>
          </w:p>
          <w:p w14:paraId="68BA769E">
            <w:pPr>
              <w:keepNext w:val="0"/>
              <w:keepLines w:val="0"/>
              <w:widowControl/>
              <w:suppressLineNumbers w:val="0"/>
              <w:jc w:val="left"/>
              <w:rPr>
                <w:rFonts w:hint="eastAsia" w:ascii="宋体" w:hAnsi="宋体" w:eastAsia="宋体" w:cs="仿宋_GB2312"/>
                <w:szCs w:val="21"/>
              </w:rPr>
            </w:pPr>
            <w:r>
              <w:rPr>
                <w:rFonts w:hint="eastAsia" w:ascii="宋体" w:hAnsi="宋体" w:eastAsia="宋体" w:cs="仿宋_GB2312"/>
                <w:szCs w:val="21"/>
                <w:lang w:val="en-US" w:eastAsia="zh-CN"/>
              </w:rPr>
              <w:t>四档</w:t>
            </w:r>
            <w:r>
              <w:rPr>
                <w:rFonts w:hint="eastAsia" w:ascii="宋体" w:hAnsi="宋体" w:cs="仿宋_GB2312"/>
                <w:szCs w:val="21"/>
                <w:lang w:val="en-US" w:eastAsia="zh-CN"/>
              </w:rPr>
              <w:t>（9分）</w:t>
            </w:r>
            <w:r>
              <w:rPr>
                <w:rFonts w:hint="eastAsia" w:ascii="宋体" w:hAnsi="宋体" w:eastAsia="宋体" w:cs="仿宋_GB2312"/>
                <w:szCs w:val="21"/>
                <w:lang w:val="en-US" w:eastAsia="zh-CN"/>
              </w:rPr>
              <w:t>：</w:t>
            </w:r>
            <w:r>
              <w:rPr>
                <w:rFonts w:hint="eastAsia" w:ascii="Times New Roman" w:hAnsi="Times New Roman"/>
                <w:color w:val="000000"/>
                <w:lang w:val="en-US" w:eastAsia="zh-CN"/>
              </w:rPr>
              <w:t>售后服务及</w:t>
            </w:r>
            <w:r>
              <w:rPr>
                <w:rFonts w:hint="eastAsia" w:ascii="Times New Roman" w:hAnsi="Times New Roman"/>
                <w:color w:val="000000"/>
              </w:rPr>
              <w:t>突发事件应急预案</w:t>
            </w:r>
            <w:r>
              <w:rPr>
                <w:rFonts w:hint="eastAsia" w:ascii="Times New Roman" w:hAnsi="Times New Roman"/>
                <w:color w:val="000000"/>
                <w:lang w:val="en-US" w:eastAsia="zh-CN"/>
              </w:rPr>
              <w:t>考虑全面</w:t>
            </w:r>
            <w:r>
              <w:rPr>
                <w:rFonts w:hint="eastAsia" w:ascii="宋体" w:hAnsi="宋体" w:eastAsia="宋体" w:cs="仿宋_GB2312"/>
                <w:szCs w:val="21"/>
                <w:lang w:val="en-US" w:eastAsia="zh-CN"/>
              </w:rPr>
              <w:t>，售后响应时间及解决问题时间优于采购需求，能配合采购人临时紧急采购任务，并提供加急采购工作方案及承诺，有效保障服务效果实现。</w:t>
            </w:r>
          </w:p>
        </w:tc>
        <w:tc>
          <w:tcPr>
            <w:tcW w:w="2043" w:type="dxa"/>
            <w:tcBorders>
              <w:top w:val="single" w:color="auto" w:sz="4" w:space="0"/>
              <w:left w:val="single" w:color="auto" w:sz="4" w:space="0"/>
              <w:bottom w:val="single" w:color="auto" w:sz="4" w:space="0"/>
              <w:right w:val="single" w:color="auto" w:sz="4" w:space="0"/>
            </w:tcBorders>
            <w:noWrap w:val="0"/>
            <w:vAlign w:val="center"/>
          </w:tcPr>
          <w:p w14:paraId="7AA8FA12">
            <w:pPr>
              <w:rPr>
                <w:rFonts w:ascii="Times New Roman" w:hAnsi="Times New Roman"/>
                <w:color w:val="000000"/>
              </w:rPr>
            </w:pPr>
          </w:p>
        </w:tc>
      </w:tr>
    </w:tbl>
    <w:p w14:paraId="0A252BC2">
      <w:pPr>
        <w:ind w:firstLine="315" w:firstLineChars="150"/>
        <w:rPr>
          <w:lang w:val="zh-CN"/>
        </w:rPr>
      </w:pPr>
    </w:p>
    <w:p w14:paraId="21FAAF98">
      <w:pPr>
        <w:pStyle w:val="28"/>
        <w:snapToGrid w:val="0"/>
        <w:ind w:firstLine="315" w:firstLineChars="150"/>
        <w:rPr>
          <w:rFonts w:ascii="Times New Roman" w:hAnsi="Times New Roman" w:cs="Times New Roman"/>
          <w:b/>
          <w:color w:val="4472C4"/>
          <w:sz w:val="24"/>
          <w:szCs w:val="24"/>
        </w:rPr>
      </w:pPr>
      <w:r>
        <w:rPr>
          <w:rFonts w:hint="eastAsia"/>
          <w:lang w:val="zh-CN"/>
        </w:rPr>
        <w:t>（2）投标报价分</w:t>
      </w:r>
    </w:p>
    <w:tbl>
      <w:tblPr>
        <w:tblStyle w:val="53"/>
        <w:tblW w:w="9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262"/>
        <w:gridCol w:w="3813"/>
        <w:gridCol w:w="2820"/>
      </w:tblGrid>
      <w:tr w14:paraId="7575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721" w:type="dxa"/>
            <w:noWrap w:val="0"/>
            <w:vAlign w:val="center"/>
          </w:tcPr>
          <w:p w14:paraId="17108677">
            <w:pPr>
              <w:jc w:val="center"/>
              <w:rPr>
                <w:b/>
                <w:szCs w:val="21"/>
              </w:rPr>
            </w:pPr>
            <w:r>
              <w:rPr>
                <w:b/>
                <w:szCs w:val="21"/>
              </w:rPr>
              <w:t>序号</w:t>
            </w:r>
          </w:p>
        </w:tc>
        <w:tc>
          <w:tcPr>
            <w:tcW w:w="2262" w:type="dxa"/>
            <w:noWrap w:val="0"/>
            <w:vAlign w:val="center"/>
          </w:tcPr>
          <w:p w14:paraId="6D116BF8">
            <w:pPr>
              <w:jc w:val="center"/>
              <w:rPr>
                <w:b/>
                <w:szCs w:val="21"/>
              </w:rPr>
            </w:pPr>
            <w:r>
              <w:rPr>
                <w:rFonts w:hint="eastAsia"/>
                <w:b/>
                <w:szCs w:val="21"/>
              </w:rPr>
              <w:t>类型</w:t>
            </w:r>
          </w:p>
        </w:tc>
        <w:tc>
          <w:tcPr>
            <w:tcW w:w="3813" w:type="dxa"/>
            <w:noWrap w:val="0"/>
            <w:vAlign w:val="center"/>
          </w:tcPr>
          <w:p w14:paraId="36769B0A">
            <w:pPr>
              <w:jc w:val="center"/>
              <w:rPr>
                <w:b/>
                <w:szCs w:val="21"/>
              </w:rPr>
            </w:pPr>
            <w:r>
              <w:rPr>
                <w:rFonts w:hint="eastAsia"/>
                <w:b/>
                <w:szCs w:val="21"/>
              </w:rPr>
              <w:t>评分标准</w:t>
            </w:r>
          </w:p>
        </w:tc>
        <w:tc>
          <w:tcPr>
            <w:tcW w:w="2820" w:type="dxa"/>
            <w:noWrap w:val="0"/>
            <w:vAlign w:val="center"/>
          </w:tcPr>
          <w:p w14:paraId="5DD8130D">
            <w:pPr>
              <w:jc w:val="center"/>
              <w:rPr>
                <w:b/>
                <w:szCs w:val="21"/>
              </w:rPr>
            </w:pPr>
            <w:r>
              <w:rPr>
                <w:b/>
                <w:szCs w:val="21"/>
              </w:rPr>
              <w:t>说明</w:t>
            </w:r>
          </w:p>
        </w:tc>
      </w:tr>
      <w:tr w14:paraId="0B69B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721" w:type="dxa"/>
            <w:noWrap w:val="0"/>
            <w:vAlign w:val="center"/>
          </w:tcPr>
          <w:p w14:paraId="4058184C">
            <w:pPr>
              <w:jc w:val="center"/>
              <w:rPr>
                <w:b/>
                <w:szCs w:val="21"/>
              </w:rPr>
            </w:pPr>
            <w:r>
              <w:rPr>
                <w:rFonts w:hint="eastAsia"/>
                <w:b/>
                <w:szCs w:val="21"/>
              </w:rPr>
              <w:t>1</w:t>
            </w:r>
          </w:p>
        </w:tc>
        <w:tc>
          <w:tcPr>
            <w:tcW w:w="2262" w:type="dxa"/>
            <w:noWrap w:val="0"/>
            <w:vAlign w:val="center"/>
          </w:tcPr>
          <w:p w14:paraId="3A24D213">
            <w:pPr>
              <w:rPr>
                <w:rFonts w:hint="default" w:eastAsia="宋体"/>
                <w:color w:val="4472C4"/>
                <w:szCs w:val="21"/>
                <w:lang w:val="en-US" w:eastAsia="zh-CN"/>
              </w:rPr>
            </w:pPr>
            <w:r>
              <w:rPr>
                <w:rFonts w:hint="eastAsia"/>
                <w:szCs w:val="21"/>
              </w:rPr>
              <w:t>投标报价分</w:t>
            </w:r>
            <w:r>
              <w:rPr>
                <w:rFonts w:hint="eastAsia"/>
                <w:szCs w:val="21"/>
                <w:lang w:eastAsia="zh-CN"/>
              </w:rPr>
              <w:t>（</w:t>
            </w:r>
            <w:r>
              <w:rPr>
                <w:rFonts w:hint="eastAsia"/>
                <w:szCs w:val="21"/>
                <w:lang w:val="en-US" w:eastAsia="zh-CN"/>
              </w:rPr>
              <w:t>48分）</w:t>
            </w:r>
          </w:p>
        </w:tc>
        <w:tc>
          <w:tcPr>
            <w:tcW w:w="3813" w:type="dxa"/>
            <w:noWrap w:val="0"/>
            <w:vAlign w:val="center"/>
          </w:tcPr>
          <w:p w14:paraId="5C9798A3">
            <w:pPr>
              <w:rPr>
                <w:szCs w:val="21"/>
              </w:rPr>
            </w:pPr>
            <w:r>
              <w:rPr>
                <w:rFonts w:hint="eastAsia"/>
                <w:szCs w:val="21"/>
              </w:rPr>
              <w:t>以满足招标文件要求且投标价格最低的投标</w:t>
            </w:r>
            <w:r>
              <w:rPr>
                <w:rFonts w:hint="eastAsia"/>
                <w:szCs w:val="21"/>
                <w:lang w:val="en-US" w:eastAsia="zh-CN"/>
              </w:rPr>
              <w:t>总价</w:t>
            </w:r>
            <w:r>
              <w:rPr>
                <w:rFonts w:hint="eastAsia"/>
                <w:szCs w:val="21"/>
              </w:rPr>
              <w:t>为评审基准价，其价格分为满分。其他供应商的价格分统一按照下列公式计算：投标报价得分</w:t>
            </w:r>
            <w:r>
              <w:rPr>
                <w:szCs w:val="21"/>
              </w:rPr>
              <w:t>=（评审基准价/投标</w:t>
            </w:r>
            <w:r>
              <w:rPr>
                <w:rFonts w:hint="eastAsia"/>
                <w:szCs w:val="21"/>
                <w:lang w:val="en-US" w:eastAsia="zh-CN"/>
              </w:rPr>
              <w:t>总价</w:t>
            </w:r>
            <w:r>
              <w:rPr>
                <w:szCs w:val="21"/>
              </w:rPr>
              <w:t>）×投标报价分满分分值。</w:t>
            </w:r>
          </w:p>
        </w:tc>
        <w:tc>
          <w:tcPr>
            <w:tcW w:w="2820" w:type="dxa"/>
            <w:noWrap w:val="0"/>
            <w:vAlign w:val="center"/>
          </w:tcPr>
          <w:p w14:paraId="0AD0F7D1">
            <w:pPr>
              <w:rPr>
                <w:color w:val="4472C4"/>
                <w:szCs w:val="21"/>
              </w:rPr>
            </w:pPr>
            <w:r>
              <w:rPr>
                <w:rFonts w:hint="eastAsia"/>
                <w:szCs w:val="21"/>
              </w:rPr>
              <w:t>如有价格扣除时，投标报价分均按供应商实际投标</w:t>
            </w:r>
            <w:r>
              <w:rPr>
                <w:rFonts w:hint="eastAsia"/>
                <w:szCs w:val="21"/>
                <w:lang w:val="en-US" w:eastAsia="zh-CN"/>
              </w:rPr>
              <w:t>总价</w:t>
            </w:r>
            <w:r>
              <w:rPr>
                <w:rFonts w:hint="eastAsia"/>
                <w:szCs w:val="21"/>
              </w:rPr>
              <w:t>进行价格扣除后的价格进行计算，最终中标金额＝投标报价</w:t>
            </w:r>
            <w:r>
              <w:rPr>
                <w:rFonts w:hint="eastAsia"/>
                <w:szCs w:val="21"/>
                <w:lang w:eastAsia="zh-CN"/>
              </w:rPr>
              <w:t>（</w:t>
            </w:r>
            <w:r>
              <w:rPr>
                <w:rFonts w:hint="eastAsia"/>
                <w:szCs w:val="21"/>
                <w:lang w:val="en-US" w:eastAsia="zh-CN"/>
              </w:rPr>
              <w:t>如项目预计采购数量不能确定，则</w:t>
            </w:r>
            <w:r>
              <w:rPr>
                <w:rFonts w:hint="eastAsia"/>
                <w:szCs w:val="21"/>
              </w:rPr>
              <w:t>最终中标金额＝投标</w:t>
            </w:r>
            <w:r>
              <w:rPr>
                <w:rFonts w:hint="eastAsia"/>
                <w:szCs w:val="21"/>
                <w:lang w:val="en-US" w:eastAsia="zh-CN"/>
              </w:rPr>
              <w:t>单价）</w:t>
            </w:r>
            <w:r>
              <w:rPr>
                <w:rFonts w:hint="eastAsia"/>
                <w:szCs w:val="21"/>
              </w:rPr>
              <w:t>。价格扣除计算方法见后。</w:t>
            </w:r>
          </w:p>
        </w:tc>
      </w:tr>
    </w:tbl>
    <w:p w14:paraId="0CD2DFA8">
      <w:pPr>
        <w:spacing w:before="120" w:line="320" w:lineRule="atLeast"/>
        <w:ind w:firstLine="316" w:firstLineChars="150"/>
        <w:rPr>
          <w:rFonts w:hint="eastAsia"/>
          <w:b/>
          <w:bCs/>
          <w:kern w:val="0"/>
          <w:szCs w:val="21"/>
        </w:rPr>
      </w:pPr>
      <w:bookmarkStart w:id="120" w:name="_Hlk132791948"/>
      <w:r>
        <w:rPr>
          <w:rFonts w:hint="eastAsia"/>
          <w:b/>
          <w:bCs/>
          <w:kern w:val="0"/>
          <w:szCs w:val="21"/>
        </w:rPr>
        <w:t>注：涉及政府采购价格评审优惠政策叠加的，按照相关政策要求统一从对应报价的基础上进行价格扣除，用投标总价减去扣除金额之和的价格参加评审。</w:t>
      </w:r>
    </w:p>
    <w:p w14:paraId="127C3E30">
      <w:pPr>
        <w:spacing w:before="120" w:line="320" w:lineRule="atLeast"/>
        <w:ind w:firstLine="316" w:firstLineChars="150"/>
        <w:rPr>
          <w:rFonts w:hint="eastAsia" w:eastAsia="宋体"/>
          <w:szCs w:val="21"/>
          <w:highlight w:val="none"/>
          <w:lang w:val="en-US" w:eastAsia="zh-CN"/>
        </w:rPr>
      </w:pPr>
      <w:r>
        <w:rPr>
          <w:b/>
          <w:bCs/>
          <w:kern w:val="0"/>
          <w:szCs w:val="21"/>
        </w:rPr>
        <w:t>政策性扣除计算方法</w:t>
      </w:r>
      <w:r>
        <w:rPr>
          <w:rFonts w:hint="eastAsia"/>
          <w:lang w:eastAsia="zh-CN"/>
        </w:rPr>
        <w:t>：</w:t>
      </w:r>
    </w:p>
    <w:p w14:paraId="3D8E3B37">
      <w:pPr>
        <w:spacing w:before="120" w:line="320" w:lineRule="atLeast"/>
        <w:ind w:firstLine="315" w:firstLineChars="150"/>
        <w:rPr>
          <w:szCs w:val="21"/>
          <w:highlight w:val="none"/>
        </w:rPr>
      </w:pPr>
      <w:r>
        <w:rPr>
          <w:rFonts w:hint="eastAsia"/>
          <w:szCs w:val="21"/>
          <w:highlight w:val="none"/>
          <w:lang w:val="en-US" w:eastAsia="zh-CN"/>
        </w:rPr>
        <w:t>1）小微企业的价格扣除计算:</w:t>
      </w:r>
      <w:r>
        <w:rPr>
          <w:rFonts w:hint="eastAsia"/>
          <w:szCs w:val="21"/>
          <w:highlight w:val="none"/>
        </w:rPr>
        <w:t>供应商投标</w:t>
      </w:r>
      <w:r>
        <w:rPr>
          <w:szCs w:val="21"/>
          <w:highlight w:val="none"/>
        </w:rPr>
        <w:t>报价将按相应比例进行扣除，用扣除后的价格参与评审（计算价格分）</w:t>
      </w:r>
      <w:r>
        <w:rPr>
          <w:rFonts w:hint="eastAsia"/>
          <w:szCs w:val="21"/>
          <w:highlight w:val="none"/>
        </w:rPr>
        <w:t>，价格扣除比例分别如下</w:t>
      </w:r>
      <w:r>
        <w:rPr>
          <w:rFonts w:hint="eastAsia"/>
          <w:b/>
          <w:bCs/>
          <w:szCs w:val="21"/>
          <w:highlight w:val="none"/>
          <w:lang w:eastAsia="zh-CN"/>
        </w:rPr>
        <w:t>（</w:t>
      </w:r>
      <w:r>
        <w:rPr>
          <w:rFonts w:hint="eastAsia"/>
          <w:b/>
          <w:bCs/>
          <w:szCs w:val="21"/>
          <w:highlight w:val="none"/>
          <w:lang w:val="en-US" w:eastAsia="zh-CN"/>
        </w:rPr>
        <w:t>本项目为专门面向中小微企业采购，不适用本政策）</w:t>
      </w:r>
      <w:r>
        <w:rPr>
          <w:rFonts w:hint="eastAsia"/>
          <w:szCs w:val="21"/>
          <w:highlight w:val="none"/>
        </w:rPr>
        <w:t>：</w:t>
      </w:r>
    </w:p>
    <w:tbl>
      <w:tblPr>
        <w:tblStyle w:val="53"/>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4962"/>
        <w:gridCol w:w="2551"/>
      </w:tblGrid>
      <w:tr w14:paraId="07F5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auto"/>
            <w:noWrap w:val="0"/>
            <w:vAlign w:val="top"/>
          </w:tcPr>
          <w:p w14:paraId="7F61BE0E">
            <w:pPr>
              <w:spacing w:before="120" w:line="320" w:lineRule="atLeast"/>
              <w:jc w:val="center"/>
              <w:rPr>
                <w:szCs w:val="21"/>
                <w:highlight w:val="none"/>
              </w:rPr>
            </w:pPr>
            <w:r>
              <w:rPr>
                <w:rFonts w:hint="eastAsia"/>
                <w:szCs w:val="21"/>
                <w:highlight w:val="none"/>
              </w:rPr>
              <w:t>独立投标</w:t>
            </w:r>
          </w:p>
        </w:tc>
        <w:tc>
          <w:tcPr>
            <w:tcW w:w="4962" w:type="dxa"/>
            <w:shd w:val="clear" w:color="auto" w:fill="auto"/>
            <w:noWrap w:val="0"/>
            <w:vAlign w:val="top"/>
          </w:tcPr>
          <w:p w14:paraId="77A91F93">
            <w:pPr>
              <w:spacing w:before="120" w:line="320" w:lineRule="atLeast"/>
              <w:rPr>
                <w:szCs w:val="21"/>
                <w:highlight w:val="none"/>
              </w:rPr>
            </w:pPr>
            <w:r>
              <w:rPr>
                <w:rFonts w:hint="eastAsia"/>
                <w:szCs w:val="21"/>
                <w:highlight w:val="none"/>
              </w:rPr>
              <w:t>供应商所提供产品制造商均为所列企业之一（小型企业、微型企业、残疾人福利企业、监狱企业）</w:t>
            </w:r>
          </w:p>
        </w:tc>
        <w:tc>
          <w:tcPr>
            <w:tcW w:w="2551" w:type="dxa"/>
            <w:shd w:val="clear" w:color="auto" w:fill="auto"/>
            <w:noWrap w:val="0"/>
            <w:vAlign w:val="top"/>
          </w:tcPr>
          <w:p w14:paraId="39FE1F08">
            <w:pPr>
              <w:spacing w:before="120" w:line="320" w:lineRule="atLeast"/>
              <w:rPr>
                <w:szCs w:val="21"/>
                <w:highlight w:val="none"/>
              </w:rPr>
            </w:pPr>
            <w:r>
              <w:rPr>
                <w:rFonts w:hint="eastAsia"/>
                <w:szCs w:val="21"/>
                <w:highlight w:val="none"/>
              </w:rPr>
              <w:t>价格扣除响应报价的10%</w:t>
            </w:r>
          </w:p>
        </w:tc>
      </w:tr>
      <w:tr w14:paraId="33592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restart"/>
            <w:shd w:val="clear" w:color="auto" w:fill="auto"/>
            <w:noWrap w:val="0"/>
            <w:vAlign w:val="top"/>
          </w:tcPr>
          <w:p w14:paraId="5053CAE5">
            <w:pPr>
              <w:spacing w:before="120" w:line="320" w:lineRule="atLeast"/>
              <w:jc w:val="center"/>
              <w:rPr>
                <w:szCs w:val="21"/>
                <w:highlight w:val="none"/>
              </w:rPr>
            </w:pPr>
            <w:r>
              <w:rPr>
                <w:rFonts w:hint="eastAsia"/>
                <w:szCs w:val="21"/>
                <w:highlight w:val="none"/>
              </w:rPr>
              <w:t>联合体或</w:t>
            </w:r>
          </w:p>
          <w:p w14:paraId="0FBF7E54">
            <w:pPr>
              <w:spacing w:before="120" w:line="320" w:lineRule="atLeast"/>
              <w:jc w:val="center"/>
              <w:rPr>
                <w:szCs w:val="21"/>
                <w:highlight w:val="none"/>
              </w:rPr>
            </w:pPr>
            <w:r>
              <w:rPr>
                <w:rFonts w:hint="eastAsia"/>
                <w:szCs w:val="21"/>
                <w:highlight w:val="none"/>
              </w:rPr>
              <w:t>分包</w:t>
            </w:r>
          </w:p>
        </w:tc>
        <w:tc>
          <w:tcPr>
            <w:tcW w:w="4962" w:type="dxa"/>
            <w:shd w:val="clear" w:color="auto" w:fill="auto"/>
            <w:noWrap w:val="0"/>
            <w:vAlign w:val="top"/>
          </w:tcPr>
          <w:p w14:paraId="3536A371">
            <w:pPr>
              <w:spacing w:before="120" w:line="320" w:lineRule="atLeast"/>
              <w:rPr>
                <w:szCs w:val="21"/>
                <w:highlight w:val="none"/>
              </w:rPr>
            </w:pPr>
            <w:r>
              <w:rPr>
                <w:rFonts w:hint="eastAsia"/>
                <w:szCs w:val="21"/>
                <w:highlight w:val="none"/>
              </w:rPr>
              <w:t>小微企业制造商承担的金额比例为1</w:t>
            </w:r>
            <w:r>
              <w:rPr>
                <w:szCs w:val="21"/>
                <w:highlight w:val="none"/>
              </w:rPr>
              <w:t>00</w:t>
            </w:r>
            <w:r>
              <w:rPr>
                <w:rFonts w:hint="eastAsia"/>
                <w:szCs w:val="21"/>
                <w:highlight w:val="none"/>
              </w:rPr>
              <w:t>%</w:t>
            </w:r>
          </w:p>
        </w:tc>
        <w:tc>
          <w:tcPr>
            <w:tcW w:w="2551" w:type="dxa"/>
            <w:shd w:val="clear" w:color="auto" w:fill="auto"/>
            <w:noWrap w:val="0"/>
            <w:vAlign w:val="top"/>
          </w:tcPr>
          <w:p w14:paraId="7DC7AEED">
            <w:pPr>
              <w:spacing w:before="120" w:line="320" w:lineRule="atLeast"/>
              <w:rPr>
                <w:szCs w:val="21"/>
                <w:highlight w:val="none"/>
              </w:rPr>
            </w:pPr>
            <w:r>
              <w:rPr>
                <w:rFonts w:hint="eastAsia"/>
                <w:szCs w:val="21"/>
                <w:highlight w:val="none"/>
              </w:rPr>
              <w:t>价格扣除响应报价的10%</w:t>
            </w:r>
          </w:p>
        </w:tc>
      </w:tr>
      <w:tr w14:paraId="6F9C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vMerge w:val="continue"/>
            <w:shd w:val="clear" w:color="auto" w:fill="auto"/>
            <w:noWrap w:val="0"/>
            <w:vAlign w:val="top"/>
          </w:tcPr>
          <w:p w14:paraId="075833EA">
            <w:pPr>
              <w:spacing w:before="120" w:line="320" w:lineRule="atLeast"/>
              <w:rPr>
                <w:szCs w:val="21"/>
                <w:highlight w:val="none"/>
              </w:rPr>
            </w:pPr>
          </w:p>
        </w:tc>
        <w:tc>
          <w:tcPr>
            <w:tcW w:w="4962" w:type="dxa"/>
            <w:shd w:val="clear" w:color="auto" w:fill="auto"/>
            <w:noWrap w:val="0"/>
            <w:vAlign w:val="top"/>
          </w:tcPr>
          <w:p w14:paraId="0530D932">
            <w:pPr>
              <w:spacing w:before="120" w:line="320" w:lineRule="atLeast"/>
              <w:rPr>
                <w:szCs w:val="21"/>
                <w:highlight w:val="none"/>
              </w:rPr>
            </w:pPr>
            <w:r>
              <w:rPr>
                <w:rFonts w:hint="eastAsia"/>
                <w:szCs w:val="21"/>
                <w:highlight w:val="none"/>
              </w:rPr>
              <w:t>小微企业制造商承担的金额比例达到合同总金额3</w:t>
            </w:r>
            <w:r>
              <w:rPr>
                <w:szCs w:val="21"/>
                <w:highlight w:val="none"/>
              </w:rPr>
              <w:t>0%</w:t>
            </w:r>
            <w:r>
              <w:rPr>
                <w:rFonts w:hint="eastAsia"/>
                <w:szCs w:val="21"/>
                <w:highlight w:val="none"/>
              </w:rPr>
              <w:t>以上</w:t>
            </w:r>
          </w:p>
        </w:tc>
        <w:tc>
          <w:tcPr>
            <w:tcW w:w="2551" w:type="dxa"/>
            <w:shd w:val="clear" w:color="auto" w:fill="auto"/>
            <w:noWrap w:val="0"/>
            <w:vAlign w:val="top"/>
          </w:tcPr>
          <w:p w14:paraId="24CB5699">
            <w:pPr>
              <w:spacing w:before="120" w:line="320" w:lineRule="atLeast"/>
              <w:rPr>
                <w:szCs w:val="21"/>
                <w:highlight w:val="none"/>
              </w:rPr>
            </w:pPr>
            <w:r>
              <w:rPr>
                <w:rFonts w:hint="eastAsia"/>
                <w:szCs w:val="21"/>
                <w:highlight w:val="none"/>
              </w:rPr>
              <w:t>价格扣除响应报价的</w:t>
            </w:r>
            <w:r>
              <w:rPr>
                <w:szCs w:val="21"/>
                <w:highlight w:val="none"/>
              </w:rPr>
              <w:t>4</w:t>
            </w:r>
            <w:r>
              <w:rPr>
                <w:rFonts w:hint="eastAsia"/>
                <w:szCs w:val="21"/>
                <w:highlight w:val="none"/>
              </w:rPr>
              <w:t>%</w:t>
            </w:r>
          </w:p>
        </w:tc>
      </w:tr>
      <w:tr w14:paraId="4EF8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30" w:type="dxa"/>
            <w:gridSpan w:val="3"/>
            <w:shd w:val="clear" w:color="auto" w:fill="auto"/>
            <w:noWrap w:val="0"/>
            <w:vAlign w:val="top"/>
          </w:tcPr>
          <w:p w14:paraId="0E4D147E">
            <w:pPr>
              <w:spacing w:before="120" w:line="320" w:lineRule="atLeast"/>
              <w:rPr>
                <w:szCs w:val="21"/>
                <w:highlight w:val="none"/>
              </w:rPr>
            </w:pPr>
            <w:r>
              <w:rPr>
                <w:rFonts w:hint="eastAsia"/>
                <w:szCs w:val="21"/>
                <w:highlight w:val="none"/>
              </w:rPr>
              <w:t>注：未提供《中小企业声明函》、《分包意向协议书》或《联合体协议书》或不符合条件的，不享受价格扣除优惠。</w:t>
            </w:r>
          </w:p>
        </w:tc>
      </w:tr>
      <w:bookmarkEnd w:id="120"/>
    </w:tbl>
    <w:p w14:paraId="40FDF3E3">
      <w:pPr>
        <w:rPr>
          <w:highlight w:val="yellow"/>
        </w:rPr>
      </w:pPr>
    </w:p>
    <w:p w14:paraId="52751929">
      <w:pPr>
        <w:ind w:firstLine="420" w:firstLineChars="200"/>
        <w:rPr>
          <w:rFonts w:hint="default" w:eastAsia="楷体_GB2312"/>
          <w:b/>
          <w:color w:val="4472C4"/>
          <w:sz w:val="24"/>
          <w:highlight w:val="none"/>
          <w:lang w:val="en-US"/>
        </w:rPr>
      </w:pPr>
      <w:r>
        <w:rPr>
          <w:rFonts w:hint="eastAsia"/>
          <w:highlight w:val="none"/>
          <w:lang w:val="en-US" w:eastAsia="zh-CN"/>
        </w:rPr>
        <w:t>2）本国产品的价格扣除计算：</w:t>
      </w:r>
      <w:r>
        <w:rPr>
          <w:rFonts w:hint="eastAsia"/>
          <w:highlight w:val="none"/>
        </w:rPr>
        <w:t>供应商投标</w:t>
      </w:r>
      <w:r>
        <w:rPr>
          <w:highlight w:val="none"/>
        </w:rPr>
        <w:t>报价将按相应比例进行扣除，用扣除后的价格参与评审（计算价格分）</w:t>
      </w:r>
      <w:r>
        <w:rPr>
          <w:rFonts w:hint="eastAsia"/>
          <w:highlight w:val="none"/>
        </w:rPr>
        <w:t>，价格扣除比例分别如下：</w:t>
      </w:r>
    </w:p>
    <w:p w14:paraId="5FD6CACB">
      <w:pPr>
        <w:ind w:firstLine="420" w:firstLineChars="200"/>
        <w:rPr>
          <w:highlight w:val="none"/>
        </w:rPr>
      </w:pPr>
    </w:p>
    <w:tbl>
      <w:tblPr>
        <w:tblStyle w:val="53"/>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4550"/>
        <w:gridCol w:w="2551"/>
      </w:tblGrid>
      <w:tr w14:paraId="62E0E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29" w:type="dxa"/>
            <w:shd w:val="clear" w:color="auto" w:fill="auto"/>
            <w:noWrap w:val="0"/>
            <w:vAlign w:val="top"/>
          </w:tcPr>
          <w:p w14:paraId="095601AA">
            <w:pPr>
              <w:rPr>
                <w:rFonts w:hint="default" w:eastAsia="宋体"/>
                <w:highlight w:val="none"/>
                <w:lang w:val="en-US" w:eastAsia="zh-CN"/>
              </w:rPr>
            </w:pPr>
            <w:r>
              <w:rPr>
                <w:rFonts w:hint="eastAsia"/>
                <w:highlight w:val="none"/>
                <w:lang w:val="en-US" w:eastAsia="zh-CN"/>
              </w:rPr>
              <w:t>采购项目或者采购包中为单一产品</w:t>
            </w:r>
          </w:p>
        </w:tc>
        <w:tc>
          <w:tcPr>
            <w:tcW w:w="4550" w:type="dxa"/>
            <w:shd w:val="clear" w:color="auto" w:fill="auto"/>
            <w:noWrap w:val="0"/>
            <w:vAlign w:val="top"/>
          </w:tcPr>
          <w:p w14:paraId="6BD78735">
            <w:pPr>
              <w:rPr>
                <w:rFonts w:hint="eastAsia" w:eastAsia="宋体"/>
                <w:highlight w:val="none"/>
                <w:lang w:eastAsia="zh-CN"/>
              </w:rPr>
            </w:pPr>
            <w:r>
              <w:rPr>
                <w:rFonts w:hint="eastAsia"/>
                <w:highlight w:val="none"/>
              </w:rPr>
              <w:t>若</w:t>
            </w:r>
            <w:r>
              <w:rPr>
                <w:rFonts w:hint="eastAsia"/>
                <w:highlight w:val="none"/>
                <w:lang w:val="en-US" w:eastAsia="zh-CN"/>
              </w:rPr>
              <w:t>本项目</w:t>
            </w:r>
            <w:r>
              <w:rPr>
                <w:rFonts w:hint="eastAsia"/>
                <w:highlight w:val="none"/>
              </w:rPr>
              <w:t>既有本国产品又有非本国产品参与竞争的</w:t>
            </w:r>
            <w:r>
              <w:rPr>
                <w:rFonts w:hint="eastAsia"/>
                <w:highlight w:val="none"/>
                <w:lang w:eastAsia="zh-CN"/>
              </w:rPr>
              <w:t>，</w:t>
            </w:r>
            <w:r>
              <w:rPr>
                <w:rFonts w:hint="eastAsia"/>
                <w:highlight w:val="none"/>
              </w:rPr>
              <w:t>供应商所提供</w:t>
            </w:r>
            <w:r>
              <w:rPr>
                <w:rFonts w:hint="eastAsia"/>
                <w:highlight w:val="none"/>
                <w:lang w:val="en-US" w:eastAsia="zh-CN"/>
              </w:rPr>
              <w:t>符合</w:t>
            </w:r>
            <w:r>
              <w:rPr>
                <w:rFonts w:hint="eastAsia"/>
                <w:highlight w:val="none"/>
              </w:rPr>
              <w:t>本国产品标准的产品</w:t>
            </w:r>
          </w:p>
        </w:tc>
        <w:tc>
          <w:tcPr>
            <w:tcW w:w="2551" w:type="dxa"/>
            <w:vMerge w:val="restart"/>
            <w:shd w:val="clear" w:color="auto" w:fill="auto"/>
            <w:noWrap w:val="0"/>
            <w:vAlign w:val="top"/>
          </w:tcPr>
          <w:p w14:paraId="10AA97B4">
            <w:pPr>
              <w:rPr>
                <w:rFonts w:hint="eastAsia"/>
                <w:highlight w:val="none"/>
              </w:rPr>
            </w:pPr>
          </w:p>
          <w:p w14:paraId="267AE567">
            <w:pPr>
              <w:rPr>
                <w:rFonts w:hint="eastAsia"/>
                <w:highlight w:val="none"/>
              </w:rPr>
            </w:pPr>
          </w:p>
          <w:p w14:paraId="73B50FD9">
            <w:pPr>
              <w:rPr>
                <w:rFonts w:hint="eastAsia"/>
                <w:highlight w:val="none"/>
              </w:rPr>
            </w:pPr>
          </w:p>
          <w:p w14:paraId="3DD67C45">
            <w:pPr>
              <w:rPr>
                <w:highlight w:val="none"/>
              </w:rPr>
            </w:pPr>
            <w:r>
              <w:rPr>
                <w:rFonts w:hint="eastAsia"/>
                <w:highlight w:val="none"/>
              </w:rPr>
              <w:t>价格扣除</w:t>
            </w:r>
            <w:r>
              <w:rPr>
                <w:rFonts w:hint="eastAsia"/>
                <w:highlight w:val="none"/>
                <w:lang w:val="en-US" w:eastAsia="zh-CN"/>
              </w:rPr>
              <w:t>全部产品的</w:t>
            </w:r>
            <w:r>
              <w:rPr>
                <w:rFonts w:hint="eastAsia"/>
                <w:b/>
                <w:bCs/>
                <w:color w:val="1F497D" w:themeColor="text2"/>
                <w:highlight w:val="none"/>
                <w:lang w:val="en-US" w:eastAsia="zh-CN"/>
                <w14:textFill>
                  <w14:solidFill>
                    <w14:schemeClr w14:val="tx2"/>
                  </w14:solidFill>
                </w14:textFill>
              </w:rPr>
              <w:t>总</w:t>
            </w:r>
            <w:r>
              <w:rPr>
                <w:rFonts w:hint="eastAsia"/>
                <w:highlight w:val="none"/>
                <w:lang w:val="en-US" w:eastAsia="zh-CN"/>
              </w:rPr>
              <w:t>报价</w:t>
            </w:r>
            <w:r>
              <w:rPr>
                <w:rFonts w:hint="eastAsia"/>
                <w:highlight w:val="none"/>
              </w:rPr>
              <w:t>的</w:t>
            </w:r>
            <w:r>
              <w:rPr>
                <w:rFonts w:hint="eastAsia"/>
                <w:highlight w:val="none"/>
                <w:lang w:val="en-US" w:eastAsia="zh-CN"/>
              </w:rPr>
              <w:t>20</w:t>
            </w:r>
            <w:r>
              <w:rPr>
                <w:rFonts w:hint="eastAsia"/>
                <w:highlight w:val="none"/>
              </w:rPr>
              <w:t>%</w:t>
            </w:r>
          </w:p>
        </w:tc>
      </w:tr>
      <w:tr w14:paraId="2EE0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829" w:type="dxa"/>
            <w:shd w:val="clear" w:color="auto" w:fill="auto"/>
            <w:noWrap w:val="0"/>
            <w:vAlign w:val="top"/>
          </w:tcPr>
          <w:p w14:paraId="1597E3F6">
            <w:pPr>
              <w:rPr>
                <w:rFonts w:hint="eastAsia"/>
                <w:highlight w:val="none"/>
              </w:rPr>
            </w:pPr>
            <w:r>
              <w:rPr>
                <w:rFonts w:hint="eastAsia"/>
                <w:highlight w:val="none"/>
              </w:rPr>
              <w:t>采购项目或者采购包中含有多种产品</w:t>
            </w:r>
          </w:p>
        </w:tc>
        <w:tc>
          <w:tcPr>
            <w:tcW w:w="4550" w:type="dxa"/>
            <w:shd w:val="clear" w:color="auto" w:fill="auto"/>
            <w:noWrap w:val="0"/>
            <w:vAlign w:val="top"/>
          </w:tcPr>
          <w:p w14:paraId="553634EF">
            <w:pPr>
              <w:rPr>
                <w:rFonts w:hint="eastAsia" w:eastAsia="宋体"/>
                <w:highlight w:val="none"/>
                <w:lang w:eastAsia="zh-CN"/>
              </w:rPr>
            </w:pPr>
            <w:r>
              <w:rPr>
                <w:rFonts w:hint="eastAsia"/>
                <w:highlight w:val="none"/>
              </w:rPr>
              <w:t>若</w:t>
            </w:r>
            <w:r>
              <w:rPr>
                <w:rFonts w:hint="eastAsia"/>
                <w:highlight w:val="none"/>
                <w:lang w:val="en-US" w:eastAsia="zh-CN"/>
              </w:rPr>
              <w:t>本项目</w:t>
            </w:r>
            <w:r>
              <w:rPr>
                <w:rFonts w:hint="eastAsia"/>
                <w:highlight w:val="none"/>
              </w:rPr>
              <w:t>既有本国产品又有非本国产品参与竞争的</w:t>
            </w:r>
            <w:r>
              <w:rPr>
                <w:rFonts w:hint="eastAsia"/>
                <w:highlight w:val="none"/>
                <w:lang w:eastAsia="zh-CN"/>
              </w:rPr>
              <w:t>，</w:t>
            </w:r>
            <w:r>
              <w:rPr>
                <w:rFonts w:hint="eastAsia"/>
                <w:highlight w:val="none"/>
              </w:rPr>
              <w:t>供应商</w:t>
            </w:r>
            <w:r>
              <w:rPr>
                <w:rFonts w:hint="eastAsia"/>
                <w:highlight w:val="none"/>
                <w:lang w:val="en-US" w:eastAsia="zh-CN"/>
              </w:rPr>
              <w:t>提供符合</w:t>
            </w:r>
            <w:r>
              <w:rPr>
                <w:rFonts w:hint="eastAsia"/>
                <w:highlight w:val="none"/>
              </w:rPr>
              <w:t>本国产品标准的产品成本之和占该供应商提供的全部产品成本之和的比例达到80%以上时</w:t>
            </w:r>
            <w:r>
              <w:rPr>
                <w:rFonts w:hint="eastAsia"/>
                <w:highlight w:val="none"/>
                <w:lang w:eastAsia="zh-CN"/>
              </w:rPr>
              <w:t>。</w:t>
            </w:r>
            <w:r>
              <w:rPr>
                <w:rFonts w:hint="eastAsia"/>
                <w:b/>
                <w:bCs/>
                <w:highlight w:val="none"/>
                <w:lang w:val="en-US" w:eastAsia="zh-CN"/>
              </w:rPr>
              <w:t>供应商须在投标文件提交《关于符合本国产品标准的成本占比承诺函》。如供应商所有产品均为本国产品且填写《关于符合本国产品标准的声明函》的，无须填写《关于符合本国产品标准的成本占比承诺函》。</w:t>
            </w:r>
          </w:p>
        </w:tc>
        <w:tc>
          <w:tcPr>
            <w:tcW w:w="2551" w:type="dxa"/>
            <w:vMerge w:val="continue"/>
            <w:shd w:val="clear" w:color="auto" w:fill="auto"/>
            <w:noWrap w:val="0"/>
            <w:vAlign w:val="top"/>
          </w:tcPr>
          <w:p w14:paraId="2DC15A84">
            <w:pPr>
              <w:ind w:firstLine="420" w:firstLineChars="200"/>
              <w:rPr>
                <w:rFonts w:hint="eastAsia"/>
                <w:highlight w:val="none"/>
              </w:rPr>
            </w:pPr>
          </w:p>
        </w:tc>
      </w:tr>
      <w:tr w14:paraId="7877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930" w:type="dxa"/>
            <w:gridSpan w:val="3"/>
            <w:shd w:val="clear" w:color="auto" w:fill="auto"/>
            <w:noWrap w:val="0"/>
            <w:vAlign w:val="top"/>
          </w:tcPr>
          <w:p w14:paraId="398C48D1">
            <w:pPr>
              <w:rPr>
                <w:highlight w:val="none"/>
              </w:rPr>
            </w:pPr>
            <w:r>
              <w:rPr>
                <w:rFonts w:hint="eastAsia"/>
                <w:highlight w:val="none"/>
              </w:rPr>
              <w:t>注：未提供《关于符合本国产品标准的声明</w:t>
            </w:r>
            <w:r>
              <w:rPr>
                <w:rFonts w:hint="eastAsia"/>
                <w:color w:val="auto"/>
                <w:highlight w:val="none"/>
              </w:rPr>
              <w:t>函》</w:t>
            </w:r>
            <w:r>
              <w:rPr>
                <w:rFonts w:hint="eastAsia"/>
                <w:color w:val="auto"/>
                <w:highlight w:val="none"/>
                <w:lang w:eastAsia="zh-CN"/>
              </w:rPr>
              <w:t>、</w:t>
            </w:r>
            <w:r>
              <w:rPr>
                <w:rFonts w:hint="eastAsia"/>
                <w:color w:val="auto"/>
                <w:szCs w:val="21"/>
                <w:lang w:eastAsia="zh-CN"/>
              </w:rPr>
              <w:t>《</w:t>
            </w:r>
            <w:r>
              <w:rPr>
                <w:rFonts w:hint="eastAsia"/>
                <w:color w:val="auto"/>
                <w:szCs w:val="21"/>
                <w:lang w:val="en-US" w:eastAsia="zh-CN"/>
              </w:rPr>
              <w:t>关于符合本国产品标准的成本占比承诺函》（如适用）</w:t>
            </w:r>
            <w:r>
              <w:rPr>
                <w:rFonts w:hint="eastAsia"/>
                <w:color w:val="auto"/>
                <w:highlight w:val="none"/>
                <w:lang w:val="en-US" w:eastAsia="zh-CN"/>
              </w:rPr>
              <w:t>或</w:t>
            </w:r>
            <w:r>
              <w:rPr>
                <w:rFonts w:hint="eastAsia"/>
                <w:color w:val="auto"/>
                <w:highlight w:val="none"/>
              </w:rPr>
              <w:t>不符合条件的，不享受价格扣除优惠。</w:t>
            </w:r>
          </w:p>
        </w:tc>
      </w:tr>
    </w:tbl>
    <w:p w14:paraId="365AC22F">
      <w:pPr>
        <w:ind w:firstLine="420" w:firstLineChars="200"/>
        <w:rPr>
          <w:highlight w:val="none"/>
        </w:rPr>
      </w:pPr>
    </w:p>
    <w:p w14:paraId="2004A8F6">
      <w:pPr>
        <w:pStyle w:val="22"/>
        <w:numPr>
          <w:ilvl w:val="0"/>
          <w:numId w:val="0"/>
        </w:numPr>
        <w:ind w:firstLine="420" w:firstLineChars="200"/>
        <w:rPr>
          <w:rFonts w:hint="default" w:ascii="Times New Roman" w:hAnsi="Times New Roman" w:eastAsia="宋体" w:cs="Times New Roman"/>
          <w:color w:val="auto"/>
          <w:kern w:val="2"/>
          <w:sz w:val="21"/>
          <w:szCs w:val="24"/>
          <w:highlight w:val="none"/>
          <w:lang w:val="en-US" w:eastAsia="zh-CN" w:bidi="ar-SA"/>
        </w:rPr>
      </w:pPr>
      <w:r>
        <w:rPr>
          <w:rFonts w:hint="eastAsia" w:cs="Times New Roman"/>
          <w:color w:val="auto"/>
          <w:kern w:val="2"/>
          <w:sz w:val="21"/>
          <w:szCs w:val="24"/>
          <w:highlight w:val="none"/>
          <w:lang w:val="en-US" w:eastAsia="zh-CN" w:bidi="ar-SA"/>
        </w:rPr>
        <w:t>3）</w:t>
      </w:r>
      <w:r>
        <w:rPr>
          <w:rFonts w:hint="eastAsia" w:ascii="Times New Roman" w:hAnsi="Times New Roman" w:eastAsia="宋体" w:cs="Times New Roman"/>
          <w:color w:val="auto"/>
          <w:kern w:val="2"/>
          <w:sz w:val="21"/>
          <w:szCs w:val="24"/>
          <w:highlight w:val="none"/>
          <w:lang w:val="en-US" w:eastAsia="zh-CN" w:bidi="ar-SA"/>
        </w:rPr>
        <w:t>评审报价计算示例：</w:t>
      </w:r>
    </w:p>
    <w:p w14:paraId="324F0FED">
      <w:pPr>
        <w:spacing w:before="120" w:beforeLines="0" w:afterLines="0" w:line="320" w:lineRule="atLeast"/>
        <w:ind w:firstLine="420" w:firstLineChars="200"/>
        <w:rPr>
          <w:rFonts w:hint="eastAsia"/>
          <w:color w:val="auto"/>
          <w:highlight w:val="none"/>
          <w:lang w:val="en-US" w:eastAsia="zh-CN"/>
        </w:rPr>
      </w:pPr>
      <w:r>
        <w:rPr>
          <w:rFonts w:hint="eastAsia"/>
          <w:color w:val="auto"/>
          <w:highlight w:val="none"/>
          <w:lang w:val="en-US" w:eastAsia="zh-CN"/>
        </w:rPr>
        <w:t>a.供应商若符合中小企业支持政策的要求，计算公式具体为：评审报价＝投标总报价－（投标总报价*小微企业价格扣除比例）</w:t>
      </w:r>
    </w:p>
    <w:p w14:paraId="26D52B04">
      <w:pPr>
        <w:ind w:firstLine="420" w:firstLineChars="200"/>
        <w:rPr>
          <w:rFonts w:hint="eastAsia"/>
          <w:color w:val="auto"/>
          <w:highlight w:val="none"/>
          <w:lang w:val="en-US" w:eastAsia="zh-CN"/>
        </w:rPr>
      </w:pPr>
      <w:r>
        <w:rPr>
          <w:rFonts w:hint="eastAsia"/>
          <w:color w:val="auto"/>
          <w:highlight w:val="none"/>
          <w:lang w:val="en-US" w:eastAsia="zh-CN"/>
        </w:rPr>
        <w:t>b.供应商若符合本国产品支持政策的要求，计算公式具体为：评审报价＝投标总报价－（全部产品的总报价*20%）</w:t>
      </w:r>
    </w:p>
    <w:p w14:paraId="14821371">
      <w:pPr>
        <w:ind w:firstLine="420" w:firstLineChars="200"/>
        <w:rPr>
          <w:rFonts w:hint="eastAsia"/>
          <w:color w:val="auto"/>
          <w:highlight w:val="none"/>
          <w:lang w:val="en-US" w:eastAsia="zh-CN"/>
        </w:rPr>
      </w:pPr>
      <w:r>
        <w:rPr>
          <w:rFonts w:hint="eastAsia"/>
          <w:color w:val="auto"/>
          <w:highlight w:val="none"/>
          <w:lang w:val="en-US" w:eastAsia="zh-CN"/>
        </w:rPr>
        <w:t>c.供应商若同时符合中小企业、本国产品扶持政策的要求，计算公式具体为：评审报价＝投标总报价－（投标总报价*小微企业价格扣除比例）－（全部产品的总报价*20%）</w:t>
      </w:r>
    </w:p>
    <w:p w14:paraId="2137679D">
      <w:pPr>
        <w:pStyle w:val="22"/>
        <w:ind w:firstLine="420" w:firstLineChars="200"/>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备注：全部产品是指货物或服务采购项目或采购包中包含的全部货物、服务产品。</w:t>
      </w:r>
    </w:p>
    <w:p w14:paraId="34D67E87">
      <w:pPr>
        <w:ind w:firstLine="482" w:firstLineChars="200"/>
        <w:rPr>
          <w:rFonts w:hint="default" w:ascii="宋体" w:hAnsi="Courier New" w:eastAsia="楷体_GB2312" w:cs="Courier New"/>
          <w:b/>
          <w:color w:val="0000FF"/>
          <w:kern w:val="2"/>
          <w:sz w:val="24"/>
          <w:szCs w:val="24"/>
          <w:lang w:val="en-US" w:eastAsia="zh-CN" w:bidi="ar-SA"/>
        </w:rPr>
      </w:pPr>
    </w:p>
    <w:p w14:paraId="03BBA721">
      <w:pPr>
        <w:ind w:firstLine="315" w:firstLineChars="150"/>
      </w:pPr>
      <w:r>
        <w:rPr>
          <w:rFonts w:hint="eastAsia"/>
        </w:rPr>
        <w:t>（3）政策性加分</w:t>
      </w:r>
    </w:p>
    <w:tbl>
      <w:tblPr>
        <w:tblStyle w:val="53"/>
        <w:tblW w:w="88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829"/>
        <w:gridCol w:w="3643"/>
        <w:gridCol w:w="1134"/>
        <w:gridCol w:w="2551"/>
      </w:tblGrid>
      <w:tr w14:paraId="02BB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708" w:type="dxa"/>
            <w:noWrap w:val="0"/>
            <w:vAlign w:val="center"/>
          </w:tcPr>
          <w:p w14:paraId="7D3A0EC7">
            <w:pPr>
              <w:jc w:val="center"/>
              <w:rPr>
                <w:b/>
                <w:szCs w:val="21"/>
              </w:rPr>
            </w:pPr>
            <w:r>
              <w:rPr>
                <w:b/>
                <w:szCs w:val="21"/>
              </w:rPr>
              <w:t>序号</w:t>
            </w:r>
          </w:p>
        </w:tc>
        <w:tc>
          <w:tcPr>
            <w:tcW w:w="829" w:type="dxa"/>
            <w:noWrap w:val="0"/>
            <w:vAlign w:val="center"/>
          </w:tcPr>
          <w:p w14:paraId="4CC06807">
            <w:pPr>
              <w:jc w:val="center"/>
              <w:rPr>
                <w:b/>
                <w:szCs w:val="21"/>
              </w:rPr>
            </w:pPr>
            <w:r>
              <w:rPr>
                <w:rFonts w:hint="eastAsia"/>
                <w:b/>
                <w:szCs w:val="21"/>
              </w:rPr>
              <w:t>类型</w:t>
            </w:r>
          </w:p>
        </w:tc>
        <w:tc>
          <w:tcPr>
            <w:tcW w:w="3643" w:type="dxa"/>
            <w:noWrap w:val="0"/>
            <w:vAlign w:val="center"/>
          </w:tcPr>
          <w:p w14:paraId="015950F6">
            <w:pPr>
              <w:jc w:val="center"/>
              <w:rPr>
                <w:b/>
                <w:szCs w:val="21"/>
              </w:rPr>
            </w:pPr>
            <w:r>
              <w:rPr>
                <w:rFonts w:hint="eastAsia"/>
                <w:b/>
                <w:szCs w:val="21"/>
              </w:rPr>
              <w:t>评分标准</w:t>
            </w:r>
          </w:p>
        </w:tc>
        <w:tc>
          <w:tcPr>
            <w:tcW w:w="1134" w:type="dxa"/>
            <w:noWrap w:val="0"/>
            <w:vAlign w:val="center"/>
          </w:tcPr>
          <w:p w14:paraId="6E46648B">
            <w:pPr>
              <w:jc w:val="center"/>
              <w:rPr>
                <w:b/>
                <w:szCs w:val="21"/>
              </w:rPr>
            </w:pPr>
            <w:r>
              <w:rPr>
                <w:rFonts w:hint="eastAsia"/>
                <w:b/>
                <w:szCs w:val="21"/>
              </w:rPr>
              <w:t>分值权重</w:t>
            </w:r>
          </w:p>
        </w:tc>
        <w:tc>
          <w:tcPr>
            <w:tcW w:w="2551" w:type="dxa"/>
            <w:noWrap w:val="0"/>
            <w:vAlign w:val="center"/>
          </w:tcPr>
          <w:p w14:paraId="6BE71E77">
            <w:pPr>
              <w:jc w:val="center"/>
              <w:rPr>
                <w:b/>
                <w:szCs w:val="21"/>
              </w:rPr>
            </w:pPr>
            <w:r>
              <w:rPr>
                <w:b/>
                <w:szCs w:val="21"/>
              </w:rPr>
              <w:t>说明</w:t>
            </w:r>
          </w:p>
        </w:tc>
      </w:tr>
      <w:tr w14:paraId="06C4A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6" w:hRule="atLeast"/>
          <w:jc w:val="center"/>
        </w:trPr>
        <w:tc>
          <w:tcPr>
            <w:tcW w:w="708" w:type="dxa"/>
            <w:noWrap w:val="0"/>
            <w:vAlign w:val="center"/>
          </w:tcPr>
          <w:p w14:paraId="6BAAD531">
            <w:pPr>
              <w:jc w:val="center"/>
              <w:rPr>
                <w:b/>
                <w:szCs w:val="21"/>
              </w:rPr>
            </w:pPr>
            <w:r>
              <w:rPr>
                <w:rFonts w:hint="eastAsia"/>
                <w:b/>
                <w:szCs w:val="21"/>
              </w:rPr>
              <w:t>1</w:t>
            </w:r>
          </w:p>
        </w:tc>
        <w:tc>
          <w:tcPr>
            <w:tcW w:w="829" w:type="dxa"/>
            <w:noWrap w:val="0"/>
            <w:vAlign w:val="center"/>
          </w:tcPr>
          <w:p w14:paraId="144F2851">
            <w:pPr>
              <w:jc w:val="center"/>
              <w:rPr>
                <w:szCs w:val="21"/>
              </w:rPr>
            </w:pPr>
            <w:r>
              <w:rPr>
                <w:rFonts w:hint="eastAsia"/>
                <w:color w:val="000000" w:themeColor="text1"/>
                <w:szCs w:val="21"/>
                <w14:textFill>
                  <w14:solidFill>
                    <w14:schemeClr w14:val="tx1"/>
                  </w14:solidFill>
                </w14:textFill>
              </w:rPr>
              <w:t>政策性加分</w:t>
            </w:r>
          </w:p>
        </w:tc>
        <w:tc>
          <w:tcPr>
            <w:tcW w:w="3643" w:type="dxa"/>
            <w:noWrap w:val="0"/>
            <w:vAlign w:val="center"/>
          </w:tcPr>
          <w:p w14:paraId="38FA82FE">
            <w:pPr>
              <w:rPr>
                <w:iCs/>
                <w:color w:val="000000" w:themeColor="text1"/>
                <w:szCs w:val="21"/>
                <w14:textFill>
                  <w14:solidFill>
                    <w14:schemeClr w14:val="tx1"/>
                  </w14:solidFill>
                </w14:textFill>
              </w:rPr>
            </w:pPr>
            <w:r>
              <w:rPr>
                <w:rFonts w:hint="eastAsia"/>
                <w:iCs/>
                <w:color w:val="000000" w:themeColor="text1"/>
                <w:szCs w:val="21"/>
                <w14:textFill>
                  <w14:solidFill>
                    <w14:schemeClr w14:val="tx1"/>
                  </w14:solidFill>
                </w14:textFill>
              </w:rPr>
              <w:t>（</w:t>
            </w:r>
            <w:r>
              <w:rPr>
                <w:iCs/>
                <w:color w:val="000000" w:themeColor="text1"/>
                <w:szCs w:val="21"/>
                <w14:textFill>
                  <w14:solidFill>
                    <w14:schemeClr w14:val="tx1"/>
                  </w14:solidFill>
                </w14:textFill>
              </w:rPr>
              <w:t>1</w:t>
            </w:r>
            <w:r>
              <w:rPr>
                <w:rFonts w:hint="eastAsia"/>
                <w:iCs/>
                <w:color w:val="000000" w:themeColor="text1"/>
                <w:szCs w:val="21"/>
                <w14:textFill>
                  <w14:solidFill>
                    <w14:schemeClr w14:val="tx1"/>
                  </w14:solidFill>
                </w14:textFill>
              </w:rPr>
              <w:t>）节能产品分（</w:t>
            </w:r>
            <w:r>
              <w:rPr>
                <w:iCs/>
                <w:color w:val="000000" w:themeColor="text1"/>
                <w:szCs w:val="21"/>
                <w14:textFill>
                  <w14:solidFill>
                    <w14:schemeClr w14:val="tx1"/>
                  </w14:solidFill>
                </w14:textFill>
              </w:rPr>
              <w:t>1</w:t>
            </w:r>
            <w:r>
              <w:rPr>
                <w:rFonts w:hint="eastAsia"/>
                <w:iCs/>
                <w:color w:val="000000" w:themeColor="text1"/>
                <w:szCs w:val="21"/>
                <w14:textFill>
                  <w14:solidFill>
                    <w14:schemeClr w14:val="tx1"/>
                  </w14:solidFill>
                </w14:textFill>
              </w:rPr>
              <w:t>分）</w:t>
            </w:r>
          </w:p>
          <w:p w14:paraId="098FF0FB">
            <w:pPr>
              <w:rPr>
                <w:iCs/>
                <w:color w:val="000000" w:themeColor="text1"/>
                <w:szCs w:val="21"/>
                <w14:textFill>
                  <w14:solidFill>
                    <w14:schemeClr w14:val="tx1"/>
                  </w14:solidFill>
                </w14:textFill>
              </w:rPr>
            </w:pPr>
            <w:r>
              <w:rPr>
                <w:rFonts w:hint="eastAsia"/>
                <w:iCs/>
                <w:color w:val="000000" w:themeColor="text1"/>
                <w:szCs w:val="21"/>
                <w14:textFill>
                  <w14:solidFill>
                    <w14:schemeClr w14:val="tx1"/>
                  </w14:solidFill>
                </w14:textFill>
              </w:rPr>
              <w:t>供应商投标产品属于</w:t>
            </w:r>
            <w:r>
              <w:rPr>
                <w:rFonts w:hint="eastAsia" w:ascii="宋体" w:hAnsi="宋体"/>
                <w:iCs/>
                <w:color w:val="000000" w:themeColor="text1"/>
                <w14:textFill>
                  <w14:solidFill>
                    <w14:schemeClr w14:val="tx1"/>
                  </w14:solidFill>
                </w14:textFill>
              </w:rPr>
              <w:t>节能产品政府采购品目清单</w:t>
            </w:r>
            <w:r>
              <w:rPr>
                <w:rFonts w:hint="eastAsia"/>
                <w:iCs/>
                <w:color w:val="000000" w:themeColor="text1"/>
                <w:szCs w:val="21"/>
                <w14:textFill>
                  <w14:solidFill>
                    <w14:schemeClr w14:val="tx1"/>
                  </w14:solidFill>
                </w14:textFill>
              </w:rPr>
              <w:t>范围内优先采购的，每有一项得</w:t>
            </w:r>
            <w:r>
              <w:rPr>
                <w:iCs/>
                <w:color w:val="000000" w:themeColor="text1"/>
                <w:szCs w:val="21"/>
                <w14:textFill>
                  <w14:solidFill>
                    <w14:schemeClr w14:val="tx1"/>
                  </w14:solidFill>
                </w14:textFill>
              </w:rPr>
              <w:t>0.2</w:t>
            </w:r>
            <w:r>
              <w:rPr>
                <w:rFonts w:hint="eastAsia"/>
                <w:iCs/>
                <w:color w:val="000000" w:themeColor="text1"/>
                <w:szCs w:val="21"/>
                <w14:textFill>
                  <w14:solidFill>
                    <w14:schemeClr w14:val="tx1"/>
                  </w14:solidFill>
                </w14:textFill>
              </w:rPr>
              <w:t>分，最多得</w:t>
            </w:r>
            <w:r>
              <w:rPr>
                <w:iCs/>
                <w:color w:val="000000" w:themeColor="text1"/>
                <w:szCs w:val="21"/>
                <w14:textFill>
                  <w14:solidFill>
                    <w14:schemeClr w14:val="tx1"/>
                  </w14:solidFill>
                </w14:textFill>
              </w:rPr>
              <w:t>1</w:t>
            </w:r>
            <w:r>
              <w:rPr>
                <w:rFonts w:hint="eastAsia"/>
                <w:iCs/>
                <w:color w:val="000000" w:themeColor="text1"/>
                <w:szCs w:val="21"/>
                <w14:textFill>
                  <w14:solidFill>
                    <w14:schemeClr w14:val="tx1"/>
                  </w14:solidFill>
                </w14:textFill>
              </w:rPr>
              <w:t>分。采购内容中的强制产品不加分。</w:t>
            </w:r>
          </w:p>
          <w:p w14:paraId="72C886C5">
            <w:pPr>
              <w:rPr>
                <w:iCs/>
                <w:color w:val="000000" w:themeColor="text1"/>
                <w:szCs w:val="21"/>
                <w14:textFill>
                  <w14:solidFill>
                    <w14:schemeClr w14:val="tx1"/>
                  </w14:solidFill>
                </w14:textFill>
              </w:rPr>
            </w:pPr>
            <w:r>
              <w:rPr>
                <w:rFonts w:hint="eastAsia"/>
                <w:iCs/>
                <w:color w:val="000000" w:themeColor="text1"/>
                <w:szCs w:val="21"/>
                <w14:textFill>
                  <w14:solidFill>
                    <w14:schemeClr w14:val="tx1"/>
                  </w14:solidFill>
                </w14:textFill>
              </w:rPr>
              <w:t>（</w:t>
            </w:r>
            <w:r>
              <w:rPr>
                <w:iCs/>
                <w:color w:val="000000" w:themeColor="text1"/>
                <w:szCs w:val="21"/>
                <w14:textFill>
                  <w14:solidFill>
                    <w14:schemeClr w14:val="tx1"/>
                  </w14:solidFill>
                </w14:textFill>
              </w:rPr>
              <w:t>2</w:t>
            </w:r>
            <w:r>
              <w:rPr>
                <w:rFonts w:hint="eastAsia"/>
                <w:iCs/>
                <w:color w:val="000000" w:themeColor="text1"/>
                <w:szCs w:val="21"/>
                <w14:textFill>
                  <w14:solidFill>
                    <w14:schemeClr w14:val="tx1"/>
                  </w14:solidFill>
                </w14:textFill>
              </w:rPr>
              <w:t>）环境标志产品分（</w:t>
            </w:r>
            <w:r>
              <w:rPr>
                <w:iCs/>
                <w:color w:val="000000" w:themeColor="text1"/>
                <w:szCs w:val="21"/>
                <w14:textFill>
                  <w14:solidFill>
                    <w14:schemeClr w14:val="tx1"/>
                  </w14:solidFill>
                </w14:textFill>
              </w:rPr>
              <w:t>1</w:t>
            </w:r>
            <w:r>
              <w:rPr>
                <w:rFonts w:hint="eastAsia"/>
                <w:iCs/>
                <w:color w:val="000000" w:themeColor="text1"/>
                <w:szCs w:val="21"/>
                <w14:textFill>
                  <w14:solidFill>
                    <w14:schemeClr w14:val="tx1"/>
                  </w14:solidFill>
                </w14:textFill>
              </w:rPr>
              <w:t>分）</w:t>
            </w:r>
          </w:p>
          <w:p w14:paraId="246EB242">
            <w:pPr>
              <w:rPr>
                <w:szCs w:val="21"/>
              </w:rPr>
            </w:pPr>
            <w:r>
              <w:rPr>
                <w:rFonts w:hint="eastAsia"/>
                <w:iCs/>
                <w:color w:val="000000" w:themeColor="text1"/>
                <w:szCs w:val="21"/>
                <w14:textFill>
                  <w14:solidFill>
                    <w14:schemeClr w14:val="tx1"/>
                  </w14:solidFill>
                </w14:textFill>
              </w:rPr>
              <w:t>供应商投标产品属于</w:t>
            </w:r>
            <w:r>
              <w:rPr>
                <w:rFonts w:hint="eastAsia" w:ascii="宋体" w:hAnsi="宋体"/>
                <w:iCs/>
                <w:color w:val="000000" w:themeColor="text1"/>
                <w14:textFill>
                  <w14:solidFill>
                    <w14:schemeClr w14:val="tx1"/>
                  </w14:solidFill>
                </w14:textFill>
              </w:rPr>
              <w:t>环境标志产品政府采购品目清单</w:t>
            </w:r>
            <w:r>
              <w:rPr>
                <w:rFonts w:hint="eastAsia"/>
                <w:iCs/>
                <w:color w:val="000000" w:themeColor="text1"/>
                <w:szCs w:val="21"/>
                <w14:textFill>
                  <w14:solidFill>
                    <w14:schemeClr w14:val="tx1"/>
                  </w14:solidFill>
                </w14:textFill>
              </w:rPr>
              <w:t>范围内优先采购的，每有一项得</w:t>
            </w:r>
            <w:r>
              <w:rPr>
                <w:iCs/>
                <w:color w:val="000000" w:themeColor="text1"/>
                <w:szCs w:val="21"/>
                <w14:textFill>
                  <w14:solidFill>
                    <w14:schemeClr w14:val="tx1"/>
                  </w14:solidFill>
                </w14:textFill>
              </w:rPr>
              <w:t>0.2</w:t>
            </w:r>
            <w:r>
              <w:rPr>
                <w:rFonts w:hint="eastAsia"/>
                <w:iCs/>
                <w:color w:val="000000" w:themeColor="text1"/>
                <w:szCs w:val="21"/>
                <w14:textFill>
                  <w14:solidFill>
                    <w14:schemeClr w14:val="tx1"/>
                  </w14:solidFill>
                </w14:textFill>
              </w:rPr>
              <w:t>分，最多得</w:t>
            </w:r>
            <w:r>
              <w:rPr>
                <w:iCs/>
                <w:color w:val="000000" w:themeColor="text1"/>
                <w:szCs w:val="21"/>
                <w14:textFill>
                  <w14:solidFill>
                    <w14:schemeClr w14:val="tx1"/>
                  </w14:solidFill>
                </w14:textFill>
              </w:rPr>
              <w:t>1</w:t>
            </w:r>
            <w:r>
              <w:rPr>
                <w:rFonts w:hint="eastAsia"/>
                <w:iCs/>
                <w:color w:val="000000" w:themeColor="text1"/>
                <w:szCs w:val="21"/>
                <w14:textFill>
                  <w14:solidFill>
                    <w14:schemeClr w14:val="tx1"/>
                  </w14:solidFill>
                </w14:textFill>
              </w:rPr>
              <w:t>分。</w:t>
            </w:r>
          </w:p>
        </w:tc>
        <w:tc>
          <w:tcPr>
            <w:tcW w:w="1134" w:type="dxa"/>
            <w:noWrap w:val="0"/>
            <w:vAlign w:val="center"/>
          </w:tcPr>
          <w:p w14:paraId="54058DC1">
            <w:pPr>
              <w:jc w:val="center"/>
              <w:rPr>
                <w:color w:val="4472C4"/>
                <w:szCs w:val="21"/>
              </w:rPr>
            </w:pPr>
            <w:r>
              <w:rPr>
                <w:rFonts w:hint="eastAsia"/>
                <w:color w:val="000000" w:themeColor="text1"/>
                <w:szCs w:val="21"/>
                <w:lang w:val="en-US" w:eastAsia="zh-CN"/>
                <w14:textFill>
                  <w14:solidFill>
                    <w14:schemeClr w14:val="tx1"/>
                  </w14:solidFill>
                </w14:textFill>
              </w:rPr>
              <w:t>0-</w:t>
            </w:r>
            <w:r>
              <w:rPr>
                <w:color w:val="000000" w:themeColor="text1"/>
                <w:szCs w:val="21"/>
                <w14:textFill>
                  <w14:solidFill>
                    <w14:schemeClr w14:val="tx1"/>
                  </w14:solidFill>
                </w14:textFill>
              </w:rPr>
              <w:t>2</w:t>
            </w:r>
          </w:p>
        </w:tc>
        <w:tc>
          <w:tcPr>
            <w:tcW w:w="2551" w:type="dxa"/>
            <w:noWrap w:val="0"/>
            <w:vAlign w:val="center"/>
          </w:tcPr>
          <w:p w14:paraId="1296BB48">
            <w:pPr>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）供应商在投标文件中列明属于节能、环境标志产品的投标产品列表。</w:t>
            </w:r>
          </w:p>
          <w:p w14:paraId="6B0F645D">
            <w:pPr>
              <w:rPr>
                <w:szCs w:val="21"/>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2</w:t>
            </w:r>
            <w:r>
              <w:rPr>
                <w:rFonts w:hint="eastAsia"/>
                <w:color w:val="000000" w:themeColor="text1"/>
                <w:szCs w:val="21"/>
                <w14:textFill>
                  <w14:solidFill>
                    <w14:schemeClr w14:val="tx1"/>
                  </w14:solidFill>
                </w14:textFill>
              </w:rPr>
              <w:t>）以通过中国政府采购网“节能产品查询”及“环境标志产品查询”结果与供应商所提供的投标产品列表进行比对作为评审依据。</w:t>
            </w:r>
          </w:p>
        </w:tc>
      </w:tr>
    </w:tbl>
    <w:p w14:paraId="4E063C22"/>
    <w:p w14:paraId="58990778">
      <w:pPr>
        <w:ind w:firstLine="315" w:firstLineChars="150"/>
      </w:pPr>
      <w:r>
        <w:rPr>
          <w:rFonts w:hint="eastAsia"/>
        </w:rPr>
        <w:t>（4）</w:t>
      </w:r>
      <w:r>
        <w:t>综合评分</w:t>
      </w:r>
    </w:p>
    <w:tbl>
      <w:tblPr>
        <w:tblStyle w:val="53"/>
        <w:tblW w:w="8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2192"/>
        <w:gridCol w:w="1777"/>
        <w:gridCol w:w="1986"/>
        <w:gridCol w:w="2045"/>
      </w:tblGrid>
      <w:tr w14:paraId="2DF0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782" w:type="dxa"/>
            <w:noWrap w:val="0"/>
            <w:vAlign w:val="center"/>
          </w:tcPr>
          <w:p w14:paraId="4D48E573">
            <w:pPr>
              <w:jc w:val="center"/>
              <w:rPr>
                <w:b/>
                <w:szCs w:val="21"/>
              </w:rPr>
            </w:pPr>
            <w:r>
              <w:rPr>
                <w:rFonts w:hint="eastAsia"/>
                <w:b/>
                <w:szCs w:val="21"/>
              </w:rPr>
              <w:t>分项</w:t>
            </w:r>
          </w:p>
        </w:tc>
        <w:tc>
          <w:tcPr>
            <w:tcW w:w="2192" w:type="dxa"/>
            <w:noWrap w:val="0"/>
            <w:vAlign w:val="center"/>
          </w:tcPr>
          <w:p w14:paraId="1FBB8881">
            <w:pPr>
              <w:jc w:val="center"/>
              <w:rPr>
                <w:b/>
                <w:szCs w:val="21"/>
              </w:rPr>
            </w:pPr>
            <w:r>
              <w:rPr>
                <w:rFonts w:hint="eastAsia"/>
                <w:b/>
                <w:szCs w:val="21"/>
                <w:lang w:val="en-US" w:eastAsia="zh-CN"/>
              </w:rPr>
              <w:t>商务</w:t>
            </w:r>
            <w:r>
              <w:rPr>
                <w:rFonts w:hint="eastAsia"/>
                <w:b/>
                <w:szCs w:val="21"/>
              </w:rPr>
              <w:t>及</w:t>
            </w:r>
            <w:r>
              <w:rPr>
                <w:rFonts w:hint="eastAsia"/>
                <w:b/>
                <w:szCs w:val="21"/>
                <w:lang w:val="en-US" w:eastAsia="zh-CN"/>
              </w:rPr>
              <w:t>技术</w:t>
            </w:r>
            <w:r>
              <w:rPr>
                <w:rFonts w:hint="eastAsia"/>
                <w:b/>
                <w:szCs w:val="21"/>
              </w:rPr>
              <w:t>分</w:t>
            </w:r>
          </w:p>
        </w:tc>
        <w:tc>
          <w:tcPr>
            <w:tcW w:w="1777" w:type="dxa"/>
            <w:noWrap w:val="0"/>
            <w:vAlign w:val="center"/>
          </w:tcPr>
          <w:p w14:paraId="77FFE860">
            <w:pPr>
              <w:jc w:val="center"/>
              <w:rPr>
                <w:b/>
                <w:szCs w:val="21"/>
              </w:rPr>
            </w:pPr>
            <w:r>
              <w:rPr>
                <w:rFonts w:hint="eastAsia"/>
                <w:b/>
                <w:szCs w:val="21"/>
              </w:rPr>
              <w:t>投标报价得分</w:t>
            </w:r>
          </w:p>
        </w:tc>
        <w:tc>
          <w:tcPr>
            <w:tcW w:w="1986" w:type="dxa"/>
            <w:noWrap w:val="0"/>
            <w:vAlign w:val="center"/>
          </w:tcPr>
          <w:p w14:paraId="70C38A28">
            <w:pPr>
              <w:jc w:val="center"/>
              <w:rPr>
                <w:b/>
                <w:szCs w:val="21"/>
              </w:rPr>
            </w:pPr>
            <w:r>
              <w:rPr>
                <w:rFonts w:hint="eastAsia"/>
                <w:b/>
                <w:szCs w:val="21"/>
              </w:rPr>
              <w:t>政策性加分</w:t>
            </w:r>
          </w:p>
        </w:tc>
        <w:tc>
          <w:tcPr>
            <w:tcW w:w="2042" w:type="dxa"/>
            <w:noWrap w:val="0"/>
            <w:vAlign w:val="center"/>
          </w:tcPr>
          <w:p w14:paraId="059F2542">
            <w:pPr>
              <w:jc w:val="center"/>
              <w:rPr>
                <w:b/>
                <w:szCs w:val="21"/>
              </w:rPr>
            </w:pPr>
            <w:r>
              <w:rPr>
                <w:rFonts w:hint="eastAsia"/>
                <w:b/>
                <w:szCs w:val="21"/>
              </w:rPr>
              <w:t>总分</w:t>
            </w:r>
          </w:p>
        </w:tc>
      </w:tr>
      <w:tr w14:paraId="016B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782" w:type="dxa"/>
            <w:noWrap w:val="0"/>
            <w:vAlign w:val="center"/>
          </w:tcPr>
          <w:p w14:paraId="70403DBF">
            <w:pPr>
              <w:jc w:val="center"/>
              <w:rPr>
                <w:b/>
                <w:szCs w:val="21"/>
              </w:rPr>
            </w:pPr>
            <w:r>
              <w:rPr>
                <w:rFonts w:hint="eastAsia"/>
                <w:b/>
                <w:szCs w:val="21"/>
              </w:rPr>
              <w:t>分值</w:t>
            </w:r>
          </w:p>
        </w:tc>
        <w:tc>
          <w:tcPr>
            <w:tcW w:w="2192" w:type="dxa"/>
            <w:noWrap w:val="0"/>
            <w:vAlign w:val="center"/>
          </w:tcPr>
          <w:p w14:paraId="77B4B025">
            <w:pPr>
              <w:jc w:val="center"/>
              <w:rPr>
                <w:rFonts w:hint="default" w:eastAsia="宋体"/>
                <w:color w:val="FF0000"/>
                <w:szCs w:val="21"/>
                <w:lang w:val="en-US" w:eastAsia="zh-CN"/>
              </w:rPr>
            </w:pPr>
            <w:r>
              <w:rPr>
                <w:rFonts w:hint="eastAsia"/>
                <w:szCs w:val="21"/>
                <w:lang w:val="en-US" w:eastAsia="zh-CN"/>
              </w:rPr>
              <w:t>50</w:t>
            </w:r>
          </w:p>
        </w:tc>
        <w:tc>
          <w:tcPr>
            <w:tcW w:w="1777" w:type="dxa"/>
            <w:noWrap w:val="0"/>
            <w:vAlign w:val="center"/>
          </w:tcPr>
          <w:p w14:paraId="09C261B3">
            <w:pPr>
              <w:jc w:val="center"/>
              <w:rPr>
                <w:rFonts w:hint="default" w:eastAsia="宋体"/>
                <w:color w:val="FF0000"/>
                <w:szCs w:val="21"/>
                <w:lang w:val="en-US" w:eastAsia="zh-CN"/>
              </w:rPr>
            </w:pPr>
            <w:r>
              <w:rPr>
                <w:rFonts w:hint="eastAsia"/>
                <w:szCs w:val="21"/>
                <w:lang w:val="en-US" w:eastAsia="zh-CN"/>
              </w:rPr>
              <w:t>48</w:t>
            </w:r>
          </w:p>
        </w:tc>
        <w:tc>
          <w:tcPr>
            <w:tcW w:w="1986" w:type="dxa"/>
            <w:noWrap w:val="0"/>
            <w:vAlign w:val="center"/>
          </w:tcPr>
          <w:p w14:paraId="139127B5">
            <w:pPr>
              <w:jc w:val="center"/>
              <w:rPr>
                <w:color w:val="FF0000"/>
                <w:szCs w:val="21"/>
              </w:rPr>
            </w:pPr>
            <w:r>
              <w:rPr>
                <w:rFonts w:hint="eastAsia"/>
                <w:szCs w:val="21"/>
              </w:rPr>
              <w:t>2</w:t>
            </w:r>
          </w:p>
        </w:tc>
        <w:tc>
          <w:tcPr>
            <w:tcW w:w="2042" w:type="dxa"/>
            <w:noWrap w:val="0"/>
            <w:vAlign w:val="center"/>
          </w:tcPr>
          <w:p w14:paraId="6B628EFF">
            <w:pPr>
              <w:jc w:val="center"/>
              <w:rPr>
                <w:color w:val="4472C4"/>
                <w:szCs w:val="21"/>
              </w:rPr>
            </w:pPr>
            <w:r>
              <w:rPr>
                <w:rFonts w:hint="eastAsia"/>
                <w:szCs w:val="21"/>
              </w:rPr>
              <w:t>100</w:t>
            </w:r>
          </w:p>
        </w:tc>
      </w:tr>
      <w:tr w14:paraId="14918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8782" w:type="dxa"/>
            <w:gridSpan w:val="5"/>
            <w:noWrap w:val="0"/>
            <w:vAlign w:val="center"/>
          </w:tcPr>
          <w:p w14:paraId="132C6EFB">
            <w:pPr>
              <w:rPr>
                <w:color w:val="4472C4"/>
                <w:szCs w:val="21"/>
              </w:rPr>
            </w:pPr>
            <w:r>
              <w:rPr>
                <w:rFonts w:hint="eastAsia"/>
                <w:szCs w:val="21"/>
              </w:rPr>
              <w:t>综合评</w:t>
            </w:r>
            <w:r>
              <w:rPr>
                <w:rFonts w:hint="eastAsia"/>
                <w:szCs w:val="21"/>
                <w:highlight w:val="none"/>
              </w:rPr>
              <w:t>分</w:t>
            </w:r>
            <w:r>
              <w:rPr>
                <w:szCs w:val="21"/>
                <w:highlight w:val="none"/>
              </w:rPr>
              <w:t>=</w:t>
            </w:r>
            <w:r>
              <w:rPr>
                <w:rFonts w:hint="eastAsia"/>
                <w:szCs w:val="21"/>
                <w:highlight w:val="none"/>
              </w:rPr>
              <w:t>商务及</w:t>
            </w:r>
            <w:r>
              <w:rPr>
                <w:rFonts w:hint="eastAsia"/>
                <w:szCs w:val="21"/>
                <w:highlight w:val="none"/>
                <w:lang w:val="en-US" w:eastAsia="zh-CN"/>
              </w:rPr>
              <w:t>技术</w:t>
            </w:r>
            <w:r>
              <w:rPr>
                <w:rFonts w:hint="eastAsia"/>
                <w:szCs w:val="21"/>
                <w:highlight w:val="none"/>
              </w:rPr>
              <w:t>分+投标</w:t>
            </w:r>
            <w:r>
              <w:rPr>
                <w:rFonts w:hint="eastAsia"/>
                <w:color w:val="auto"/>
                <w:szCs w:val="21"/>
                <w:highlight w:val="none"/>
              </w:rPr>
              <w:t>报价得分+政策性加分（</w:t>
            </w:r>
            <w:r>
              <w:rPr>
                <w:rFonts w:hint="eastAsia"/>
                <w:color w:val="auto"/>
                <w:highlight w:val="none"/>
              </w:rPr>
              <w:t>注：各</w:t>
            </w:r>
            <w:r>
              <w:rPr>
                <w:color w:val="auto"/>
                <w:szCs w:val="21"/>
                <w:highlight w:val="none"/>
              </w:rPr>
              <w:t>项评分分值计算保留小数点后两位，小数点后第三位“四舍五入”</w:t>
            </w:r>
            <w:r>
              <w:rPr>
                <w:rFonts w:hint="eastAsia"/>
                <w:color w:val="auto"/>
                <w:szCs w:val="21"/>
                <w:highlight w:val="none"/>
              </w:rPr>
              <w:t>）</w:t>
            </w:r>
          </w:p>
        </w:tc>
      </w:tr>
      <w:bookmarkEnd w:id="108"/>
      <w:bookmarkEnd w:id="109"/>
      <w:bookmarkEnd w:id="119"/>
    </w:tbl>
    <w:p w14:paraId="1B276CDE">
      <w:pPr>
        <w:widowControl/>
        <w:jc w:val="left"/>
        <w:rPr>
          <w:b/>
          <w:bCs/>
          <w:strike/>
          <w:color w:val="FF0000"/>
          <w:kern w:val="0"/>
          <w:szCs w:val="21"/>
        </w:rPr>
      </w:pPr>
      <w:bookmarkStart w:id="121" w:name="_Hlk65851690"/>
      <w:bookmarkStart w:id="122" w:name="_Hlk60651046"/>
      <w:bookmarkStart w:id="123" w:name="_Hlk80957087"/>
    </w:p>
    <w:p w14:paraId="2A47A2D9">
      <w:pPr>
        <w:spacing w:before="120" w:line="320" w:lineRule="atLeast"/>
        <w:ind w:firstLine="420" w:firstLineChars="200"/>
        <w:rPr>
          <w:color w:val="auto"/>
        </w:rPr>
      </w:pPr>
      <w:r>
        <w:rPr>
          <w:rFonts w:hint="eastAsia"/>
          <w:color w:val="auto"/>
          <w:lang w:val="en-US" w:eastAsia="zh-CN"/>
        </w:rPr>
        <w:t>4</w:t>
      </w:r>
      <w:r>
        <w:rPr>
          <w:color w:val="auto"/>
        </w:rPr>
        <w:t>.1</w:t>
      </w:r>
      <w:r>
        <w:rPr>
          <w:rFonts w:hint="eastAsia"/>
          <w:color w:val="auto"/>
        </w:rPr>
        <w:t>偏离认定说明</w:t>
      </w:r>
    </w:p>
    <w:p w14:paraId="7CF94D10">
      <w:pPr>
        <w:spacing w:before="120" w:line="320" w:lineRule="atLeast"/>
        <w:ind w:firstLine="420" w:firstLineChars="200"/>
        <w:rPr>
          <w:color w:val="auto"/>
          <w:szCs w:val="21"/>
        </w:rPr>
      </w:pPr>
      <w:bookmarkStart w:id="124" w:name="_Hlk132792081"/>
      <w:r>
        <w:rPr>
          <w:rFonts w:hint="eastAsia"/>
          <w:color w:val="auto"/>
          <w:szCs w:val="21"/>
        </w:rPr>
        <w:t>供应商根据采购需求中技术参数为基准，填写响应表，对于响应表或证明材料与技术参数不符的，按如下规定：</w:t>
      </w:r>
    </w:p>
    <w:p w14:paraId="1F7A1E98">
      <w:pPr>
        <w:spacing w:before="120" w:line="320" w:lineRule="atLeast"/>
        <w:ind w:firstLine="420" w:firstLineChars="200"/>
        <w:rPr>
          <w:color w:val="auto"/>
          <w:szCs w:val="21"/>
        </w:rPr>
      </w:pPr>
      <w:r>
        <w:rPr>
          <w:rFonts w:hint="eastAsia"/>
          <w:color w:val="auto"/>
          <w:szCs w:val="21"/>
        </w:rPr>
        <w:t>（1）实质性参数要求提交证明材料的，证明材料没有体现响应表中响应的内容的或未提供证明材料的，视为无效响应。非实质性参数要求提交证明材料的，证明材料没有体现响应表中响应的内容的或未提供证明材料的，视为负偏离。</w:t>
      </w:r>
    </w:p>
    <w:p w14:paraId="089B909E">
      <w:pPr>
        <w:spacing w:before="120" w:line="320" w:lineRule="atLeast"/>
        <w:ind w:firstLine="420" w:firstLineChars="200"/>
        <w:rPr>
          <w:color w:val="auto"/>
          <w:szCs w:val="21"/>
        </w:rPr>
      </w:pPr>
      <w:r>
        <w:rPr>
          <w:rFonts w:hint="eastAsia"/>
          <w:color w:val="auto"/>
          <w:szCs w:val="21"/>
        </w:rPr>
        <w:t>（2）响应表中响应的内容与证明材料不一致的，以证明材料为准作为评审依据。</w:t>
      </w:r>
    </w:p>
    <w:p w14:paraId="4E9EC446">
      <w:pPr>
        <w:spacing w:before="120" w:line="320" w:lineRule="atLeast"/>
        <w:ind w:firstLine="420" w:firstLineChars="200"/>
        <w:rPr>
          <w:color w:val="auto"/>
          <w:szCs w:val="21"/>
        </w:rPr>
      </w:pPr>
      <w:r>
        <w:rPr>
          <w:rFonts w:hint="eastAsia"/>
          <w:color w:val="auto"/>
          <w:szCs w:val="21"/>
        </w:rPr>
        <w:t>（3）同时出现以上两种情况的，按照（1）-（2）顺序认定。</w:t>
      </w:r>
    </w:p>
    <w:p w14:paraId="7C510B9D">
      <w:pPr>
        <w:spacing w:before="120" w:line="320" w:lineRule="atLeast"/>
        <w:ind w:firstLine="420" w:firstLineChars="200"/>
        <w:rPr>
          <w:color w:val="auto"/>
          <w:szCs w:val="21"/>
        </w:rPr>
      </w:pPr>
      <w:r>
        <w:rPr>
          <w:rFonts w:hint="eastAsia"/>
          <w:color w:val="auto"/>
          <w:szCs w:val="21"/>
        </w:rPr>
        <w:t>（</w:t>
      </w:r>
      <w:r>
        <w:rPr>
          <w:color w:val="auto"/>
          <w:szCs w:val="21"/>
        </w:rPr>
        <w:t>4</w:t>
      </w:r>
      <w:r>
        <w:rPr>
          <w:rFonts w:hint="eastAsia"/>
          <w:color w:val="auto"/>
          <w:szCs w:val="21"/>
        </w:rPr>
        <w:t>）响应表与采购需求中技术参数比较有漏项的，如为实质性参数漏项，视为未响应；如为非实质性参数漏项，视为负偏离。</w:t>
      </w:r>
    </w:p>
    <w:p w14:paraId="7986702C">
      <w:pPr>
        <w:spacing w:before="120" w:line="320" w:lineRule="atLeast"/>
        <w:ind w:firstLine="420" w:firstLineChars="200"/>
        <w:rPr>
          <w:color w:val="auto"/>
          <w:szCs w:val="21"/>
        </w:rPr>
      </w:pPr>
      <w:r>
        <w:rPr>
          <w:rFonts w:hint="eastAsia"/>
          <w:color w:val="auto"/>
          <w:szCs w:val="21"/>
        </w:rPr>
        <w:t>（</w:t>
      </w:r>
      <w:r>
        <w:rPr>
          <w:color w:val="auto"/>
          <w:szCs w:val="21"/>
        </w:rPr>
        <w:t>5</w:t>
      </w:r>
      <w:r>
        <w:rPr>
          <w:rFonts w:hint="eastAsia"/>
          <w:color w:val="auto"/>
          <w:szCs w:val="21"/>
        </w:rPr>
        <w:t>）一项技术参数有多条小项要求的，必须全部响应。如只响应部分参数，视为漏项，按照（4）判定。评审时以每一条技术参数为评审依据。</w:t>
      </w:r>
    </w:p>
    <w:p w14:paraId="1EB6FD65">
      <w:pPr>
        <w:spacing w:before="120" w:line="320" w:lineRule="atLeast"/>
        <w:ind w:firstLine="420" w:firstLineChars="200"/>
        <w:rPr>
          <w:color w:val="auto"/>
          <w:szCs w:val="21"/>
        </w:rPr>
      </w:pPr>
      <w:r>
        <w:rPr>
          <w:rFonts w:hint="eastAsia"/>
          <w:color w:val="auto"/>
          <w:szCs w:val="21"/>
        </w:rPr>
        <w:t>（</w:t>
      </w:r>
      <w:r>
        <w:rPr>
          <w:color w:val="auto"/>
          <w:szCs w:val="21"/>
        </w:rPr>
        <w:t>6</w:t>
      </w:r>
      <w:r>
        <w:rPr>
          <w:rFonts w:hint="eastAsia"/>
          <w:color w:val="auto"/>
          <w:szCs w:val="21"/>
        </w:rPr>
        <w:t>）对于区间涵盖值参数，例：电压“测量范围</w:t>
      </w:r>
      <w:r>
        <w:rPr>
          <w:color w:val="auto"/>
          <w:szCs w:val="21"/>
        </w:rPr>
        <w:t>3V-5V</w:t>
      </w:r>
      <w:r>
        <w:rPr>
          <w:rFonts w:hint="eastAsia"/>
          <w:color w:val="auto"/>
          <w:szCs w:val="21"/>
        </w:rPr>
        <w:t>”，同时满足下限值更低及上限值更高才视为正偏离，例：响应为“测量范围</w:t>
      </w:r>
      <w:r>
        <w:rPr>
          <w:color w:val="auto"/>
          <w:szCs w:val="21"/>
        </w:rPr>
        <w:t>2V-6V”</w:t>
      </w:r>
      <w:r>
        <w:rPr>
          <w:rFonts w:hint="eastAsia"/>
          <w:color w:val="auto"/>
          <w:szCs w:val="21"/>
        </w:rPr>
        <w:t>。如有一端负偏离，不管另一端如何，均视为负偏离，例：响应为“测量范围4</w:t>
      </w:r>
      <w:r>
        <w:rPr>
          <w:color w:val="auto"/>
          <w:szCs w:val="21"/>
        </w:rPr>
        <w:t>V-6V</w:t>
      </w:r>
      <w:r>
        <w:rPr>
          <w:rFonts w:hint="eastAsia"/>
          <w:color w:val="auto"/>
          <w:szCs w:val="21"/>
        </w:rPr>
        <w:t>”。</w:t>
      </w:r>
    </w:p>
    <w:p w14:paraId="7D3A148E">
      <w:pPr>
        <w:spacing w:before="120" w:line="320" w:lineRule="atLeast"/>
        <w:ind w:firstLine="420" w:firstLineChars="200"/>
        <w:rPr>
          <w:color w:val="auto"/>
          <w:szCs w:val="21"/>
        </w:rPr>
      </w:pPr>
      <w:r>
        <w:rPr>
          <w:rFonts w:hint="eastAsia"/>
          <w:color w:val="auto"/>
          <w:szCs w:val="21"/>
        </w:rPr>
        <w:t>（</w:t>
      </w:r>
      <w:r>
        <w:rPr>
          <w:color w:val="auto"/>
          <w:szCs w:val="21"/>
        </w:rPr>
        <w:t>7</w:t>
      </w:r>
      <w:r>
        <w:rPr>
          <w:rFonts w:hint="eastAsia"/>
          <w:color w:val="auto"/>
          <w:szCs w:val="21"/>
        </w:rPr>
        <w:t>）对于区间任意值参数，例“</w:t>
      </w:r>
      <w:r>
        <w:rPr>
          <w:color w:val="auto"/>
          <w:szCs w:val="21"/>
        </w:rPr>
        <w:t>5</w:t>
      </w:r>
      <w:r>
        <w:rPr>
          <w:rFonts w:hint="eastAsia"/>
          <w:color w:val="auto"/>
          <w:szCs w:val="21"/>
        </w:rPr>
        <w:t>m</w:t>
      </w:r>
      <w:r>
        <w:rPr>
          <w:color w:val="auto"/>
          <w:szCs w:val="21"/>
        </w:rPr>
        <w:t>m</w:t>
      </w:r>
      <w:r>
        <w:rPr>
          <w:rFonts w:hint="eastAsia"/>
          <w:color w:val="auto"/>
          <w:szCs w:val="21"/>
        </w:rPr>
        <w:t>≤间距≤1</w:t>
      </w:r>
      <w:r>
        <w:rPr>
          <w:color w:val="auto"/>
          <w:szCs w:val="21"/>
        </w:rPr>
        <w:t>0</w:t>
      </w:r>
      <w:r>
        <w:rPr>
          <w:rFonts w:hint="eastAsia"/>
          <w:color w:val="auto"/>
          <w:szCs w:val="21"/>
        </w:rPr>
        <w:t>m</w:t>
      </w:r>
      <w:r>
        <w:rPr>
          <w:color w:val="auto"/>
          <w:szCs w:val="21"/>
        </w:rPr>
        <w:t>m</w:t>
      </w:r>
      <w:r>
        <w:rPr>
          <w:rFonts w:hint="eastAsia"/>
          <w:color w:val="auto"/>
          <w:szCs w:val="21"/>
        </w:rPr>
        <w:t>”或“间距7.5±2.5mm”，若间距响应值为</w:t>
      </w:r>
      <w:r>
        <w:rPr>
          <w:color w:val="auto"/>
          <w:szCs w:val="21"/>
        </w:rPr>
        <w:t>5</w:t>
      </w:r>
      <w:r>
        <w:rPr>
          <w:rFonts w:hint="eastAsia"/>
          <w:color w:val="auto"/>
          <w:szCs w:val="21"/>
        </w:rPr>
        <w:t>m</w:t>
      </w:r>
      <w:r>
        <w:rPr>
          <w:color w:val="auto"/>
          <w:szCs w:val="21"/>
        </w:rPr>
        <w:t>m-10mm</w:t>
      </w:r>
      <w:r>
        <w:rPr>
          <w:rFonts w:hint="eastAsia"/>
          <w:color w:val="auto"/>
          <w:szCs w:val="21"/>
        </w:rPr>
        <w:t>中任意区间值或任意一个数值（含本数）时为无偏离，例：“6m</w:t>
      </w:r>
      <w:r>
        <w:rPr>
          <w:color w:val="auto"/>
          <w:szCs w:val="21"/>
        </w:rPr>
        <w:t>m</w:t>
      </w:r>
      <w:r>
        <w:rPr>
          <w:rFonts w:hint="eastAsia"/>
          <w:color w:val="auto"/>
          <w:szCs w:val="21"/>
        </w:rPr>
        <w:t>≤间距≤8m</w:t>
      </w:r>
      <w:r>
        <w:rPr>
          <w:color w:val="auto"/>
          <w:szCs w:val="21"/>
        </w:rPr>
        <w:t>m</w:t>
      </w:r>
      <w:r>
        <w:rPr>
          <w:rFonts w:hint="eastAsia"/>
          <w:color w:val="auto"/>
          <w:szCs w:val="21"/>
        </w:rPr>
        <w:t>”、“8±2mm”、“8mm”。超过区间范围视为负偏离，例：“3m</w:t>
      </w:r>
      <w:r>
        <w:rPr>
          <w:color w:val="auto"/>
          <w:szCs w:val="21"/>
        </w:rPr>
        <w:t>m</w:t>
      </w:r>
      <w:r>
        <w:rPr>
          <w:rFonts w:hint="eastAsia"/>
          <w:color w:val="auto"/>
          <w:szCs w:val="21"/>
        </w:rPr>
        <w:t>≤间距≤12m</w:t>
      </w:r>
      <w:r>
        <w:rPr>
          <w:color w:val="auto"/>
          <w:szCs w:val="21"/>
        </w:rPr>
        <w:t>m</w:t>
      </w:r>
      <w:r>
        <w:rPr>
          <w:rFonts w:hint="eastAsia"/>
          <w:color w:val="auto"/>
          <w:szCs w:val="21"/>
        </w:rPr>
        <w:t>”、“8±4mm”、“3-12mm”、“3mm”。此类参数不存在正偏离。</w:t>
      </w:r>
    </w:p>
    <w:p w14:paraId="66AC51DD">
      <w:pPr>
        <w:spacing w:before="120" w:line="320" w:lineRule="atLeast"/>
        <w:ind w:firstLine="420" w:firstLineChars="200"/>
        <w:rPr>
          <w:color w:val="auto"/>
          <w:szCs w:val="21"/>
        </w:rPr>
      </w:pPr>
      <w:r>
        <w:rPr>
          <w:rFonts w:hint="eastAsia"/>
          <w:color w:val="auto"/>
          <w:szCs w:val="21"/>
        </w:rPr>
        <w:t>（</w:t>
      </w:r>
      <w:r>
        <w:rPr>
          <w:color w:val="auto"/>
          <w:szCs w:val="21"/>
        </w:rPr>
        <w:t>8</w:t>
      </w:r>
      <w:r>
        <w:rPr>
          <w:rFonts w:hint="eastAsia"/>
          <w:color w:val="auto"/>
          <w:szCs w:val="21"/>
        </w:rPr>
        <w:t>）对于单边任意参数的要求，例“长度≥5</w:t>
      </w:r>
      <w:r>
        <w:rPr>
          <w:color w:val="auto"/>
          <w:szCs w:val="21"/>
        </w:rPr>
        <w:t>0cm”</w:t>
      </w:r>
      <w:r>
        <w:rPr>
          <w:rFonts w:hint="eastAsia"/>
          <w:color w:val="auto"/>
          <w:szCs w:val="21"/>
        </w:rPr>
        <w:t>，若响应为5</w:t>
      </w:r>
      <w:r>
        <w:rPr>
          <w:color w:val="auto"/>
          <w:szCs w:val="21"/>
        </w:rPr>
        <w:t>0 cm</w:t>
      </w:r>
      <w:r>
        <w:rPr>
          <w:rFonts w:hint="eastAsia"/>
          <w:color w:val="auto"/>
          <w:szCs w:val="21"/>
        </w:rPr>
        <w:t>及5</w:t>
      </w:r>
      <w:r>
        <w:rPr>
          <w:color w:val="auto"/>
          <w:szCs w:val="21"/>
        </w:rPr>
        <w:t>0cm</w:t>
      </w:r>
      <w:r>
        <w:rPr>
          <w:rFonts w:hint="eastAsia"/>
          <w:color w:val="auto"/>
          <w:szCs w:val="21"/>
        </w:rPr>
        <w:t>以上任意一个数值，均视为无偏离；若响应小于5</w:t>
      </w:r>
      <w:r>
        <w:rPr>
          <w:color w:val="auto"/>
          <w:szCs w:val="21"/>
        </w:rPr>
        <w:t>0cm</w:t>
      </w:r>
      <w:r>
        <w:rPr>
          <w:rFonts w:hint="eastAsia"/>
          <w:color w:val="auto"/>
          <w:szCs w:val="21"/>
        </w:rPr>
        <w:t>，视为负偏离。此类参数无正偏离。</w:t>
      </w:r>
    </w:p>
    <w:p w14:paraId="26E7CB80">
      <w:pPr>
        <w:spacing w:before="120" w:line="320" w:lineRule="atLeast"/>
        <w:ind w:firstLine="420" w:firstLineChars="200"/>
        <w:rPr>
          <w:color w:val="auto"/>
          <w:szCs w:val="21"/>
        </w:rPr>
      </w:pPr>
      <w:r>
        <w:rPr>
          <w:rFonts w:hint="eastAsia"/>
          <w:color w:val="auto"/>
          <w:szCs w:val="21"/>
        </w:rPr>
        <w:t>（</w:t>
      </w:r>
      <w:r>
        <w:rPr>
          <w:color w:val="auto"/>
          <w:szCs w:val="21"/>
        </w:rPr>
        <w:t>9</w:t>
      </w:r>
      <w:r>
        <w:rPr>
          <w:rFonts w:hint="eastAsia"/>
          <w:color w:val="auto"/>
          <w:szCs w:val="21"/>
        </w:rPr>
        <w:t>）对于固定参数，响应与采购需求中技术参数一致，视为无偏离，其他均视为负偏离，此类参数无正偏离。</w:t>
      </w:r>
    </w:p>
    <w:p w14:paraId="52AE2FC6">
      <w:pPr>
        <w:spacing w:before="120" w:line="320" w:lineRule="atLeast"/>
        <w:ind w:firstLine="420" w:firstLineChars="200"/>
        <w:rPr>
          <w:color w:val="auto"/>
          <w:szCs w:val="21"/>
        </w:rPr>
      </w:pPr>
      <w:r>
        <w:rPr>
          <w:rFonts w:hint="eastAsia"/>
          <w:color w:val="auto"/>
          <w:szCs w:val="21"/>
        </w:rPr>
        <w:t>（</w:t>
      </w:r>
      <w:r>
        <w:rPr>
          <w:color w:val="auto"/>
          <w:szCs w:val="21"/>
        </w:rPr>
        <w:t>10</w:t>
      </w:r>
      <w:r>
        <w:rPr>
          <w:rFonts w:hint="eastAsia"/>
          <w:color w:val="auto"/>
          <w:szCs w:val="21"/>
        </w:rPr>
        <w:t>）如采购需求中技术参数有特殊要求与上述说明不一致的，以特殊要求为准。</w:t>
      </w:r>
    </w:p>
    <w:bookmarkEnd w:id="124"/>
    <w:p w14:paraId="1B7AE440">
      <w:pPr>
        <w:spacing w:before="120" w:line="320" w:lineRule="atLeast"/>
        <w:ind w:firstLine="420" w:firstLineChars="200"/>
        <w:rPr>
          <w:color w:val="4472C4"/>
          <w:szCs w:val="21"/>
        </w:rPr>
      </w:pPr>
    </w:p>
    <w:bookmarkEnd w:id="115"/>
    <w:bookmarkEnd w:id="121"/>
    <w:bookmarkEnd w:id="122"/>
    <w:p w14:paraId="2EE54C64">
      <w:pPr>
        <w:spacing w:before="120" w:line="320" w:lineRule="atLeast"/>
        <w:ind w:firstLine="420" w:firstLineChars="200"/>
        <w:rPr>
          <w:color w:val="4472C4"/>
          <w:szCs w:val="21"/>
        </w:rPr>
      </w:pPr>
    </w:p>
    <w:bookmarkEnd w:id="123"/>
    <w:p w14:paraId="3172000C">
      <w:pPr>
        <w:pStyle w:val="28"/>
        <w:snapToGrid w:val="0"/>
        <w:spacing w:before="120" w:after="120"/>
        <w:outlineLvl w:val="0"/>
        <w:rPr>
          <w:rFonts w:ascii="Times New Roman" w:hAnsi="Times New Roman" w:cs="Times New Roman"/>
          <w:b/>
          <w:sz w:val="32"/>
          <w:szCs w:val="32"/>
        </w:rPr>
        <w:sectPr>
          <w:headerReference r:id="rId11" w:type="default"/>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2D302CFD">
      <w:pPr>
        <w:pStyle w:val="28"/>
        <w:snapToGrid w:val="0"/>
        <w:spacing w:before="120" w:after="120" w:line="320" w:lineRule="exact"/>
        <w:jc w:val="center"/>
        <w:outlineLvl w:val="0"/>
        <w:rPr>
          <w:rFonts w:ascii="Times New Roman" w:hAnsi="Times New Roman" w:cs="Times New Roman"/>
          <w:sz w:val="32"/>
          <w:szCs w:val="32"/>
        </w:rPr>
      </w:pPr>
      <w:bookmarkStart w:id="125" w:name="_Toc3791"/>
      <w:bookmarkStart w:id="126" w:name="_Hlk160525271"/>
      <w:bookmarkStart w:id="127" w:name="_Hlk132792163"/>
      <w:r>
        <w:rPr>
          <w:rFonts w:ascii="Times New Roman" w:hAnsi="Times New Roman" w:cs="Times New Roman"/>
          <w:sz w:val="32"/>
          <w:szCs w:val="32"/>
        </w:rPr>
        <w:t>第五章  合同主要条款格式</w:t>
      </w:r>
      <w:bookmarkEnd w:id="125"/>
    </w:p>
    <w:p w14:paraId="03241EBE">
      <w:pPr>
        <w:pStyle w:val="22"/>
        <w:rPr>
          <w:sz w:val="32"/>
          <w:szCs w:val="32"/>
        </w:rPr>
      </w:pPr>
    </w:p>
    <w:p w14:paraId="4509A1E0">
      <w:pPr>
        <w:pStyle w:val="22"/>
        <w:ind w:left="1764" w:hanging="924"/>
        <w:jc w:val="center"/>
        <w:rPr>
          <w:b/>
          <w:bCs/>
          <w:sz w:val="36"/>
          <w:szCs w:val="36"/>
        </w:rPr>
      </w:pPr>
    </w:p>
    <w:bookmarkEnd w:id="126"/>
    <w:bookmarkEnd w:id="127"/>
    <w:p w14:paraId="1C805062">
      <w:pPr>
        <w:pStyle w:val="5"/>
        <w:spacing w:line="320" w:lineRule="atLeast"/>
        <w:jc w:val="center"/>
        <w:rPr>
          <w:rFonts w:hint="eastAsia"/>
          <w:color w:val="000000"/>
          <w:sz w:val="52"/>
          <w:szCs w:val="52"/>
        </w:rPr>
      </w:pPr>
      <w:bookmarkStart w:id="128" w:name="_Hlk160525326"/>
      <w:bookmarkStart w:id="129" w:name="_Hlk132792198"/>
      <w:r>
        <w:rPr>
          <w:rFonts w:hint="eastAsia"/>
          <w:color w:val="000000"/>
          <w:sz w:val="52"/>
          <w:szCs w:val="52"/>
        </w:rPr>
        <w:t>制剂生产</w:t>
      </w:r>
      <w:r>
        <w:rPr>
          <w:rFonts w:hint="eastAsia"/>
          <w:color w:val="000000"/>
          <w:sz w:val="52"/>
          <w:szCs w:val="52"/>
          <w:lang w:val="en-US" w:eastAsia="zh-CN"/>
        </w:rPr>
        <w:t>辅料</w:t>
      </w:r>
      <w:r>
        <w:rPr>
          <w:rFonts w:hint="eastAsia"/>
          <w:color w:val="000000"/>
          <w:sz w:val="52"/>
          <w:szCs w:val="52"/>
        </w:rPr>
        <w:t>米酒采购</w:t>
      </w:r>
    </w:p>
    <w:p w14:paraId="03EC6174">
      <w:pPr>
        <w:pStyle w:val="5"/>
        <w:spacing w:line="320" w:lineRule="atLeast"/>
        <w:jc w:val="center"/>
        <w:rPr>
          <w:rFonts w:hint="default" w:eastAsia="宋体"/>
          <w:color w:val="000000"/>
          <w:sz w:val="84"/>
          <w:szCs w:val="84"/>
          <w:lang w:val="en-US" w:eastAsia="zh-CN"/>
        </w:rPr>
      </w:pPr>
      <w:r>
        <w:rPr>
          <w:rFonts w:hint="eastAsia"/>
          <w:color w:val="000000"/>
          <w:sz w:val="100"/>
          <w:szCs w:val="100"/>
        </w:rPr>
        <w:t>合</w:t>
      </w:r>
      <w:r>
        <w:rPr>
          <w:rFonts w:hint="eastAsia"/>
          <w:color w:val="000000"/>
          <w:sz w:val="100"/>
          <w:szCs w:val="100"/>
          <w:lang w:val="en-US" w:eastAsia="zh-CN"/>
        </w:rPr>
        <w:t xml:space="preserve"> </w:t>
      </w:r>
      <w:r>
        <w:rPr>
          <w:rFonts w:hint="eastAsia"/>
          <w:color w:val="000000"/>
          <w:sz w:val="100"/>
          <w:szCs w:val="100"/>
        </w:rPr>
        <w:t>同</w:t>
      </w:r>
      <w:r>
        <w:rPr>
          <w:rFonts w:hint="eastAsia"/>
          <w:color w:val="000000"/>
          <w:sz w:val="100"/>
          <w:szCs w:val="100"/>
          <w:lang w:val="en-US" w:eastAsia="zh-CN"/>
        </w:rPr>
        <w:t xml:space="preserve"> 书</w:t>
      </w:r>
    </w:p>
    <w:p w14:paraId="788E16EB">
      <w:pPr>
        <w:snapToGrid w:val="0"/>
        <w:spacing w:before="120" w:beforeLines="50" w:after="50"/>
        <w:rPr>
          <w:rFonts w:hint="eastAsia" w:ascii="宋体" w:hAnsi="宋体"/>
          <w:bCs/>
          <w:color w:val="auto"/>
          <w:sz w:val="24"/>
          <w:szCs w:val="20"/>
        </w:rPr>
      </w:pPr>
    </w:p>
    <w:p w14:paraId="2612FE7C">
      <w:pPr>
        <w:snapToGrid w:val="0"/>
        <w:spacing w:before="120" w:beforeLines="50" w:after="50"/>
        <w:rPr>
          <w:rFonts w:hint="eastAsia" w:ascii="宋体" w:hAnsi="宋体"/>
          <w:bCs/>
          <w:color w:val="auto"/>
          <w:sz w:val="24"/>
          <w:szCs w:val="20"/>
        </w:rPr>
      </w:pPr>
    </w:p>
    <w:p w14:paraId="29C96D84">
      <w:pPr>
        <w:snapToGrid w:val="0"/>
        <w:spacing w:before="120" w:beforeLines="50" w:after="50"/>
        <w:rPr>
          <w:rFonts w:hint="eastAsia" w:ascii="宋体" w:hAnsi="宋体"/>
          <w:bCs/>
          <w:color w:val="auto"/>
          <w:sz w:val="24"/>
          <w:szCs w:val="20"/>
        </w:rPr>
      </w:pPr>
    </w:p>
    <w:p w14:paraId="6283A834">
      <w:pPr>
        <w:snapToGrid w:val="0"/>
        <w:spacing w:before="120" w:beforeLines="50" w:after="50"/>
        <w:rPr>
          <w:rFonts w:hint="eastAsia" w:ascii="宋体" w:hAnsi="宋体"/>
          <w:bCs/>
          <w:color w:val="auto"/>
          <w:sz w:val="24"/>
          <w:szCs w:val="20"/>
        </w:rPr>
      </w:pPr>
    </w:p>
    <w:p w14:paraId="0D308C9A">
      <w:pPr>
        <w:snapToGrid w:val="0"/>
        <w:spacing w:before="120" w:beforeLines="50" w:after="50"/>
        <w:rPr>
          <w:rFonts w:hint="eastAsia" w:ascii="宋体" w:hAnsi="宋体"/>
          <w:bCs/>
          <w:color w:val="auto"/>
          <w:sz w:val="24"/>
          <w:szCs w:val="20"/>
        </w:rPr>
      </w:pPr>
    </w:p>
    <w:p w14:paraId="5FD75215">
      <w:pPr>
        <w:snapToGrid w:val="0"/>
        <w:spacing w:before="120" w:beforeLines="50" w:after="50"/>
        <w:ind w:firstLine="1920" w:firstLineChars="600"/>
        <w:rPr>
          <w:rFonts w:hint="eastAsia" w:ascii="宋体" w:hAnsi="宋体" w:cs="仿宋_GB2312"/>
          <w:bCs/>
          <w:color w:val="auto"/>
          <w:sz w:val="32"/>
          <w:szCs w:val="32"/>
          <w:lang w:eastAsia="zh-CN"/>
        </w:rPr>
      </w:pPr>
      <w:r>
        <w:rPr>
          <w:rFonts w:hint="eastAsia" w:ascii="宋体" w:hAnsi="宋体" w:cs="仿宋_GB2312"/>
          <w:bCs/>
          <w:color w:val="auto"/>
          <w:sz w:val="32"/>
          <w:szCs w:val="32"/>
        </w:rPr>
        <w:t>项目名称：</w:t>
      </w:r>
    </w:p>
    <w:p w14:paraId="2F713BFD">
      <w:pPr>
        <w:snapToGrid w:val="0"/>
        <w:spacing w:before="120" w:beforeLines="50" w:after="50"/>
        <w:ind w:firstLine="1040" w:firstLineChars="325"/>
        <w:rPr>
          <w:rFonts w:hint="eastAsia" w:ascii="宋体" w:hAnsi="宋体" w:cs="仿宋_GB2312"/>
          <w:bCs/>
          <w:color w:val="auto"/>
          <w:sz w:val="32"/>
          <w:szCs w:val="32"/>
        </w:rPr>
      </w:pPr>
    </w:p>
    <w:p w14:paraId="1CA9F2AD">
      <w:pPr>
        <w:snapToGrid w:val="0"/>
        <w:spacing w:before="120" w:beforeLines="50" w:after="50"/>
        <w:ind w:firstLine="1920" w:firstLineChars="600"/>
        <w:rPr>
          <w:rFonts w:hint="eastAsia" w:ascii="宋体" w:hAnsi="宋体" w:cs="仿宋_GB2312"/>
          <w:bCs/>
          <w:color w:val="auto"/>
          <w:sz w:val="32"/>
          <w:szCs w:val="32"/>
          <w:lang w:eastAsia="zh-CN"/>
        </w:rPr>
      </w:pPr>
      <w:r>
        <w:rPr>
          <w:rFonts w:hint="eastAsia" w:ascii="宋体" w:hAnsi="宋体" w:cs="仿宋_GB2312"/>
          <w:bCs/>
          <w:color w:val="auto"/>
          <w:sz w:val="32"/>
          <w:szCs w:val="32"/>
        </w:rPr>
        <w:t>项目编号：</w:t>
      </w:r>
      <w:r>
        <w:rPr>
          <w:rFonts w:hint="eastAsia" w:ascii="宋体" w:hAnsi="宋体" w:cs="仿宋_GB2312"/>
          <w:bCs/>
          <w:color w:val="auto"/>
          <w:sz w:val="32"/>
          <w:szCs w:val="32"/>
          <w:lang w:eastAsia="zh-CN"/>
        </w:rPr>
        <w:t xml:space="preserve"> </w:t>
      </w:r>
    </w:p>
    <w:p w14:paraId="74B390AA">
      <w:pPr>
        <w:snapToGrid w:val="0"/>
        <w:spacing w:before="120" w:beforeLines="50" w:after="50"/>
        <w:rPr>
          <w:rFonts w:hint="eastAsia" w:ascii="宋体" w:hAnsi="宋体" w:cs="仿宋_GB2312"/>
          <w:bCs/>
          <w:color w:val="auto"/>
          <w:sz w:val="32"/>
          <w:szCs w:val="32"/>
        </w:rPr>
      </w:pPr>
    </w:p>
    <w:p w14:paraId="56CA553E">
      <w:pPr>
        <w:snapToGrid w:val="0"/>
        <w:spacing w:before="120" w:beforeLines="50" w:after="50"/>
        <w:ind w:firstLine="1920" w:firstLineChars="600"/>
        <w:rPr>
          <w:rFonts w:hint="eastAsia" w:ascii="宋体" w:hAnsi="宋体" w:cs="仿宋_GB2312"/>
          <w:bCs/>
          <w:color w:val="auto"/>
          <w:sz w:val="32"/>
          <w:szCs w:val="32"/>
          <w:lang w:eastAsia="zh-CN"/>
        </w:rPr>
      </w:pPr>
      <w:r>
        <w:rPr>
          <w:rFonts w:hint="eastAsia" w:ascii="宋体" w:hAnsi="宋体" w:cs="仿宋_GB2312"/>
          <w:bCs/>
          <w:color w:val="auto"/>
          <w:sz w:val="32"/>
          <w:szCs w:val="32"/>
        </w:rPr>
        <w:t>采购人</w:t>
      </w:r>
      <w:r>
        <w:rPr>
          <w:rFonts w:hint="eastAsia" w:ascii="宋体" w:hAnsi="宋体" w:cs="仿宋_GB2312"/>
          <w:bCs/>
          <w:color w:val="auto"/>
          <w:sz w:val="32"/>
          <w:szCs w:val="32"/>
          <w:lang w:eastAsia="zh-CN"/>
        </w:rPr>
        <w:t>（</w:t>
      </w:r>
      <w:r>
        <w:rPr>
          <w:rFonts w:hint="eastAsia" w:ascii="宋体" w:hAnsi="宋体" w:cs="仿宋_GB2312"/>
          <w:bCs/>
          <w:color w:val="auto"/>
          <w:sz w:val="32"/>
          <w:szCs w:val="32"/>
          <w:lang w:val="en-US" w:eastAsia="zh-CN"/>
        </w:rPr>
        <w:t>甲方</w:t>
      </w:r>
      <w:r>
        <w:rPr>
          <w:rFonts w:hint="eastAsia" w:ascii="宋体" w:hAnsi="宋体" w:cs="仿宋_GB2312"/>
          <w:bCs/>
          <w:color w:val="auto"/>
          <w:sz w:val="32"/>
          <w:szCs w:val="32"/>
          <w:lang w:eastAsia="zh-CN"/>
        </w:rPr>
        <w:t>）</w:t>
      </w:r>
      <w:r>
        <w:rPr>
          <w:rFonts w:hint="eastAsia" w:ascii="宋体" w:hAnsi="宋体" w:cs="仿宋_GB2312"/>
          <w:bCs/>
          <w:color w:val="auto"/>
          <w:sz w:val="32"/>
          <w:szCs w:val="32"/>
        </w:rPr>
        <w:t>：</w:t>
      </w:r>
      <w:r>
        <w:rPr>
          <w:rFonts w:hint="eastAsia" w:ascii="宋体" w:hAnsi="宋体" w:cs="仿宋_GB2312"/>
          <w:bCs/>
          <w:color w:val="auto"/>
          <w:sz w:val="32"/>
          <w:szCs w:val="32"/>
          <w:lang w:eastAsia="zh-CN"/>
        </w:rPr>
        <w:t>玉林市中西医结合骨科医院</w:t>
      </w:r>
    </w:p>
    <w:p w14:paraId="25F960D9">
      <w:pPr>
        <w:snapToGrid w:val="0"/>
        <w:spacing w:before="120" w:beforeLines="50" w:after="50"/>
        <w:ind w:firstLine="720" w:firstLineChars="225"/>
        <w:rPr>
          <w:rFonts w:hint="eastAsia" w:ascii="宋体" w:hAnsi="宋体" w:cs="仿宋_GB2312"/>
          <w:bCs/>
          <w:color w:val="auto"/>
          <w:sz w:val="32"/>
          <w:szCs w:val="32"/>
        </w:rPr>
      </w:pPr>
    </w:p>
    <w:p w14:paraId="4F3CFDD6">
      <w:pPr>
        <w:pStyle w:val="10"/>
        <w:snapToGrid w:val="0"/>
        <w:spacing w:before="50" w:after="50"/>
        <w:ind w:firstLine="1920" w:firstLineChars="600"/>
        <w:rPr>
          <w:rFonts w:hint="eastAsia" w:ascii="宋体" w:hAnsi="宋体" w:cs="仿宋_GB2312"/>
          <w:bCs/>
          <w:color w:val="auto"/>
          <w:sz w:val="32"/>
          <w:szCs w:val="32"/>
        </w:rPr>
      </w:pPr>
      <w:r>
        <w:rPr>
          <w:rFonts w:hint="eastAsia" w:ascii="宋体" w:hAnsi="宋体" w:cs="仿宋_GB2312"/>
          <w:bCs/>
          <w:color w:val="auto"/>
          <w:sz w:val="32"/>
          <w:szCs w:val="32"/>
        </w:rPr>
        <w:t>供应商</w:t>
      </w:r>
      <w:r>
        <w:rPr>
          <w:rFonts w:hint="eastAsia" w:ascii="宋体" w:hAnsi="宋体" w:cs="仿宋_GB2312"/>
          <w:bCs/>
          <w:color w:val="auto"/>
          <w:sz w:val="32"/>
          <w:szCs w:val="32"/>
          <w:lang w:eastAsia="zh-CN"/>
        </w:rPr>
        <w:t>（</w:t>
      </w:r>
      <w:r>
        <w:rPr>
          <w:rFonts w:hint="eastAsia" w:ascii="宋体" w:hAnsi="宋体" w:cs="仿宋_GB2312"/>
          <w:bCs/>
          <w:color w:val="auto"/>
          <w:sz w:val="32"/>
          <w:szCs w:val="32"/>
          <w:lang w:val="en-US" w:eastAsia="zh-CN"/>
        </w:rPr>
        <w:t>乙方</w:t>
      </w:r>
      <w:r>
        <w:rPr>
          <w:rFonts w:hint="eastAsia" w:ascii="宋体" w:hAnsi="宋体" w:cs="仿宋_GB2312"/>
          <w:bCs/>
          <w:color w:val="auto"/>
          <w:sz w:val="32"/>
          <w:szCs w:val="32"/>
          <w:lang w:eastAsia="zh-CN"/>
        </w:rPr>
        <w:t>）</w:t>
      </w:r>
      <w:r>
        <w:rPr>
          <w:rFonts w:hint="eastAsia" w:ascii="宋体" w:hAnsi="宋体" w:cs="仿宋_GB2312"/>
          <w:bCs/>
          <w:color w:val="auto"/>
          <w:sz w:val="32"/>
          <w:szCs w:val="32"/>
        </w:rPr>
        <w:t>：</w:t>
      </w:r>
    </w:p>
    <w:p w14:paraId="45B10F26">
      <w:pPr>
        <w:pStyle w:val="2"/>
        <w:ind w:left="0" w:leftChars="0" w:firstLine="0" w:firstLineChars="0"/>
        <w:rPr>
          <w:rFonts w:hint="eastAsia"/>
        </w:rPr>
        <w:sectPr>
          <w:pgSz w:w="11906" w:h="16838"/>
          <w:pgMar w:top="1440" w:right="1080" w:bottom="1440" w:left="1080" w:header="851" w:footer="992" w:gutter="0"/>
          <w:cols w:space="425" w:num="1"/>
          <w:docGrid w:type="lines" w:linePitch="312" w:charSpace="0"/>
        </w:sectPr>
      </w:pPr>
    </w:p>
    <w:p w14:paraId="6B8E10B7">
      <w:pPr>
        <w:pStyle w:val="5"/>
        <w:spacing w:line="320" w:lineRule="atLeast"/>
        <w:jc w:val="center"/>
        <w:rPr>
          <w:rFonts w:hint="eastAsia" w:eastAsia="宋体"/>
          <w:color w:val="000000"/>
          <w:lang w:val="en-US" w:eastAsia="zh-CN"/>
        </w:rPr>
      </w:pPr>
      <w:r>
        <w:rPr>
          <w:rFonts w:hint="eastAsia"/>
          <w:color w:val="000000"/>
        </w:rPr>
        <w:t>制剂生产</w:t>
      </w:r>
      <w:r>
        <w:rPr>
          <w:rFonts w:hint="eastAsia"/>
          <w:color w:val="000000"/>
          <w:lang w:eastAsia="zh-CN"/>
        </w:rPr>
        <w:t>辅料米酒</w:t>
      </w:r>
      <w:r>
        <w:rPr>
          <w:rFonts w:hint="eastAsia"/>
          <w:color w:val="000000"/>
        </w:rPr>
        <w:t>采购合同</w:t>
      </w:r>
      <w:r>
        <w:rPr>
          <w:rFonts w:hint="eastAsia"/>
          <w:color w:val="000000"/>
          <w:lang w:val="en-US" w:eastAsia="zh-CN"/>
        </w:rPr>
        <w:t>书</w:t>
      </w:r>
    </w:p>
    <w:p w14:paraId="393D7D88">
      <w:pPr>
        <w:snapToGrid w:val="0"/>
        <w:spacing w:line="400" w:lineRule="exact"/>
        <w:rPr>
          <w:rFonts w:hint="eastAsia" w:ascii="宋体" w:hAnsi="宋体" w:cs="宋体"/>
          <w:color w:val="000000"/>
          <w:szCs w:val="21"/>
        </w:rPr>
      </w:pPr>
    </w:p>
    <w:p w14:paraId="2D73B983">
      <w:pPr>
        <w:snapToGrid w:val="0"/>
        <w:spacing w:line="360" w:lineRule="auto"/>
        <w:rPr>
          <w:rFonts w:hint="default" w:ascii="宋体" w:hAnsi="宋体" w:eastAsia="宋体" w:cs="宋体"/>
          <w:color w:val="000000"/>
          <w:sz w:val="24"/>
          <w:szCs w:val="24"/>
          <w:u w:val="single"/>
          <w:lang w:val="en-US" w:eastAsia="zh-CN"/>
        </w:rPr>
      </w:pPr>
      <w:r>
        <w:rPr>
          <w:rFonts w:hint="eastAsia" w:ascii="宋体" w:hAnsi="宋体" w:cs="宋体"/>
          <w:color w:val="000000"/>
          <w:sz w:val="24"/>
          <w:szCs w:val="24"/>
        </w:rPr>
        <w:t>采购人（甲方）：</w:t>
      </w:r>
      <w:r>
        <w:rPr>
          <w:rFonts w:hint="eastAsia" w:ascii="宋体" w:hAnsi="宋体" w:cs="宋体"/>
          <w:color w:val="000000"/>
          <w:sz w:val="24"/>
          <w:szCs w:val="24"/>
          <w:u w:val="single"/>
          <w:lang w:eastAsia="zh-CN"/>
        </w:rPr>
        <w:t>玉林市中西医结合骨科医院</w:t>
      </w:r>
      <w:r>
        <w:rPr>
          <w:rFonts w:hint="eastAsia" w:ascii="宋体" w:hAnsi="宋体" w:cs="宋体"/>
          <w:color w:val="000000"/>
          <w:sz w:val="24"/>
          <w:szCs w:val="24"/>
          <w:lang w:val="en-US" w:eastAsia="zh-CN"/>
        </w:rPr>
        <w:t xml:space="preserve">     </w:t>
      </w:r>
    </w:p>
    <w:p w14:paraId="31FBB4D1">
      <w:pPr>
        <w:snapToGrid w:val="0"/>
        <w:spacing w:line="360" w:lineRule="auto"/>
        <w:rPr>
          <w:rFonts w:hint="eastAsia" w:ascii="宋体" w:hAnsi="宋体" w:cs="宋体"/>
          <w:color w:val="000000"/>
          <w:sz w:val="24"/>
          <w:szCs w:val="24"/>
          <w:lang w:val="en-US" w:eastAsia="zh-CN"/>
        </w:rPr>
      </w:pPr>
      <w:r>
        <w:rPr>
          <w:rFonts w:hint="eastAsia" w:ascii="宋体" w:hAnsi="宋体" w:cs="宋体"/>
          <w:color w:val="000000"/>
          <w:sz w:val="24"/>
          <w:szCs w:val="24"/>
        </w:rPr>
        <w:t>供应商（乙方）：</w:t>
      </w:r>
      <w:r>
        <w:rPr>
          <w:rFonts w:hint="eastAsia" w:ascii="宋体" w:hAnsi="宋体" w:cs="宋体"/>
          <w:color w:val="000000"/>
          <w:sz w:val="24"/>
          <w:szCs w:val="24"/>
          <w:lang w:val="en-US" w:eastAsia="zh-CN"/>
        </w:rPr>
        <w:t xml:space="preserve"> </w:t>
      </w:r>
    </w:p>
    <w:p w14:paraId="7F765E09">
      <w:pPr>
        <w:snapToGrid w:val="0"/>
        <w:spacing w:line="360" w:lineRule="auto"/>
        <w:rPr>
          <w:rFonts w:hint="eastAsia" w:ascii="宋体" w:hAnsi="宋体" w:cs="宋体"/>
          <w:color w:val="000000"/>
          <w:sz w:val="24"/>
          <w:szCs w:val="24"/>
        </w:rPr>
      </w:pPr>
      <w:r>
        <w:rPr>
          <w:rFonts w:hint="eastAsia" w:ascii="宋体" w:hAnsi="宋体" w:cs="宋体"/>
          <w:color w:val="000000"/>
          <w:sz w:val="24"/>
          <w:szCs w:val="24"/>
        </w:rPr>
        <w:t>项目名称：</w:t>
      </w:r>
    </w:p>
    <w:p w14:paraId="18020208">
      <w:pPr>
        <w:snapToGrid w:val="0"/>
        <w:spacing w:line="360" w:lineRule="auto"/>
        <w:rPr>
          <w:rFonts w:hint="eastAsia" w:ascii="宋体" w:hAnsi="宋体" w:cs="宋体"/>
          <w:color w:val="000000"/>
          <w:sz w:val="24"/>
          <w:szCs w:val="24"/>
        </w:rPr>
      </w:pPr>
      <w:r>
        <w:rPr>
          <w:rFonts w:hint="eastAsia" w:ascii="宋体" w:hAnsi="宋体" w:cs="宋体"/>
          <w:color w:val="000000"/>
          <w:sz w:val="24"/>
          <w:szCs w:val="24"/>
        </w:rPr>
        <w:t>项目编号：</w:t>
      </w:r>
    </w:p>
    <w:p w14:paraId="416432BD">
      <w:pPr>
        <w:snapToGrid w:val="0"/>
        <w:spacing w:line="360" w:lineRule="auto"/>
        <w:rPr>
          <w:rFonts w:hint="eastAsia" w:ascii="宋体" w:hAnsi="宋体" w:cs="宋体"/>
          <w:color w:val="000000"/>
          <w:sz w:val="24"/>
          <w:szCs w:val="24"/>
          <w:lang w:val="en-US" w:eastAsia="zh-CN"/>
        </w:rPr>
      </w:pPr>
      <w:r>
        <w:rPr>
          <w:rFonts w:hint="eastAsia" w:ascii="宋体" w:hAnsi="宋体" w:cs="宋体"/>
          <w:color w:val="000000"/>
          <w:sz w:val="24"/>
          <w:szCs w:val="24"/>
        </w:rPr>
        <w:t>签订地点：</w:t>
      </w:r>
      <w:r>
        <w:rPr>
          <w:rFonts w:hint="eastAsia" w:ascii="宋体" w:hAnsi="宋体" w:cs="宋体"/>
          <w:color w:val="000000"/>
          <w:sz w:val="24"/>
          <w:szCs w:val="24"/>
          <w:u w:val="single"/>
          <w:lang w:val="en-US" w:eastAsia="zh-CN"/>
        </w:rPr>
        <w:t>广西玉林市</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u w:val="single"/>
        </w:rPr>
        <w:t xml:space="preserve">       </w:t>
      </w:r>
      <w:r>
        <w:rPr>
          <w:rFonts w:hint="eastAsia" w:ascii="宋体" w:hAnsi="宋体" w:cs="宋体"/>
          <w:color w:val="000000"/>
          <w:sz w:val="24"/>
          <w:szCs w:val="24"/>
          <w:lang w:val="en-US" w:eastAsia="zh-CN"/>
        </w:rPr>
        <w:t xml:space="preserve">    </w:t>
      </w:r>
    </w:p>
    <w:p w14:paraId="0E9FDD40">
      <w:pPr>
        <w:snapToGrid w:val="0"/>
        <w:spacing w:line="360" w:lineRule="auto"/>
        <w:rPr>
          <w:rFonts w:hint="eastAsia" w:ascii="宋体" w:hAnsi="宋体" w:cs="宋体"/>
          <w:color w:val="000000"/>
          <w:sz w:val="24"/>
          <w:szCs w:val="24"/>
          <w:u w:val="single"/>
        </w:rPr>
      </w:pPr>
      <w:r>
        <w:rPr>
          <w:rFonts w:hint="eastAsia" w:ascii="宋体" w:hAnsi="宋体" w:cs="宋体"/>
          <w:color w:val="000000"/>
          <w:sz w:val="24"/>
          <w:szCs w:val="24"/>
        </w:rPr>
        <w:t>签订时间：</w:t>
      </w:r>
      <w:r>
        <w:rPr>
          <w:rFonts w:hint="eastAsia" w:ascii="宋体" w:hAnsi="宋体" w:cs="宋体"/>
          <w:color w:val="000000"/>
          <w:sz w:val="24"/>
          <w:szCs w:val="24"/>
          <w:u w:val="single"/>
        </w:rPr>
        <w:t xml:space="preserve">                          </w:t>
      </w:r>
    </w:p>
    <w:p w14:paraId="2200632E">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根据《中华人民共和国政府采购法</w:t>
      </w:r>
      <w:r>
        <w:rPr>
          <w:rFonts w:hint="eastAsia" w:ascii="宋体" w:hAnsi="宋体" w:cs="宋体"/>
          <w:color w:val="000000"/>
          <w:sz w:val="24"/>
          <w:szCs w:val="24"/>
          <w:lang w:eastAsia="zh-CN"/>
        </w:rPr>
        <w:t>》《</w:t>
      </w:r>
      <w:r>
        <w:rPr>
          <w:rFonts w:hint="eastAsia" w:ascii="宋体" w:hAnsi="宋体" w:cs="宋体"/>
          <w:color w:val="000000"/>
          <w:sz w:val="24"/>
          <w:szCs w:val="24"/>
        </w:rPr>
        <w:t>中华人民共和国民法典》等</w:t>
      </w:r>
      <w:r>
        <w:rPr>
          <w:rFonts w:hint="eastAsia" w:ascii="宋体" w:hAnsi="宋体" w:cs="宋体"/>
          <w:color w:val="000000"/>
          <w:sz w:val="24"/>
          <w:szCs w:val="24"/>
          <w:lang w:eastAsia="zh-CN"/>
        </w:rPr>
        <w:t>法律法规</w:t>
      </w:r>
      <w:r>
        <w:rPr>
          <w:rFonts w:hint="eastAsia" w:ascii="宋体" w:hAnsi="宋体" w:cs="宋体"/>
          <w:color w:val="000000"/>
          <w:sz w:val="24"/>
          <w:szCs w:val="24"/>
        </w:rPr>
        <w:t>规定，按照</w:t>
      </w:r>
      <w:r>
        <w:rPr>
          <w:rFonts w:hint="eastAsia" w:ascii="宋体" w:hAnsi="宋体" w:cs="宋体"/>
          <w:color w:val="000000"/>
          <w:sz w:val="24"/>
          <w:szCs w:val="24"/>
          <w:lang w:val="en-US" w:eastAsia="zh-CN"/>
        </w:rPr>
        <w:t>招标</w:t>
      </w:r>
      <w:r>
        <w:rPr>
          <w:rFonts w:hint="eastAsia" w:ascii="宋体" w:hAnsi="宋体" w:cs="宋体"/>
          <w:color w:val="000000"/>
          <w:sz w:val="24"/>
          <w:szCs w:val="24"/>
        </w:rPr>
        <w:t>文件规定条款和</w:t>
      </w:r>
      <w:r>
        <w:rPr>
          <w:rFonts w:hint="eastAsia" w:ascii="宋体" w:hAnsi="宋体" w:cs="宋体"/>
          <w:color w:val="000000"/>
          <w:sz w:val="24"/>
          <w:szCs w:val="24"/>
          <w:lang w:val="en-US" w:eastAsia="zh-CN"/>
        </w:rPr>
        <w:t>中标人</w:t>
      </w:r>
      <w:r>
        <w:rPr>
          <w:rFonts w:hint="eastAsia" w:ascii="宋体" w:hAnsi="宋体" w:cs="宋体"/>
          <w:color w:val="000000"/>
          <w:sz w:val="24"/>
          <w:szCs w:val="24"/>
        </w:rPr>
        <w:t>承诺，甲乙双方签订本合同。</w:t>
      </w:r>
    </w:p>
    <w:p w14:paraId="2FC25960">
      <w:pPr>
        <w:snapToGrid w:val="0"/>
        <w:spacing w:line="360" w:lineRule="auto"/>
        <w:ind w:firstLine="482" w:firstLineChars="200"/>
        <w:rPr>
          <w:rFonts w:hint="eastAsia" w:ascii="宋体" w:hAnsi="宋体" w:cs="宋体"/>
          <w:b/>
          <w:color w:val="000000"/>
          <w:sz w:val="24"/>
          <w:szCs w:val="24"/>
        </w:rPr>
      </w:pPr>
      <w:r>
        <w:rPr>
          <w:rFonts w:hint="eastAsia" w:ascii="宋体" w:hAnsi="宋体" w:cs="宋体"/>
          <w:b/>
          <w:color w:val="000000"/>
          <w:sz w:val="24"/>
          <w:szCs w:val="24"/>
        </w:rPr>
        <w:t>第一条　合同标的</w:t>
      </w:r>
    </w:p>
    <w:p w14:paraId="2C5F41D8">
      <w:pPr>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1.供货一览表</w:t>
      </w:r>
    </w:p>
    <w:tbl>
      <w:tblPr>
        <w:tblStyle w:val="53"/>
        <w:tblpPr w:leftFromText="180" w:rightFromText="180" w:vertAnchor="text" w:horzAnchor="page" w:tblpX="1245" w:tblpY="382"/>
        <w:tblOverlap w:val="never"/>
        <w:tblW w:w="99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240"/>
        <w:gridCol w:w="1337"/>
        <w:gridCol w:w="1763"/>
        <w:gridCol w:w="1300"/>
        <w:gridCol w:w="1737"/>
        <w:gridCol w:w="1225"/>
        <w:gridCol w:w="694"/>
      </w:tblGrid>
      <w:tr w14:paraId="6498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6" w:hRule="atLeast"/>
        </w:trPr>
        <w:tc>
          <w:tcPr>
            <w:tcW w:w="660" w:type="dxa"/>
            <w:noWrap w:val="0"/>
            <w:vAlign w:val="center"/>
          </w:tcPr>
          <w:p w14:paraId="1C59C932">
            <w:pPr>
              <w:spacing w:line="360" w:lineRule="auto"/>
              <w:jc w:val="center"/>
              <w:rPr>
                <w:rFonts w:hint="eastAsia" w:ascii="宋体" w:hAnsi="宋体" w:cs="宋体"/>
                <w:color w:val="000000"/>
                <w:sz w:val="24"/>
                <w:szCs w:val="24"/>
              </w:rPr>
            </w:pPr>
            <w:r>
              <w:rPr>
                <w:rFonts w:hint="eastAsia" w:ascii="宋体" w:hAnsi="宋体" w:cs="仿宋_GB2312"/>
                <w:b/>
                <w:bCs/>
                <w:color w:val="000000"/>
                <w:sz w:val="24"/>
                <w:szCs w:val="24"/>
              </w:rPr>
              <w:t>项号</w:t>
            </w:r>
          </w:p>
        </w:tc>
        <w:tc>
          <w:tcPr>
            <w:tcW w:w="1240" w:type="dxa"/>
            <w:noWrap w:val="0"/>
            <w:vAlign w:val="center"/>
          </w:tcPr>
          <w:p w14:paraId="3BEA29D8">
            <w:pPr>
              <w:spacing w:line="360" w:lineRule="auto"/>
              <w:jc w:val="center"/>
              <w:rPr>
                <w:rFonts w:hint="eastAsia" w:ascii="宋体" w:hAnsi="宋体" w:cs="宋体"/>
                <w:color w:val="000000"/>
                <w:sz w:val="24"/>
                <w:szCs w:val="24"/>
              </w:rPr>
            </w:pPr>
            <w:r>
              <w:rPr>
                <w:rFonts w:hint="eastAsia" w:ascii="宋体" w:hAnsi="宋体" w:cs="仿宋_GB2312"/>
                <w:b/>
                <w:bCs/>
                <w:color w:val="000000"/>
                <w:sz w:val="24"/>
                <w:szCs w:val="24"/>
              </w:rPr>
              <w:t>标的名称</w:t>
            </w:r>
          </w:p>
        </w:tc>
        <w:tc>
          <w:tcPr>
            <w:tcW w:w="1337" w:type="dxa"/>
            <w:noWrap w:val="0"/>
            <w:vAlign w:val="center"/>
          </w:tcPr>
          <w:p w14:paraId="07D3C3D5">
            <w:pPr>
              <w:spacing w:line="360" w:lineRule="auto"/>
              <w:jc w:val="center"/>
              <w:rPr>
                <w:rFonts w:hint="eastAsia" w:ascii="宋体" w:hAnsi="宋体" w:cs="宋体"/>
                <w:color w:val="000000"/>
                <w:sz w:val="24"/>
                <w:szCs w:val="24"/>
              </w:rPr>
            </w:pPr>
            <w:r>
              <w:rPr>
                <w:rFonts w:hint="eastAsia" w:ascii="宋体" w:hAnsi="宋体" w:cs="仿宋_GB2312"/>
                <w:b/>
                <w:bCs/>
                <w:color w:val="000000"/>
                <w:sz w:val="24"/>
                <w:szCs w:val="24"/>
              </w:rPr>
              <w:t>数量及单位</w:t>
            </w:r>
          </w:p>
        </w:tc>
        <w:tc>
          <w:tcPr>
            <w:tcW w:w="1763" w:type="dxa"/>
            <w:noWrap w:val="0"/>
            <w:vAlign w:val="center"/>
          </w:tcPr>
          <w:p w14:paraId="144848D7">
            <w:pPr>
              <w:spacing w:line="360" w:lineRule="auto"/>
              <w:jc w:val="center"/>
              <w:rPr>
                <w:rFonts w:hint="eastAsia" w:ascii="宋体" w:hAnsi="宋体" w:eastAsia="宋体" w:cs="仿宋_GB2312"/>
                <w:b/>
                <w:bCs/>
                <w:color w:val="000000"/>
                <w:sz w:val="24"/>
                <w:szCs w:val="24"/>
                <w:lang w:val="en-US" w:eastAsia="zh-CN"/>
              </w:rPr>
            </w:pPr>
            <w:r>
              <w:rPr>
                <w:rFonts w:hint="eastAsia" w:ascii="宋体" w:hAnsi="宋体" w:eastAsia="宋体" w:cs="仿宋_GB2312"/>
                <w:b/>
                <w:bCs/>
                <w:color w:val="000000"/>
                <w:sz w:val="24"/>
                <w:szCs w:val="24"/>
                <w:lang w:val="en-US" w:eastAsia="zh-CN"/>
              </w:rPr>
              <w:t xml:space="preserve">商标品 </w:t>
            </w:r>
          </w:p>
          <w:p w14:paraId="6791C12A">
            <w:pPr>
              <w:spacing w:line="360" w:lineRule="auto"/>
              <w:jc w:val="center"/>
              <w:rPr>
                <w:rFonts w:hint="eastAsia" w:ascii="宋体" w:hAnsi="宋体" w:cs="宋体"/>
                <w:color w:val="000000"/>
                <w:sz w:val="24"/>
                <w:szCs w:val="24"/>
              </w:rPr>
            </w:pPr>
            <w:r>
              <w:rPr>
                <w:rFonts w:hint="eastAsia" w:ascii="宋体" w:hAnsi="宋体" w:eastAsia="宋体" w:cs="仿宋_GB2312"/>
                <w:b/>
                <w:bCs/>
                <w:color w:val="000000"/>
                <w:sz w:val="24"/>
                <w:szCs w:val="24"/>
                <w:lang w:val="en-US" w:eastAsia="zh-CN"/>
              </w:rPr>
              <w:t>牌</w:t>
            </w:r>
          </w:p>
        </w:tc>
        <w:tc>
          <w:tcPr>
            <w:tcW w:w="1300" w:type="dxa"/>
            <w:noWrap w:val="0"/>
            <w:vAlign w:val="center"/>
          </w:tcPr>
          <w:p w14:paraId="3A3B366F">
            <w:pPr>
              <w:spacing w:line="360" w:lineRule="auto"/>
              <w:jc w:val="center"/>
              <w:rPr>
                <w:rFonts w:hint="eastAsia" w:ascii="宋体" w:hAnsi="宋体" w:eastAsia="宋体" w:cs="仿宋_GB2312"/>
                <w:b/>
                <w:bCs/>
                <w:color w:val="000000"/>
                <w:sz w:val="24"/>
                <w:szCs w:val="24"/>
              </w:rPr>
            </w:pPr>
            <w:r>
              <w:rPr>
                <w:rFonts w:hint="eastAsia" w:ascii="宋体" w:hAnsi="宋体" w:eastAsia="宋体" w:cs="仿宋_GB2312"/>
                <w:b/>
                <w:bCs/>
                <w:color w:val="000000"/>
                <w:sz w:val="24"/>
                <w:szCs w:val="24"/>
                <w:lang w:val="en-US" w:eastAsia="zh-CN"/>
              </w:rPr>
              <w:t xml:space="preserve">酒精度/ </w:t>
            </w:r>
          </w:p>
          <w:p w14:paraId="65F6DF17">
            <w:pPr>
              <w:spacing w:line="360" w:lineRule="auto"/>
              <w:jc w:val="center"/>
              <w:rPr>
                <w:rFonts w:hint="eastAsia" w:ascii="宋体" w:hAnsi="宋体" w:cs="宋体"/>
                <w:color w:val="000000"/>
                <w:sz w:val="24"/>
                <w:szCs w:val="24"/>
              </w:rPr>
            </w:pPr>
            <w:r>
              <w:rPr>
                <w:rFonts w:hint="eastAsia" w:ascii="宋体" w:hAnsi="宋体" w:cs="仿宋_GB2312"/>
                <w:b/>
                <w:bCs/>
                <w:color w:val="000000"/>
                <w:sz w:val="24"/>
                <w:szCs w:val="24"/>
                <w:lang w:val="en-US" w:eastAsia="zh-CN"/>
              </w:rPr>
              <w:t>(</w:t>
            </w:r>
            <w:r>
              <w:rPr>
                <w:rFonts w:hint="eastAsia" w:ascii="宋体" w:hAnsi="宋体" w:eastAsia="宋体" w:cs="仿宋_GB2312"/>
                <w:b/>
                <w:bCs/>
                <w:color w:val="000000"/>
                <w:sz w:val="24"/>
                <w:szCs w:val="24"/>
                <w:lang w:val="en-US" w:eastAsia="zh-CN"/>
              </w:rPr>
              <w:t>%vol</w:t>
            </w:r>
            <w:r>
              <w:rPr>
                <w:rFonts w:hint="eastAsia" w:ascii="宋体" w:hAnsi="宋体" w:cs="仿宋_GB2312"/>
                <w:b/>
                <w:bCs/>
                <w:color w:val="000000"/>
                <w:sz w:val="24"/>
                <w:szCs w:val="24"/>
                <w:lang w:val="en-US" w:eastAsia="zh-CN"/>
              </w:rPr>
              <w:t>)</w:t>
            </w:r>
          </w:p>
        </w:tc>
        <w:tc>
          <w:tcPr>
            <w:tcW w:w="1737" w:type="dxa"/>
            <w:noWrap w:val="0"/>
            <w:vAlign w:val="center"/>
          </w:tcPr>
          <w:p w14:paraId="76C64824">
            <w:pPr>
              <w:spacing w:line="360" w:lineRule="auto"/>
              <w:jc w:val="center"/>
              <w:rPr>
                <w:rFonts w:hint="eastAsia" w:ascii="宋体" w:hAnsi="宋体" w:eastAsia="宋体" w:cs="仿宋_GB2312"/>
                <w:b/>
                <w:bCs/>
                <w:color w:val="000000"/>
                <w:sz w:val="24"/>
                <w:szCs w:val="24"/>
              </w:rPr>
            </w:pPr>
            <w:r>
              <w:rPr>
                <w:rFonts w:hint="eastAsia" w:ascii="宋体" w:hAnsi="宋体" w:eastAsia="宋体" w:cs="仿宋_GB2312"/>
                <w:b/>
                <w:bCs/>
                <w:color w:val="000000"/>
                <w:sz w:val="24"/>
                <w:szCs w:val="24"/>
              </w:rPr>
              <w:t>制造商</w:t>
            </w:r>
          </w:p>
        </w:tc>
        <w:tc>
          <w:tcPr>
            <w:tcW w:w="1225" w:type="dxa"/>
            <w:noWrap w:val="0"/>
            <w:vAlign w:val="center"/>
          </w:tcPr>
          <w:p w14:paraId="09D70516">
            <w:pPr>
              <w:spacing w:line="360" w:lineRule="auto"/>
              <w:jc w:val="center"/>
              <w:rPr>
                <w:rFonts w:hint="eastAsia" w:ascii="宋体" w:hAnsi="宋体" w:eastAsia="宋体" w:cs="仿宋_GB2312"/>
                <w:b/>
                <w:bCs/>
                <w:color w:val="000000"/>
                <w:sz w:val="24"/>
                <w:szCs w:val="24"/>
              </w:rPr>
            </w:pPr>
            <w:r>
              <w:rPr>
                <w:rFonts w:hint="eastAsia" w:ascii="宋体" w:hAnsi="宋体" w:eastAsia="宋体" w:cs="仿宋_GB2312"/>
                <w:b/>
                <w:bCs/>
                <w:color w:val="000000"/>
                <w:sz w:val="24"/>
                <w:szCs w:val="24"/>
                <w:lang w:val="en-US" w:eastAsia="zh-CN"/>
              </w:rPr>
              <w:t xml:space="preserve">单价 </w:t>
            </w:r>
          </w:p>
          <w:p w14:paraId="17E7D3F4">
            <w:pPr>
              <w:spacing w:line="360" w:lineRule="auto"/>
              <w:jc w:val="center"/>
              <w:rPr>
                <w:rFonts w:hint="eastAsia" w:ascii="宋体" w:hAnsi="宋体" w:eastAsia="宋体" w:cs="仿宋_GB2312"/>
                <w:b/>
                <w:bCs/>
                <w:color w:val="000000"/>
                <w:sz w:val="24"/>
                <w:szCs w:val="24"/>
              </w:rPr>
            </w:pPr>
            <w:r>
              <w:rPr>
                <w:rFonts w:hint="eastAsia" w:ascii="宋体" w:hAnsi="宋体" w:eastAsia="宋体" w:cs="仿宋_GB2312"/>
                <w:b/>
                <w:bCs/>
                <w:color w:val="000000"/>
                <w:sz w:val="24"/>
                <w:szCs w:val="24"/>
                <w:lang w:val="en-US" w:eastAsia="zh-CN"/>
              </w:rPr>
              <w:t>（元/kg）</w:t>
            </w:r>
          </w:p>
        </w:tc>
        <w:tc>
          <w:tcPr>
            <w:tcW w:w="694" w:type="dxa"/>
            <w:noWrap w:val="0"/>
            <w:vAlign w:val="center"/>
          </w:tcPr>
          <w:p w14:paraId="606A0BA0">
            <w:pPr>
              <w:snapToGrid w:val="0"/>
              <w:spacing w:line="400" w:lineRule="exact"/>
              <w:jc w:val="center"/>
              <w:rPr>
                <w:rFonts w:hint="eastAsia" w:ascii="宋体" w:hAnsi="宋体" w:cs="宋体"/>
                <w:color w:val="000000"/>
                <w:sz w:val="24"/>
                <w:szCs w:val="24"/>
              </w:rPr>
            </w:pPr>
            <w:r>
              <w:rPr>
                <w:rFonts w:hint="eastAsia" w:ascii="宋体" w:hAnsi="宋体" w:cs="仿宋_GB2312"/>
                <w:b/>
                <w:bCs/>
                <w:color w:val="000000"/>
                <w:sz w:val="24"/>
                <w:szCs w:val="24"/>
              </w:rPr>
              <w:t>备注</w:t>
            </w:r>
          </w:p>
        </w:tc>
      </w:tr>
      <w:tr w14:paraId="2F4A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60" w:type="dxa"/>
            <w:noWrap w:val="0"/>
            <w:vAlign w:val="center"/>
          </w:tcPr>
          <w:p w14:paraId="2A570E7E">
            <w:pPr>
              <w:snapToGrid w:val="0"/>
              <w:spacing w:line="400" w:lineRule="exact"/>
              <w:jc w:val="center"/>
              <w:rPr>
                <w:rFonts w:hint="eastAsia" w:ascii="宋体" w:hAnsi="宋体" w:cs="宋体"/>
                <w:color w:val="000000"/>
                <w:sz w:val="24"/>
                <w:szCs w:val="24"/>
              </w:rPr>
            </w:pPr>
            <w:r>
              <w:rPr>
                <w:rFonts w:hint="eastAsia" w:ascii="宋体" w:hAnsi="宋体" w:cs="宋体"/>
                <w:color w:val="000000"/>
                <w:sz w:val="24"/>
                <w:szCs w:val="24"/>
              </w:rPr>
              <w:t>1</w:t>
            </w:r>
          </w:p>
        </w:tc>
        <w:tc>
          <w:tcPr>
            <w:tcW w:w="1240" w:type="dxa"/>
            <w:noWrap w:val="0"/>
            <w:vAlign w:val="center"/>
          </w:tcPr>
          <w:p w14:paraId="372241B1">
            <w:pPr>
              <w:snapToGrid w:val="0"/>
              <w:spacing w:line="400" w:lineRule="exact"/>
              <w:jc w:val="center"/>
              <w:rPr>
                <w:rFonts w:hint="eastAsia" w:ascii="宋体" w:hAnsi="宋体" w:cs="宋体"/>
                <w:color w:val="000000"/>
                <w:sz w:val="24"/>
                <w:szCs w:val="24"/>
              </w:rPr>
            </w:pPr>
            <w:r>
              <w:rPr>
                <w:rFonts w:hint="eastAsia" w:ascii="宋体" w:hAnsi="宋体" w:cs="宋体"/>
                <w:color w:val="000000"/>
                <w:sz w:val="24"/>
                <w:szCs w:val="24"/>
                <w:lang w:val="en-US" w:eastAsia="zh-CN"/>
              </w:rPr>
              <w:t>米酒</w:t>
            </w:r>
          </w:p>
        </w:tc>
        <w:tc>
          <w:tcPr>
            <w:tcW w:w="1337" w:type="dxa"/>
            <w:noWrap w:val="0"/>
            <w:vAlign w:val="center"/>
          </w:tcPr>
          <w:p w14:paraId="1F79FF93">
            <w:pPr>
              <w:snapToGrid w:val="0"/>
              <w:spacing w:line="400" w:lineRule="exact"/>
              <w:jc w:val="both"/>
              <w:rPr>
                <w:rFonts w:hint="eastAsia" w:ascii="宋体" w:hAnsi="宋体" w:eastAsia="宋体" w:cs="宋体"/>
                <w:color w:val="000000"/>
                <w:sz w:val="24"/>
                <w:szCs w:val="24"/>
                <w:lang w:val="en-US" w:eastAsia="zh-CN"/>
              </w:rPr>
            </w:pPr>
          </w:p>
        </w:tc>
        <w:tc>
          <w:tcPr>
            <w:tcW w:w="1763" w:type="dxa"/>
            <w:noWrap w:val="0"/>
            <w:vAlign w:val="center"/>
          </w:tcPr>
          <w:p w14:paraId="7380D183">
            <w:pPr>
              <w:snapToGrid w:val="0"/>
              <w:spacing w:line="400" w:lineRule="exact"/>
              <w:jc w:val="center"/>
              <w:rPr>
                <w:rFonts w:hint="eastAsia" w:ascii="宋体" w:hAnsi="宋体" w:cs="宋体"/>
                <w:color w:val="000000"/>
                <w:sz w:val="24"/>
                <w:szCs w:val="24"/>
              </w:rPr>
            </w:pPr>
          </w:p>
        </w:tc>
        <w:tc>
          <w:tcPr>
            <w:tcW w:w="1300" w:type="dxa"/>
            <w:noWrap w:val="0"/>
            <w:vAlign w:val="top"/>
          </w:tcPr>
          <w:p w14:paraId="419FB7B5">
            <w:pPr>
              <w:snapToGrid w:val="0"/>
              <w:spacing w:line="400" w:lineRule="exact"/>
              <w:jc w:val="both"/>
              <w:rPr>
                <w:rFonts w:hint="eastAsia" w:ascii="宋体" w:hAnsi="宋体" w:cs="宋体"/>
                <w:color w:val="000000"/>
                <w:sz w:val="24"/>
                <w:szCs w:val="24"/>
              </w:rPr>
            </w:pPr>
          </w:p>
        </w:tc>
        <w:tc>
          <w:tcPr>
            <w:tcW w:w="1737" w:type="dxa"/>
            <w:noWrap w:val="0"/>
            <w:vAlign w:val="center"/>
          </w:tcPr>
          <w:p w14:paraId="4DD76E3D">
            <w:pPr>
              <w:snapToGrid w:val="0"/>
              <w:spacing w:line="400" w:lineRule="exact"/>
              <w:jc w:val="both"/>
              <w:rPr>
                <w:rFonts w:hint="eastAsia" w:ascii="宋体" w:hAnsi="宋体" w:cs="宋体"/>
                <w:color w:val="000000"/>
                <w:sz w:val="24"/>
                <w:szCs w:val="24"/>
              </w:rPr>
            </w:pPr>
          </w:p>
        </w:tc>
        <w:tc>
          <w:tcPr>
            <w:tcW w:w="1225" w:type="dxa"/>
            <w:noWrap w:val="0"/>
            <w:vAlign w:val="center"/>
          </w:tcPr>
          <w:p w14:paraId="018AEEAE">
            <w:pPr>
              <w:snapToGrid w:val="0"/>
              <w:spacing w:line="400" w:lineRule="exact"/>
              <w:jc w:val="both"/>
              <w:rPr>
                <w:rFonts w:hint="default" w:ascii="宋体" w:hAnsi="宋体" w:eastAsia="宋体" w:cs="宋体"/>
                <w:color w:val="000000"/>
                <w:sz w:val="24"/>
                <w:szCs w:val="24"/>
                <w:lang w:val="en-US" w:eastAsia="zh-CN"/>
              </w:rPr>
            </w:pPr>
          </w:p>
        </w:tc>
        <w:tc>
          <w:tcPr>
            <w:tcW w:w="694" w:type="dxa"/>
            <w:noWrap w:val="0"/>
            <w:vAlign w:val="center"/>
          </w:tcPr>
          <w:p w14:paraId="682788B9">
            <w:pPr>
              <w:snapToGrid w:val="0"/>
              <w:spacing w:line="400" w:lineRule="exact"/>
              <w:jc w:val="center"/>
              <w:rPr>
                <w:rFonts w:hint="eastAsia" w:ascii="宋体" w:hAnsi="宋体" w:cs="宋体"/>
                <w:color w:val="000000"/>
                <w:sz w:val="24"/>
                <w:szCs w:val="24"/>
              </w:rPr>
            </w:pPr>
          </w:p>
        </w:tc>
      </w:tr>
      <w:tr w14:paraId="132B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60" w:type="dxa"/>
            <w:noWrap w:val="0"/>
            <w:vAlign w:val="center"/>
          </w:tcPr>
          <w:p w14:paraId="5E40C547">
            <w:pPr>
              <w:snapToGrid w:val="0"/>
              <w:spacing w:line="400" w:lineRule="exact"/>
              <w:jc w:val="center"/>
              <w:rPr>
                <w:rFonts w:hint="eastAsia" w:ascii="宋体" w:hAnsi="宋体" w:cs="宋体"/>
                <w:color w:val="000000"/>
                <w:sz w:val="24"/>
                <w:szCs w:val="24"/>
              </w:rPr>
            </w:pPr>
            <w:r>
              <w:rPr>
                <w:rFonts w:hint="eastAsia" w:ascii="宋体" w:hAnsi="宋体" w:cs="宋体"/>
                <w:color w:val="000000"/>
                <w:sz w:val="24"/>
                <w:szCs w:val="24"/>
              </w:rPr>
              <w:t>2</w:t>
            </w:r>
          </w:p>
        </w:tc>
        <w:tc>
          <w:tcPr>
            <w:tcW w:w="1240" w:type="dxa"/>
            <w:noWrap w:val="0"/>
            <w:vAlign w:val="center"/>
          </w:tcPr>
          <w:p w14:paraId="3775DA32">
            <w:pPr>
              <w:snapToGrid w:val="0"/>
              <w:spacing w:line="400" w:lineRule="exact"/>
              <w:jc w:val="center"/>
              <w:rPr>
                <w:rFonts w:hint="eastAsia" w:ascii="宋体" w:hAnsi="宋体" w:cs="宋体"/>
                <w:color w:val="000000"/>
                <w:sz w:val="24"/>
                <w:szCs w:val="24"/>
              </w:rPr>
            </w:pPr>
            <w:r>
              <w:rPr>
                <w:rFonts w:hint="eastAsia" w:ascii="宋体" w:hAnsi="宋体" w:cs="宋体"/>
                <w:color w:val="000000"/>
                <w:sz w:val="24"/>
                <w:szCs w:val="24"/>
                <w:lang w:val="en-US" w:eastAsia="zh-CN"/>
              </w:rPr>
              <w:t>米酒</w:t>
            </w:r>
          </w:p>
        </w:tc>
        <w:tc>
          <w:tcPr>
            <w:tcW w:w="1337" w:type="dxa"/>
            <w:noWrap w:val="0"/>
            <w:vAlign w:val="center"/>
          </w:tcPr>
          <w:p w14:paraId="54B7F5AA">
            <w:pPr>
              <w:snapToGrid w:val="0"/>
              <w:spacing w:line="400" w:lineRule="exact"/>
              <w:jc w:val="both"/>
              <w:rPr>
                <w:rFonts w:hint="eastAsia" w:ascii="宋体" w:hAnsi="宋体" w:cs="宋体"/>
                <w:color w:val="000000"/>
                <w:sz w:val="24"/>
                <w:szCs w:val="24"/>
              </w:rPr>
            </w:pPr>
          </w:p>
        </w:tc>
        <w:tc>
          <w:tcPr>
            <w:tcW w:w="1763" w:type="dxa"/>
            <w:noWrap w:val="0"/>
            <w:vAlign w:val="center"/>
          </w:tcPr>
          <w:p w14:paraId="2B8CCD55">
            <w:pPr>
              <w:snapToGrid w:val="0"/>
              <w:spacing w:line="400" w:lineRule="exact"/>
              <w:jc w:val="both"/>
              <w:rPr>
                <w:rFonts w:hint="eastAsia" w:ascii="宋体" w:hAnsi="宋体" w:cs="宋体"/>
                <w:color w:val="000000"/>
                <w:sz w:val="24"/>
                <w:szCs w:val="24"/>
              </w:rPr>
            </w:pPr>
          </w:p>
        </w:tc>
        <w:tc>
          <w:tcPr>
            <w:tcW w:w="1300" w:type="dxa"/>
            <w:noWrap w:val="0"/>
            <w:vAlign w:val="top"/>
          </w:tcPr>
          <w:p w14:paraId="58C237FE">
            <w:pPr>
              <w:snapToGrid w:val="0"/>
              <w:spacing w:line="400" w:lineRule="exact"/>
              <w:jc w:val="both"/>
              <w:rPr>
                <w:rFonts w:hint="eastAsia" w:ascii="宋体" w:hAnsi="宋体" w:cs="宋体"/>
                <w:color w:val="000000"/>
                <w:sz w:val="24"/>
                <w:szCs w:val="24"/>
              </w:rPr>
            </w:pPr>
          </w:p>
        </w:tc>
        <w:tc>
          <w:tcPr>
            <w:tcW w:w="1737" w:type="dxa"/>
            <w:noWrap w:val="0"/>
            <w:vAlign w:val="center"/>
          </w:tcPr>
          <w:p w14:paraId="107013E9">
            <w:pPr>
              <w:snapToGrid w:val="0"/>
              <w:spacing w:line="400" w:lineRule="exact"/>
              <w:jc w:val="both"/>
              <w:rPr>
                <w:rFonts w:hint="eastAsia" w:ascii="宋体" w:hAnsi="宋体" w:cs="宋体"/>
                <w:color w:val="000000"/>
                <w:sz w:val="24"/>
                <w:szCs w:val="24"/>
              </w:rPr>
            </w:pPr>
          </w:p>
        </w:tc>
        <w:tc>
          <w:tcPr>
            <w:tcW w:w="1225" w:type="dxa"/>
            <w:noWrap w:val="0"/>
            <w:vAlign w:val="center"/>
          </w:tcPr>
          <w:p w14:paraId="108535AC">
            <w:pPr>
              <w:snapToGrid w:val="0"/>
              <w:spacing w:line="400" w:lineRule="exact"/>
              <w:jc w:val="both"/>
              <w:rPr>
                <w:rFonts w:hint="eastAsia" w:ascii="宋体" w:hAnsi="宋体" w:cs="宋体"/>
                <w:color w:val="000000"/>
                <w:sz w:val="24"/>
                <w:szCs w:val="24"/>
              </w:rPr>
            </w:pPr>
          </w:p>
        </w:tc>
        <w:tc>
          <w:tcPr>
            <w:tcW w:w="694" w:type="dxa"/>
            <w:noWrap w:val="0"/>
            <w:vAlign w:val="center"/>
          </w:tcPr>
          <w:p w14:paraId="1D3B7E42">
            <w:pPr>
              <w:snapToGrid w:val="0"/>
              <w:spacing w:line="400" w:lineRule="exact"/>
              <w:jc w:val="center"/>
              <w:rPr>
                <w:rFonts w:hint="eastAsia" w:ascii="宋体" w:hAnsi="宋体" w:cs="宋体"/>
                <w:color w:val="000000"/>
                <w:sz w:val="24"/>
                <w:szCs w:val="24"/>
              </w:rPr>
            </w:pPr>
          </w:p>
        </w:tc>
      </w:tr>
      <w:tr w14:paraId="7C52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956" w:type="dxa"/>
            <w:gridSpan w:val="8"/>
            <w:noWrap w:val="0"/>
            <w:vAlign w:val="center"/>
          </w:tcPr>
          <w:p w14:paraId="2C23E138">
            <w:pPr>
              <w:snapToGrid w:val="0"/>
              <w:spacing w:line="400" w:lineRule="exact"/>
              <w:jc w:val="left"/>
              <w:rPr>
                <w:rFonts w:hint="default" w:ascii="宋体" w:hAnsi="宋体" w:eastAsia="宋体" w:cs="宋体"/>
                <w:color w:val="000000"/>
                <w:sz w:val="24"/>
                <w:szCs w:val="24"/>
                <w:lang w:val="en-US" w:eastAsia="zh-CN"/>
              </w:rPr>
            </w:pPr>
            <w:r>
              <w:rPr>
                <w:rFonts w:hint="eastAsia" w:ascii="宋体" w:hAnsi="宋体" w:cs="宋体"/>
                <w:color w:val="000000"/>
                <w:sz w:val="24"/>
                <w:szCs w:val="24"/>
              </w:rPr>
              <w:t>人民币合计金额（大写）</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 xml:space="preserve"> </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rPr>
              <w:t>（小写</w:t>
            </w:r>
            <w:r>
              <w:rPr>
                <w:rFonts w:hint="eastAsia" w:ascii="宋体" w:hAnsi="宋体" w:cs="宋体"/>
                <w:color w:val="000000"/>
                <w:sz w:val="24"/>
                <w:szCs w:val="24"/>
                <w:lang w:val="en-US" w:eastAsia="zh-CN"/>
              </w:rPr>
              <w:t xml:space="preserve"> </w:t>
            </w:r>
            <w:r>
              <w:rPr>
                <w:rFonts w:ascii="Arial" w:hAnsi="Arial" w:cs="Arial"/>
                <w:color w:val="000000"/>
                <w:szCs w:val="21"/>
                <w:u w:val="single"/>
              </w:rPr>
              <w:t>¥</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 xml:space="preserve">               </w:t>
            </w:r>
          </w:p>
        </w:tc>
      </w:tr>
    </w:tbl>
    <w:p w14:paraId="52DEFA60">
      <w:pPr>
        <w:snapToGrid w:val="0"/>
        <w:spacing w:line="360" w:lineRule="auto"/>
        <w:ind w:firstLine="480" w:firstLineChars="200"/>
        <w:rPr>
          <w:rFonts w:hint="eastAsia"/>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合同合计金额包含</w:t>
      </w:r>
      <w:r>
        <w:rPr>
          <w:rFonts w:hint="eastAsia" w:ascii="宋体" w:hAnsi="宋体" w:eastAsia="宋体" w:cs="宋体"/>
          <w:color w:val="000000"/>
          <w:sz w:val="24"/>
          <w:szCs w:val="24"/>
          <w:lang w:val="en-US" w:eastAsia="zh-CN"/>
        </w:rPr>
        <w:t>产品价</w:t>
      </w:r>
      <w:r>
        <w:rPr>
          <w:rFonts w:hint="eastAsia" w:ascii="宋体" w:hAnsi="宋体" w:eastAsia="宋体" w:cs="宋体"/>
          <w:color w:val="000000"/>
          <w:sz w:val="24"/>
          <w:szCs w:val="24"/>
        </w:rPr>
        <w:t>、随配附件、备品备件、辅助材料、工具、运抵指定交货地点、保险、现场</w:t>
      </w:r>
      <w:r>
        <w:rPr>
          <w:rFonts w:hint="eastAsia" w:ascii="宋体" w:hAnsi="宋体" w:eastAsia="宋体" w:cs="宋体"/>
          <w:color w:val="000000"/>
          <w:sz w:val="24"/>
          <w:szCs w:val="24"/>
          <w:lang w:eastAsia="zh-CN"/>
        </w:rPr>
        <w:t>搬运</w:t>
      </w:r>
      <w:r>
        <w:rPr>
          <w:rFonts w:hint="eastAsia" w:ascii="宋体" w:hAnsi="宋体" w:eastAsia="宋体" w:cs="宋体"/>
          <w:color w:val="000000"/>
          <w:sz w:val="24"/>
          <w:szCs w:val="24"/>
        </w:rPr>
        <w:t>、调试及验收、售后服务、培训费、人工费、税金、产品检测费、</w:t>
      </w:r>
      <w:r>
        <w:rPr>
          <w:rFonts w:hint="eastAsia" w:ascii="宋体" w:hAnsi="宋体" w:eastAsia="宋体" w:cs="宋体"/>
          <w:color w:val="000000"/>
          <w:sz w:val="24"/>
          <w:szCs w:val="24"/>
          <w:lang w:val="en-US" w:eastAsia="zh-CN"/>
        </w:rPr>
        <w:t>代理费、</w:t>
      </w:r>
      <w:r>
        <w:rPr>
          <w:rFonts w:hint="eastAsia" w:ascii="宋体" w:hAnsi="宋体" w:eastAsia="宋体" w:cs="宋体"/>
          <w:color w:val="000000"/>
          <w:sz w:val="24"/>
          <w:szCs w:val="24"/>
        </w:rPr>
        <w:t>产品质保期内</w:t>
      </w:r>
      <w:r>
        <w:rPr>
          <w:rFonts w:hint="eastAsia" w:ascii="宋体" w:hAnsi="宋体" w:cs="宋体"/>
          <w:color w:val="000000"/>
          <w:sz w:val="24"/>
          <w:szCs w:val="24"/>
          <w:lang w:eastAsia="zh-CN"/>
        </w:rPr>
        <w:t>等</w:t>
      </w:r>
      <w:r>
        <w:rPr>
          <w:rFonts w:hint="eastAsia" w:ascii="宋体" w:hAnsi="宋体" w:eastAsia="宋体" w:cs="宋体"/>
          <w:color w:val="000000"/>
          <w:sz w:val="24"/>
          <w:szCs w:val="24"/>
        </w:rPr>
        <w:t>所有成本费用的总和。</w:t>
      </w:r>
    </w:p>
    <w:p w14:paraId="7DC461A7">
      <w:pPr>
        <w:snapToGrid w:val="0"/>
        <w:spacing w:line="360" w:lineRule="auto"/>
        <w:ind w:firstLine="480" w:firstLineChars="200"/>
        <w:rPr>
          <w:rFonts w:hint="default" w:ascii="宋体" w:hAnsi="宋体" w:eastAsia="宋体" w:cs="宋体"/>
          <w:b/>
          <w:color w:val="000000"/>
          <w:sz w:val="24"/>
          <w:szCs w:val="24"/>
          <w:lang w:val="en-US" w:eastAsia="zh-CN"/>
        </w:rPr>
      </w:pPr>
      <w:r>
        <w:rPr>
          <w:rFonts w:hint="eastAsia" w:ascii="宋体" w:hAnsi="宋体" w:cs="宋体"/>
          <w:color w:val="000000"/>
          <w:sz w:val="24"/>
          <w:szCs w:val="24"/>
          <w:lang w:val="en-US" w:eastAsia="zh-CN"/>
        </w:rPr>
        <w:t>3.</w:t>
      </w:r>
      <w:r>
        <w:rPr>
          <w:rFonts w:hint="eastAsia" w:ascii="宋体" w:hAnsi="宋体" w:cs="宋体"/>
          <w:color w:val="000000"/>
          <w:sz w:val="24"/>
          <w:szCs w:val="24"/>
        </w:rPr>
        <w:t>合同履约期限：</w:t>
      </w:r>
      <w:r>
        <w:rPr>
          <w:rFonts w:hint="eastAsia" w:ascii="宋体" w:hAnsi="宋体" w:cs="宋体"/>
          <w:color w:val="000000"/>
          <w:sz w:val="24"/>
          <w:szCs w:val="24"/>
          <w:u w:val="single"/>
          <w:lang w:val="en-US" w:eastAsia="zh-CN"/>
        </w:rPr>
        <w:t>合同签订之日至    年   月   日止分批次供货，以实际生产需求为准。若截至上述时间未完成本合同采购量，则继续按本合同约定供货直至完成合同约定的采购量</w:t>
      </w:r>
    </w:p>
    <w:p w14:paraId="7FEECE9E">
      <w:pPr>
        <w:snapToGrid w:val="0"/>
        <w:spacing w:line="360" w:lineRule="auto"/>
        <w:ind w:firstLine="482" w:firstLineChars="200"/>
        <w:rPr>
          <w:rFonts w:hint="eastAsia" w:ascii="宋体" w:hAnsi="宋体" w:cs="宋体"/>
          <w:color w:val="000000"/>
          <w:sz w:val="24"/>
          <w:szCs w:val="24"/>
        </w:rPr>
      </w:pPr>
      <w:r>
        <w:rPr>
          <w:rFonts w:hint="eastAsia" w:ascii="宋体" w:hAnsi="宋体" w:cs="宋体"/>
          <w:b/>
          <w:color w:val="000000"/>
          <w:sz w:val="24"/>
          <w:szCs w:val="24"/>
        </w:rPr>
        <w:t>第二条　质量要求</w:t>
      </w:r>
    </w:p>
    <w:p w14:paraId="4331EADF">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1.乙方所提供的产品名称、商标品牌、生产厂家、规格型号、技术参数等质量必须与</w:t>
      </w:r>
      <w:r>
        <w:rPr>
          <w:rFonts w:hint="eastAsia" w:ascii="宋体" w:hAnsi="宋体" w:cs="宋体"/>
          <w:color w:val="000000"/>
          <w:sz w:val="24"/>
          <w:szCs w:val="24"/>
          <w:lang w:val="en-US" w:eastAsia="zh-CN"/>
        </w:rPr>
        <w:t>招标</w:t>
      </w:r>
      <w:r>
        <w:rPr>
          <w:rFonts w:hint="eastAsia" w:ascii="宋体" w:hAnsi="宋体" w:cs="宋体"/>
          <w:color w:val="000000"/>
          <w:sz w:val="24"/>
          <w:szCs w:val="24"/>
        </w:rPr>
        <w:t>文件规定及</w:t>
      </w:r>
      <w:r>
        <w:rPr>
          <w:rFonts w:hint="eastAsia" w:ascii="宋体" w:hAnsi="宋体" w:cs="宋体"/>
          <w:color w:val="000000"/>
          <w:sz w:val="24"/>
          <w:szCs w:val="24"/>
          <w:lang w:val="en-US" w:eastAsia="zh-CN"/>
        </w:rPr>
        <w:t>投标</w:t>
      </w:r>
      <w:r>
        <w:rPr>
          <w:rFonts w:hint="eastAsia" w:ascii="宋体" w:hAnsi="宋体" w:cs="宋体"/>
          <w:color w:val="000000"/>
          <w:sz w:val="24"/>
          <w:szCs w:val="24"/>
        </w:rPr>
        <w:t>文件承诺相一致。乙方提供的环保产品必须是列入政府采购品目清单的产品。</w:t>
      </w:r>
    </w:p>
    <w:p w14:paraId="5E596209">
      <w:pPr>
        <w:snapToGrid w:val="0"/>
        <w:spacing w:line="360" w:lineRule="auto"/>
        <w:ind w:firstLine="480" w:firstLineChars="200"/>
        <w:rPr>
          <w:rFonts w:hint="eastAsia" w:ascii="宋体" w:hAnsi="宋体" w:cs="宋体"/>
          <w:color w:val="000000"/>
          <w:sz w:val="24"/>
          <w:szCs w:val="24"/>
          <w:u w:val="single"/>
        </w:rPr>
      </w:pPr>
      <w:r>
        <w:rPr>
          <w:rFonts w:hint="eastAsia" w:ascii="宋体" w:hAnsi="宋体" w:cs="宋体"/>
          <w:color w:val="000000"/>
          <w:sz w:val="24"/>
          <w:szCs w:val="24"/>
        </w:rPr>
        <w:t>2.乙方所提供的货物必须是全新</w:t>
      </w:r>
      <w:r>
        <w:rPr>
          <w:rFonts w:hint="eastAsia" w:ascii="宋体" w:hAnsi="宋体" w:cs="宋体"/>
          <w:color w:val="000000"/>
          <w:sz w:val="24"/>
          <w:szCs w:val="24"/>
          <w:lang w:eastAsia="zh-CN"/>
        </w:rPr>
        <w:t>生产的</w:t>
      </w:r>
      <w:r>
        <w:rPr>
          <w:rFonts w:hint="eastAsia" w:ascii="宋体" w:hAnsi="宋体" w:cs="宋体"/>
          <w:color w:val="000000"/>
          <w:sz w:val="24"/>
          <w:szCs w:val="24"/>
        </w:rPr>
        <w:t>产品，</w:t>
      </w:r>
      <w:r>
        <w:rPr>
          <w:rFonts w:hint="eastAsia" w:ascii="宋体" w:hAnsi="宋体" w:cs="宋体"/>
          <w:color w:val="000000"/>
          <w:sz w:val="24"/>
          <w:szCs w:val="24"/>
          <w:lang w:eastAsia="zh-CN"/>
        </w:rPr>
        <w:t>在使</w:t>
      </w:r>
      <w:r>
        <w:rPr>
          <w:rFonts w:hint="eastAsia" w:ascii="宋体" w:hAnsi="宋体" w:cs="宋体"/>
          <w:color w:val="000000"/>
          <w:sz w:val="24"/>
          <w:szCs w:val="24"/>
        </w:rPr>
        <w:t>用和</w:t>
      </w:r>
      <w:r>
        <w:rPr>
          <w:rFonts w:hint="eastAsia" w:ascii="宋体" w:hAnsi="宋体" w:cs="宋体"/>
          <w:color w:val="000000"/>
          <w:sz w:val="24"/>
          <w:szCs w:val="24"/>
          <w:lang w:eastAsia="zh-CN"/>
        </w:rPr>
        <w:t>保质期</w:t>
      </w:r>
      <w:r>
        <w:rPr>
          <w:rFonts w:hint="eastAsia" w:ascii="宋体" w:hAnsi="宋体" w:cs="宋体"/>
          <w:color w:val="000000"/>
          <w:sz w:val="24"/>
          <w:szCs w:val="24"/>
        </w:rPr>
        <w:t>条件下，其各项指标均达到</w:t>
      </w:r>
      <w:r>
        <w:rPr>
          <w:rFonts w:hint="eastAsia" w:ascii="宋体" w:hAnsi="宋体" w:cs="宋体"/>
          <w:color w:val="000000"/>
          <w:sz w:val="24"/>
          <w:szCs w:val="24"/>
          <w:lang w:val="en-US" w:eastAsia="zh-CN"/>
        </w:rPr>
        <w:t>招标</w:t>
      </w:r>
      <w:r>
        <w:rPr>
          <w:rFonts w:hint="eastAsia" w:ascii="宋体" w:hAnsi="宋体" w:cs="宋体"/>
          <w:color w:val="000000"/>
          <w:sz w:val="24"/>
          <w:szCs w:val="24"/>
        </w:rPr>
        <w:t>文件规定或者</w:t>
      </w:r>
      <w:r>
        <w:rPr>
          <w:rFonts w:hint="eastAsia" w:ascii="宋体" w:hAnsi="宋体" w:cs="宋体"/>
          <w:color w:val="000000"/>
          <w:sz w:val="24"/>
          <w:szCs w:val="24"/>
          <w:lang w:val="en-US" w:eastAsia="zh-CN"/>
        </w:rPr>
        <w:t>投标</w:t>
      </w:r>
      <w:r>
        <w:rPr>
          <w:rFonts w:hint="eastAsia" w:ascii="宋体" w:hAnsi="宋体" w:cs="宋体"/>
          <w:color w:val="000000"/>
          <w:sz w:val="24"/>
          <w:szCs w:val="24"/>
        </w:rPr>
        <w:t>文件承诺的质量要求。</w:t>
      </w:r>
    </w:p>
    <w:p w14:paraId="5761F5FC">
      <w:pPr>
        <w:snapToGrid w:val="0"/>
        <w:spacing w:line="360" w:lineRule="auto"/>
        <w:ind w:firstLine="482" w:firstLineChars="200"/>
        <w:rPr>
          <w:rFonts w:hint="eastAsia" w:ascii="宋体" w:hAnsi="宋体" w:cs="宋体"/>
          <w:color w:val="000000"/>
          <w:sz w:val="24"/>
          <w:szCs w:val="24"/>
        </w:rPr>
      </w:pPr>
      <w:r>
        <w:rPr>
          <w:rFonts w:hint="eastAsia" w:ascii="宋体" w:hAnsi="宋体" w:cs="宋体"/>
          <w:b/>
          <w:color w:val="000000"/>
          <w:sz w:val="24"/>
          <w:szCs w:val="24"/>
        </w:rPr>
        <w:t>第三条　权利保证</w:t>
      </w:r>
    </w:p>
    <w:p w14:paraId="102A02F3">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1.乙方应保证所提供货物在使用时不会侵犯任何第三方的专利权、商标权、工业设计权或者其他权利。</w:t>
      </w:r>
    </w:p>
    <w:p w14:paraId="1B9FBDCF">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2.乙方应按</w:t>
      </w:r>
      <w:r>
        <w:rPr>
          <w:rFonts w:hint="eastAsia" w:ascii="宋体" w:hAnsi="宋体" w:cs="宋体"/>
          <w:color w:val="000000"/>
          <w:sz w:val="24"/>
          <w:szCs w:val="24"/>
          <w:lang w:eastAsia="zh-CN"/>
        </w:rPr>
        <w:t>招标文件</w:t>
      </w:r>
      <w:r>
        <w:rPr>
          <w:rFonts w:hint="eastAsia" w:ascii="宋体" w:hAnsi="宋体" w:cs="宋体"/>
          <w:color w:val="000000"/>
          <w:sz w:val="24"/>
          <w:szCs w:val="24"/>
        </w:rPr>
        <w:t>规定或者</w:t>
      </w:r>
      <w:r>
        <w:rPr>
          <w:rFonts w:hint="eastAsia" w:ascii="宋体" w:hAnsi="宋体" w:cs="宋体"/>
          <w:color w:val="000000"/>
          <w:sz w:val="24"/>
          <w:szCs w:val="24"/>
          <w:lang w:eastAsia="zh-CN"/>
        </w:rPr>
        <w:t>投标文件</w:t>
      </w:r>
      <w:r>
        <w:rPr>
          <w:rFonts w:hint="eastAsia" w:ascii="宋体" w:hAnsi="宋体" w:cs="宋体"/>
          <w:color w:val="000000"/>
          <w:sz w:val="24"/>
          <w:szCs w:val="24"/>
        </w:rPr>
        <w:t>承诺的时间向甲方提供使用货物的有关技术资料。</w:t>
      </w:r>
    </w:p>
    <w:p w14:paraId="1B2A59C7">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3.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w:t>
      </w:r>
    </w:p>
    <w:p w14:paraId="77D17885">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4.乙方保证将要交付的货物的所有权完全属于乙方且无任何抵押、质押、查封等产权瑕疵。</w:t>
      </w:r>
    </w:p>
    <w:p w14:paraId="33B21F8B">
      <w:pPr>
        <w:snapToGrid w:val="0"/>
        <w:spacing w:line="360" w:lineRule="auto"/>
        <w:ind w:firstLine="482" w:firstLineChars="200"/>
        <w:rPr>
          <w:rFonts w:hint="eastAsia" w:ascii="宋体" w:hAnsi="宋体" w:cs="宋体"/>
          <w:b/>
          <w:color w:val="000000"/>
          <w:sz w:val="24"/>
          <w:szCs w:val="24"/>
        </w:rPr>
      </w:pPr>
      <w:r>
        <w:rPr>
          <w:rFonts w:hint="eastAsia" w:ascii="宋体" w:hAnsi="宋体" w:cs="宋体"/>
          <w:b/>
          <w:color w:val="000000"/>
          <w:sz w:val="24"/>
          <w:szCs w:val="24"/>
        </w:rPr>
        <w:t>第四条　包装和运输</w:t>
      </w:r>
    </w:p>
    <w:p w14:paraId="7F097F8F">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1.乙方提供的货物均应按</w:t>
      </w:r>
      <w:r>
        <w:rPr>
          <w:rFonts w:hint="eastAsia" w:ascii="宋体" w:hAnsi="宋体" w:cs="宋体"/>
          <w:color w:val="000000"/>
          <w:sz w:val="24"/>
          <w:szCs w:val="24"/>
          <w:lang w:eastAsia="zh-CN"/>
        </w:rPr>
        <w:t>招标文件</w:t>
      </w:r>
      <w:r>
        <w:rPr>
          <w:rFonts w:hint="eastAsia" w:ascii="宋体" w:hAnsi="宋体" w:cs="宋体"/>
          <w:color w:val="000000"/>
          <w:sz w:val="24"/>
          <w:szCs w:val="24"/>
        </w:rPr>
        <w:t>规定或者</w:t>
      </w:r>
      <w:r>
        <w:rPr>
          <w:rFonts w:hint="eastAsia" w:ascii="宋体" w:hAnsi="宋体" w:cs="宋体"/>
          <w:color w:val="000000"/>
          <w:sz w:val="24"/>
          <w:szCs w:val="24"/>
          <w:lang w:eastAsia="zh-CN"/>
        </w:rPr>
        <w:t>投标文件</w:t>
      </w:r>
      <w:r>
        <w:rPr>
          <w:rFonts w:hint="eastAsia" w:ascii="宋体" w:hAnsi="宋体" w:cs="宋体"/>
          <w:color w:val="000000"/>
          <w:sz w:val="24"/>
          <w:szCs w:val="24"/>
        </w:rPr>
        <w:t>承诺的要求的包装材料、包装标准、包装方式进行包装，每一包装单元内应附详细的装箱单和质量合格证。</w:t>
      </w:r>
    </w:p>
    <w:p w14:paraId="6113E7F1">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2.货物的运输方式：</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eastAsia="zh-CN"/>
        </w:rPr>
        <w:t>陆运</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3E122E08">
      <w:pPr>
        <w:snapToGrid w:val="0"/>
        <w:spacing w:line="360" w:lineRule="auto"/>
        <w:ind w:firstLine="480" w:firstLineChars="200"/>
        <w:rPr>
          <w:rFonts w:hint="eastAsia" w:ascii="宋体" w:hAnsi="宋体" w:cs="宋体"/>
          <w:color w:val="000000"/>
          <w:sz w:val="24"/>
          <w:szCs w:val="24"/>
          <w:u w:val="single"/>
        </w:rPr>
      </w:pPr>
      <w:r>
        <w:rPr>
          <w:rFonts w:hint="eastAsia" w:ascii="宋体" w:hAnsi="宋体" w:cs="宋体"/>
          <w:color w:val="000000"/>
          <w:sz w:val="24"/>
          <w:szCs w:val="24"/>
        </w:rPr>
        <w:t>3.乙方负责货物运输，货物运输合理损耗及计算方法：</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28E6C654">
      <w:pPr>
        <w:snapToGrid w:val="0"/>
        <w:spacing w:line="360" w:lineRule="auto"/>
        <w:ind w:firstLine="482" w:firstLineChars="200"/>
        <w:rPr>
          <w:rFonts w:hint="eastAsia" w:ascii="宋体" w:hAnsi="宋体" w:cs="宋体"/>
          <w:color w:val="000000"/>
          <w:sz w:val="24"/>
          <w:szCs w:val="24"/>
          <w:highlight w:val="none"/>
        </w:rPr>
      </w:pPr>
      <w:r>
        <w:rPr>
          <w:rFonts w:hint="eastAsia" w:ascii="宋体" w:hAnsi="宋体" w:cs="宋体"/>
          <w:b/>
          <w:color w:val="000000"/>
          <w:sz w:val="24"/>
          <w:szCs w:val="24"/>
        </w:rPr>
        <w:t>第五条　交付和验收</w:t>
      </w:r>
    </w:p>
    <w:p w14:paraId="63AD91E6">
      <w:pPr>
        <w:snapToGrid w:val="0"/>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u w:val="single"/>
          <w:lang w:val="en-US" w:eastAsia="zh-CN"/>
        </w:rPr>
        <w:t>1.接到采购人下订单之日起5个工作日内按批次交货完毕，通过验收并交付使用</w:t>
      </w:r>
      <w:r>
        <w:rPr>
          <w:rFonts w:hint="eastAsia" w:ascii="宋体" w:hAnsi="宋体" w:cs="宋体"/>
          <w:color w:val="000000"/>
          <w:sz w:val="24"/>
          <w:szCs w:val="24"/>
          <w:highlight w:val="none"/>
          <w:u w:val="single"/>
        </w:rPr>
        <w:t>；</w:t>
      </w:r>
      <w:r>
        <w:rPr>
          <w:rFonts w:hint="eastAsia" w:ascii="宋体" w:hAnsi="宋体" w:cs="宋体"/>
          <w:color w:val="000000"/>
          <w:sz w:val="24"/>
          <w:szCs w:val="24"/>
          <w:highlight w:val="none"/>
        </w:rPr>
        <w:t>交付地点：</w:t>
      </w:r>
      <w:r>
        <w:rPr>
          <w:rFonts w:hint="eastAsia" w:ascii="宋体" w:hAnsi="宋体" w:cs="宋体"/>
          <w:color w:val="000000"/>
          <w:sz w:val="24"/>
          <w:szCs w:val="24"/>
          <w:highlight w:val="none"/>
          <w:u w:val="single"/>
          <w:lang w:eastAsia="zh-CN"/>
        </w:rPr>
        <w:t>玉林市中西医结合骨科医院采购人指定地点</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p>
    <w:p w14:paraId="710022C7">
      <w:pPr>
        <w:snapToGrid w:val="0"/>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.乙方提供不符合</w:t>
      </w:r>
      <w:r>
        <w:rPr>
          <w:rFonts w:hint="eastAsia" w:ascii="宋体" w:hAnsi="宋体" w:cs="宋体"/>
          <w:color w:val="000000"/>
          <w:sz w:val="24"/>
          <w:szCs w:val="24"/>
          <w:highlight w:val="none"/>
          <w:lang w:eastAsia="zh-CN"/>
        </w:rPr>
        <w:t>招标文件</w:t>
      </w:r>
      <w:r>
        <w:rPr>
          <w:rFonts w:hint="eastAsia" w:ascii="宋体" w:hAnsi="宋体" w:cs="宋体"/>
          <w:color w:val="000000"/>
          <w:sz w:val="24"/>
          <w:szCs w:val="24"/>
          <w:highlight w:val="none"/>
        </w:rPr>
        <w:t>规定或者</w:t>
      </w:r>
      <w:r>
        <w:rPr>
          <w:rFonts w:hint="eastAsia" w:ascii="宋体" w:hAnsi="宋体" w:cs="宋体"/>
          <w:color w:val="000000"/>
          <w:sz w:val="24"/>
          <w:szCs w:val="24"/>
          <w:highlight w:val="none"/>
          <w:lang w:eastAsia="zh-CN"/>
        </w:rPr>
        <w:t>投标文件</w:t>
      </w:r>
      <w:r>
        <w:rPr>
          <w:rFonts w:hint="eastAsia" w:ascii="宋体" w:hAnsi="宋体" w:cs="宋体"/>
          <w:color w:val="000000"/>
          <w:sz w:val="24"/>
          <w:szCs w:val="24"/>
          <w:highlight w:val="none"/>
        </w:rPr>
        <w:t>承诺的和本合同规定的货物，甲方有权拒绝</w:t>
      </w:r>
      <w:r>
        <w:rPr>
          <w:rFonts w:hint="eastAsia" w:ascii="宋体" w:hAnsi="宋体" w:cs="宋体"/>
          <w:color w:val="000000"/>
          <w:sz w:val="24"/>
          <w:szCs w:val="24"/>
          <w:highlight w:val="none"/>
          <w:lang w:eastAsia="zh-CN"/>
        </w:rPr>
        <w:t>接收</w:t>
      </w:r>
      <w:r>
        <w:rPr>
          <w:rFonts w:hint="eastAsia" w:ascii="宋体" w:hAnsi="宋体" w:cs="宋体"/>
          <w:color w:val="000000"/>
          <w:sz w:val="24"/>
          <w:szCs w:val="24"/>
          <w:highlight w:val="none"/>
        </w:rPr>
        <w:t>。</w:t>
      </w:r>
    </w:p>
    <w:p w14:paraId="0B71859B">
      <w:pPr>
        <w:snapToGrid w:val="0"/>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.乙方应将所提供货物的装箱清单、</w:t>
      </w:r>
      <w:r>
        <w:rPr>
          <w:rFonts w:hint="eastAsia" w:ascii="宋体" w:hAnsi="宋体" w:cs="宋体"/>
          <w:color w:val="000000"/>
          <w:sz w:val="24"/>
          <w:szCs w:val="24"/>
          <w:highlight w:val="none"/>
          <w:lang w:eastAsia="zh-CN"/>
        </w:rPr>
        <w:t>合格说明</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质量</w:t>
      </w:r>
      <w:r>
        <w:rPr>
          <w:rFonts w:hint="eastAsia" w:ascii="宋体" w:hAnsi="宋体" w:cs="宋体"/>
          <w:color w:val="000000"/>
          <w:sz w:val="24"/>
          <w:szCs w:val="24"/>
          <w:highlight w:val="none"/>
        </w:rPr>
        <w:t>资料、工具和备品、如有缺失应在合理的规定时间内补齐，否则视为逾期交货。</w:t>
      </w:r>
    </w:p>
    <w:p w14:paraId="176A84C9">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.甲方应当在到货后七个工作日内进行验收，逾期不验收的，乙方可视同</w:t>
      </w:r>
      <w:r>
        <w:rPr>
          <w:rFonts w:hint="eastAsia" w:ascii="宋体" w:hAnsi="宋体" w:cs="宋体"/>
          <w:color w:val="000000"/>
          <w:sz w:val="24"/>
          <w:szCs w:val="24"/>
        </w:rPr>
        <w:t>验收合格。验收合格后由甲乙双方签署货物验收单并加盖甲方公章，甲乙双方各执一份。</w:t>
      </w:r>
    </w:p>
    <w:p w14:paraId="5A1D87EC">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lang w:val="en-US" w:eastAsia="zh-CN"/>
        </w:rPr>
        <w:t>5</w:t>
      </w:r>
      <w:r>
        <w:rPr>
          <w:rFonts w:hint="eastAsia" w:ascii="宋体" w:hAnsi="宋体" w:cs="宋体"/>
          <w:color w:val="000000"/>
          <w:sz w:val="24"/>
          <w:szCs w:val="24"/>
        </w:rPr>
        <w:t>.甲方</w:t>
      </w:r>
      <w:r>
        <w:rPr>
          <w:rFonts w:hint="eastAsia" w:ascii="宋体" w:hAnsi="宋体" w:cs="宋体"/>
          <w:color w:val="000000"/>
          <w:sz w:val="24"/>
          <w:szCs w:val="24"/>
          <w:lang w:eastAsia="zh-CN"/>
        </w:rPr>
        <w:t>自行</w:t>
      </w:r>
      <w:r>
        <w:rPr>
          <w:rFonts w:hint="eastAsia" w:ascii="宋体" w:hAnsi="宋体" w:cs="宋体"/>
          <w:color w:val="000000"/>
          <w:sz w:val="24"/>
          <w:szCs w:val="24"/>
        </w:rPr>
        <w:t>组织的验收项目，其验收时间以该项目验收方案确定的验收时间为准，验收结果以该项目验收报告结论为准。在验收过程中发现乙方有违约问题，可暂缓资金结算，待违约问题解决后，方可办理资金结算事宜。</w:t>
      </w:r>
    </w:p>
    <w:p w14:paraId="6AFCEC9C">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lang w:val="en-US" w:eastAsia="zh-CN"/>
        </w:rPr>
        <w:t>6</w:t>
      </w:r>
      <w:r>
        <w:rPr>
          <w:rFonts w:hint="eastAsia" w:ascii="宋体" w:hAnsi="宋体" w:cs="宋体"/>
          <w:color w:val="000000"/>
          <w:sz w:val="24"/>
          <w:szCs w:val="24"/>
        </w:rPr>
        <w:t>.甲方对验收有异议的，在验收后五个工作日内以书面形式向乙方提出，乙方应自收到甲方书面异议后</w:t>
      </w:r>
      <w:r>
        <w:rPr>
          <w:rFonts w:hint="eastAsia" w:ascii="宋体" w:hAnsi="宋体" w:cs="宋体"/>
          <w:color w:val="000000"/>
          <w:sz w:val="24"/>
          <w:szCs w:val="24"/>
          <w:u w:val="single"/>
        </w:rPr>
        <w:t xml:space="preserve"> </w:t>
      </w:r>
      <w:r>
        <w:rPr>
          <w:rFonts w:hint="eastAsia" w:ascii="宋体" w:hAnsi="宋体" w:cs="宋体"/>
          <w:color w:val="000000"/>
          <w:sz w:val="24"/>
          <w:szCs w:val="24"/>
          <w:u w:val="single"/>
          <w:lang w:val="en-US" w:eastAsia="zh-CN"/>
        </w:rPr>
        <w:t>3</w:t>
      </w:r>
      <w:r>
        <w:rPr>
          <w:rFonts w:hint="eastAsia" w:ascii="宋体" w:hAnsi="宋体" w:cs="宋体"/>
          <w:color w:val="000000"/>
          <w:sz w:val="24"/>
          <w:szCs w:val="24"/>
          <w:u w:val="single"/>
        </w:rPr>
        <w:t xml:space="preserve"> </w:t>
      </w:r>
      <w:r>
        <w:rPr>
          <w:rFonts w:hint="eastAsia" w:ascii="宋体" w:hAnsi="宋体" w:cs="宋体"/>
          <w:color w:val="000000"/>
          <w:sz w:val="24"/>
          <w:szCs w:val="24"/>
        </w:rPr>
        <w:t>日内及时予以解决。</w:t>
      </w:r>
    </w:p>
    <w:p w14:paraId="735B8A9C">
      <w:pPr>
        <w:pStyle w:val="28"/>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hAnsi="宋体" w:cs="宋体"/>
          <w:color w:val="auto"/>
          <w:sz w:val="24"/>
          <w:szCs w:val="24"/>
          <w:lang w:val="en-US" w:eastAsia="zh-CN"/>
        </w:rPr>
        <w:t>7.</w:t>
      </w:r>
      <w:r>
        <w:rPr>
          <w:rFonts w:hint="eastAsia" w:ascii="宋体" w:hAnsi="宋体" w:eastAsia="宋体" w:cs="宋体"/>
          <w:color w:val="auto"/>
          <w:sz w:val="24"/>
          <w:szCs w:val="24"/>
          <w:lang w:val="en-US" w:eastAsia="zh-CN"/>
        </w:rPr>
        <w:t>供应商根据采购计划按规定送达货物后，由采购人制剂质检室负责验收。每批次米酒送达验收时，由双方现</w:t>
      </w:r>
      <w:r>
        <w:rPr>
          <w:rFonts w:hint="eastAsia" w:ascii="宋体" w:hAnsi="宋体" w:eastAsia="宋体" w:cs="宋体"/>
          <w:color w:val="auto"/>
          <w:sz w:val="24"/>
          <w:szCs w:val="24"/>
          <w:highlight w:val="none"/>
          <w:lang w:val="en-US" w:eastAsia="zh-CN"/>
        </w:rPr>
        <w:t>场随机抽取不少于1000mL 分为两个样品，一个样品双方签名封存留样， 另一个交医院药学部质检室作为当批次样品进行质量检测。检测合格方可验收，由制剂室仓库办理入库。货物的验收按招标文件要求和</w:t>
      </w:r>
      <w:r>
        <w:rPr>
          <w:rFonts w:hint="eastAsia" w:hAnsi="宋体" w:cs="宋体"/>
          <w:color w:val="auto"/>
          <w:sz w:val="24"/>
          <w:szCs w:val="24"/>
          <w:highlight w:val="none"/>
          <w:lang w:val="en-US" w:eastAsia="zh-CN"/>
        </w:rPr>
        <w:t>投标文件</w:t>
      </w:r>
      <w:r>
        <w:rPr>
          <w:rFonts w:hint="eastAsia" w:ascii="宋体" w:hAnsi="宋体" w:eastAsia="宋体" w:cs="宋体"/>
          <w:color w:val="auto"/>
          <w:sz w:val="24"/>
          <w:szCs w:val="24"/>
          <w:highlight w:val="none"/>
          <w:lang w:val="en-US" w:eastAsia="zh-CN"/>
        </w:rPr>
        <w:t xml:space="preserve">承诺的有关规定，在采购人和供应商双方共同参与下进行。 </w:t>
      </w:r>
    </w:p>
    <w:p w14:paraId="4BBDC274">
      <w:pPr>
        <w:pStyle w:val="28"/>
        <w:snapToGrid w:val="0"/>
        <w:spacing w:line="360" w:lineRule="auto"/>
        <w:ind w:firstLine="480" w:firstLineChars="200"/>
        <w:rPr>
          <w:rFonts w:hint="eastAsia" w:ascii="宋体" w:hAnsi="宋体" w:eastAsia="宋体" w:cs="宋体"/>
          <w:color w:val="auto"/>
          <w:sz w:val="24"/>
          <w:szCs w:val="24"/>
          <w:lang w:val="en-US" w:eastAsia="zh-CN"/>
        </w:rPr>
      </w:pPr>
      <w:r>
        <w:rPr>
          <w:rFonts w:hint="eastAsia" w:hAnsi="宋体" w:cs="宋体"/>
          <w:color w:val="auto"/>
          <w:sz w:val="24"/>
          <w:szCs w:val="24"/>
          <w:highlight w:val="none"/>
          <w:lang w:val="en-US" w:eastAsia="zh-CN"/>
        </w:rPr>
        <w:t>8.</w:t>
      </w:r>
      <w:r>
        <w:rPr>
          <w:rFonts w:hint="eastAsia" w:ascii="宋体" w:hAnsi="宋体" w:eastAsia="宋体" w:cs="宋体"/>
          <w:color w:val="auto"/>
          <w:sz w:val="24"/>
          <w:szCs w:val="24"/>
          <w:highlight w:val="none"/>
          <w:lang w:val="en-US" w:eastAsia="zh-CN"/>
        </w:rPr>
        <w:t>验收时如发现所交付的货物数量不足，或有其他不符合本招标文件规定</w:t>
      </w:r>
      <w:r>
        <w:rPr>
          <w:rFonts w:hint="eastAsia" w:ascii="宋体" w:hAnsi="宋体" w:eastAsia="宋体" w:cs="宋体"/>
          <w:color w:val="auto"/>
          <w:sz w:val="24"/>
          <w:szCs w:val="24"/>
          <w:lang w:val="en-US" w:eastAsia="zh-CN"/>
        </w:rPr>
        <w:t xml:space="preserve">的，采购人可做出详尽的现场记录，或由采购人和供应商双方签署备忘录。此现场记录或备忘录可用作补充、缺失和更换损坏货物的有效证据，由此产生的相关费用由供应商承担。 </w:t>
      </w:r>
    </w:p>
    <w:p w14:paraId="5F3FE771">
      <w:pPr>
        <w:pStyle w:val="28"/>
        <w:snapToGrid w:val="0"/>
        <w:spacing w:line="360" w:lineRule="auto"/>
        <w:ind w:firstLine="480" w:firstLineChars="200"/>
        <w:rPr>
          <w:rFonts w:hint="eastAsia"/>
        </w:rPr>
      </w:pPr>
      <w:r>
        <w:rPr>
          <w:rFonts w:hint="eastAsia" w:hAnsi="宋体" w:cs="宋体"/>
          <w:color w:val="auto"/>
          <w:sz w:val="24"/>
          <w:szCs w:val="24"/>
          <w:lang w:val="en-US" w:eastAsia="zh-CN"/>
        </w:rPr>
        <w:t>9.</w:t>
      </w:r>
      <w:r>
        <w:rPr>
          <w:rFonts w:hint="eastAsia" w:ascii="宋体" w:hAnsi="宋体" w:eastAsia="宋体" w:cs="宋体"/>
          <w:color w:val="auto"/>
          <w:sz w:val="24"/>
          <w:szCs w:val="24"/>
          <w:lang w:val="en-US" w:eastAsia="zh-CN"/>
        </w:rPr>
        <w:t>供应商提供的货物如侵犯了第三方合法权益而引发的任何纠纷或诉讼，均由供应商自行负责交涉并承担全部责任。</w:t>
      </w:r>
    </w:p>
    <w:p w14:paraId="24C69F3D">
      <w:pPr>
        <w:snapToGrid w:val="0"/>
        <w:spacing w:line="360" w:lineRule="auto"/>
        <w:ind w:firstLine="482" w:firstLineChars="200"/>
        <w:rPr>
          <w:rFonts w:hint="eastAsia" w:ascii="宋体" w:hAnsi="宋体" w:cs="宋体"/>
          <w:b/>
          <w:color w:val="000000"/>
          <w:sz w:val="24"/>
          <w:szCs w:val="24"/>
        </w:rPr>
      </w:pPr>
      <w:r>
        <w:rPr>
          <w:rFonts w:hint="eastAsia" w:ascii="宋体" w:hAnsi="宋体" w:cs="宋体"/>
          <w:b/>
          <w:color w:val="000000"/>
          <w:sz w:val="24"/>
          <w:szCs w:val="24"/>
        </w:rPr>
        <w:t>第</w:t>
      </w:r>
      <w:r>
        <w:rPr>
          <w:rFonts w:hint="eastAsia" w:ascii="宋体" w:hAnsi="宋体" w:cs="宋体"/>
          <w:b/>
          <w:color w:val="000000"/>
          <w:sz w:val="24"/>
          <w:szCs w:val="24"/>
          <w:lang w:eastAsia="zh-CN"/>
        </w:rPr>
        <w:t>六</w:t>
      </w:r>
      <w:r>
        <w:rPr>
          <w:rFonts w:hint="eastAsia" w:ascii="宋体" w:hAnsi="宋体" w:cs="宋体"/>
          <w:b/>
          <w:color w:val="000000"/>
          <w:sz w:val="24"/>
          <w:szCs w:val="24"/>
        </w:rPr>
        <w:t>条  售后服务</w:t>
      </w:r>
    </w:p>
    <w:p w14:paraId="2BD3BCFB">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乙方应按照国家有关法律法规和“三包”规定以及本合同所附的《服务承诺》，为甲方提供售后服务。</w:t>
      </w:r>
    </w:p>
    <w:p w14:paraId="7D84900B">
      <w:pPr>
        <w:snapToGrid w:val="0"/>
        <w:spacing w:line="360" w:lineRule="auto"/>
        <w:ind w:firstLine="482" w:firstLineChars="200"/>
        <w:rPr>
          <w:rFonts w:hint="eastAsia" w:ascii="宋体" w:hAnsi="宋体" w:cs="宋体"/>
          <w:color w:val="000000"/>
          <w:sz w:val="24"/>
          <w:szCs w:val="24"/>
        </w:rPr>
      </w:pPr>
      <w:r>
        <w:rPr>
          <w:rFonts w:hint="eastAsia" w:ascii="宋体" w:hAnsi="宋体" w:cs="宋体"/>
          <w:b/>
          <w:color w:val="000000"/>
          <w:sz w:val="24"/>
          <w:szCs w:val="24"/>
        </w:rPr>
        <w:t>第</w:t>
      </w:r>
      <w:r>
        <w:rPr>
          <w:rFonts w:hint="eastAsia" w:ascii="宋体" w:hAnsi="宋体" w:cs="宋体"/>
          <w:b/>
          <w:color w:val="000000"/>
          <w:sz w:val="24"/>
          <w:szCs w:val="24"/>
          <w:lang w:eastAsia="zh-CN"/>
        </w:rPr>
        <w:t>七</w:t>
      </w:r>
      <w:r>
        <w:rPr>
          <w:rFonts w:hint="eastAsia" w:ascii="宋体" w:hAnsi="宋体" w:cs="宋体"/>
          <w:b/>
          <w:color w:val="000000"/>
          <w:sz w:val="24"/>
          <w:szCs w:val="24"/>
        </w:rPr>
        <w:t>条　付款方式</w:t>
      </w:r>
    </w:p>
    <w:p w14:paraId="4EBC050B">
      <w:pPr>
        <w:snapToGrid w:val="0"/>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1.</w:t>
      </w:r>
      <w:r>
        <w:rPr>
          <w:rFonts w:hint="eastAsia" w:ascii="宋体" w:hAnsi="宋体" w:eastAsia="宋体" w:cs="宋体"/>
          <w:color w:val="000000"/>
          <w:sz w:val="24"/>
          <w:szCs w:val="24"/>
          <w:lang w:val="en-US" w:eastAsia="zh-CN"/>
        </w:rPr>
        <w:t>自签订合同且合同生效之日起，款项按甲方下达的订单分批支付，双方对每批产品验收合格后，乙方按每批次的货款金额提供真实合规的发票及相关付款申请材料给甲方，甲方审核通过后</w:t>
      </w:r>
      <w:r>
        <w:rPr>
          <w:rFonts w:hint="eastAsia" w:ascii="宋体" w:hAnsi="宋体" w:cs="宋体"/>
          <w:color w:val="000000"/>
          <w:sz w:val="24"/>
          <w:szCs w:val="24"/>
          <w:lang w:val="en-US" w:eastAsia="zh-CN"/>
        </w:rPr>
        <w:t>60</w:t>
      </w:r>
      <w:r>
        <w:rPr>
          <w:rFonts w:hint="eastAsia" w:ascii="宋体" w:hAnsi="宋体" w:eastAsia="宋体" w:cs="宋体"/>
          <w:color w:val="000000"/>
          <w:sz w:val="24"/>
          <w:szCs w:val="24"/>
          <w:lang w:val="en-US" w:eastAsia="zh-CN"/>
        </w:rPr>
        <w:t>个工作日内支付该批次款项。</w:t>
      </w:r>
    </w:p>
    <w:p w14:paraId="4F1A636E">
      <w:pPr>
        <w:snapToGrid w:val="0"/>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2.</w:t>
      </w:r>
      <w:r>
        <w:rPr>
          <w:rFonts w:hint="eastAsia" w:ascii="宋体" w:hAnsi="宋体" w:eastAsia="宋体" w:cs="宋体"/>
          <w:color w:val="000000"/>
          <w:sz w:val="24"/>
          <w:szCs w:val="24"/>
          <w:lang w:val="en-US" w:eastAsia="zh-CN"/>
        </w:rPr>
        <w:t>如因供应商自身无法及时提供资料导致无法按时结算，由供应商自行承担责任。如供应商向采购人提供虚假税务发票或委托第三方进行结算，采购人有权拒绝支付供应商的所有货款，如有政策变化等特殊原因，再行商议。</w:t>
      </w:r>
    </w:p>
    <w:p w14:paraId="5CCC2A4D">
      <w:pPr>
        <w:snapToGrid w:val="0"/>
        <w:spacing w:line="360" w:lineRule="auto"/>
        <w:ind w:left="-61" w:leftChars="-29" w:firstLine="590" w:firstLineChars="245"/>
        <w:rPr>
          <w:rFonts w:hint="eastAsia" w:ascii="宋体" w:hAnsi="宋体" w:cs="宋体"/>
          <w:b/>
          <w:color w:val="000000"/>
          <w:sz w:val="24"/>
          <w:szCs w:val="24"/>
        </w:rPr>
      </w:pPr>
      <w:r>
        <w:rPr>
          <w:rFonts w:hint="eastAsia" w:ascii="宋体" w:hAnsi="宋体" w:cs="宋体"/>
          <w:b/>
          <w:color w:val="000000"/>
          <w:sz w:val="24"/>
          <w:szCs w:val="24"/>
        </w:rPr>
        <w:t>第</w:t>
      </w:r>
      <w:r>
        <w:rPr>
          <w:rFonts w:hint="eastAsia" w:ascii="宋体" w:hAnsi="宋体" w:cs="宋体"/>
          <w:b/>
          <w:color w:val="000000"/>
          <w:sz w:val="24"/>
          <w:szCs w:val="24"/>
          <w:lang w:eastAsia="zh-CN"/>
        </w:rPr>
        <w:t>八</w:t>
      </w:r>
      <w:r>
        <w:rPr>
          <w:rFonts w:hint="eastAsia" w:ascii="宋体" w:hAnsi="宋体" w:cs="宋体"/>
          <w:b/>
          <w:color w:val="000000"/>
          <w:sz w:val="24"/>
          <w:szCs w:val="24"/>
        </w:rPr>
        <w:t>条　履约保证金</w:t>
      </w:r>
    </w:p>
    <w:p w14:paraId="1FA4236C">
      <w:pPr>
        <w:pStyle w:val="28"/>
        <w:snapToGrid w:val="0"/>
        <w:spacing w:line="360" w:lineRule="auto"/>
        <w:ind w:firstLine="480" w:firstLineChars="200"/>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履约保证金：</w:t>
      </w:r>
      <w:r>
        <w:rPr>
          <w:rFonts w:hint="eastAsia" w:ascii="宋体" w:hAnsi="宋体" w:eastAsia="宋体" w:cs="宋体"/>
          <w:color w:val="000000"/>
          <w:sz w:val="24"/>
          <w:szCs w:val="24"/>
          <w:lang w:eastAsia="zh-CN"/>
        </w:rPr>
        <w:t>无。</w:t>
      </w:r>
    </w:p>
    <w:p w14:paraId="4410A477">
      <w:pPr>
        <w:snapToGrid w:val="0"/>
        <w:spacing w:line="360" w:lineRule="auto"/>
        <w:ind w:left="-61" w:firstLine="514"/>
        <w:rPr>
          <w:rFonts w:hint="eastAsia" w:ascii="宋体" w:hAnsi="宋体" w:cs="宋体"/>
          <w:b/>
          <w:color w:val="000000"/>
          <w:sz w:val="24"/>
          <w:szCs w:val="24"/>
        </w:rPr>
      </w:pPr>
      <w:r>
        <w:rPr>
          <w:rFonts w:hint="eastAsia" w:ascii="宋体" w:hAnsi="宋体" w:cs="宋体"/>
          <w:b/>
          <w:color w:val="000000"/>
          <w:sz w:val="24"/>
          <w:szCs w:val="24"/>
        </w:rPr>
        <w:t>第</w:t>
      </w:r>
      <w:r>
        <w:rPr>
          <w:rFonts w:hint="eastAsia" w:ascii="宋体" w:hAnsi="宋体" w:cs="宋体"/>
          <w:b/>
          <w:color w:val="000000"/>
          <w:sz w:val="24"/>
          <w:szCs w:val="24"/>
          <w:lang w:eastAsia="zh-CN"/>
        </w:rPr>
        <w:t>九</w:t>
      </w:r>
      <w:r>
        <w:rPr>
          <w:rFonts w:hint="eastAsia" w:ascii="宋体" w:hAnsi="宋体" w:cs="宋体"/>
          <w:b/>
          <w:color w:val="000000"/>
          <w:sz w:val="24"/>
          <w:szCs w:val="24"/>
        </w:rPr>
        <w:t>条  税费</w:t>
      </w:r>
    </w:p>
    <w:p w14:paraId="094DCD42">
      <w:pPr>
        <w:snapToGrid w:val="0"/>
        <w:spacing w:line="360" w:lineRule="auto"/>
        <w:ind w:left="-61" w:firstLine="514"/>
        <w:rPr>
          <w:rFonts w:hint="eastAsia" w:ascii="宋体" w:hAnsi="宋体" w:cs="宋体"/>
          <w:color w:val="000000"/>
          <w:sz w:val="24"/>
          <w:szCs w:val="24"/>
        </w:rPr>
      </w:pPr>
      <w:r>
        <w:rPr>
          <w:rFonts w:hint="eastAsia" w:ascii="宋体" w:hAnsi="宋体" w:cs="宋体"/>
          <w:color w:val="000000"/>
          <w:sz w:val="24"/>
          <w:szCs w:val="24"/>
        </w:rPr>
        <w:t>本合同执行中相关的一切税费均由乙方负担，合同另有约定的除外。</w:t>
      </w:r>
    </w:p>
    <w:p w14:paraId="75855A03">
      <w:pPr>
        <w:snapToGrid w:val="0"/>
        <w:spacing w:line="360" w:lineRule="auto"/>
        <w:ind w:left="-61" w:firstLine="514"/>
        <w:rPr>
          <w:rFonts w:hint="eastAsia" w:ascii="宋体" w:hAnsi="宋体" w:cs="宋体"/>
          <w:color w:val="000000"/>
          <w:sz w:val="24"/>
          <w:szCs w:val="24"/>
        </w:rPr>
      </w:pPr>
      <w:r>
        <w:rPr>
          <w:rFonts w:hint="eastAsia" w:ascii="宋体" w:hAnsi="宋体" w:cs="宋体"/>
          <w:b/>
          <w:color w:val="000000"/>
          <w:sz w:val="24"/>
          <w:szCs w:val="24"/>
        </w:rPr>
        <w:t>第十条  质量保证及售后服务</w:t>
      </w:r>
    </w:p>
    <w:p w14:paraId="3F53F90A">
      <w:pPr>
        <w:pStyle w:val="28"/>
        <w:snapToGrid w:val="0"/>
        <w:spacing w:line="360" w:lineRule="auto"/>
        <w:ind w:firstLine="480" w:firstLineChars="200"/>
        <w:rPr>
          <w:rFonts w:hint="eastAsia" w:hAnsi="宋体" w:cs="宋体"/>
          <w:color w:val="000000"/>
          <w:sz w:val="24"/>
          <w:szCs w:val="24"/>
        </w:rPr>
      </w:pPr>
      <w:r>
        <w:rPr>
          <w:rFonts w:hint="eastAsia" w:hAnsi="宋体" w:cs="宋体"/>
          <w:bCs/>
          <w:color w:val="000000"/>
          <w:sz w:val="24"/>
          <w:szCs w:val="24"/>
        </w:rPr>
        <w:t>1.</w:t>
      </w:r>
      <w:r>
        <w:rPr>
          <w:rFonts w:hint="eastAsia" w:hAnsi="宋体" w:cs="宋体"/>
          <w:color w:val="000000"/>
          <w:sz w:val="24"/>
          <w:szCs w:val="24"/>
        </w:rPr>
        <w:t>乙方应按</w:t>
      </w:r>
      <w:r>
        <w:rPr>
          <w:rFonts w:hint="eastAsia" w:hAnsi="宋体" w:cs="宋体"/>
          <w:color w:val="000000"/>
          <w:sz w:val="24"/>
          <w:szCs w:val="24"/>
          <w:lang w:eastAsia="zh-CN"/>
        </w:rPr>
        <w:t>招标文件</w:t>
      </w:r>
      <w:r>
        <w:rPr>
          <w:rFonts w:hint="eastAsia" w:hAnsi="宋体" w:cs="宋体"/>
          <w:color w:val="000000"/>
          <w:sz w:val="24"/>
          <w:szCs w:val="24"/>
        </w:rPr>
        <w:t>规定的产品名称、商标品牌、生产厂家、规格型号、技术参数、质量标准向甲方提供未经使用的全新产品。不符合要求的，根据实际情况，经双方协商，可按以下办法处理：</w:t>
      </w:r>
    </w:p>
    <w:p w14:paraId="7D4974C6">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⑴更换：由乙方承担所发生的全部费用。</w:t>
      </w:r>
    </w:p>
    <w:p w14:paraId="6DB7713A">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⑵贬值处理：由甲乙双方合议定价。</w:t>
      </w:r>
    </w:p>
    <w:p w14:paraId="5480A42F">
      <w:pPr>
        <w:pStyle w:val="28"/>
        <w:snapToGrid w:val="0"/>
        <w:spacing w:line="360" w:lineRule="auto"/>
        <w:ind w:firstLine="480" w:firstLineChars="200"/>
        <w:rPr>
          <w:rFonts w:hint="eastAsia" w:hAnsi="宋体" w:cs="宋体"/>
          <w:color w:val="000000"/>
          <w:sz w:val="24"/>
          <w:szCs w:val="24"/>
          <w:highlight w:val="none"/>
        </w:rPr>
      </w:pPr>
      <w:r>
        <w:rPr>
          <w:rFonts w:hint="eastAsia" w:hAnsi="宋体" w:cs="宋体"/>
          <w:color w:val="000000"/>
          <w:sz w:val="24"/>
          <w:szCs w:val="24"/>
        </w:rPr>
        <w:t>⑶退货处理：乙方应退还甲方支付的合同款，同时应承担该货物的直接费用（运输、保险、检验、货款利息及银行手续费</w:t>
      </w:r>
      <w:r>
        <w:rPr>
          <w:rFonts w:hint="eastAsia" w:hAnsi="宋体" w:cs="宋体"/>
          <w:color w:val="000000"/>
          <w:sz w:val="24"/>
          <w:szCs w:val="24"/>
          <w:highlight w:val="none"/>
        </w:rPr>
        <w:t>等）。</w:t>
      </w:r>
    </w:p>
    <w:p w14:paraId="40830544">
      <w:pPr>
        <w:pStyle w:val="28"/>
        <w:snapToGrid w:val="0"/>
        <w:spacing w:line="360" w:lineRule="auto"/>
        <w:ind w:firstLine="480" w:firstLineChars="200"/>
        <w:rPr>
          <w:rFonts w:hint="eastAsia" w:hAnsi="宋体" w:cs="宋体"/>
          <w:color w:val="000000"/>
          <w:sz w:val="24"/>
          <w:szCs w:val="24"/>
          <w:highlight w:val="none"/>
          <w:lang w:eastAsia="zh-CN"/>
        </w:rPr>
      </w:pPr>
      <w:r>
        <w:rPr>
          <w:rFonts w:hint="eastAsia" w:hAnsi="宋体" w:cs="宋体"/>
          <w:color w:val="000000"/>
          <w:sz w:val="24"/>
          <w:szCs w:val="24"/>
          <w:highlight w:val="none"/>
        </w:rPr>
        <w:t>2.如在使用过程中发生质量问题，乙方在接到甲方通知后</w:t>
      </w:r>
      <w:r>
        <w:rPr>
          <w:rFonts w:hint="eastAsia" w:hAnsi="宋体" w:cs="宋体"/>
          <w:color w:val="000000"/>
          <w:sz w:val="24"/>
          <w:szCs w:val="24"/>
          <w:highlight w:val="none"/>
          <w:u w:val="single"/>
          <w:lang w:val="en-US" w:eastAsia="zh-CN"/>
        </w:rPr>
        <w:t>3</w:t>
      </w:r>
      <w:r>
        <w:rPr>
          <w:rFonts w:hint="eastAsia" w:hAnsi="宋体" w:cs="宋体"/>
          <w:color w:val="000000"/>
          <w:sz w:val="24"/>
          <w:szCs w:val="24"/>
          <w:highlight w:val="none"/>
          <w:lang w:val="en-US" w:eastAsia="zh-CN"/>
        </w:rPr>
        <w:t>小时内</w:t>
      </w:r>
      <w:r>
        <w:rPr>
          <w:rFonts w:hint="eastAsia" w:hAnsi="宋体" w:cs="宋体"/>
          <w:color w:val="000000"/>
          <w:sz w:val="24"/>
          <w:szCs w:val="24"/>
          <w:highlight w:val="none"/>
        </w:rPr>
        <w:t>到达甲方现场</w:t>
      </w:r>
      <w:r>
        <w:rPr>
          <w:rFonts w:hint="eastAsia" w:hAnsi="宋体" w:cs="宋体"/>
          <w:color w:val="000000"/>
          <w:sz w:val="24"/>
          <w:szCs w:val="24"/>
          <w:highlight w:val="none"/>
          <w:lang w:val="en-US" w:eastAsia="zh-CN"/>
        </w:rPr>
        <w:t>进行</w:t>
      </w:r>
      <w:r>
        <w:rPr>
          <w:rFonts w:hint="eastAsia" w:hAnsi="宋体" w:cs="宋体"/>
          <w:color w:val="000000"/>
          <w:sz w:val="24"/>
          <w:szCs w:val="24"/>
          <w:highlight w:val="none"/>
        </w:rPr>
        <w:t>处理</w:t>
      </w:r>
      <w:r>
        <w:rPr>
          <w:rFonts w:hint="eastAsia" w:hAnsi="宋体" w:cs="宋体"/>
          <w:color w:val="000000"/>
          <w:sz w:val="24"/>
          <w:szCs w:val="24"/>
          <w:highlight w:val="none"/>
          <w:lang w:eastAsia="zh-CN"/>
        </w:rPr>
        <w:t>。</w:t>
      </w:r>
    </w:p>
    <w:p w14:paraId="11532367">
      <w:pPr>
        <w:pStyle w:val="28"/>
        <w:snapToGrid w:val="0"/>
        <w:spacing w:line="360" w:lineRule="auto"/>
        <w:ind w:firstLine="480" w:firstLineChars="200"/>
        <w:rPr>
          <w:rFonts w:hint="eastAsia" w:hAnsi="宋体" w:cs="宋体"/>
          <w:color w:val="000000"/>
          <w:sz w:val="24"/>
          <w:szCs w:val="24"/>
          <w:highlight w:val="none"/>
          <w:lang w:eastAsia="zh-CN"/>
        </w:rPr>
      </w:pPr>
      <w:r>
        <w:rPr>
          <w:rFonts w:hint="eastAsia" w:hAnsi="宋体" w:cs="宋体"/>
          <w:color w:val="000000"/>
          <w:sz w:val="24"/>
          <w:szCs w:val="24"/>
          <w:highlight w:val="none"/>
          <w:lang w:eastAsia="zh-CN"/>
        </w:rPr>
        <w:t>3.本产品的有效期为：自运抵</w:t>
      </w:r>
      <w:r>
        <w:rPr>
          <w:rFonts w:hint="eastAsia" w:hAnsi="宋体" w:cs="宋体"/>
          <w:color w:val="000000"/>
          <w:sz w:val="24"/>
          <w:szCs w:val="24"/>
          <w:highlight w:val="none"/>
          <w:lang w:val="en-US" w:eastAsia="zh-CN"/>
        </w:rPr>
        <w:t>甲方</w:t>
      </w:r>
      <w:r>
        <w:rPr>
          <w:rFonts w:hint="eastAsia" w:hAnsi="宋体" w:cs="宋体"/>
          <w:color w:val="000000"/>
          <w:sz w:val="24"/>
          <w:szCs w:val="24"/>
          <w:highlight w:val="none"/>
          <w:lang w:eastAsia="zh-CN"/>
        </w:rPr>
        <w:t>指定交货地点起不少于12个月。</w:t>
      </w:r>
    </w:p>
    <w:p w14:paraId="7378967B">
      <w:pPr>
        <w:pStyle w:val="28"/>
        <w:snapToGrid w:val="0"/>
        <w:spacing w:line="360" w:lineRule="auto"/>
        <w:ind w:firstLine="480" w:firstLineChars="200"/>
        <w:rPr>
          <w:rFonts w:hint="eastAsia" w:hAnsi="宋体" w:cs="宋体"/>
          <w:color w:val="000000"/>
          <w:sz w:val="24"/>
          <w:szCs w:val="24"/>
          <w:highlight w:val="none"/>
        </w:rPr>
      </w:pPr>
      <w:r>
        <w:rPr>
          <w:rFonts w:hint="eastAsia" w:hAnsi="宋体" w:cs="宋体"/>
          <w:color w:val="000000"/>
          <w:sz w:val="24"/>
          <w:szCs w:val="24"/>
          <w:highlight w:val="none"/>
          <w:lang w:val="en-US" w:eastAsia="zh-CN"/>
        </w:rPr>
        <w:t>4</w:t>
      </w:r>
      <w:r>
        <w:rPr>
          <w:rFonts w:hint="eastAsia" w:hAnsi="宋体" w:cs="宋体"/>
          <w:color w:val="000000"/>
          <w:sz w:val="24"/>
          <w:szCs w:val="24"/>
          <w:highlight w:val="none"/>
        </w:rPr>
        <w:t>.在</w:t>
      </w:r>
      <w:r>
        <w:rPr>
          <w:rFonts w:hint="eastAsia" w:hAnsi="宋体" w:cs="宋体"/>
          <w:color w:val="000000"/>
          <w:sz w:val="24"/>
          <w:szCs w:val="24"/>
          <w:highlight w:val="none"/>
          <w:lang w:eastAsia="zh-CN"/>
        </w:rPr>
        <w:t>保质</w:t>
      </w:r>
      <w:r>
        <w:rPr>
          <w:rFonts w:hint="eastAsia" w:hAnsi="宋体" w:cs="宋体"/>
          <w:color w:val="000000"/>
          <w:sz w:val="24"/>
          <w:szCs w:val="24"/>
          <w:highlight w:val="none"/>
        </w:rPr>
        <w:t>期内，乙方应对货物出现的质量及安全问题负责处理解决并承担一切费用。</w:t>
      </w:r>
    </w:p>
    <w:p w14:paraId="2D262C3E">
      <w:pPr>
        <w:snapToGrid w:val="0"/>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.上述的货物</w:t>
      </w:r>
      <w:r>
        <w:rPr>
          <w:rFonts w:hint="eastAsia" w:ascii="宋体" w:hAnsi="宋体" w:cs="宋体"/>
          <w:color w:val="000000"/>
          <w:sz w:val="24"/>
          <w:szCs w:val="24"/>
          <w:highlight w:val="none"/>
          <w:lang w:eastAsia="zh-CN"/>
        </w:rPr>
        <w:t>保质期</w:t>
      </w:r>
      <w:r>
        <w:rPr>
          <w:rFonts w:hint="eastAsia" w:ascii="宋体" w:hAnsi="宋体" w:cs="宋体"/>
          <w:color w:val="auto"/>
          <w:sz w:val="24"/>
          <w:szCs w:val="24"/>
          <w:highlight w:val="none"/>
        </w:rPr>
        <w:t>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000000"/>
          <w:sz w:val="24"/>
          <w:szCs w:val="24"/>
          <w:highlight w:val="none"/>
        </w:rPr>
        <w:t>，因人为因素出现的</w:t>
      </w:r>
      <w:r>
        <w:rPr>
          <w:rFonts w:hint="eastAsia" w:ascii="宋体" w:hAnsi="宋体" w:cs="宋体"/>
          <w:color w:val="000000"/>
          <w:sz w:val="24"/>
          <w:szCs w:val="24"/>
          <w:highlight w:val="none"/>
          <w:lang w:eastAsia="zh-CN"/>
        </w:rPr>
        <w:t>质量问题的</w:t>
      </w:r>
      <w:r>
        <w:rPr>
          <w:rFonts w:hint="eastAsia" w:ascii="宋体" w:hAnsi="宋体" w:cs="宋体"/>
          <w:color w:val="000000"/>
          <w:sz w:val="24"/>
          <w:szCs w:val="24"/>
          <w:highlight w:val="none"/>
        </w:rPr>
        <w:t>。超过</w:t>
      </w:r>
      <w:r>
        <w:rPr>
          <w:rFonts w:hint="eastAsia" w:ascii="宋体" w:hAnsi="宋体" w:cs="宋体"/>
          <w:color w:val="000000"/>
          <w:sz w:val="24"/>
          <w:szCs w:val="24"/>
          <w:highlight w:val="none"/>
          <w:lang w:eastAsia="zh-CN"/>
        </w:rPr>
        <w:t>保质期</w:t>
      </w:r>
      <w:r>
        <w:rPr>
          <w:rFonts w:hint="eastAsia" w:ascii="宋体" w:hAnsi="宋体" w:cs="宋体"/>
          <w:color w:val="000000"/>
          <w:sz w:val="24"/>
          <w:szCs w:val="24"/>
          <w:highlight w:val="none"/>
        </w:rPr>
        <w:t>的</w:t>
      </w:r>
      <w:r>
        <w:rPr>
          <w:rFonts w:hint="eastAsia" w:ascii="宋体" w:hAnsi="宋体" w:cs="宋体"/>
          <w:color w:val="000000"/>
          <w:sz w:val="24"/>
          <w:szCs w:val="24"/>
          <w:highlight w:val="none"/>
          <w:lang w:eastAsia="zh-CN"/>
        </w:rPr>
        <w:t>货物</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要马上更换</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更换产生的一切费用由供应商承担</w:t>
      </w:r>
      <w:r>
        <w:rPr>
          <w:rFonts w:hint="eastAsia" w:ascii="宋体" w:hAnsi="宋体" w:cs="宋体"/>
          <w:color w:val="000000"/>
          <w:sz w:val="24"/>
          <w:szCs w:val="24"/>
          <w:highlight w:val="none"/>
        </w:rPr>
        <w:t>。</w:t>
      </w:r>
    </w:p>
    <w:p w14:paraId="692A8112">
      <w:pPr>
        <w:pStyle w:val="28"/>
        <w:snapToGrid w:val="0"/>
        <w:spacing w:line="360" w:lineRule="auto"/>
        <w:ind w:firstLine="472" w:firstLineChars="196"/>
        <w:rPr>
          <w:rFonts w:hint="eastAsia" w:hAnsi="宋体" w:cs="宋体"/>
          <w:b/>
          <w:color w:val="000000"/>
          <w:sz w:val="24"/>
          <w:szCs w:val="24"/>
          <w:highlight w:val="none"/>
        </w:rPr>
      </w:pPr>
      <w:r>
        <w:rPr>
          <w:rFonts w:hint="eastAsia" w:ascii="宋体" w:hAnsi="宋体" w:cs="宋体"/>
          <w:b/>
          <w:color w:val="000000"/>
          <w:sz w:val="24"/>
          <w:szCs w:val="24"/>
          <w:highlight w:val="none"/>
        </w:rPr>
        <w:t>第十</w:t>
      </w:r>
      <w:r>
        <w:rPr>
          <w:rFonts w:hint="eastAsia" w:ascii="宋体" w:hAnsi="宋体" w:cs="宋体"/>
          <w:b/>
          <w:color w:val="000000"/>
          <w:sz w:val="24"/>
          <w:szCs w:val="24"/>
          <w:highlight w:val="none"/>
          <w:lang w:eastAsia="zh-CN"/>
        </w:rPr>
        <w:t>一</w:t>
      </w:r>
      <w:r>
        <w:rPr>
          <w:rFonts w:hint="eastAsia" w:ascii="宋体" w:hAnsi="宋体" w:cs="宋体"/>
          <w:b/>
          <w:color w:val="000000"/>
          <w:sz w:val="24"/>
          <w:szCs w:val="24"/>
          <w:highlight w:val="none"/>
        </w:rPr>
        <w:t xml:space="preserve">条  </w:t>
      </w:r>
      <w:r>
        <w:rPr>
          <w:rFonts w:hint="eastAsia" w:hAnsi="宋体" w:cs="宋体"/>
          <w:b/>
          <w:color w:val="000000"/>
          <w:sz w:val="24"/>
          <w:szCs w:val="24"/>
          <w:highlight w:val="none"/>
        </w:rPr>
        <w:t>货物包装、发运及运输</w:t>
      </w:r>
    </w:p>
    <w:p w14:paraId="49E0FDDD">
      <w:pPr>
        <w:pStyle w:val="28"/>
        <w:snapToGrid w:val="0"/>
        <w:spacing w:line="360" w:lineRule="auto"/>
        <w:ind w:firstLine="480" w:firstLineChars="200"/>
        <w:rPr>
          <w:rFonts w:hint="eastAsia" w:hAnsi="宋体" w:cs="宋体"/>
          <w:color w:val="000000"/>
          <w:sz w:val="24"/>
          <w:szCs w:val="24"/>
          <w:highlight w:val="none"/>
        </w:rPr>
      </w:pPr>
      <w:r>
        <w:rPr>
          <w:rFonts w:hint="eastAsia" w:hAnsi="宋体" w:cs="宋体"/>
          <w:color w:val="000000"/>
          <w:sz w:val="24"/>
          <w:szCs w:val="24"/>
          <w:highlight w:val="none"/>
        </w:rPr>
        <w:t>1.乙方应在货物发运前对其进行满足运输距离、防潮、防震、防锈和防破损装卸等要求包装，以保证货物安全运达甲方指定地点。</w:t>
      </w:r>
    </w:p>
    <w:p w14:paraId="11FE08BD">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2.使用说明书（货物属于进口产品的，供货时应同时附上中文使用说明书）、质量检验证明书、随配附件和工具以及清单一并附于货物内。</w:t>
      </w:r>
    </w:p>
    <w:p w14:paraId="7E32C8DA">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3.乙方在货物发运手续办理完毕后二十四小时内或者货到甲方四十八小时前通知甲方，以准备接货。</w:t>
      </w:r>
    </w:p>
    <w:p w14:paraId="3338B207">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4.货物在交付甲方前发生的风险均由乙方负责。</w:t>
      </w:r>
    </w:p>
    <w:p w14:paraId="00966AE8">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5.货物在规定的交付期限内由乙方送达甲方指定的地点视为交付，乙方同时需通知甲方货物已送达。</w:t>
      </w:r>
    </w:p>
    <w:p w14:paraId="6BD6420A">
      <w:pPr>
        <w:snapToGrid w:val="0"/>
        <w:spacing w:line="360" w:lineRule="auto"/>
        <w:ind w:firstLine="482" w:firstLineChars="200"/>
        <w:rPr>
          <w:rFonts w:hint="eastAsia" w:ascii="宋体" w:hAnsi="宋体" w:cs="宋体"/>
          <w:b/>
          <w:color w:val="000000"/>
          <w:sz w:val="24"/>
          <w:szCs w:val="24"/>
        </w:rPr>
      </w:pPr>
      <w:r>
        <w:rPr>
          <w:rFonts w:hint="eastAsia" w:ascii="宋体" w:hAnsi="宋体" w:cs="宋体"/>
          <w:b/>
          <w:color w:val="000000"/>
          <w:sz w:val="24"/>
          <w:szCs w:val="24"/>
        </w:rPr>
        <w:t>第十</w:t>
      </w:r>
      <w:r>
        <w:rPr>
          <w:rFonts w:hint="eastAsia" w:ascii="宋体" w:hAnsi="宋体" w:cs="宋体"/>
          <w:b/>
          <w:color w:val="000000"/>
          <w:sz w:val="24"/>
          <w:szCs w:val="24"/>
          <w:lang w:val="en-US" w:eastAsia="zh-CN"/>
        </w:rPr>
        <w:t>二</w:t>
      </w:r>
      <w:r>
        <w:rPr>
          <w:rFonts w:hint="eastAsia" w:ascii="宋体" w:hAnsi="宋体" w:cs="宋体"/>
          <w:b/>
          <w:color w:val="000000"/>
          <w:sz w:val="24"/>
          <w:szCs w:val="24"/>
        </w:rPr>
        <w:t>条　违约责任</w:t>
      </w:r>
    </w:p>
    <w:p w14:paraId="487D5A34">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1.乙方所提供的产品名称、商标品牌、生产厂家、规格型号、技术参数等质量不合格的，应及时更换，更换不及时的按逾期交货处罚；因质量问题甲方不同意接收的或者特殊情况甲方同意接收的，乙方应向甲方支付违约货款额 5%</w:t>
      </w:r>
      <w:r>
        <w:rPr>
          <w:rFonts w:hint="eastAsia" w:hAnsi="宋体" w:cs="宋体"/>
          <w:color w:val="000000"/>
          <w:sz w:val="24"/>
          <w:szCs w:val="24"/>
          <w:lang w:eastAsia="zh-CN"/>
        </w:rPr>
        <w:t>的违约金</w:t>
      </w:r>
      <w:r>
        <w:rPr>
          <w:rFonts w:hint="eastAsia" w:hAnsi="宋体" w:cs="宋体"/>
          <w:color w:val="000000"/>
          <w:sz w:val="24"/>
          <w:szCs w:val="24"/>
        </w:rPr>
        <w:t xml:space="preserve">并赔偿甲方经济损失。                                       </w:t>
      </w:r>
    </w:p>
    <w:p w14:paraId="2387501B">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2.乙方提供的货物如侵犯了第三方合法权益而引发的任何纠纷或者诉讼，均由乙方负责交涉并承担全部责任。</w:t>
      </w:r>
    </w:p>
    <w:p w14:paraId="651E9860">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3.因包装、运输引起的货物损坏，按质量不合格处罚。</w:t>
      </w:r>
    </w:p>
    <w:p w14:paraId="273889BA">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4.甲方无故延期接收货物、乙方逾期交货的，每天向对方偿付违约货款额3‰违约金，但违约金累计不得超过违约货款额5%，超过</w:t>
      </w:r>
      <w:r>
        <w:rPr>
          <w:rFonts w:hint="eastAsia" w:hAnsi="宋体" w:cs="宋体"/>
          <w:color w:val="000000"/>
          <w:sz w:val="24"/>
          <w:szCs w:val="24"/>
          <w:u w:val="single"/>
        </w:rPr>
        <w:t xml:space="preserve">  </w:t>
      </w:r>
      <w:r>
        <w:rPr>
          <w:rFonts w:hint="eastAsia" w:hAnsi="宋体" w:cs="宋体"/>
          <w:color w:val="000000"/>
          <w:sz w:val="24"/>
          <w:szCs w:val="24"/>
          <w:u w:val="single"/>
          <w:lang w:val="en-US" w:eastAsia="zh-CN"/>
        </w:rPr>
        <w:t>180</w:t>
      </w:r>
      <w:r>
        <w:rPr>
          <w:rFonts w:hint="eastAsia" w:hAnsi="宋体" w:cs="宋体"/>
          <w:color w:val="000000"/>
          <w:sz w:val="24"/>
          <w:szCs w:val="24"/>
          <w:u w:val="single"/>
        </w:rPr>
        <w:t xml:space="preserve"> </w:t>
      </w:r>
      <w:r>
        <w:rPr>
          <w:rFonts w:hint="eastAsia" w:hAnsi="宋体" w:cs="宋体"/>
          <w:color w:val="000000"/>
          <w:sz w:val="24"/>
          <w:szCs w:val="24"/>
        </w:rPr>
        <w:t>天对方有权解除合同，违约方承担因此给对方造</w:t>
      </w:r>
      <w:r>
        <w:rPr>
          <w:rFonts w:hint="eastAsia" w:hAnsi="宋体" w:cs="宋体"/>
          <w:color w:val="000000"/>
          <w:sz w:val="24"/>
          <w:szCs w:val="24"/>
          <w:lang w:eastAsia="zh-CN"/>
        </w:rPr>
        <w:t>成的</w:t>
      </w:r>
      <w:r>
        <w:rPr>
          <w:rFonts w:hint="eastAsia" w:hAnsi="宋体" w:cs="宋体"/>
          <w:color w:val="000000"/>
          <w:sz w:val="24"/>
          <w:szCs w:val="24"/>
        </w:rPr>
        <w:t>经济损失；甲方延期付货款的，每天向乙方偿付延期货款额3‰滞纳金，但滞纳金累计不得超过延期货款额5%。甲方无故延期退付履约保证金的，每天向对方偿付未退付履约保证金3‰的违约金。</w:t>
      </w:r>
    </w:p>
    <w:p w14:paraId="2F2B5A3E">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5.乙方未按本合同和</w:t>
      </w:r>
      <w:r>
        <w:rPr>
          <w:rFonts w:hint="eastAsia" w:hAnsi="宋体" w:cs="宋体"/>
          <w:color w:val="000000"/>
          <w:sz w:val="24"/>
          <w:szCs w:val="24"/>
          <w:lang w:eastAsia="zh-CN"/>
        </w:rPr>
        <w:t>投标文件</w:t>
      </w:r>
      <w:r>
        <w:rPr>
          <w:rFonts w:hint="eastAsia" w:hAnsi="宋体" w:cs="宋体"/>
          <w:color w:val="000000"/>
          <w:sz w:val="24"/>
          <w:szCs w:val="24"/>
        </w:rPr>
        <w:t>中规定的服务承诺提供售后服务的，乙方应按本合同合计金额 5%向甲方支付违约金。</w:t>
      </w:r>
    </w:p>
    <w:p w14:paraId="64C1B3BB">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6.乙方提供的货物在</w:t>
      </w:r>
      <w:r>
        <w:rPr>
          <w:rFonts w:hint="eastAsia" w:hAnsi="宋体" w:cs="宋体"/>
          <w:color w:val="000000"/>
          <w:sz w:val="24"/>
          <w:szCs w:val="24"/>
          <w:lang w:eastAsia="zh-CN"/>
        </w:rPr>
        <w:t>保质期</w:t>
      </w:r>
      <w:r>
        <w:rPr>
          <w:rFonts w:hint="eastAsia" w:hAnsi="宋体" w:cs="宋体"/>
          <w:color w:val="000000"/>
          <w:sz w:val="24"/>
          <w:szCs w:val="24"/>
        </w:rPr>
        <w:t>内，因</w:t>
      </w:r>
      <w:r>
        <w:rPr>
          <w:rFonts w:hint="eastAsia" w:hAnsi="宋体" w:cs="宋体"/>
          <w:color w:val="000000"/>
          <w:sz w:val="24"/>
          <w:szCs w:val="24"/>
          <w:lang w:eastAsia="zh-CN"/>
        </w:rPr>
        <w:t>生产</w:t>
      </w:r>
      <w:r>
        <w:rPr>
          <w:rFonts w:hint="eastAsia" w:hAnsi="宋体" w:cs="宋体"/>
          <w:color w:val="000000"/>
          <w:sz w:val="24"/>
          <w:szCs w:val="24"/>
        </w:rPr>
        <w:t>、</w:t>
      </w:r>
      <w:r>
        <w:rPr>
          <w:rFonts w:hint="eastAsia" w:hAnsi="宋体" w:cs="宋体"/>
          <w:color w:val="000000"/>
          <w:sz w:val="24"/>
          <w:szCs w:val="24"/>
          <w:lang w:eastAsia="zh-CN"/>
        </w:rPr>
        <w:t>质量</w:t>
      </w:r>
      <w:r>
        <w:rPr>
          <w:rFonts w:hint="eastAsia" w:hAnsi="宋体" w:cs="宋体"/>
          <w:color w:val="000000"/>
          <w:sz w:val="24"/>
          <w:szCs w:val="24"/>
        </w:rPr>
        <w:t>或者材料的缺陷和</w:t>
      </w:r>
      <w:r>
        <w:rPr>
          <w:rFonts w:hint="eastAsia" w:hAnsi="宋体" w:cs="宋体"/>
          <w:color w:val="000000"/>
          <w:sz w:val="24"/>
          <w:szCs w:val="24"/>
          <w:lang w:eastAsia="zh-CN"/>
        </w:rPr>
        <w:t>其他</w:t>
      </w:r>
      <w:r>
        <w:rPr>
          <w:rFonts w:hint="eastAsia" w:hAnsi="宋体" w:cs="宋体"/>
          <w:color w:val="000000"/>
          <w:sz w:val="24"/>
          <w:szCs w:val="24"/>
        </w:rPr>
        <w:t>质量原因造成的问题，由乙方负责，费用从余款或者履约保证金中扣除，不足另补。</w:t>
      </w:r>
    </w:p>
    <w:p w14:paraId="076C8ED8">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7.甲乙双方有</w:t>
      </w:r>
      <w:r>
        <w:rPr>
          <w:rFonts w:hint="eastAsia" w:hAnsi="宋体" w:cs="宋体"/>
          <w:color w:val="000000"/>
          <w:sz w:val="24"/>
          <w:szCs w:val="24"/>
          <w:lang w:eastAsia="zh-CN"/>
        </w:rPr>
        <w:t>其他</w:t>
      </w:r>
      <w:r>
        <w:rPr>
          <w:rFonts w:hint="eastAsia" w:hAnsi="宋体" w:cs="宋体"/>
          <w:color w:val="000000"/>
          <w:sz w:val="24"/>
          <w:szCs w:val="24"/>
        </w:rPr>
        <w:t>违约行为的，由违约方向对方支付违约内容涉及货款额的5%，违约内容涉及货款额的5%不足以赔偿经济损失的按实际赔偿。</w:t>
      </w:r>
    </w:p>
    <w:p w14:paraId="43A2E9EF">
      <w:pPr>
        <w:pStyle w:val="28"/>
        <w:snapToGrid w:val="0"/>
        <w:spacing w:line="360" w:lineRule="auto"/>
        <w:ind w:firstLine="472" w:firstLineChars="196"/>
        <w:rPr>
          <w:rFonts w:hint="eastAsia" w:hAnsi="宋体" w:cs="宋体"/>
          <w:b/>
          <w:color w:val="000000"/>
          <w:sz w:val="24"/>
          <w:szCs w:val="24"/>
        </w:rPr>
      </w:pPr>
      <w:r>
        <w:rPr>
          <w:rFonts w:hint="eastAsia" w:hAnsi="宋体" w:cs="宋体"/>
          <w:b/>
          <w:color w:val="000000"/>
          <w:sz w:val="24"/>
          <w:szCs w:val="24"/>
        </w:rPr>
        <w:t>第十</w:t>
      </w:r>
      <w:r>
        <w:rPr>
          <w:rFonts w:hint="eastAsia" w:hAnsi="宋体" w:cs="宋体"/>
          <w:b/>
          <w:color w:val="000000"/>
          <w:sz w:val="24"/>
          <w:szCs w:val="24"/>
          <w:lang w:val="en-US" w:eastAsia="zh-CN"/>
        </w:rPr>
        <w:t>三</w:t>
      </w:r>
      <w:r>
        <w:rPr>
          <w:rFonts w:hint="eastAsia" w:hAnsi="宋体" w:cs="宋体"/>
          <w:b/>
          <w:color w:val="000000"/>
          <w:sz w:val="24"/>
          <w:szCs w:val="24"/>
        </w:rPr>
        <w:t>条  不可抗力事件处理</w:t>
      </w:r>
    </w:p>
    <w:p w14:paraId="3572F6AF">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1.在合同有效期内，任何一方因不可抗力事件导致不能履行合同，则合同履行期可延长，其延长期与不可抗力影响期相同。</w:t>
      </w:r>
    </w:p>
    <w:p w14:paraId="615DA451">
      <w:pPr>
        <w:pStyle w:val="28"/>
        <w:snapToGrid w:val="0"/>
        <w:spacing w:line="360" w:lineRule="auto"/>
        <w:ind w:firstLine="480" w:firstLineChars="200"/>
        <w:rPr>
          <w:rFonts w:hint="eastAsia" w:hAnsi="宋体" w:cs="宋体"/>
          <w:color w:val="000000"/>
          <w:sz w:val="24"/>
          <w:szCs w:val="24"/>
        </w:rPr>
      </w:pPr>
      <w:r>
        <w:rPr>
          <w:rFonts w:hint="eastAsia" w:hAnsi="宋体" w:cs="宋体"/>
          <w:color w:val="000000"/>
          <w:sz w:val="24"/>
          <w:szCs w:val="24"/>
        </w:rPr>
        <w:t>2.不可抗力事件发生后，应立即通知对方，并寄送有关权威机构出具的证明。</w:t>
      </w:r>
    </w:p>
    <w:p w14:paraId="14E7DF5C">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3.不可抗力事件延续一百二十天以上，双方应通过友好协商，确定是否继续履行合同。</w:t>
      </w:r>
    </w:p>
    <w:p w14:paraId="38FF0DB7">
      <w:pPr>
        <w:snapToGrid w:val="0"/>
        <w:spacing w:line="360" w:lineRule="auto"/>
        <w:ind w:firstLine="482" w:firstLineChars="200"/>
        <w:rPr>
          <w:rFonts w:hint="eastAsia" w:ascii="宋体" w:hAnsi="宋体" w:cs="宋体"/>
          <w:color w:val="000000"/>
          <w:sz w:val="24"/>
          <w:szCs w:val="24"/>
        </w:rPr>
      </w:pPr>
      <w:r>
        <w:rPr>
          <w:rFonts w:hint="eastAsia" w:ascii="宋体" w:hAnsi="宋体" w:cs="宋体"/>
          <w:b/>
          <w:color w:val="000000"/>
          <w:sz w:val="24"/>
          <w:szCs w:val="24"/>
        </w:rPr>
        <w:t>第十</w:t>
      </w:r>
      <w:r>
        <w:rPr>
          <w:rFonts w:hint="eastAsia" w:ascii="宋体" w:hAnsi="宋体" w:cs="宋体"/>
          <w:b/>
          <w:color w:val="000000"/>
          <w:sz w:val="24"/>
          <w:szCs w:val="24"/>
          <w:lang w:val="en-US" w:eastAsia="zh-CN"/>
        </w:rPr>
        <w:t>四</w:t>
      </w:r>
      <w:r>
        <w:rPr>
          <w:rFonts w:hint="eastAsia" w:ascii="宋体" w:hAnsi="宋体" w:cs="宋体"/>
          <w:b/>
          <w:color w:val="000000"/>
          <w:sz w:val="24"/>
          <w:szCs w:val="24"/>
        </w:rPr>
        <w:t>条  合同争议解决</w:t>
      </w:r>
    </w:p>
    <w:p w14:paraId="345F9CC9">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1.因货物质量问题发生争议的，应邀请国家认可的质量检测机构对货物质量进行鉴定。货物符合标准的，鉴定费由甲方承担；货物不符合标准的，鉴定费由乙方承担。</w:t>
      </w:r>
    </w:p>
    <w:p w14:paraId="55595924">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2.因履行本合同引起的或者与本合同有关的争议，甲乙双方应首先通过友好协商解决，如果协商不能解决，可向甲方所在地人民法院提起诉讼。</w:t>
      </w:r>
    </w:p>
    <w:p w14:paraId="5BFC444C">
      <w:pPr>
        <w:snapToGrid w:val="0"/>
        <w:spacing w:line="360" w:lineRule="auto"/>
        <w:ind w:left="-61" w:firstLine="514"/>
        <w:rPr>
          <w:rFonts w:hint="eastAsia" w:ascii="宋体" w:hAnsi="宋体" w:cs="宋体"/>
          <w:color w:val="000000"/>
          <w:sz w:val="24"/>
          <w:szCs w:val="24"/>
        </w:rPr>
      </w:pPr>
      <w:r>
        <w:rPr>
          <w:rFonts w:hint="eastAsia" w:ascii="宋体" w:hAnsi="宋体" w:cs="宋体"/>
          <w:color w:val="000000"/>
          <w:sz w:val="24"/>
          <w:szCs w:val="24"/>
        </w:rPr>
        <w:t>3.诉讼期间，本合同继续履行。</w:t>
      </w:r>
    </w:p>
    <w:p w14:paraId="5800126D">
      <w:pPr>
        <w:pStyle w:val="28"/>
        <w:snapToGrid w:val="0"/>
        <w:spacing w:line="360" w:lineRule="auto"/>
        <w:ind w:firstLine="472" w:firstLineChars="196"/>
        <w:rPr>
          <w:rFonts w:hint="eastAsia" w:hAnsi="宋体" w:cs="宋体"/>
          <w:b/>
          <w:color w:val="000000"/>
          <w:sz w:val="24"/>
          <w:szCs w:val="24"/>
        </w:rPr>
      </w:pPr>
      <w:r>
        <w:rPr>
          <w:rFonts w:hint="eastAsia" w:hAnsi="宋体" w:cs="宋体"/>
          <w:b/>
          <w:color w:val="000000"/>
          <w:sz w:val="24"/>
          <w:szCs w:val="24"/>
        </w:rPr>
        <w:t>第十</w:t>
      </w:r>
      <w:r>
        <w:rPr>
          <w:rFonts w:hint="eastAsia" w:hAnsi="宋体" w:cs="宋体"/>
          <w:b/>
          <w:color w:val="000000"/>
          <w:sz w:val="24"/>
          <w:szCs w:val="24"/>
          <w:lang w:val="en-US" w:eastAsia="zh-CN"/>
        </w:rPr>
        <w:t>五</w:t>
      </w:r>
      <w:r>
        <w:rPr>
          <w:rFonts w:hint="eastAsia" w:hAnsi="宋体" w:cs="宋体"/>
          <w:b/>
          <w:color w:val="000000"/>
          <w:sz w:val="24"/>
          <w:szCs w:val="24"/>
        </w:rPr>
        <w:t>条  合同生效</w:t>
      </w:r>
      <w:r>
        <w:rPr>
          <w:rFonts w:hint="eastAsia" w:hAnsi="宋体" w:cs="宋体"/>
          <w:b/>
          <w:color w:val="000000"/>
          <w:sz w:val="24"/>
          <w:szCs w:val="24"/>
          <w:lang w:eastAsia="zh-CN"/>
        </w:rPr>
        <w:t>及其他</w:t>
      </w:r>
    </w:p>
    <w:p w14:paraId="5FC1282F">
      <w:pPr>
        <w:pStyle w:val="28"/>
        <w:snapToGrid w:val="0"/>
        <w:spacing w:line="360" w:lineRule="auto"/>
        <w:ind w:firstLine="480" w:firstLineChars="200"/>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1. 合同经双方法定代表人</w:t>
      </w:r>
      <w:r>
        <w:rPr>
          <w:rFonts w:hint="eastAsia" w:hAnsi="宋体" w:cs="宋体"/>
          <w:color w:val="000000"/>
          <w:kern w:val="2"/>
          <w:sz w:val="24"/>
          <w:szCs w:val="24"/>
          <w:lang w:val="en-US" w:eastAsia="zh-CN" w:bidi="ar-SA"/>
        </w:rPr>
        <w:t>、经办人</w:t>
      </w:r>
      <w:r>
        <w:rPr>
          <w:rFonts w:hint="eastAsia" w:ascii="宋体" w:hAnsi="宋体" w:eastAsia="宋体" w:cs="宋体"/>
          <w:color w:val="000000"/>
          <w:kern w:val="2"/>
          <w:sz w:val="24"/>
          <w:szCs w:val="24"/>
          <w:lang w:val="en-US" w:eastAsia="zh-CN" w:bidi="ar-SA"/>
        </w:rPr>
        <w:t>签字并加盖单位公章后生效。</w:t>
      </w:r>
    </w:p>
    <w:p w14:paraId="64CC1BF3">
      <w:pPr>
        <w:pStyle w:val="28"/>
        <w:snapToGrid w:val="0"/>
        <w:spacing w:line="360" w:lineRule="auto"/>
        <w:ind w:firstLine="480" w:firstLineChars="200"/>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2.合同执行中涉及采购资金和采购内容修改或者补充的，须经财政部门审批，并</w:t>
      </w:r>
      <w:r>
        <w:rPr>
          <w:rFonts w:hint="eastAsia" w:hAnsi="宋体" w:cs="宋体"/>
          <w:color w:val="000000"/>
          <w:kern w:val="2"/>
          <w:sz w:val="24"/>
          <w:szCs w:val="24"/>
          <w:lang w:val="en-US" w:eastAsia="zh-CN" w:bidi="ar-SA"/>
        </w:rPr>
        <w:t>签订</w:t>
      </w:r>
      <w:r>
        <w:rPr>
          <w:rFonts w:hint="eastAsia" w:ascii="宋体" w:hAnsi="宋体" w:eastAsia="宋体" w:cs="宋体"/>
          <w:color w:val="000000"/>
          <w:kern w:val="2"/>
          <w:sz w:val="24"/>
          <w:szCs w:val="24"/>
          <w:lang w:val="en-US" w:eastAsia="zh-CN" w:bidi="ar-SA"/>
        </w:rPr>
        <w:t>书面补充协议报财政部门备案，方可作为主合同不可分割的一部分。</w:t>
      </w:r>
    </w:p>
    <w:p w14:paraId="56EED624">
      <w:pPr>
        <w:pStyle w:val="28"/>
        <w:snapToGrid w:val="0"/>
        <w:spacing w:line="360" w:lineRule="auto"/>
        <w:ind w:left="283" w:leftChars="135" w:firstLine="143"/>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2"/>
          <w:sz w:val="24"/>
          <w:szCs w:val="24"/>
          <w:lang w:val="en-US" w:eastAsia="zh-CN" w:bidi="ar-SA"/>
        </w:rPr>
        <w:t>3.本合同未尽事宜，遵照《中华人民共和国民法典》有关条文执行。</w:t>
      </w:r>
    </w:p>
    <w:p w14:paraId="35DF4024">
      <w:pPr>
        <w:snapToGrid w:val="0"/>
        <w:spacing w:line="360" w:lineRule="auto"/>
        <w:ind w:firstLine="482" w:firstLineChars="200"/>
        <w:rPr>
          <w:rFonts w:hint="eastAsia" w:ascii="宋体" w:hAnsi="宋体" w:cs="宋体"/>
          <w:b/>
          <w:color w:val="000000"/>
          <w:sz w:val="24"/>
          <w:szCs w:val="24"/>
        </w:rPr>
      </w:pPr>
      <w:r>
        <w:rPr>
          <w:rFonts w:hint="eastAsia" w:ascii="宋体" w:hAnsi="宋体" w:cs="宋体"/>
          <w:b/>
          <w:color w:val="000000"/>
          <w:sz w:val="24"/>
          <w:szCs w:val="24"/>
        </w:rPr>
        <w:t>第十</w:t>
      </w:r>
      <w:r>
        <w:rPr>
          <w:rFonts w:hint="eastAsia" w:ascii="宋体" w:hAnsi="宋体" w:cs="宋体"/>
          <w:b/>
          <w:color w:val="000000"/>
          <w:sz w:val="24"/>
          <w:szCs w:val="24"/>
          <w:lang w:val="en-US" w:eastAsia="zh-CN"/>
        </w:rPr>
        <w:t>六</w:t>
      </w:r>
      <w:r>
        <w:rPr>
          <w:rFonts w:hint="eastAsia" w:ascii="宋体" w:hAnsi="宋体" w:cs="宋体"/>
          <w:b/>
          <w:color w:val="000000"/>
          <w:sz w:val="24"/>
          <w:szCs w:val="24"/>
        </w:rPr>
        <w:t>条　合同的变更、终止与转让</w:t>
      </w:r>
    </w:p>
    <w:p w14:paraId="430960B0">
      <w:pPr>
        <w:snapToGrid w:val="0"/>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1.除《中华人民共和国政府采购法》第五十条规定的情形外，本合同一经签订，甲乙双方不得擅自变更、中止或者终止。</w:t>
      </w:r>
    </w:p>
    <w:p w14:paraId="7FCD0451">
      <w:pPr>
        <w:snapToGrid w:val="0"/>
        <w:spacing w:line="360" w:lineRule="auto"/>
        <w:ind w:left="-61" w:firstLine="514"/>
        <w:rPr>
          <w:rFonts w:hint="eastAsia" w:ascii="宋体" w:hAnsi="宋体" w:cs="宋体"/>
          <w:color w:val="000000"/>
          <w:sz w:val="24"/>
          <w:szCs w:val="24"/>
        </w:rPr>
      </w:pPr>
      <w:r>
        <w:rPr>
          <w:rFonts w:hint="eastAsia" w:ascii="宋体" w:hAnsi="宋体" w:cs="宋体"/>
          <w:color w:val="000000"/>
          <w:sz w:val="24"/>
          <w:szCs w:val="24"/>
        </w:rPr>
        <w:t>2.乙方不得擅自转让（无进口资格的供应商委托进口货物除外）其应履行的合同义务。</w:t>
      </w:r>
    </w:p>
    <w:p w14:paraId="46FB992C">
      <w:pPr>
        <w:snapToGrid w:val="0"/>
        <w:spacing w:line="360" w:lineRule="auto"/>
        <w:ind w:firstLine="482" w:firstLineChars="200"/>
        <w:rPr>
          <w:rFonts w:hint="eastAsia" w:ascii="宋体" w:hAnsi="宋体" w:cs="宋体"/>
          <w:b/>
          <w:color w:val="000000"/>
          <w:sz w:val="24"/>
          <w:szCs w:val="24"/>
        </w:rPr>
      </w:pPr>
      <w:r>
        <w:rPr>
          <w:rFonts w:hint="eastAsia" w:ascii="宋体" w:hAnsi="宋体" w:cs="宋体"/>
          <w:b/>
          <w:color w:val="000000"/>
          <w:sz w:val="24"/>
          <w:szCs w:val="24"/>
        </w:rPr>
        <w:t>第十</w:t>
      </w:r>
      <w:r>
        <w:rPr>
          <w:rFonts w:hint="eastAsia" w:ascii="宋体" w:hAnsi="宋体" w:cs="宋体"/>
          <w:b/>
          <w:color w:val="000000"/>
          <w:sz w:val="24"/>
          <w:szCs w:val="24"/>
          <w:lang w:val="en-US" w:eastAsia="zh-CN"/>
        </w:rPr>
        <w:t>七</w:t>
      </w:r>
      <w:r>
        <w:rPr>
          <w:rFonts w:hint="eastAsia" w:ascii="宋体" w:hAnsi="宋体" w:cs="宋体"/>
          <w:b/>
          <w:color w:val="000000"/>
          <w:sz w:val="24"/>
          <w:szCs w:val="24"/>
        </w:rPr>
        <w:t>条　</w:t>
      </w:r>
      <w:r>
        <w:rPr>
          <w:rFonts w:hint="eastAsia" w:ascii="宋体" w:hAnsi="宋体" w:cs="宋体"/>
          <w:b/>
          <w:bCs/>
          <w:color w:val="000000"/>
          <w:kern w:val="0"/>
          <w:sz w:val="24"/>
          <w:szCs w:val="24"/>
        </w:rPr>
        <w:t>本合同书与下列文件一起构成合同文件</w:t>
      </w:r>
    </w:p>
    <w:p w14:paraId="42762A60">
      <w:pPr>
        <w:pStyle w:val="28"/>
        <w:snapToGrid w:val="0"/>
        <w:spacing w:line="360" w:lineRule="auto"/>
        <w:ind w:left="420" w:leftChars="200"/>
        <w:rPr>
          <w:rFonts w:hint="eastAsia" w:hAnsi="宋体" w:cs="宋体"/>
          <w:color w:val="000000"/>
          <w:sz w:val="24"/>
          <w:szCs w:val="24"/>
        </w:rPr>
      </w:pPr>
      <w:r>
        <w:rPr>
          <w:rFonts w:hint="eastAsia" w:hAnsi="宋体" w:cs="宋体"/>
          <w:color w:val="000000"/>
          <w:sz w:val="24"/>
          <w:szCs w:val="24"/>
        </w:rPr>
        <w:t>1.</w:t>
      </w:r>
      <w:r>
        <w:rPr>
          <w:rFonts w:hint="eastAsia" w:hAnsi="宋体" w:cs="宋体"/>
          <w:color w:val="000000"/>
          <w:sz w:val="24"/>
          <w:szCs w:val="24"/>
          <w:lang w:val="en-US" w:eastAsia="zh-CN"/>
        </w:rPr>
        <w:t>中标</w:t>
      </w:r>
      <w:r>
        <w:rPr>
          <w:rFonts w:hint="eastAsia" w:hAnsi="宋体" w:cs="宋体"/>
          <w:color w:val="000000"/>
          <w:sz w:val="24"/>
          <w:szCs w:val="24"/>
        </w:rPr>
        <w:t>通知书；</w:t>
      </w:r>
    </w:p>
    <w:p w14:paraId="15379AAF">
      <w:pPr>
        <w:pStyle w:val="28"/>
        <w:snapToGrid w:val="0"/>
        <w:spacing w:line="360" w:lineRule="auto"/>
        <w:ind w:left="420" w:leftChars="200"/>
        <w:rPr>
          <w:rFonts w:hint="eastAsia" w:hAnsi="宋体" w:cs="宋体"/>
          <w:color w:val="000000"/>
          <w:sz w:val="24"/>
          <w:szCs w:val="24"/>
        </w:rPr>
      </w:pPr>
      <w:r>
        <w:rPr>
          <w:rFonts w:hint="eastAsia" w:hAnsi="宋体" w:cs="宋体"/>
          <w:color w:val="000000"/>
          <w:sz w:val="24"/>
          <w:szCs w:val="24"/>
        </w:rPr>
        <w:t>2.</w:t>
      </w:r>
      <w:r>
        <w:rPr>
          <w:rFonts w:hint="eastAsia" w:hAnsi="宋体" w:cs="宋体"/>
          <w:color w:val="000000"/>
          <w:sz w:val="24"/>
          <w:szCs w:val="24"/>
          <w:lang w:val="en-US" w:eastAsia="zh-CN"/>
        </w:rPr>
        <w:t>投</w:t>
      </w:r>
      <w:r>
        <w:rPr>
          <w:rFonts w:hint="eastAsia" w:hAnsi="宋体" w:cs="宋体"/>
          <w:color w:val="000000"/>
          <w:sz w:val="24"/>
          <w:szCs w:val="24"/>
        </w:rPr>
        <w:t>标声明书；</w:t>
      </w:r>
    </w:p>
    <w:p w14:paraId="08CDA9F4">
      <w:pPr>
        <w:pStyle w:val="28"/>
        <w:snapToGrid w:val="0"/>
        <w:spacing w:line="360" w:lineRule="auto"/>
        <w:ind w:left="420" w:leftChars="200"/>
        <w:rPr>
          <w:rFonts w:hint="eastAsia" w:hAnsi="宋体" w:cs="宋体"/>
          <w:color w:val="000000"/>
          <w:sz w:val="24"/>
          <w:szCs w:val="24"/>
        </w:rPr>
      </w:pPr>
      <w:r>
        <w:rPr>
          <w:rFonts w:hint="eastAsia" w:hAnsi="宋体" w:cs="宋体"/>
          <w:color w:val="000000"/>
          <w:sz w:val="24"/>
          <w:szCs w:val="24"/>
        </w:rPr>
        <w:t>3.商务要求偏离表和技术要求偏离表；</w:t>
      </w:r>
    </w:p>
    <w:p w14:paraId="0909CFF9">
      <w:pPr>
        <w:pStyle w:val="28"/>
        <w:snapToGrid w:val="0"/>
        <w:spacing w:line="360" w:lineRule="auto"/>
        <w:ind w:left="420" w:leftChars="200"/>
        <w:rPr>
          <w:rFonts w:hint="eastAsia" w:hAnsi="宋体" w:cs="宋体"/>
          <w:color w:val="000000"/>
          <w:sz w:val="24"/>
          <w:szCs w:val="24"/>
        </w:rPr>
      </w:pPr>
      <w:r>
        <w:rPr>
          <w:rFonts w:hint="eastAsia" w:hAnsi="宋体" w:cs="宋体"/>
          <w:color w:val="000000"/>
          <w:sz w:val="24"/>
          <w:szCs w:val="24"/>
        </w:rPr>
        <w:t>4.采购需求；</w:t>
      </w:r>
    </w:p>
    <w:p w14:paraId="7DC96372">
      <w:pPr>
        <w:pStyle w:val="28"/>
        <w:snapToGrid w:val="0"/>
        <w:spacing w:line="360" w:lineRule="auto"/>
        <w:ind w:left="420" w:leftChars="200"/>
        <w:rPr>
          <w:rFonts w:hint="eastAsia" w:hAnsi="宋体" w:cs="宋体"/>
          <w:color w:val="000000"/>
          <w:sz w:val="24"/>
          <w:szCs w:val="24"/>
        </w:rPr>
      </w:pPr>
      <w:r>
        <w:rPr>
          <w:rFonts w:hint="eastAsia" w:hAnsi="宋体" w:cs="宋体"/>
          <w:color w:val="000000"/>
          <w:sz w:val="24"/>
          <w:szCs w:val="24"/>
        </w:rPr>
        <w:t>5.报价表；</w:t>
      </w:r>
    </w:p>
    <w:p w14:paraId="53D88C29">
      <w:pPr>
        <w:pStyle w:val="28"/>
        <w:snapToGrid w:val="0"/>
        <w:spacing w:line="360" w:lineRule="auto"/>
        <w:ind w:left="420" w:leftChars="200"/>
        <w:rPr>
          <w:rFonts w:hint="eastAsia" w:hAnsi="宋体" w:cs="宋体"/>
          <w:color w:val="000000"/>
          <w:sz w:val="24"/>
          <w:szCs w:val="24"/>
        </w:rPr>
      </w:pPr>
      <w:r>
        <w:rPr>
          <w:rFonts w:hint="eastAsia" w:hAnsi="宋体" w:cs="宋体"/>
          <w:color w:val="000000"/>
          <w:sz w:val="24"/>
          <w:szCs w:val="24"/>
        </w:rPr>
        <w:t>6.其他合同文件。</w:t>
      </w:r>
    </w:p>
    <w:p w14:paraId="5B210BCF">
      <w:pPr>
        <w:pStyle w:val="28"/>
        <w:snapToGrid w:val="0"/>
        <w:spacing w:line="360" w:lineRule="auto"/>
        <w:ind w:firstLine="424" w:firstLineChars="177"/>
        <w:rPr>
          <w:rFonts w:hint="eastAsia" w:hAnsi="宋体" w:cs="宋体"/>
          <w:b/>
          <w:color w:val="000000"/>
          <w:sz w:val="24"/>
          <w:szCs w:val="24"/>
        </w:rPr>
      </w:pPr>
      <w:r>
        <w:rPr>
          <w:rFonts w:hint="eastAsia" w:hAnsi="宋体" w:cs="宋体"/>
          <w:color w:val="000000"/>
          <w:sz w:val="24"/>
          <w:szCs w:val="24"/>
        </w:rPr>
        <w:t>7.</w:t>
      </w:r>
      <w:r>
        <w:rPr>
          <w:rFonts w:hint="eastAsia" w:hAnsi="宋体" w:cs="宋体"/>
          <w:color w:val="000000"/>
          <w:sz w:val="24"/>
          <w:szCs w:val="24"/>
          <w:lang w:eastAsia="zh-CN"/>
        </w:rPr>
        <w:t xml:space="preserve"> 上述</w:t>
      </w:r>
      <w:r>
        <w:rPr>
          <w:rFonts w:hint="eastAsia" w:hAnsi="宋体" w:cs="宋体"/>
          <w:color w:val="000000"/>
          <w:sz w:val="24"/>
          <w:szCs w:val="24"/>
        </w:rPr>
        <w:t>合同文件互相补充和解释。如果合同文件之间存在矛盾或者不一致之处，以上述文件的排列顺序在先者为准。</w:t>
      </w:r>
    </w:p>
    <w:p w14:paraId="003A5ABD">
      <w:pPr>
        <w:snapToGrid w:val="0"/>
        <w:spacing w:line="360" w:lineRule="auto"/>
        <w:ind w:firstLine="482" w:firstLineChars="200"/>
        <w:rPr>
          <w:rFonts w:hint="eastAsia" w:ascii="宋体" w:hAnsi="宋体"/>
          <w:color w:val="000000"/>
          <w:sz w:val="24"/>
          <w:szCs w:val="24"/>
        </w:rPr>
      </w:pPr>
      <w:r>
        <w:rPr>
          <w:rFonts w:hint="eastAsia" w:ascii="宋体" w:hAnsi="宋体" w:cs="宋体"/>
          <w:b/>
          <w:color w:val="000000"/>
          <w:sz w:val="24"/>
          <w:szCs w:val="24"/>
          <w:lang w:eastAsia="zh-CN"/>
        </w:rPr>
        <w:t>第十八条</w:t>
      </w:r>
      <w:r>
        <w:rPr>
          <w:rFonts w:hint="eastAsia" w:ascii="宋体" w:hAnsi="宋体" w:cs="宋体"/>
          <w:b/>
          <w:color w:val="000000"/>
          <w:sz w:val="24"/>
          <w:szCs w:val="24"/>
        </w:rPr>
        <w:t>　</w:t>
      </w:r>
      <w:r>
        <w:rPr>
          <w:rFonts w:hint="eastAsia" w:ascii="宋体" w:hAnsi="宋体"/>
          <w:color w:val="000000"/>
          <w:sz w:val="24"/>
          <w:szCs w:val="24"/>
        </w:rPr>
        <w:t>本合同一式</w:t>
      </w:r>
      <w:r>
        <w:rPr>
          <w:rFonts w:hint="eastAsia" w:ascii="宋体" w:hAnsi="宋体"/>
          <w:color w:val="000000"/>
          <w:sz w:val="24"/>
          <w:szCs w:val="24"/>
          <w:lang w:val="en-US" w:eastAsia="zh-CN"/>
        </w:rPr>
        <w:t>六</w:t>
      </w:r>
      <w:r>
        <w:rPr>
          <w:rFonts w:hint="eastAsia" w:ascii="宋体" w:hAnsi="宋体"/>
          <w:color w:val="000000"/>
          <w:sz w:val="24"/>
          <w:szCs w:val="24"/>
        </w:rPr>
        <w:t>份，具有同等法律效力，财政部门（政府采购监管部门）、采购代理机构各一份，甲</w:t>
      </w:r>
      <w:r>
        <w:rPr>
          <w:rFonts w:hint="eastAsia" w:ascii="宋体" w:hAnsi="宋体"/>
          <w:color w:val="000000"/>
          <w:sz w:val="24"/>
          <w:szCs w:val="24"/>
          <w:lang w:val="en-US" w:eastAsia="zh-CN"/>
        </w:rPr>
        <w:t>方执三份，</w:t>
      </w:r>
      <w:r>
        <w:rPr>
          <w:rFonts w:hint="eastAsia" w:ascii="宋体" w:hAnsi="宋体"/>
          <w:color w:val="000000"/>
          <w:sz w:val="24"/>
          <w:szCs w:val="24"/>
        </w:rPr>
        <w:t>乙方</w:t>
      </w:r>
      <w:r>
        <w:rPr>
          <w:rFonts w:hint="eastAsia" w:ascii="宋体" w:hAnsi="宋体"/>
          <w:color w:val="000000"/>
          <w:sz w:val="24"/>
          <w:szCs w:val="24"/>
          <w:lang w:val="en-US" w:eastAsia="zh-CN"/>
        </w:rPr>
        <w:t>执</w:t>
      </w:r>
      <w:r>
        <w:rPr>
          <w:rFonts w:hint="eastAsia" w:ascii="宋体" w:hAnsi="宋体"/>
          <w:color w:val="000000"/>
          <w:sz w:val="24"/>
          <w:szCs w:val="24"/>
        </w:rPr>
        <w:t>一份。</w:t>
      </w:r>
    </w:p>
    <w:p w14:paraId="41DE888E">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本合同自签订之日起2个工作日内，甲方应当将采购合同在广西壮族自治区财政厅指定的媒体上公告。</w:t>
      </w:r>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6"/>
        <w:gridCol w:w="4517"/>
      </w:tblGrid>
      <w:tr w14:paraId="66BF3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516" w:type="dxa"/>
            <w:noWrap w:val="0"/>
            <w:vAlign w:val="center"/>
          </w:tcPr>
          <w:p w14:paraId="2FDD8374">
            <w:pPr>
              <w:snapToGrid w:val="0"/>
              <w:spacing w:line="360" w:lineRule="auto"/>
              <w:rPr>
                <w:rFonts w:hint="eastAsia" w:ascii="宋体" w:hAnsi="宋体"/>
                <w:color w:val="000000"/>
                <w:sz w:val="24"/>
                <w:szCs w:val="24"/>
              </w:rPr>
            </w:pPr>
            <w:r>
              <w:rPr>
                <w:rFonts w:hint="eastAsia" w:ascii="宋体" w:hAnsi="宋体"/>
                <w:color w:val="000000"/>
                <w:sz w:val="24"/>
                <w:szCs w:val="24"/>
              </w:rPr>
              <w:t>甲方（</w:t>
            </w:r>
            <w:r>
              <w:rPr>
                <w:rFonts w:hint="eastAsia" w:ascii="宋体" w:hAnsi="宋体"/>
                <w:color w:val="000000"/>
                <w:sz w:val="24"/>
                <w:szCs w:val="24"/>
                <w:lang w:val="en-US" w:eastAsia="zh-CN"/>
              </w:rPr>
              <w:t>盖</w:t>
            </w:r>
            <w:r>
              <w:rPr>
                <w:rFonts w:hint="eastAsia" w:ascii="宋体" w:hAnsi="宋体"/>
                <w:color w:val="000000"/>
                <w:sz w:val="24"/>
                <w:szCs w:val="24"/>
              </w:rPr>
              <w:t>章）</w:t>
            </w:r>
          </w:p>
          <w:p w14:paraId="6762CFD0">
            <w:pPr>
              <w:snapToGrid w:val="0"/>
              <w:spacing w:line="360" w:lineRule="auto"/>
              <w:rPr>
                <w:rFonts w:hint="eastAsia" w:ascii="宋体" w:hAnsi="宋体"/>
                <w:color w:val="000000"/>
                <w:sz w:val="24"/>
                <w:szCs w:val="24"/>
              </w:rPr>
            </w:pPr>
            <w:r>
              <w:rPr>
                <w:rFonts w:hint="eastAsia" w:ascii="宋体" w:hAnsi="宋体"/>
                <w:color w:val="000000"/>
                <w:sz w:val="24"/>
                <w:szCs w:val="24"/>
                <w:lang w:eastAsia="zh-CN"/>
              </w:rPr>
              <w:t>玉林市中西医结合骨科医院</w:t>
            </w:r>
            <w:r>
              <w:rPr>
                <w:rFonts w:hint="eastAsia" w:ascii="宋体" w:hAnsi="宋体"/>
                <w:color w:val="000000"/>
                <w:sz w:val="24"/>
                <w:szCs w:val="24"/>
              </w:rPr>
              <w:t xml:space="preserve">           </w:t>
            </w:r>
          </w:p>
          <w:p w14:paraId="4B56D4A5">
            <w:pPr>
              <w:snapToGrid w:val="0"/>
              <w:spacing w:line="360" w:lineRule="auto"/>
              <w:rPr>
                <w:rFonts w:hint="eastAsia" w:ascii="宋体" w:hAnsi="宋体"/>
                <w:color w:val="000000"/>
                <w:sz w:val="24"/>
                <w:szCs w:val="24"/>
              </w:rPr>
            </w:pPr>
          </w:p>
          <w:p w14:paraId="6949EA64">
            <w:pPr>
              <w:snapToGrid w:val="0"/>
              <w:spacing w:line="360" w:lineRule="auto"/>
              <w:ind w:firstLine="1080" w:firstLineChars="450"/>
              <w:jc w:val="right"/>
              <w:rPr>
                <w:rFonts w:hint="eastAsia" w:ascii="宋体" w:hAnsi="宋体"/>
                <w:color w:val="000000"/>
                <w:sz w:val="24"/>
                <w:szCs w:val="24"/>
              </w:rPr>
            </w:pPr>
            <w:r>
              <w:rPr>
                <w:rFonts w:hint="eastAsia" w:ascii="宋体" w:hAnsi="宋体"/>
                <w:color w:val="000000"/>
                <w:sz w:val="24"/>
                <w:szCs w:val="24"/>
              </w:rPr>
              <w:t>年   月   日</w:t>
            </w:r>
          </w:p>
        </w:tc>
        <w:tc>
          <w:tcPr>
            <w:tcW w:w="4517" w:type="dxa"/>
            <w:noWrap w:val="0"/>
            <w:vAlign w:val="center"/>
          </w:tcPr>
          <w:p w14:paraId="06B3ABF7">
            <w:pPr>
              <w:snapToGrid w:val="0"/>
              <w:spacing w:line="360" w:lineRule="auto"/>
              <w:rPr>
                <w:rFonts w:hint="eastAsia" w:ascii="宋体" w:hAnsi="宋体"/>
                <w:color w:val="000000"/>
                <w:sz w:val="24"/>
                <w:szCs w:val="24"/>
              </w:rPr>
            </w:pPr>
            <w:r>
              <w:rPr>
                <w:rFonts w:hint="eastAsia" w:ascii="宋体" w:hAnsi="宋体"/>
                <w:color w:val="000000"/>
                <w:sz w:val="24"/>
                <w:szCs w:val="24"/>
              </w:rPr>
              <w:t>乙方（</w:t>
            </w:r>
            <w:r>
              <w:rPr>
                <w:rFonts w:hint="eastAsia" w:ascii="宋体" w:hAnsi="宋体"/>
                <w:color w:val="000000"/>
                <w:sz w:val="24"/>
                <w:szCs w:val="24"/>
                <w:lang w:val="en-US" w:eastAsia="zh-CN"/>
              </w:rPr>
              <w:t>盖</w:t>
            </w:r>
            <w:r>
              <w:rPr>
                <w:rFonts w:hint="eastAsia" w:ascii="宋体" w:hAnsi="宋体"/>
                <w:color w:val="000000"/>
                <w:sz w:val="24"/>
                <w:szCs w:val="24"/>
              </w:rPr>
              <w:t>章）</w:t>
            </w:r>
          </w:p>
          <w:p w14:paraId="7B705794">
            <w:pPr>
              <w:snapToGrid w:val="0"/>
              <w:spacing w:line="360" w:lineRule="auto"/>
              <w:rPr>
                <w:rFonts w:hint="eastAsia" w:ascii="宋体" w:hAnsi="宋体"/>
                <w:color w:val="000000"/>
                <w:sz w:val="24"/>
                <w:szCs w:val="24"/>
              </w:rPr>
            </w:pPr>
            <w:r>
              <w:rPr>
                <w:rFonts w:hint="eastAsia" w:ascii="宋体" w:hAnsi="宋体"/>
                <w:color w:val="000000"/>
                <w:sz w:val="24"/>
                <w:szCs w:val="24"/>
              </w:rPr>
              <w:t xml:space="preserve">          </w:t>
            </w:r>
          </w:p>
          <w:p w14:paraId="3B337D72">
            <w:pPr>
              <w:snapToGrid w:val="0"/>
              <w:spacing w:line="360" w:lineRule="auto"/>
              <w:rPr>
                <w:rFonts w:hint="eastAsia" w:ascii="宋体" w:hAnsi="宋体"/>
                <w:color w:val="000000"/>
                <w:sz w:val="24"/>
                <w:szCs w:val="24"/>
              </w:rPr>
            </w:pPr>
          </w:p>
          <w:p w14:paraId="39BD6DD8">
            <w:pPr>
              <w:snapToGrid w:val="0"/>
              <w:spacing w:line="360" w:lineRule="auto"/>
              <w:jc w:val="right"/>
              <w:rPr>
                <w:rFonts w:hint="eastAsia" w:ascii="宋体" w:hAnsi="宋体"/>
                <w:color w:val="000000"/>
                <w:sz w:val="24"/>
                <w:szCs w:val="24"/>
              </w:rPr>
            </w:pPr>
            <w:r>
              <w:rPr>
                <w:rFonts w:hint="eastAsia" w:ascii="宋体" w:hAnsi="宋体"/>
                <w:color w:val="000000"/>
                <w:sz w:val="24"/>
                <w:szCs w:val="24"/>
              </w:rPr>
              <w:t xml:space="preserve"> 年   月   日</w:t>
            </w:r>
          </w:p>
        </w:tc>
      </w:tr>
      <w:tr w14:paraId="755C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jc w:val="center"/>
        </w:trPr>
        <w:tc>
          <w:tcPr>
            <w:tcW w:w="4516" w:type="dxa"/>
            <w:noWrap w:val="0"/>
            <w:vAlign w:val="center"/>
          </w:tcPr>
          <w:p w14:paraId="4084FAB5">
            <w:pPr>
              <w:snapToGrid w:val="0"/>
              <w:spacing w:line="360" w:lineRule="auto"/>
              <w:rPr>
                <w:rFonts w:hint="eastAsia" w:ascii="宋体" w:hAnsi="宋体"/>
                <w:color w:val="000000"/>
                <w:sz w:val="24"/>
                <w:szCs w:val="24"/>
              </w:rPr>
            </w:pPr>
            <w:r>
              <w:rPr>
                <w:rFonts w:hint="eastAsia" w:ascii="宋体" w:hAnsi="宋体"/>
                <w:color w:val="000000"/>
                <w:sz w:val="24"/>
                <w:szCs w:val="24"/>
              </w:rPr>
              <w:t>单位地址：</w:t>
            </w:r>
            <w:r>
              <w:rPr>
                <w:rFonts w:hint="eastAsia" w:ascii="宋体" w:hAnsi="宋体" w:eastAsia="宋体" w:cs="Times New Roman"/>
                <w:color w:val="000000"/>
                <w:szCs w:val="21"/>
                <w:lang w:val="en-US" w:eastAsia="zh-CN"/>
              </w:rPr>
              <w:t>玉林市玉州区文体北路70号</w:t>
            </w:r>
          </w:p>
        </w:tc>
        <w:tc>
          <w:tcPr>
            <w:tcW w:w="4517" w:type="dxa"/>
            <w:noWrap w:val="0"/>
            <w:vAlign w:val="center"/>
          </w:tcPr>
          <w:p w14:paraId="199130F8">
            <w:pPr>
              <w:snapToGrid w:val="0"/>
              <w:spacing w:line="360" w:lineRule="auto"/>
              <w:rPr>
                <w:rFonts w:hint="eastAsia" w:ascii="宋体" w:hAnsi="宋体" w:eastAsia="宋体"/>
                <w:color w:val="000000"/>
                <w:sz w:val="24"/>
                <w:szCs w:val="24"/>
                <w:lang w:eastAsia="zh-CN"/>
              </w:rPr>
            </w:pPr>
            <w:r>
              <w:rPr>
                <w:rFonts w:hint="eastAsia" w:ascii="宋体" w:hAnsi="宋体"/>
                <w:color w:val="000000"/>
                <w:sz w:val="24"/>
                <w:szCs w:val="24"/>
              </w:rPr>
              <w:t>单位地址：</w:t>
            </w:r>
          </w:p>
        </w:tc>
      </w:tr>
      <w:tr w14:paraId="0CD1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0" w:hRule="atLeast"/>
          <w:jc w:val="center"/>
        </w:trPr>
        <w:tc>
          <w:tcPr>
            <w:tcW w:w="4516" w:type="dxa"/>
            <w:noWrap w:val="0"/>
            <w:vAlign w:val="top"/>
          </w:tcPr>
          <w:p w14:paraId="3BC06C93">
            <w:pPr>
              <w:snapToGrid w:val="0"/>
              <w:spacing w:line="360" w:lineRule="auto"/>
              <w:rPr>
                <w:rFonts w:hint="eastAsia" w:ascii="宋体" w:hAnsi="宋体"/>
                <w:color w:val="000000"/>
                <w:sz w:val="24"/>
                <w:szCs w:val="24"/>
                <w:lang w:eastAsia="zh-CN"/>
              </w:rPr>
            </w:pPr>
            <w:r>
              <w:rPr>
                <w:rFonts w:hint="eastAsia" w:ascii="宋体" w:hAnsi="宋体"/>
                <w:color w:val="000000"/>
                <w:sz w:val="24"/>
                <w:szCs w:val="24"/>
              </w:rPr>
              <w:t>法定代表人</w:t>
            </w:r>
            <w:r>
              <w:rPr>
                <w:rFonts w:hint="eastAsia" w:ascii="宋体" w:hAnsi="宋体"/>
                <w:color w:val="000000"/>
                <w:sz w:val="24"/>
                <w:szCs w:val="24"/>
                <w:lang w:eastAsia="zh-CN"/>
              </w:rPr>
              <w:t>：</w:t>
            </w:r>
          </w:p>
          <w:p w14:paraId="24C1740F">
            <w:pPr>
              <w:pStyle w:val="2"/>
              <w:rPr>
                <w:rFonts w:hint="eastAsia"/>
                <w:lang w:eastAsia="zh-CN"/>
              </w:rPr>
            </w:pPr>
          </w:p>
          <w:p w14:paraId="5663253B">
            <w:pPr>
              <w:snapToGrid w:val="0"/>
              <w:spacing w:line="360" w:lineRule="auto"/>
              <w:rPr>
                <w:rFonts w:hint="eastAsia" w:ascii="宋体" w:hAnsi="宋体"/>
                <w:color w:val="000000"/>
                <w:sz w:val="24"/>
                <w:szCs w:val="24"/>
              </w:rPr>
            </w:pPr>
            <w:r>
              <w:rPr>
                <w:rFonts w:hint="eastAsia" w:ascii="宋体" w:hAnsi="宋体"/>
                <w:color w:val="000000"/>
                <w:sz w:val="24"/>
                <w:szCs w:val="24"/>
                <w:lang w:val="en-US" w:eastAsia="zh-CN"/>
              </w:rPr>
              <w:t>经办</w:t>
            </w:r>
            <w:r>
              <w:rPr>
                <w:rFonts w:hint="eastAsia" w:ascii="宋体" w:hAnsi="宋体"/>
                <w:color w:val="000000"/>
                <w:sz w:val="24"/>
                <w:szCs w:val="24"/>
              </w:rPr>
              <w:t>人：</w:t>
            </w:r>
          </w:p>
        </w:tc>
        <w:tc>
          <w:tcPr>
            <w:tcW w:w="4517" w:type="dxa"/>
            <w:noWrap w:val="0"/>
            <w:vAlign w:val="top"/>
          </w:tcPr>
          <w:p w14:paraId="46AD0896">
            <w:pPr>
              <w:snapToGrid w:val="0"/>
              <w:spacing w:line="360" w:lineRule="auto"/>
              <w:rPr>
                <w:rFonts w:hint="eastAsia" w:ascii="宋体" w:hAnsi="宋体"/>
                <w:color w:val="000000"/>
                <w:sz w:val="24"/>
                <w:szCs w:val="24"/>
                <w:lang w:eastAsia="zh-CN"/>
              </w:rPr>
            </w:pPr>
            <w:r>
              <w:rPr>
                <w:rFonts w:hint="eastAsia" w:ascii="宋体" w:hAnsi="宋体"/>
                <w:color w:val="000000"/>
                <w:sz w:val="24"/>
                <w:szCs w:val="24"/>
              </w:rPr>
              <w:t>法定代表人</w:t>
            </w:r>
            <w:r>
              <w:rPr>
                <w:rFonts w:hint="eastAsia" w:ascii="宋体" w:hAnsi="宋体"/>
                <w:color w:val="000000"/>
                <w:sz w:val="24"/>
                <w:szCs w:val="24"/>
                <w:lang w:eastAsia="zh-CN"/>
              </w:rPr>
              <w:t>：</w:t>
            </w:r>
          </w:p>
          <w:p w14:paraId="34B5523B">
            <w:pPr>
              <w:pStyle w:val="2"/>
              <w:rPr>
                <w:rFonts w:hint="eastAsia"/>
                <w:lang w:eastAsia="zh-CN"/>
              </w:rPr>
            </w:pPr>
          </w:p>
          <w:p w14:paraId="23E15C6B">
            <w:pPr>
              <w:snapToGrid w:val="0"/>
              <w:spacing w:line="360" w:lineRule="auto"/>
              <w:rPr>
                <w:rFonts w:hint="eastAsia" w:ascii="宋体" w:hAnsi="宋体"/>
                <w:color w:val="000000"/>
                <w:sz w:val="24"/>
                <w:szCs w:val="24"/>
              </w:rPr>
            </w:pPr>
            <w:r>
              <w:rPr>
                <w:rFonts w:hint="eastAsia" w:ascii="宋体" w:hAnsi="宋体"/>
                <w:color w:val="000000"/>
                <w:sz w:val="24"/>
                <w:szCs w:val="24"/>
                <w:lang w:val="en-US" w:eastAsia="zh-CN"/>
              </w:rPr>
              <w:t>经办</w:t>
            </w:r>
            <w:r>
              <w:rPr>
                <w:rFonts w:hint="eastAsia" w:ascii="宋体" w:hAnsi="宋体"/>
                <w:color w:val="000000"/>
                <w:sz w:val="24"/>
                <w:szCs w:val="24"/>
              </w:rPr>
              <w:t>人：</w:t>
            </w:r>
          </w:p>
        </w:tc>
      </w:tr>
      <w:tr w14:paraId="6084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4516" w:type="dxa"/>
            <w:noWrap w:val="0"/>
            <w:vAlign w:val="center"/>
          </w:tcPr>
          <w:p w14:paraId="7E1DB83A">
            <w:pPr>
              <w:snapToGrid w:val="0"/>
              <w:spacing w:line="360" w:lineRule="auto"/>
              <w:rPr>
                <w:rFonts w:hint="default" w:ascii="宋体" w:hAnsi="宋体" w:eastAsia="宋体"/>
                <w:color w:val="000000"/>
                <w:sz w:val="24"/>
                <w:szCs w:val="24"/>
                <w:lang w:val="en-US" w:eastAsia="zh-CN"/>
              </w:rPr>
            </w:pPr>
            <w:r>
              <w:rPr>
                <w:rFonts w:hint="eastAsia" w:ascii="宋体" w:hAnsi="宋体"/>
                <w:color w:val="000000"/>
                <w:sz w:val="24"/>
                <w:szCs w:val="24"/>
              </w:rPr>
              <w:t>电话：</w:t>
            </w:r>
            <w:r>
              <w:rPr>
                <w:rFonts w:hint="eastAsia" w:ascii="宋体" w:hAnsi="宋体" w:eastAsia="宋体" w:cs="Times New Roman"/>
                <w:color w:val="000000"/>
                <w:szCs w:val="21"/>
              </w:rPr>
              <w:t>0775-</w:t>
            </w:r>
            <w:r>
              <w:rPr>
                <w:rFonts w:hint="eastAsia" w:ascii="宋体" w:hAnsi="宋体" w:cs="Times New Roman"/>
                <w:color w:val="000000"/>
                <w:szCs w:val="21"/>
                <w:lang w:val="en-US" w:eastAsia="zh-CN"/>
              </w:rPr>
              <w:t>2824515</w:t>
            </w:r>
          </w:p>
        </w:tc>
        <w:tc>
          <w:tcPr>
            <w:tcW w:w="4517" w:type="dxa"/>
            <w:noWrap w:val="0"/>
            <w:vAlign w:val="center"/>
          </w:tcPr>
          <w:p w14:paraId="1D6C805F">
            <w:pPr>
              <w:snapToGrid w:val="0"/>
              <w:spacing w:line="360" w:lineRule="auto"/>
              <w:rPr>
                <w:rFonts w:hint="default" w:ascii="宋体" w:hAnsi="宋体" w:eastAsia="宋体"/>
                <w:color w:val="000000"/>
                <w:sz w:val="24"/>
                <w:szCs w:val="24"/>
                <w:lang w:val="en-US" w:eastAsia="zh-CN"/>
              </w:rPr>
            </w:pPr>
            <w:r>
              <w:rPr>
                <w:rFonts w:hint="eastAsia" w:ascii="宋体" w:hAnsi="宋体"/>
                <w:color w:val="000000"/>
                <w:sz w:val="24"/>
                <w:szCs w:val="24"/>
              </w:rPr>
              <w:t>电话：</w:t>
            </w:r>
          </w:p>
        </w:tc>
      </w:tr>
      <w:tr w14:paraId="684B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4516" w:type="dxa"/>
            <w:noWrap w:val="0"/>
            <w:vAlign w:val="center"/>
          </w:tcPr>
          <w:p w14:paraId="75ECE97D">
            <w:pPr>
              <w:snapToGrid w:val="0"/>
              <w:spacing w:line="360" w:lineRule="auto"/>
              <w:rPr>
                <w:rFonts w:hint="eastAsia" w:ascii="宋体" w:hAnsi="宋体"/>
                <w:color w:val="000000"/>
                <w:sz w:val="24"/>
                <w:szCs w:val="24"/>
              </w:rPr>
            </w:pPr>
            <w:r>
              <w:rPr>
                <w:rFonts w:hint="eastAsia" w:ascii="宋体" w:hAnsi="宋体"/>
                <w:color w:val="000000"/>
                <w:sz w:val="24"/>
                <w:szCs w:val="24"/>
              </w:rPr>
              <w:t>电子邮箱：</w:t>
            </w:r>
          </w:p>
        </w:tc>
        <w:tc>
          <w:tcPr>
            <w:tcW w:w="4517" w:type="dxa"/>
            <w:noWrap w:val="0"/>
            <w:vAlign w:val="center"/>
          </w:tcPr>
          <w:p w14:paraId="77A39EF4">
            <w:pPr>
              <w:snapToGrid w:val="0"/>
              <w:spacing w:line="360" w:lineRule="auto"/>
              <w:rPr>
                <w:rFonts w:hint="eastAsia" w:ascii="宋体" w:hAnsi="宋体"/>
                <w:color w:val="000000"/>
                <w:sz w:val="24"/>
                <w:szCs w:val="24"/>
              </w:rPr>
            </w:pPr>
            <w:r>
              <w:rPr>
                <w:rFonts w:hint="eastAsia" w:ascii="宋体" w:hAnsi="宋体"/>
                <w:color w:val="000000"/>
                <w:sz w:val="24"/>
                <w:szCs w:val="24"/>
              </w:rPr>
              <w:t>电子邮箱：</w:t>
            </w:r>
          </w:p>
        </w:tc>
      </w:tr>
      <w:tr w14:paraId="5EE4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4516" w:type="dxa"/>
            <w:noWrap w:val="0"/>
            <w:vAlign w:val="center"/>
          </w:tcPr>
          <w:p w14:paraId="57A19B63">
            <w:pPr>
              <w:snapToGrid w:val="0"/>
              <w:spacing w:line="360" w:lineRule="auto"/>
              <w:rPr>
                <w:rFonts w:hint="eastAsia" w:ascii="宋体" w:hAnsi="宋体"/>
                <w:color w:val="000000"/>
                <w:sz w:val="24"/>
                <w:szCs w:val="24"/>
              </w:rPr>
            </w:pPr>
            <w:r>
              <w:rPr>
                <w:rFonts w:hint="eastAsia" w:ascii="宋体" w:hAnsi="宋体"/>
                <w:color w:val="000000"/>
                <w:sz w:val="24"/>
                <w:szCs w:val="24"/>
              </w:rPr>
              <w:t>开户银行：中国建设银行玉林科技支行</w:t>
            </w:r>
          </w:p>
        </w:tc>
        <w:tc>
          <w:tcPr>
            <w:tcW w:w="4517" w:type="dxa"/>
            <w:noWrap w:val="0"/>
            <w:vAlign w:val="center"/>
          </w:tcPr>
          <w:p w14:paraId="0BB60965">
            <w:pPr>
              <w:snapToGrid w:val="0"/>
              <w:spacing w:line="360" w:lineRule="auto"/>
              <w:rPr>
                <w:rFonts w:hint="eastAsia" w:ascii="宋体" w:hAnsi="宋体" w:eastAsia="宋体"/>
                <w:color w:val="000000"/>
                <w:sz w:val="24"/>
                <w:szCs w:val="24"/>
                <w:lang w:eastAsia="zh-CN"/>
              </w:rPr>
            </w:pPr>
            <w:r>
              <w:rPr>
                <w:rFonts w:hint="eastAsia" w:ascii="宋体" w:hAnsi="宋体"/>
                <w:color w:val="000000"/>
                <w:sz w:val="24"/>
                <w:szCs w:val="24"/>
              </w:rPr>
              <w:t>开户银行：</w:t>
            </w:r>
          </w:p>
        </w:tc>
      </w:tr>
      <w:tr w14:paraId="6F03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jc w:val="center"/>
        </w:trPr>
        <w:tc>
          <w:tcPr>
            <w:tcW w:w="4516" w:type="dxa"/>
            <w:noWrap w:val="0"/>
            <w:vAlign w:val="center"/>
          </w:tcPr>
          <w:p w14:paraId="20A81A54">
            <w:pPr>
              <w:snapToGrid w:val="0"/>
              <w:spacing w:line="360" w:lineRule="auto"/>
              <w:rPr>
                <w:rFonts w:hint="eastAsia" w:ascii="宋体" w:hAnsi="宋体"/>
                <w:color w:val="000000"/>
                <w:sz w:val="24"/>
                <w:szCs w:val="24"/>
              </w:rPr>
            </w:pPr>
            <w:r>
              <w:rPr>
                <w:rFonts w:hint="eastAsia" w:ascii="宋体" w:hAnsi="宋体"/>
                <w:color w:val="000000"/>
                <w:sz w:val="24"/>
                <w:szCs w:val="24"/>
              </w:rPr>
              <w:t>账号：4500 1660 4500 5050 2460</w:t>
            </w:r>
          </w:p>
        </w:tc>
        <w:tc>
          <w:tcPr>
            <w:tcW w:w="4517" w:type="dxa"/>
            <w:noWrap w:val="0"/>
            <w:vAlign w:val="center"/>
          </w:tcPr>
          <w:p w14:paraId="2BFFE27A">
            <w:pPr>
              <w:snapToGrid w:val="0"/>
              <w:spacing w:line="360" w:lineRule="auto"/>
              <w:rPr>
                <w:rFonts w:hint="default" w:ascii="宋体" w:hAnsi="宋体" w:eastAsia="宋体"/>
                <w:color w:val="000000"/>
                <w:sz w:val="24"/>
                <w:szCs w:val="24"/>
                <w:lang w:val="en-US" w:eastAsia="zh-CN"/>
              </w:rPr>
            </w:pPr>
            <w:r>
              <w:rPr>
                <w:rFonts w:hint="eastAsia" w:ascii="宋体" w:hAnsi="宋体"/>
                <w:color w:val="000000"/>
                <w:sz w:val="24"/>
                <w:szCs w:val="24"/>
              </w:rPr>
              <w:t>账号：</w:t>
            </w:r>
          </w:p>
        </w:tc>
      </w:tr>
      <w:tr w14:paraId="1120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8" w:hRule="atLeast"/>
          <w:jc w:val="center"/>
        </w:trPr>
        <w:tc>
          <w:tcPr>
            <w:tcW w:w="4516" w:type="dxa"/>
            <w:noWrap w:val="0"/>
            <w:vAlign w:val="center"/>
          </w:tcPr>
          <w:p w14:paraId="6147508D">
            <w:pPr>
              <w:snapToGrid w:val="0"/>
              <w:spacing w:line="360" w:lineRule="auto"/>
              <w:rPr>
                <w:rFonts w:hint="default" w:ascii="宋体" w:hAnsi="宋体" w:eastAsia="宋体"/>
                <w:color w:val="000000"/>
                <w:sz w:val="24"/>
                <w:szCs w:val="24"/>
                <w:lang w:val="en-US" w:eastAsia="zh-CN"/>
              </w:rPr>
            </w:pPr>
            <w:r>
              <w:rPr>
                <w:rFonts w:hint="eastAsia" w:ascii="宋体" w:hAnsi="宋体"/>
                <w:color w:val="000000"/>
                <w:sz w:val="24"/>
                <w:szCs w:val="24"/>
              </w:rPr>
              <w:t>邮政编码：</w:t>
            </w:r>
            <w:r>
              <w:rPr>
                <w:rFonts w:hint="eastAsia" w:ascii="宋体" w:hAnsi="宋体"/>
                <w:color w:val="000000"/>
                <w:sz w:val="24"/>
                <w:szCs w:val="24"/>
                <w:lang w:val="en-US" w:eastAsia="zh-CN"/>
              </w:rPr>
              <w:t>537000</w:t>
            </w:r>
          </w:p>
        </w:tc>
        <w:tc>
          <w:tcPr>
            <w:tcW w:w="4517" w:type="dxa"/>
            <w:noWrap w:val="0"/>
            <w:vAlign w:val="center"/>
          </w:tcPr>
          <w:p w14:paraId="23ECAF80">
            <w:pPr>
              <w:snapToGrid w:val="0"/>
              <w:spacing w:line="360" w:lineRule="auto"/>
              <w:rPr>
                <w:rFonts w:hint="default" w:ascii="宋体" w:hAnsi="宋体" w:eastAsia="宋体"/>
                <w:color w:val="000000"/>
                <w:sz w:val="24"/>
                <w:szCs w:val="24"/>
                <w:lang w:val="en-US" w:eastAsia="zh-CN"/>
              </w:rPr>
            </w:pPr>
            <w:r>
              <w:rPr>
                <w:rFonts w:hint="eastAsia" w:ascii="宋体" w:hAnsi="宋体"/>
                <w:color w:val="000000"/>
                <w:sz w:val="24"/>
                <w:szCs w:val="24"/>
              </w:rPr>
              <w:t>邮政编码：</w:t>
            </w:r>
          </w:p>
        </w:tc>
      </w:tr>
    </w:tbl>
    <w:p w14:paraId="64C3D39A">
      <w:pPr>
        <w:snapToGrid w:val="0"/>
        <w:spacing w:line="360" w:lineRule="auto"/>
        <w:rPr>
          <w:rFonts w:hint="eastAsia" w:ascii="宋体" w:hAnsi="宋体"/>
          <w:color w:val="000000"/>
          <w:sz w:val="24"/>
          <w:szCs w:val="24"/>
        </w:rPr>
      </w:pPr>
    </w:p>
    <w:p w14:paraId="30177D74">
      <w:pPr>
        <w:pStyle w:val="22"/>
      </w:pPr>
    </w:p>
    <w:p w14:paraId="396E908C">
      <w:pPr>
        <w:widowControl/>
        <w:jc w:val="left"/>
        <w:rPr>
          <w:sz w:val="32"/>
          <w:szCs w:val="32"/>
        </w:rPr>
      </w:pPr>
    </w:p>
    <w:bookmarkEnd w:id="128"/>
    <w:bookmarkEnd w:id="129"/>
    <w:p w14:paraId="3CBF3ADB">
      <w:pPr>
        <w:rPr>
          <w:rFonts w:ascii="Times New Roman" w:hAnsi="Times New Roman" w:cs="Times New Roman"/>
          <w:sz w:val="32"/>
          <w:szCs w:val="32"/>
        </w:rPr>
      </w:pPr>
      <w:r>
        <w:rPr>
          <w:rFonts w:ascii="Times New Roman" w:hAnsi="Times New Roman" w:cs="Times New Roman"/>
          <w:sz w:val="32"/>
          <w:szCs w:val="32"/>
        </w:rPr>
        <w:br w:type="page"/>
      </w:r>
    </w:p>
    <w:p w14:paraId="71206B74">
      <w:pPr>
        <w:pStyle w:val="28"/>
        <w:snapToGrid w:val="0"/>
        <w:spacing w:before="120" w:after="120" w:line="320" w:lineRule="exact"/>
        <w:jc w:val="center"/>
        <w:outlineLvl w:val="0"/>
        <w:rPr>
          <w:rFonts w:ascii="Times New Roman" w:hAnsi="Times New Roman" w:cs="Times New Roman"/>
          <w:sz w:val="32"/>
          <w:szCs w:val="32"/>
        </w:rPr>
      </w:pPr>
      <w:bookmarkStart w:id="130" w:name="_Toc26273"/>
      <w:r>
        <w:rPr>
          <w:rFonts w:ascii="Times New Roman" w:hAnsi="Times New Roman" w:cs="Times New Roman"/>
          <w:sz w:val="32"/>
          <w:szCs w:val="32"/>
        </w:rPr>
        <w:t>第六章  投标文件格式</w:t>
      </w:r>
      <w:bookmarkEnd w:id="130"/>
    </w:p>
    <w:p w14:paraId="4B743FAC">
      <w:pPr>
        <w:rPr>
          <w:sz w:val="28"/>
          <w:szCs w:val="28"/>
        </w:rPr>
      </w:pPr>
    </w:p>
    <w:p w14:paraId="793E6CA0">
      <w:pPr>
        <w:rPr>
          <w:sz w:val="28"/>
          <w:szCs w:val="28"/>
        </w:rPr>
      </w:pPr>
    </w:p>
    <w:p w14:paraId="0EA9453E">
      <w:pPr>
        <w:spacing w:line="500" w:lineRule="exact"/>
        <w:ind w:firstLine="560" w:firstLineChars="200"/>
        <w:rPr>
          <w:sz w:val="28"/>
          <w:szCs w:val="28"/>
        </w:rPr>
      </w:pPr>
      <w:bookmarkStart w:id="131" w:name="_Hlk19114175"/>
      <w:r>
        <w:rPr>
          <w:rFonts w:hint="eastAsia"/>
          <w:sz w:val="28"/>
          <w:szCs w:val="28"/>
        </w:rPr>
        <w:t>注：有签字、盖章要求的应按要求</w:t>
      </w:r>
      <w:bookmarkStart w:id="132" w:name="_Hlk89032274"/>
      <w:r>
        <w:rPr>
          <w:rFonts w:hint="eastAsia"/>
          <w:sz w:val="28"/>
          <w:szCs w:val="28"/>
        </w:rPr>
        <w:t>签字（签章）、盖章（签章）</w:t>
      </w:r>
      <w:bookmarkEnd w:id="132"/>
      <w:r>
        <w:rPr>
          <w:rFonts w:hint="eastAsia"/>
          <w:sz w:val="28"/>
          <w:szCs w:val="28"/>
        </w:rPr>
        <w:t>。</w:t>
      </w:r>
    </w:p>
    <w:bookmarkEnd w:id="131"/>
    <w:p w14:paraId="25522A79">
      <w:pPr>
        <w:spacing w:line="500" w:lineRule="exact"/>
        <w:ind w:firstLine="480" w:firstLineChars="200"/>
        <w:rPr>
          <w:rFonts w:hint="eastAsia" w:ascii="宋体" w:hAnsi="宋体"/>
          <w:sz w:val="24"/>
        </w:rPr>
      </w:pPr>
    </w:p>
    <w:p w14:paraId="40DC364F">
      <w:pPr>
        <w:spacing w:line="500" w:lineRule="exact"/>
        <w:rPr>
          <w:bCs/>
          <w:sz w:val="24"/>
        </w:rPr>
      </w:pPr>
      <w:r>
        <w:rPr>
          <w:rFonts w:ascii="宋体" w:hAnsi="宋体"/>
          <w:sz w:val="24"/>
        </w:rPr>
        <w:br w:type="page"/>
      </w:r>
      <w:bookmarkEnd w:id="0"/>
      <w:bookmarkEnd w:id="1"/>
    </w:p>
    <w:p w14:paraId="5159DB8C">
      <w:pPr>
        <w:snapToGrid w:val="0"/>
        <w:spacing w:before="120" w:beforeLines="50" w:after="50" w:line="440" w:lineRule="exact"/>
        <w:jc w:val="left"/>
        <w:outlineLvl w:val="1"/>
        <w:rPr>
          <w:bCs/>
          <w:sz w:val="24"/>
        </w:rPr>
      </w:pPr>
      <w:r>
        <w:rPr>
          <w:bCs/>
          <w:sz w:val="24"/>
        </w:rPr>
        <w:t>1．投标文件封面参考格式</w:t>
      </w:r>
      <w:bookmarkStart w:id="133" w:name="_Hlk92966991"/>
      <w:r>
        <w:rPr>
          <w:rFonts w:hint="eastAsia"/>
          <w:bCs/>
          <w:sz w:val="24"/>
        </w:rPr>
        <w:t>（资格证明文件）</w:t>
      </w:r>
      <w:bookmarkEnd w:id="133"/>
      <w:r>
        <w:rPr>
          <w:bCs/>
          <w:sz w:val="24"/>
        </w:rPr>
        <w:t xml:space="preserve">： </w:t>
      </w:r>
    </w:p>
    <w:p w14:paraId="4CA46232">
      <w:pPr>
        <w:snapToGrid w:val="0"/>
        <w:spacing w:before="120" w:beforeLines="50" w:after="50" w:line="360" w:lineRule="exact"/>
        <w:rPr>
          <w:sz w:val="24"/>
        </w:rPr>
      </w:pPr>
    </w:p>
    <w:p w14:paraId="485D2EA3">
      <w:pPr>
        <w:snapToGrid w:val="0"/>
        <w:spacing w:before="120" w:beforeLines="50" w:after="50" w:line="360" w:lineRule="exact"/>
        <w:jc w:val="center"/>
        <w:rPr>
          <w:bCs/>
          <w:sz w:val="24"/>
        </w:rPr>
      </w:pPr>
    </w:p>
    <w:p w14:paraId="50F62142">
      <w:pPr>
        <w:snapToGrid w:val="0"/>
        <w:spacing w:before="120" w:beforeLines="50" w:after="50" w:line="360" w:lineRule="exact"/>
        <w:jc w:val="center"/>
        <w:rPr>
          <w:b/>
          <w:bCs/>
          <w:sz w:val="44"/>
          <w:szCs w:val="44"/>
        </w:rPr>
      </w:pPr>
      <w:r>
        <w:rPr>
          <w:rFonts w:hint="eastAsia"/>
          <w:b/>
          <w:bCs/>
          <w:sz w:val="44"/>
          <w:szCs w:val="44"/>
        </w:rPr>
        <w:t>电子</w:t>
      </w:r>
      <w:r>
        <w:rPr>
          <w:b/>
          <w:bCs/>
          <w:sz w:val="44"/>
          <w:szCs w:val="44"/>
        </w:rPr>
        <w:t>投标文件</w:t>
      </w:r>
    </w:p>
    <w:p w14:paraId="74F7353D">
      <w:pPr>
        <w:snapToGrid w:val="0"/>
        <w:spacing w:before="120" w:beforeLines="50" w:after="50" w:line="360" w:lineRule="exact"/>
        <w:jc w:val="center"/>
        <w:rPr>
          <w:b/>
          <w:bCs/>
          <w:sz w:val="44"/>
          <w:szCs w:val="44"/>
        </w:rPr>
      </w:pPr>
    </w:p>
    <w:p w14:paraId="22E64F5D">
      <w:pPr>
        <w:snapToGrid w:val="0"/>
        <w:spacing w:before="120" w:beforeLines="50" w:after="50" w:line="360" w:lineRule="exact"/>
        <w:jc w:val="center"/>
        <w:rPr>
          <w:b/>
          <w:bCs/>
          <w:sz w:val="44"/>
          <w:szCs w:val="44"/>
        </w:rPr>
      </w:pPr>
    </w:p>
    <w:p w14:paraId="5EAFA673">
      <w:pPr>
        <w:snapToGrid w:val="0"/>
        <w:spacing w:before="120" w:beforeLines="50" w:after="50" w:line="360" w:lineRule="exact"/>
        <w:jc w:val="center"/>
        <w:rPr>
          <w:b/>
          <w:bCs/>
          <w:sz w:val="44"/>
          <w:szCs w:val="44"/>
        </w:rPr>
      </w:pPr>
      <w:bookmarkStart w:id="134" w:name="_Hlk92967018"/>
      <w:r>
        <w:rPr>
          <w:b/>
          <w:bCs/>
          <w:sz w:val="44"/>
          <w:szCs w:val="44"/>
        </w:rPr>
        <w:t>资格</w:t>
      </w:r>
      <w:r>
        <w:rPr>
          <w:rFonts w:hint="eastAsia"/>
          <w:b/>
          <w:bCs/>
          <w:sz w:val="44"/>
          <w:szCs w:val="44"/>
        </w:rPr>
        <w:t>证明文件</w:t>
      </w:r>
    </w:p>
    <w:bookmarkEnd w:id="134"/>
    <w:p w14:paraId="76A06558">
      <w:pPr>
        <w:snapToGrid w:val="0"/>
        <w:spacing w:before="120" w:beforeLines="50" w:after="50" w:line="360" w:lineRule="exact"/>
        <w:rPr>
          <w:bCs/>
          <w:sz w:val="24"/>
        </w:rPr>
      </w:pPr>
    </w:p>
    <w:p w14:paraId="55718783">
      <w:pPr>
        <w:snapToGrid w:val="0"/>
        <w:spacing w:before="120" w:beforeLines="50" w:after="50" w:line="360" w:lineRule="exact"/>
        <w:rPr>
          <w:bCs/>
          <w:sz w:val="24"/>
        </w:rPr>
      </w:pPr>
    </w:p>
    <w:p w14:paraId="7635960C">
      <w:pPr>
        <w:snapToGrid w:val="0"/>
        <w:spacing w:before="120" w:beforeLines="50" w:after="50" w:line="360" w:lineRule="exact"/>
        <w:rPr>
          <w:bCs/>
          <w:sz w:val="24"/>
        </w:rPr>
      </w:pPr>
    </w:p>
    <w:p w14:paraId="62F1168B">
      <w:pPr>
        <w:snapToGrid w:val="0"/>
        <w:spacing w:before="120" w:beforeLines="50" w:after="50" w:line="360" w:lineRule="exact"/>
        <w:ind w:firstLine="720" w:firstLineChars="300"/>
        <w:rPr>
          <w:bCs/>
          <w:sz w:val="24"/>
        </w:rPr>
      </w:pPr>
      <w:r>
        <w:rPr>
          <w:bCs/>
          <w:sz w:val="24"/>
        </w:rPr>
        <w:t xml:space="preserve">项目名称： </w:t>
      </w:r>
    </w:p>
    <w:p w14:paraId="6E618778">
      <w:pPr>
        <w:snapToGrid w:val="0"/>
        <w:spacing w:before="120" w:beforeLines="50" w:after="50" w:line="360" w:lineRule="exact"/>
        <w:ind w:firstLine="720" w:firstLineChars="300"/>
        <w:rPr>
          <w:bCs/>
          <w:sz w:val="24"/>
        </w:rPr>
      </w:pPr>
      <w:r>
        <w:rPr>
          <w:bCs/>
          <w:sz w:val="24"/>
        </w:rPr>
        <w:t>项目编号：</w:t>
      </w:r>
    </w:p>
    <w:p w14:paraId="6C63DBE4">
      <w:pPr>
        <w:snapToGrid w:val="0"/>
        <w:spacing w:before="120" w:beforeLines="50" w:after="50" w:line="360" w:lineRule="exact"/>
        <w:ind w:firstLine="720" w:firstLineChars="300"/>
        <w:rPr>
          <w:bCs/>
          <w:sz w:val="24"/>
        </w:rPr>
      </w:pPr>
      <w:r>
        <w:rPr>
          <w:bCs/>
          <w:sz w:val="24"/>
        </w:rPr>
        <w:t>分标号：（若无</w:t>
      </w:r>
      <w:r>
        <w:rPr>
          <w:rFonts w:hint="eastAsia"/>
          <w:bCs/>
          <w:sz w:val="24"/>
        </w:rPr>
        <w:t>留空或写</w:t>
      </w:r>
      <w:r>
        <w:rPr>
          <w:bCs/>
          <w:sz w:val="24"/>
        </w:rPr>
        <w:t>“/”）</w:t>
      </w:r>
    </w:p>
    <w:p w14:paraId="12A057F9">
      <w:pPr>
        <w:snapToGrid w:val="0"/>
        <w:spacing w:before="120" w:beforeLines="50" w:after="50" w:line="360" w:lineRule="exact"/>
        <w:ind w:firstLine="720" w:firstLineChars="300"/>
        <w:rPr>
          <w:bCs/>
          <w:sz w:val="24"/>
        </w:rPr>
      </w:pPr>
      <w:r>
        <w:rPr>
          <w:bCs/>
          <w:sz w:val="24"/>
        </w:rPr>
        <w:t>供应商名称：</w:t>
      </w:r>
    </w:p>
    <w:p w14:paraId="10D854B3">
      <w:pPr>
        <w:snapToGrid w:val="0"/>
        <w:spacing w:before="120" w:beforeLines="50" w:after="50" w:line="360" w:lineRule="exact"/>
        <w:ind w:firstLine="720" w:firstLineChars="300"/>
        <w:rPr>
          <w:bCs/>
          <w:sz w:val="24"/>
        </w:rPr>
      </w:pPr>
      <w:r>
        <w:rPr>
          <w:bCs/>
          <w:sz w:val="24"/>
        </w:rPr>
        <w:t>供应商地址：</w:t>
      </w:r>
    </w:p>
    <w:p w14:paraId="61FB685B">
      <w:pPr>
        <w:pStyle w:val="10"/>
        <w:snapToGrid w:val="0"/>
        <w:spacing w:before="50" w:after="50" w:line="360" w:lineRule="exact"/>
        <w:ind w:firstLine="960" w:firstLineChars="400"/>
        <w:rPr>
          <w:bCs/>
          <w:sz w:val="24"/>
          <w:szCs w:val="24"/>
        </w:rPr>
      </w:pPr>
    </w:p>
    <w:p w14:paraId="56734E9A">
      <w:pPr>
        <w:snapToGrid w:val="0"/>
        <w:spacing w:before="120" w:beforeLines="50" w:after="50" w:line="360" w:lineRule="exact"/>
        <w:jc w:val="center"/>
        <w:rPr>
          <w:sz w:val="24"/>
        </w:rPr>
      </w:pPr>
      <w:r>
        <w:rPr>
          <w:sz w:val="24"/>
        </w:rPr>
        <w:t xml:space="preserve">                        年  月  日</w:t>
      </w:r>
    </w:p>
    <w:p w14:paraId="68B64C7E">
      <w:bookmarkStart w:id="135" w:name="_Toc254970698"/>
      <w:bookmarkStart w:id="136" w:name="_Toc254970557"/>
      <w:r>
        <w:br w:type="page"/>
      </w:r>
      <w:bookmarkEnd w:id="135"/>
      <w:bookmarkEnd w:id="136"/>
      <w:r>
        <w:rPr>
          <w:b/>
          <w:bCs/>
        </w:rPr>
        <w:t xml:space="preserve"> </w:t>
      </w:r>
    </w:p>
    <w:p w14:paraId="0AF6F105">
      <w:pPr>
        <w:snapToGrid w:val="0"/>
        <w:spacing w:before="50" w:after="50" w:line="440" w:lineRule="exact"/>
        <w:ind w:firstLine="138" w:firstLineChars="49"/>
        <w:jc w:val="center"/>
        <w:rPr>
          <w:b/>
          <w:sz w:val="28"/>
          <w:szCs w:val="28"/>
        </w:rPr>
      </w:pPr>
      <w:r>
        <w:rPr>
          <w:b/>
          <w:sz w:val="28"/>
          <w:szCs w:val="28"/>
        </w:rPr>
        <w:t>目录</w:t>
      </w:r>
    </w:p>
    <w:p w14:paraId="7A8CAC0F">
      <w:pPr>
        <w:snapToGrid w:val="0"/>
        <w:spacing w:before="50" w:after="50" w:line="440" w:lineRule="exact"/>
        <w:ind w:firstLine="118" w:firstLineChars="49"/>
        <w:jc w:val="center"/>
        <w:rPr>
          <w:b/>
          <w:sz w:val="24"/>
        </w:rPr>
      </w:pPr>
      <w:r>
        <w:rPr>
          <w:b/>
          <w:sz w:val="24"/>
        </w:rPr>
        <w:t>（应有页码）</w:t>
      </w:r>
    </w:p>
    <w:p w14:paraId="61EF468D">
      <w:pPr>
        <w:snapToGrid w:val="0"/>
        <w:spacing w:before="50" w:after="50" w:line="440" w:lineRule="exact"/>
        <w:ind w:firstLine="118" w:firstLineChars="49"/>
        <w:jc w:val="center"/>
        <w:rPr>
          <w:b/>
          <w:sz w:val="24"/>
        </w:rPr>
      </w:pPr>
      <w:r>
        <w:rPr>
          <w:b/>
          <w:sz w:val="24"/>
        </w:rPr>
        <w:br w:type="page"/>
      </w:r>
    </w:p>
    <w:p w14:paraId="0EE96A9D">
      <w:pPr>
        <w:snapToGrid w:val="0"/>
        <w:spacing w:before="50" w:after="50" w:line="440" w:lineRule="exact"/>
        <w:jc w:val="left"/>
        <w:rPr>
          <w:b/>
          <w:szCs w:val="21"/>
        </w:rPr>
      </w:pPr>
      <w:bookmarkStart w:id="137" w:name="_Hlk19114217"/>
      <w:r>
        <w:rPr>
          <w:b/>
          <w:szCs w:val="21"/>
        </w:rPr>
        <w:t>1．投标声明书格式：</w:t>
      </w:r>
    </w:p>
    <w:p w14:paraId="04E58CD9">
      <w:pPr>
        <w:snapToGrid w:val="0"/>
        <w:spacing w:before="120" w:beforeLines="50" w:after="50" w:line="360" w:lineRule="exact"/>
        <w:jc w:val="center"/>
        <w:rPr>
          <w:b/>
          <w:szCs w:val="21"/>
        </w:rPr>
      </w:pPr>
    </w:p>
    <w:p w14:paraId="2ED6C6F6">
      <w:pPr>
        <w:snapToGrid w:val="0"/>
        <w:spacing w:before="120" w:beforeLines="50" w:after="50" w:line="360" w:lineRule="exact"/>
        <w:jc w:val="center"/>
        <w:rPr>
          <w:b/>
          <w:szCs w:val="21"/>
        </w:rPr>
      </w:pPr>
      <w:r>
        <w:rPr>
          <w:b/>
          <w:szCs w:val="21"/>
        </w:rPr>
        <w:t>投标声明书</w:t>
      </w:r>
    </w:p>
    <w:p w14:paraId="02316F9C">
      <w:pPr>
        <w:snapToGrid w:val="0"/>
        <w:spacing w:before="120" w:beforeLines="50" w:after="50" w:line="360" w:lineRule="exact"/>
        <w:jc w:val="center"/>
        <w:rPr>
          <w:szCs w:val="21"/>
        </w:rPr>
      </w:pPr>
    </w:p>
    <w:p w14:paraId="7E74C89B">
      <w:pPr>
        <w:snapToGrid w:val="0"/>
        <w:spacing w:before="120" w:beforeLines="50" w:after="50" w:line="360" w:lineRule="exact"/>
        <w:rPr>
          <w:i w:val="0"/>
          <w:iCs w:val="0"/>
          <w:szCs w:val="21"/>
        </w:rPr>
      </w:pPr>
      <w:r>
        <w:rPr>
          <w:szCs w:val="21"/>
        </w:rPr>
        <w:t>致</w:t>
      </w:r>
      <w:r>
        <w:rPr>
          <w:i w:val="0"/>
          <w:iCs w:val="0"/>
          <w:szCs w:val="21"/>
        </w:rPr>
        <w:t>：</w:t>
      </w:r>
      <w:r>
        <w:rPr>
          <w:i w:val="0"/>
          <w:iCs w:val="0"/>
          <w:szCs w:val="21"/>
          <w:u w:val="single"/>
        </w:rPr>
        <w:t>（采购</w:t>
      </w:r>
      <w:r>
        <w:rPr>
          <w:rFonts w:hint="eastAsia"/>
          <w:i w:val="0"/>
          <w:iCs w:val="0"/>
          <w:szCs w:val="21"/>
          <w:u w:val="single"/>
        </w:rPr>
        <w:t>人</w:t>
      </w:r>
      <w:r>
        <w:rPr>
          <w:i w:val="0"/>
          <w:iCs w:val="0"/>
          <w:szCs w:val="21"/>
          <w:u w:val="single"/>
        </w:rPr>
        <w:t>名称）</w:t>
      </w:r>
      <w:r>
        <w:rPr>
          <w:i w:val="0"/>
          <w:iCs w:val="0"/>
          <w:szCs w:val="21"/>
        </w:rPr>
        <w:t>：</w:t>
      </w:r>
    </w:p>
    <w:p w14:paraId="33C26FAF">
      <w:pPr>
        <w:snapToGrid w:val="0"/>
        <w:spacing w:before="120" w:beforeLines="50" w:after="50" w:line="360" w:lineRule="exact"/>
        <w:ind w:firstLine="630" w:firstLineChars="300"/>
        <w:rPr>
          <w:i w:val="0"/>
          <w:iCs w:val="0"/>
          <w:szCs w:val="21"/>
        </w:rPr>
      </w:pPr>
      <w:r>
        <w:rPr>
          <w:i w:val="0"/>
          <w:iCs w:val="0"/>
          <w:szCs w:val="21"/>
          <w:u w:val="single"/>
        </w:rPr>
        <w:t>（供应商名称）</w:t>
      </w:r>
      <w:r>
        <w:rPr>
          <w:i w:val="0"/>
          <w:iCs w:val="0"/>
          <w:szCs w:val="21"/>
        </w:rPr>
        <w:t>系中华人民共和国合法企业，</w:t>
      </w:r>
      <w:r>
        <w:rPr>
          <w:rFonts w:hint="eastAsia"/>
          <w:i w:val="0"/>
          <w:iCs w:val="0"/>
          <w:szCs w:val="21"/>
          <w:u w:val="single"/>
        </w:rPr>
        <w:t xml:space="preserve"> </w:t>
      </w:r>
      <w:r>
        <w:rPr>
          <w:i w:val="0"/>
          <w:iCs w:val="0"/>
          <w:szCs w:val="21"/>
          <w:u w:val="single"/>
        </w:rPr>
        <w:t xml:space="preserve"> </w:t>
      </w:r>
      <w:r>
        <w:rPr>
          <w:rFonts w:hint="eastAsia"/>
          <w:i w:val="0"/>
          <w:iCs w:val="0"/>
          <w:szCs w:val="21"/>
          <w:u w:val="single"/>
        </w:rPr>
        <w:t>（</w:t>
      </w:r>
      <w:r>
        <w:rPr>
          <w:i w:val="0"/>
          <w:iCs w:val="0"/>
          <w:szCs w:val="21"/>
          <w:u w:val="single"/>
        </w:rPr>
        <w:t>经营地址</w:t>
      </w:r>
      <w:r>
        <w:rPr>
          <w:rFonts w:hint="eastAsia"/>
          <w:i w:val="0"/>
          <w:iCs w:val="0"/>
          <w:szCs w:val="21"/>
          <w:u w:val="single"/>
        </w:rPr>
        <w:t xml:space="preserve">） </w:t>
      </w:r>
      <w:r>
        <w:rPr>
          <w:i w:val="0"/>
          <w:iCs w:val="0"/>
          <w:szCs w:val="21"/>
          <w:u w:val="single"/>
        </w:rPr>
        <w:t xml:space="preserve">  </w:t>
      </w:r>
      <w:r>
        <w:rPr>
          <w:i w:val="0"/>
          <w:iCs w:val="0"/>
          <w:szCs w:val="21"/>
        </w:rPr>
        <w:t>。</w:t>
      </w:r>
    </w:p>
    <w:p w14:paraId="2DA5ACBE">
      <w:pPr>
        <w:snapToGrid w:val="0"/>
        <w:spacing w:before="120" w:beforeLines="50" w:after="50" w:line="360" w:lineRule="exact"/>
        <w:ind w:firstLine="645"/>
        <w:rPr>
          <w:szCs w:val="21"/>
        </w:rPr>
      </w:pPr>
      <w:r>
        <w:rPr>
          <w:i w:val="0"/>
          <w:iCs w:val="0"/>
          <w:szCs w:val="21"/>
        </w:rPr>
        <w:t>我</w:t>
      </w:r>
      <w:r>
        <w:rPr>
          <w:i w:val="0"/>
          <w:iCs w:val="0"/>
          <w:szCs w:val="21"/>
          <w:u w:val="single"/>
        </w:rPr>
        <w:t>（姓名）</w:t>
      </w:r>
      <w:r>
        <w:rPr>
          <w:rFonts w:hint="eastAsia"/>
          <w:i w:val="0"/>
          <w:iCs w:val="0"/>
          <w:szCs w:val="21"/>
          <w:u w:val="single"/>
        </w:rPr>
        <w:t xml:space="preserve"> </w:t>
      </w:r>
      <w:r>
        <w:rPr>
          <w:i w:val="0"/>
          <w:iCs w:val="0"/>
          <w:szCs w:val="21"/>
        </w:rPr>
        <w:t>系</w:t>
      </w:r>
      <w:r>
        <w:rPr>
          <w:i w:val="0"/>
          <w:iCs w:val="0"/>
          <w:szCs w:val="21"/>
          <w:u w:val="single"/>
        </w:rPr>
        <w:t>（供应商名称）</w:t>
      </w:r>
      <w:r>
        <w:rPr>
          <w:i w:val="0"/>
          <w:iCs w:val="0"/>
          <w:szCs w:val="21"/>
        </w:rPr>
        <w:t>的法定代表人，我方愿意参加贵方组织的</w:t>
      </w:r>
      <w:r>
        <w:rPr>
          <w:rFonts w:hint="eastAsia"/>
          <w:i w:val="0"/>
          <w:iCs w:val="0"/>
          <w:szCs w:val="21"/>
        </w:rPr>
        <w:t xml:space="preserve"> </w:t>
      </w:r>
      <w:r>
        <w:rPr>
          <w:rFonts w:hint="eastAsia"/>
          <w:i w:val="0"/>
          <w:iCs w:val="0"/>
          <w:szCs w:val="21"/>
          <w:u w:val="single"/>
        </w:rPr>
        <w:t xml:space="preserve">（项目名称） </w:t>
      </w:r>
      <w:r>
        <w:rPr>
          <w:i w:val="0"/>
          <w:iCs w:val="0"/>
          <w:szCs w:val="21"/>
        </w:rPr>
        <w:t>项目的投标，为便于贵方公正、择优地确定中标人及其投标产品和服务，我方就本次投标有关事项郑重</w:t>
      </w:r>
      <w:r>
        <w:rPr>
          <w:szCs w:val="21"/>
        </w:rPr>
        <w:t>声明如下：</w:t>
      </w:r>
    </w:p>
    <w:p w14:paraId="52008B1A">
      <w:pPr>
        <w:snapToGrid w:val="0"/>
        <w:spacing w:before="120" w:beforeLines="50" w:line="360" w:lineRule="exact"/>
        <w:ind w:firstLine="420" w:firstLineChars="200"/>
        <w:rPr>
          <w:szCs w:val="21"/>
        </w:rPr>
      </w:pPr>
      <w:r>
        <w:rPr>
          <w:szCs w:val="21"/>
        </w:rPr>
        <w:t>（1）我方向贵方提交的所有投标文件、资料都是准确的和真实的</w:t>
      </w:r>
      <w:r>
        <w:rPr>
          <w:rFonts w:hint="eastAsia"/>
          <w:szCs w:val="21"/>
        </w:rPr>
        <w:t>。</w:t>
      </w:r>
      <w:r>
        <w:rPr>
          <w:szCs w:val="21"/>
        </w:rPr>
        <w:t xml:space="preserve"> </w:t>
      </w:r>
    </w:p>
    <w:p w14:paraId="2A012573">
      <w:pPr>
        <w:snapToGrid w:val="0"/>
        <w:spacing w:before="120" w:beforeLines="50" w:line="360" w:lineRule="exact"/>
        <w:ind w:firstLine="420" w:firstLineChars="200"/>
        <w:rPr>
          <w:szCs w:val="21"/>
        </w:rPr>
      </w:pPr>
      <w:r>
        <w:rPr>
          <w:szCs w:val="21"/>
        </w:rPr>
        <w:t>（2）我方不是采购人的附属机构；也不是为本项目提供整体设计、规范编制或者项目管理、监理、检测等服务的供应商或其附属机构。</w:t>
      </w:r>
    </w:p>
    <w:p w14:paraId="6F6CD020">
      <w:pPr>
        <w:snapToGrid w:val="0"/>
        <w:spacing w:before="120" w:beforeLines="50" w:line="360" w:lineRule="exact"/>
        <w:ind w:firstLine="420" w:firstLineChars="200"/>
        <w:rPr>
          <w:szCs w:val="21"/>
        </w:rPr>
      </w:pPr>
      <w:r>
        <w:rPr>
          <w:szCs w:val="21"/>
        </w:rPr>
        <w:t>（3）我方承诺在参加本政府采购项目活动前，没有被纳入政府部门或银行认定的失信名单，我方具有良好的商业信誉。</w:t>
      </w:r>
    </w:p>
    <w:p w14:paraId="7C1084A1">
      <w:pPr>
        <w:snapToGrid w:val="0"/>
        <w:spacing w:before="120" w:beforeLines="50" w:line="360" w:lineRule="exact"/>
        <w:ind w:firstLine="420" w:firstLineChars="200"/>
        <w:rPr>
          <w:szCs w:val="21"/>
        </w:rPr>
      </w:pPr>
      <w:r>
        <w:rPr>
          <w:szCs w:val="21"/>
        </w:rPr>
        <w:t>（4）我方及本人承诺在参加本政府采购项目活动前三年内，在经营活动中没有重大违法记录。重大违法记录是指供</w:t>
      </w:r>
      <w:r>
        <w:rPr>
          <w:rFonts w:hint="eastAsia"/>
          <w:szCs w:val="21"/>
          <w:lang w:eastAsia="zh-CN"/>
        </w:rPr>
        <w:t>应商</w:t>
      </w:r>
      <w:r>
        <w:rPr>
          <w:szCs w:val="21"/>
        </w:rPr>
        <w:t>因违法经营受到刑事处罚或者责令停产停业、吊销许可证或者执照、较大数额罚款等行政处罚。如我方提供的声明不实，则自愿承担《政府采购法》有关提供虚假材料的规定给予的处罚。</w:t>
      </w:r>
    </w:p>
    <w:p w14:paraId="109C1751">
      <w:pPr>
        <w:snapToGrid w:val="0"/>
        <w:spacing w:before="120" w:beforeLines="50" w:line="360" w:lineRule="exact"/>
        <w:ind w:firstLine="420" w:firstLineChars="200"/>
        <w:rPr>
          <w:szCs w:val="21"/>
        </w:rPr>
      </w:pPr>
      <w:r>
        <w:rPr>
          <w:szCs w:val="21"/>
        </w:rPr>
        <w:t>（5）我方承诺具有履行本项目合同所必需的设备和专业技术能力。</w:t>
      </w:r>
    </w:p>
    <w:p w14:paraId="4588D518">
      <w:pPr>
        <w:snapToGrid w:val="0"/>
        <w:spacing w:before="120" w:beforeLines="50" w:line="360" w:lineRule="exact"/>
        <w:ind w:firstLine="420" w:firstLineChars="200"/>
        <w:rPr>
          <w:szCs w:val="21"/>
        </w:rPr>
      </w:pPr>
      <w:r>
        <w:rPr>
          <w:rFonts w:hint="eastAsia"/>
          <w:szCs w:val="21"/>
        </w:rPr>
        <w:t>（6）我方承诺</w:t>
      </w:r>
      <w:r>
        <w:rPr>
          <w:szCs w:val="21"/>
        </w:rPr>
        <w:t>未被列入失信被执行人、重大税收违法失信主体、政府采购严重违法失信行为记录名单</w:t>
      </w:r>
      <w:r>
        <w:rPr>
          <w:rFonts w:hint="eastAsia"/>
          <w:szCs w:val="21"/>
        </w:rPr>
        <w:t>，如我方提供的声明不实，则接受本次投标作为否决投标的处理，</w:t>
      </w:r>
      <w:r>
        <w:rPr>
          <w:szCs w:val="21"/>
        </w:rPr>
        <w:t>并根据财库〔2016〕125号《财政部关于在政府采购活动中查询及使用信用记录有关问题的通知》规定接受失信联合惩戒。</w:t>
      </w:r>
    </w:p>
    <w:p w14:paraId="3F17AB22">
      <w:pPr>
        <w:snapToGrid w:val="0"/>
        <w:spacing w:before="120" w:beforeLines="50" w:line="360" w:lineRule="exact"/>
        <w:ind w:firstLine="420" w:firstLineChars="200"/>
        <w:rPr>
          <w:szCs w:val="21"/>
        </w:rPr>
      </w:pPr>
      <w:r>
        <w:rPr>
          <w:rFonts w:hint="eastAsia"/>
          <w:szCs w:val="21"/>
        </w:rPr>
        <w:t>（7）我方承诺中标后按</w:t>
      </w:r>
      <w:r>
        <w:rPr>
          <w:szCs w:val="21"/>
        </w:rPr>
        <w:t>规定缴纳代理服务费</w:t>
      </w:r>
      <w:r>
        <w:rPr>
          <w:rFonts w:hint="eastAsia"/>
          <w:szCs w:val="21"/>
        </w:rPr>
        <w:t>。如未按时缴纳，</w:t>
      </w:r>
      <w:r>
        <w:rPr>
          <w:szCs w:val="21"/>
        </w:rPr>
        <w:t>贵方可</w:t>
      </w:r>
      <w:r>
        <w:rPr>
          <w:rFonts w:hint="eastAsia"/>
          <w:szCs w:val="21"/>
        </w:rPr>
        <w:t>不退还</w:t>
      </w:r>
      <w:r>
        <w:rPr>
          <w:szCs w:val="21"/>
        </w:rPr>
        <w:t>我</w:t>
      </w:r>
      <w:r>
        <w:rPr>
          <w:rFonts w:hint="eastAsia"/>
          <w:szCs w:val="21"/>
        </w:rPr>
        <w:t>方</w:t>
      </w:r>
      <w:r>
        <w:rPr>
          <w:szCs w:val="21"/>
        </w:rPr>
        <w:t>提交的投标保证金</w:t>
      </w:r>
      <w:r>
        <w:rPr>
          <w:rFonts w:hint="eastAsia"/>
          <w:szCs w:val="21"/>
        </w:rPr>
        <w:t>，并从中</w:t>
      </w:r>
      <w:r>
        <w:rPr>
          <w:szCs w:val="21"/>
        </w:rPr>
        <w:t>扣除</w:t>
      </w:r>
      <w:r>
        <w:rPr>
          <w:rFonts w:hint="eastAsia"/>
          <w:szCs w:val="21"/>
        </w:rPr>
        <w:t>代理服务费。</w:t>
      </w:r>
    </w:p>
    <w:p w14:paraId="6AA6D610">
      <w:pPr>
        <w:snapToGrid w:val="0"/>
        <w:spacing w:before="120" w:beforeLines="50" w:line="360" w:lineRule="exact"/>
        <w:ind w:firstLine="420" w:firstLineChars="200"/>
        <w:rPr>
          <w:szCs w:val="21"/>
        </w:rPr>
      </w:pPr>
      <w:r>
        <w:rPr>
          <w:szCs w:val="21"/>
        </w:rPr>
        <w:t>我方对以上声明负全部法律责任。如有虚假或隐瞒，我方愿意承担一切后果，并不再寻求任何旨在减轻或免除法律责任的辩解。</w:t>
      </w:r>
    </w:p>
    <w:bookmarkEnd w:id="137"/>
    <w:p w14:paraId="06E84AD9">
      <w:pPr>
        <w:snapToGrid w:val="0"/>
        <w:spacing w:before="120" w:beforeLines="50" w:line="360" w:lineRule="exact"/>
        <w:ind w:firstLine="420" w:firstLineChars="200"/>
        <w:rPr>
          <w:szCs w:val="21"/>
        </w:rPr>
      </w:pPr>
    </w:p>
    <w:p w14:paraId="3AD0BAFD">
      <w:pPr>
        <w:snapToGrid w:val="0"/>
        <w:spacing w:before="120" w:beforeLines="50" w:line="360" w:lineRule="exact"/>
        <w:rPr>
          <w:szCs w:val="21"/>
          <w:u w:val="single"/>
        </w:rPr>
      </w:pPr>
    </w:p>
    <w:p w14:paraId="23FE66BC">
      <w:pPr>
        <w:snapToGrid w:val="0"/>
        <w:spacing w:before="120" w:beforeLines="50" w:after="50" w:line="360" w:lineRule="exact"/>
        <w:ind w:firstLine="3570" w:firstLineChars="1700"/>
        <w:rPr>
          <w:szCs w:val="21"/>
        </w:rPr>
      </w:pPr>
      <w:bookmarkStart w:id="138" w:name="_Hlk88990289"/>
      <w:r>
        <w:rPr>
          <w:szCs w:val="21"/>
        </w:rPr>
        <w:t>供应商</w:t>
      </w:r>
      <w:r>
        <w:rPr>
          <w:rFonts w:hint="eastAsia"/>
          <w:szCs w:val="21"/>
        </w:rPr>
        <w:t>名称（电子签章）</w:t>
      </w:r>
      <w:bookmarkEnd w:id="138"/>
      <w:r>
        <w:rPr>
          <w:szCs w:val="21"/>
        </w:rPr>
        <w:t>：</w:t>
      </w:r>
      <w:r>
        <w:rPr>
          <w:szCs w:val="21"/>
          <w:u w:val="single"/>
        </w:rPr>
        <w:t xml:space="preserve">                </w:t>
      </w:r>
    </w:p>
    <w:p w14:paraId="5762877B">
      <w:pPr>
        <w:snapToGrid w:val="0"/>
        <w:spacing w:before="120" w:beforeLines="50" w:after="50" w:line="360" w:lineRule="exact"/>
        <w:ind w:firstLine="210" w:firstLineChars="100"/>
        <w:rPr>
          <w:szCs w:val="21"/>
        </w:rPr>
      </w:pPr>
      <w:r>
        <w:rPr>
          <w:szCs w:val="21"/>
        </w:rPr>
        <w:t xml:space="preserve">                                                                        年    月    日</w:t>
      </w:r>
    </w:p>
    <w:p w14:paraId="5A1526E2">
      <w:pPr>
        <w:snapToGrid w:val="0"/>
        <w:spacing w:before="120" w:beforeLines="50" w:after="50" w:line="360" w:lineRule="exact"/>
        <w:rPr>
          <w:szCs w:val="21"/>
        </w:rPr>
      </w:pPr>
      <w:r>
        <w:rPr>
          <w:szCs w:val="21"/>
        </w:rPr>
        <w:br w:type="page"/>
      </w:r>
      <w:r>
        <w:rPr>
          <w:szCs w:val="21"/>
        </w:rPr>
        <w:t>2．法人或者其他组织的营业执照等证明文件、自然人的身份证明。即供应商是企业则提供营业执照（副本）复印件；供应商是事业单位，则提供事业单位法人证书（副本）复印件；供应商是非企业专业服务机构的，则提供执业许可证等证明文件复印件；供应商是个体工商户，则提供个体工商户营业执照复印件；供应商是自然人，则提供有效的自然人身份证明复印件；如供应商不是以上所列的法人、组织、自然人的，则提供国家规定的相关证明材料。（加盖供应商</w:t>
      </w:r>
      <w:r>
        <w:rPr>
          <w:rFonts w:hint="eastAsia"/>
          <w:szCs w:val="21"/>
        </w:rPr>
        <w:t>电子签章</w:t>
      </w:r>
      <w:r>
        <w:rPr>
          <w:szCs w:val="21"/>
        </w:rPr>
        <w:t>）。</w:t>
      </w:r>
    </w:p>
    <w:p w14:paraId="06A1EA53">
      <w:pPr>
        <w:snapToGrid w:val="0"/>
        <w:spacing w:before="120" w:beforeLines="50" w:after="50" w:line="440" w:lineRule="exact"/>
        <w:rPr>
          <w:sz w:val="18"/>
          <w:szCs w:val="18"/>
        </w:rPr>
      </w:pPr>
    </w:p>
    <w:p w14:paraId="67CAEEF8">
      <w:pPr>
        <w:snapToGrid w:val="0"/>
        <w:spacing w:before="120" w:beforeLines="50" w:after="50" w:line="440" w:lineRule="exact"/>
        <w:rPr>
          <w:b/>
          <w:szCs w:val="21"/>
        </w:rPr>
      </w:pPr>
      <w:bookmarkStart w:id="139" w:name="_Hlk19114230"/>
      <w:r>
        <w:rPr>
          <w:szCs w:val="21"/>
        </w:rPr>
        <w:t>3．财务状况报告（表）复印件或银行出具的资信证明复印件。</w:t>
      </w:r>
      <w:r>
        <w:t>对于从取得营业执照时间起到开标时间为止不足1年的供应商，只需提交</w:t>
      </w:r>
      <w:r>
        <w:rPr>
          <w:szCs w:val="21"/>
        </w:rPr>
        <w:t>开标时间前一个月的财务状况报告（表）复印件。（按“评审方法及标准” “资格审查表”规定提供）。（加盖供应商</w:t>
      </w:r>
      <w:r>
        <w:rPr>
          <w:rFonts w:hint="eastAsia"/>
          <w:szCs w:val="21"/>
        </w:rPr>
        <w:t>电子签章</w:t>
      </w:r>
      <w:r>
        <w:rPr>
          <w:szCs w:val="21"/>
        </w:rPr>
        <w:t>）</w:t>
      </w:r>
      <w:r>
        <w:rPr>
          <w:rFonts w:hint="eastAsia"/>
          <w:szCs w:val="21"/>
        </w:rPr>
        <w:t>。</w:t>
      </w:r>
    </w:p>
    <w:p w14:paraId="4DC4134C">
      <w:pPr>
        <w:snapToGrid w:val="0"/>
        <w:spacing w:before="120" w:beforeLines="50" w:after="50" w:line="440" w:lineRule="exact"/>
        <w:rPr>
          <w:szCs w:val="21"/>
        </w:rPr>
      </w:pPr>
    </w:p>
    <w:bookmarkEnd w:id="139"/>
    <w:p w14:paraId="58C3A967">
      <w:pPr>
        <w:snapToGrid w:val="0"/>
        <w:spacing w:before="120" w:beforeLines="50" w:after="50" w:line="440" w:lineRule="exact"/>
      </w:pPr>
      <w:r>
        <w:t>4．依法缴纳税费证明和社会保险缴纳证明材料</w:t>
      </w:r>
      <w:r>
        <w:rPr>
          <w:rFonts w:hint="eastAsia"/>
        </w:rPr>
        <w:t>。</w:t>
      </w:r>
      <w:r>
        <w:t>供应商成立不足</w:t>
      </w:r>
      <w:r>
        <w:rPr>
          <w:rFonts w:hint="eastAsia"/>
        </w:rPr>
        <w:t>1个月的，无须提供</w:t>
      </w:r>
      <w:r>
        <w:t>缴纳税费证明及社保缴费证明</w:t>
      </w:r>
      <w:r>
        <w:rPr>
          <w:rFonts w:hint="eastAsia"/>
        </w:rPr>
        <w:t>。</w:t>
      </w:r>
      <w:r>
        <w:t>依法免税或不需要缴纳社会保障资金的供应商，须提供相应文件证明其依法免税或不需要缴纳社会保障资金。</w:t>
      </w:r>
      <w:r>
        <w:rPr>
          <w:szCs w:val="21"/>
        </w:rPr>
        <w:t>（按“评审方法及标准” “资格审查表”规定提供）（加盖供应商</w:t>
      </w:r>
      <w:r>
        <w:rPr>
          <w:rFonts w:hint="eastAsia"/>
          <w:szCs w:val="21"/>
        </w:rPr>
        <w:t>电子签章</w:t>
      </w:r>
      <w:r>
        <w:rPr>
          <w:szCs w:val="21"/>
        </w:rPr>
        <w:t>）</w:t>
      </w:r>
      <w:r>
        <w:rPr>
          <w:rFonts w:hint="eastAsia"/>
          <w:szCs w:val="21"/>
        </w:rPr>
        <w:t>。</w:t>
      </w:r>
    </w:p>
    <w:p w14:paraId="4AE4355B">
      <w:pPr>
        <w:snapToGrid w:val="0"/>
        <w:spacing w:before="120" w:beforeLines="50" w:after="50" w:line="440" w:lineRule="exact"/>
        <w:rPr>
          <w:szCs w:val="21"/>
        </w:rPr>
      </w:pPr>
    </w:p>
    <w:p w14:paraId="28B03779">
      <w:pPr>
        <w:snapToGrid w:val="0"/>
        <w:spacing w:before="50" w:after="120" w:afterLines="50" w:line="440" w:lineRule="exact"/>
        <w:jc w:val="left"/>
      </w:pPr>
    </w:p>
    <w:p w14:paraId="53E8E6F3">
      <w:pPr>
        <w:snapToGrid w:val="0"/>
        <w:spacing w:before="50" w:after="120" w:afterLines="50" w:line="440" w:lineRule="exact"/>
        <w:jc w:val="left"/>
        <w:rPr>
          <w:b/>
          <w:szCs w:val="21"/>
        </w:rPr>
      </w:pPr>
      <w:bookmarkStart w:id="140" w:name="_Hlk19114283"/>
      <w:r>
        <w:rPr>
          <w:szCs w:val="21"/>
        </w:rPr>
        <w:t>5．具备法律、行政法规规定的其他要求的证明材料</w:t>
      </w:r>
      <w:r>
        <w:t>（</w:t>
      </w:r>
      <w:r>
        <w:rPr>
          <w:szCs w:val="21"/>
        </w:rPr>
        <w:t>按“评审方法及标准” “资格审查表”规定提供</w:t>
      </w:r>
      <w:r>
        <w:t>）。</w:t>
      </w:r>
      <w:bookmarkStart w:id="141" w:name="_Hlk48144477"/>
      <w:r>
        <w:rPr>
          <w:rFonts w:hint="eastAsia"/>
          <w:b/>
          <w:szCs w:val="21"/>
        </w:rPr>
        <w:t>（如招标文件有要求时提供）</w:t>
      </w:r>
      <w:bookmarkEnd w:id="141"/>
    </w:p>
    <w:p w14:paraId="5DCBCAC0">
      <w:pPr>
        <w:widowControl/>
        <w:jc w:val="left"/>
        <w:rPr>
          <w:b/>
          <w:szCs w:val="21"/>
        </w:rPr>
      </w:pPr>
    </w:p>
    <w:p w14:paraId="61A2C7A4">
      <w:pPr>
        <w:widowControl/>
        <w:jc w:val="left"/>
        <w:rPr>
          <w:b/>
          <w:szCs w:val="21"/>
        </w:rPr>
      </w:pPr>
    </w:p>
    <w:p w14:paraId="6096614C">
      <w:pPr>
        <w:snapToGrid w:val="0"/>
        <w:spacing w:before="50" w:after="120" w:afterLines="50" w:line="440" w:lineRule="exact"/>
        <w:jc w:val="left"/>
        <w:rPr>
          <w:b/>
          <w:color w:val="4472C4"/>
          <w:szCs w:val="21"/>
        </w:rPr>
      </w:pPr>
      <w:bookmarkStart w:id="142" w:name="_Hlk132792497"/>
      <w:r>
        <w:rPr>
          <w:szCs w:val="21"/>
        </w:rPr>
        <w:t>6．</w:t>
      </w:r>
      <w:r>
        <w:rPr>
          <w:rFonts w:hint="eastAsia"/>
        </w:rPr>
        <w:t>落实政府采购政策需满足的资格要求</w:t>
      </w:r>
      <w:r>
        <w:t>（</w:t>
      </w:r>
      <w:r>
        <w:rPr>
          <w:szCs w:val="21"/>
        </w:rPr>
        <w:t>按“评审方法及标准” “资格审查表”规定提供</w:t>
      </w:r>
      <w:r>
        <w:t>）。</w:t>
      </w:r>
      <w:r>
        <w:rPr>
          <w:rFonts w:hint="eastAsia"/>
          <w:b/>
          <w:szCs w:val="21"/>
        </w:rPr>
        <w:t>（如招标文件有要求时提供）</w:t>
      </w:r>
    </w:p>
    <w:bookmarkEnd w:id="142"/>
    <w:p w14:paraId="6AA4659D">
      <w:pPr>
        <w:rPr>
          <w:szCs w:val="21"/>
        </w:rPr>
      </w:pPr>
      <w:r>
        <w:rPr>
          <w:b/>
          <w:szCs w:val="21"/>
        </w:rPr>
        <w:br w:type="page"/>
      </w:r>
      <w:bookmarkStart w:id="143" w:name="_Hlk132801855"/>
      <w:bookmarkStart w:id="144" w:name="_Hlk132792727"/>
      <w:r>
        <w:rPr>
          <w:szCs w:val="21"/>
        </w:rPr>
        <w:t>6.1</w:t>
      </w:r>
      <w:r>
        <w:rPr>
          <w:rFonts w:hint="eastAsia"/>
          <w:bCs/>
          <w:szCs w:val="21"/>
        </w:rPr>
        <w:t>中小企业声明函</w:t>
      </w:r>
      <w:r>
        <w:rPr>
          <w:szCs w:val="21"/>
        </w:rPr>
        <w:t>。</w:t>
      </w:r>
    </w:p>
    <w:p w14:paraId="73B6FC0D">
      <w:pPr>
        <w:spacing w:line="360" w:lineRule="auto"/>
        <w:ind w:firstLine="3584" w:firstLineChars="1700"/>
        <w:rPr>
          <w:b/>
          <w:szCs w:val="21"/>
        </w:rPr>
      </w:pPr>
    </w:p>
    <w:p w14:paraId="7ACA1A42">
      <w:pPr>
        <w:spacing w:line="360" w:lineRule="auto"/>
        <w:ind w:firstLine="3584" w:firstLineChars="1700"/>
        <w:rPr>
          <w:b/>
          <w:szCs w:val="21"/>
        </w:rPr>
      </w:pPr>
      <w:r>
        <w:rPr>
          <w:rFonts w:hint="eastAsia"/>
          <w:b/>
          <w:szCs w:val="21"/>
        </w:rPr>
        <w:t>中小企业声明函（货物）</w:t>
      </w:r>
    </w:p>
    <w:p w14:paraId="07FE940D">
      <w:pPr>
        <w:spacing w:line="360" w:lineRule="auto"/>
        <w:ind w:firstLine="420"/>
        <w:rPr>
          <w:bCs/>
          <w:szCs w:val="21"/>
        </w:rPr>
      </w:pPr>
      <w:r>
        <w:rPr>
          <w:rFonts w:hint="eastAsia"/>
          <w:bCs/>
          <w:szCs w:val="21"/>
        </w:rPr>
        <w:t>本公司（联合体）郑重声明，根据《政府采购促进中小企业发展管理办法》（财库﹝2020﹞46 号）的规定，本公司（联合体）参加</w:t>
      </w:r>
      <w:r>
        <w:rPr>
          <w:rFonts w:hint="eastAsia"/>
          <w:bCs/>
          <w:szCs w:val="21"/>
          <w:u w:val="single"/>
        </w:rPr>
        <w:t>（单位名称）</w:t>
      </w:r>
      <w:r>
        <w:rPr>
          <w:rFonts w:hint="eastAsia"/>
          <w:bCs/>
          <w:szCs w:val="21"/>
        </w:rPr>
        <w:t>的</w:t>
      </w:r>
      <w:r>
        <w:rPr>
          <w:rFonts w:hint="eastAsia"/>
          <w:bCs/>
          <w:szCs w:val="21"/>
          <w:u w:val="single"/>
        </w:rPr>
        <w:t>（项目名称）</w:t>
      </w:r>
      <w:r>
        <w:rPr>
          <w:rFonts w:hint="eastAsia"/>
          <w:bCs/>
          <w:szCs w:val="21"/>
        </w:rPr>
        <w:t>采购活动，提供的货物全部由符合政策要求的中小企业制造。相关企业（含联合体中的中小企业、签订分包意向协议的中小企业） 的具体情况如下：</w:t>
      </w:r>
    </w:p>
    <w:p w14:paraId="55178544">
      <w:pPr>
        <w:spacing w:line="360" w:lineRule="auto"/>
        <w:ind w:firstLine="420"/>
        <w:rPr>
          <w:bCs/>
          <w:szCs w:val="21"/>
        </w:rPr>
      </w:pPr>
      <w:r>
        <w:rPr>
          <w:bCs/>
          <w:szCs w:val="21"/>
        </w:rPr>
        <w:t>1.</w:t>
      </w:r>
      <w:r>
        <w:rPr>
          <w:rFonts w:hint="eastAsia"/>
          <w:bCs/>
          <w:szCs w:val="21"/>
          <w:u w:val="single"/>
        </w:rPr>
        <w:t>（标的名称）</w:t>
      </w:r>
      <w:r>
        <w:rPr>
          <w:rFonts w:hint="eastAsia"/>
          <w:bCs/>
          <w:szCs w:val="21"/>
        </w:rPr>
        <w:t>，属于</w:t>
      </w:r>
      <w:r>
        <w:rPr>
          <w:rFonts w:hint="eastAsia"/>
          <w:bCs/>
          <w:szCs w:val="21"/>
          <w:u w:val="single"/>
        </w:rPr>
        <w:t>（招标文件中明确的所属行业）</w:t>
      </w:r>
      <w:r>
        <w:rPr>
          <w:rFonts w:hint="eastAsia"/>
          <w:bCs/>
          <w:szCs w:val="21"/>
        </w:rPr>
        <w:t>行业；制造商为</w:t>
      </w:r>
      <w:r>
        <w:rPr>
          <w:rFonts w:hint="eastAsia"/>
          <w:bCs/>
          <w:szCs w:val="21"/>
          <w:u w:val="single"/>
        </w:rPr>
        <w:t>（企业名称）</w:t>
      </w:r>
      <w:r>
        <w:rPr>
          <w:rFonts w:hint="eastAsia"/>
          <w:bCs/>
          <w:szCs w:val="21"/>
        </w:rPr>
        <w:t>，从业人员</w:t>
      </w:r>
      <w:r>
        <w:rPr>
          <w:bCs/>
          <w:szCs w:val="21"/>
          <w:u w:val="single"/>
        </w:rPr>
        <w:t xml:space="preserve">    </w:t>
      </w:r>
      <w:r>
        <w:rPr>
          <w:rFonts w:hint="eastAsia"/>
          <w:bCs/>
          <w:szCs w:val="21"/>
        </w:rPr>
        <w:t>人，营业收入为</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万元，资产总额为</w:t>
      </w:r>
      <w:r>
        <w:rPr>
          <w:rFonts w:hint="eastAsia"/>
          <w:bCs/>
          <w:szCs w:val="21"/>
          <w:u w:val="single"/>
        </w:rPr>
        <w:t xml:space="preserve">    </w:t>
      </w:r>
      <w:r>
        <w:rPr>
          <w:rFonts w:hint="eastAsia"/>
          <w:bCs/>
          <w:szCs w:val="21"/>
        </w:rPr>
        <w:t>万元，属于</w:t>
      </w:r>
      <w:r>
        <w:rPr>
          <w:rFonts w:hint="eastAsia"/>
          <w:bCs/>
          <w:szCs w:val="21"/>
          <w:u w:val="single"/>
        </w:rPr>
        <w:t>（中型企业、小型企业、微型企业）</w:t>
      </w:r>
      <w:r>
        <w:rPr>
          <w:rFonts w:hint="eastAsia"/>
          <w:bCs/>
          <w:szCs w:val="21"/>
        </w:rPr>
        <w:t>；</w:t>
      </w:r>
    </w:p>
    <w:p w14:paraId="5553B403">
      <w:pPr>
        <w:spacing w:line="360" w:lineRule="auto"/>
        <w:ind w:firstLine="420"/>
        <w:rPr>
          <w:bCs/>
          <w:szCs w:val="21"/>
        </w:rPr>
      </w:pPr>
      <w:r>
        <w:rPr>
          <w:bCs/>
          <w:szCs w:val="21"/>
        </w:rPr>
        <w:t>2.</w:t>
      </w:r>
      <w:r>
        <w:rPr>
          <w:rFonts w:hint="eastAsia"/>
          <w:bCs/>
          <w:szCs w:val="21"/>
          <w:u w:val="single"/>
        </w:rPr>
        <w:t>（标的名称）</w:t>
      </w:r>
      <w:r>
        <w:rPr>
          <w:rFonts w:hint="eastAsia"/>
          <w:bCs/>
          <w:szCs w:val="21"/>
        </w:rPr>
        <w:t>，属于</w:t>
      </w:r>
      <w:r>
        <w:rPr>
          <w:rFonts w:hint="eastAsia"/>
          <w:bCs/>
          <w:szCs w:val="21"/>
          <w:u w:val="single"/>
        </w:rPr>
        <w:t>（招标文件中明确的所属行业）</w:t>
      </w:r>
      <w:r>
        <w:rPr>
          <w:rFonts w:hint="eastAsia"/>
          <w:bCs/>
          <w:szCs w:val="21"/>
        </w:rPr>
        <w:t>行业；制造商为</w:t>
      </w:r>
      <w:r>
        <w:rPr>
          <w:rFonts w:hint="eastAsia"/>
          <w:bCs/>
          <w:szCs w:val="21"/>
          <w:u w:val="single"/>
        </w:rPr>
        <w:t>（企业名称）</w:t>
      </w:r>
      <w:r>
        <w:rPr>
          <w:rFonts w:hint="eastAsia"/>
          <w:bCs/>
          <w:szCs w:val="21"/>
        </w:rPr>
        <w:t>，从业人员</w:t>
      </w:r>
      <w:r>
        <w:rPr>
          <w:rFonts w:hint="eastAsia"/>
          <w:bCs/>
          <w:szCs w:val="21"/>
          <w:u w:val="single"/>
        </w:rPr>
        <w:t xml:space="preserve">       </w:t>
      </w:r>
      <w:r>
        <w:rPr>
          <w:rFonts w:hint="eastAsia"/>
          <w:bCs/>
          <w:szCs w:val="21"/>
        </w:rPr>
        <w:t>人，营业收入为</w:t>
      </w:r>
      <w:r>
        <w:rPr>
          <w:rFonts w:hint="eastAsia"/>
          <w:bCs/>
          <w:szCs w:val="21"/>
          <w:u w:val="single"/>
        </w:rPr>
        <w:t xml:space="preserve">     </w:t>
      </w:r>
      <w:r>
        <w:rPr>
          <w:rFonts w:hint="eastAsia"/>
          <w:bCs/>
          <w:szCs w:val="21"/>
        </w:rPr>
        <w:t>万元，资产总额为</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万元，属于</w:t>
      </w:r>
      <w:r>
        <w:rPr>
          <w:rFonts w:hint="eastAsia"/>
          <w:bCs/>
          <w:szCs w:val="21"/>
          <w:u w:val="single"/>
        </w:rPr>
        <w:t>（中型企业、小型企业、微型企业）</w:t>
      </w:r>
      <w:r>
        <w:rPr>
          <w:rFonts w:hint="eastAsia"/>
          <w:bCs/>
          <w:szCs w:val="21"/>
        </w:rPr>
        <w:t>；</w:t>
      </w:r>
    </w:p>
    <w:p w14:paraId="266BE6F5">
      <w:pPr>
        <w:spacing w:line="360" w:lineRule="auto"/>
        <w:ind w:firstLine="420"/>
        <w:rPr>
          <w:bCs/>
          <w:szCs w:val="21"/>
        </w:rPr>
      </w:pPr>
      <w:r>
        <w:rPr>
          <w:rFonts w:hint="eastAsia"/>
          <w:bCs/>
          <w:szCs w:val="21"/>
        </w:rPr>
        <w:t>……</w:t>
      </w:r>
    </w:p>
    <w:p w14:paraId="0F84C646">
      <w:pPr>
        <w:spacing w:line="360" w:lineRule="auto"/>
        <w:ind w:firstLine="420"/>
        <w:rPr>
          <w:bCs/>
          <w:szCs w:val="21"/>
        </w:rPr>
      </w:pPr>
      <w:r>
        <w:rPr>
          <w:rFonts w:hint="eastAsia"/>
          <w:bCs/>
          <w:szCs w:val="21"/>
        </w:rPr>
        <w:t>以上企业，不属于大企业的分支机构，不存在控股股东为大企业的情形，也不存在与大企业的负责人为同一人的情形。</w:t>
      </w:r>
    </w:p>
    <w:p w14:paraId="2706D05A">
      <w:pPr>
        <w:spacing w:line="360" w:lineRule="auto"/>
        <w:ind w:firstLine="420"/>
        <w:rPr>
          <w:bCs/>
          <w:szCs w:val="21"/>
        </w:rPr>
      </w:pPr>
      <w:r>
        <w:rPr>
          <w:rFonts w:hint="eastAsia"/>
          <w:bCs/>
          <w:szCs w:val="21"/>
        </w:rPr>
        <w:t>本企业对上述声明内容的真实性负责。如有虚假，将依法承担相应责任。</w:t>
      </w:r>
    </w:p>
    <w:p w14:paraId="1FA40616">
      <w:pPr>
        <w:spacing w:line="360" w:lineRule="auto"/>
        <w:ind w:firstLine="3150" w:firstLineChars="1500"/>
        <w:rPr>
          <w:bCs/>
          <w:szCs w:val="21"/>
        </w:rPr>
      </w:pPr>
      <w:r>
        <w:rPr>
          <w:rFonts w:hint="eastAsia"/>
          <w:bCs/>
          <w:szCs w:val="21"/>
        </w:rPr>
        <w:t>企业名称</w:t>
      </w:r>
      <w:r>
        <w:rPr>
          <w:rFonts w:hint="eastAsia"/>
          <w:szCs w:val="21"/>
        </w:rPr>
        <w:t xml:space="preserve"> (电子签章</w:t>
      </w:r>
      <w:r>
        <w:rPr>
          <w:szCs w:val="21"/>
        </w:rPr>
        <w:t>)</w:t>
      </w:r>
      <w:r>
        <w:rPr>
          <w:rFonts w:hint="eastAsia"/>
          <w:bCs/>
          <w:szCs w:val="21"/>
        </w:rPr>
        <w:t xml:space="preserve">： </w:t>
      </w:r>
      <w:r>
        <w:rPr>
          <w:bCs/>
          <w:szCs w:val="21"/>
        </w:rPr>
        <w:t xml:space="preserve">   </w:t>
      </w:r>
      <w:r>
        <w:rPr>
          <w:rFonts w:hint="eastAsia"/>
          <w:bCs/>
          <w:szCs w:val="21"/>
        </w:rPr>
        <w:t>日期：</w:t>
      </w:r>
    </w:p>
    <w:p w14:paraId="500A1E96">
      <w:pPr>
        <w:spacing w:line="360" w:lineRule="auto"/>
        <w:jc w:val="left"/>
        <w:rPr>
          <w:bCs/>
          <w:szCs w:val="21"/>
        </w:rPr>
      </w:pPr>
      <w:r>
        <w:rPr>
          <w:rFonts w:hint="eastAsia"/>
          <w:bCs/>
          <w:szCs w:val="21"/>
        </w:rPr>
        <w:t>注：</w:t>
      </w:r>
    </w:p>
    <w:p w14:paraId="7DB2B0FF">
      <w:pPr>
        <w:spacing w:line="360" w:lineRule="auto"/>
        <w:jc w:val="left"/>
        <w:rPr>
          <w:bCs/>
          <w:szCs w:val="21"/>
        </w:rPr>
      </w:pPr>
      <w:r>
        <w:rPr>
          <w:rFonts w:hint="eastAsia"/>
          <w:bCs/>
          <w:szCs w:val="21"/>
        </w:rPr>
        <w:t>（1）标的名称按照第二章采购需求一览表中的货物名称填写，</w:t>
      </w:r>
      <w:r>
        <w:rPr>
          <w:szCs w:val="21"/>
        </w:rPr>
        <w:t>所属行业标明“/”的</w:t>
      </w:r>
      <w:r>
        <w:rPr>
          <w:rFonts w:hint="eastAsia"/>
          <w:bCs/>
          <w:szCs w:val="21"/>
        </w:rPr>
        <w:t>，无需在上表填写。</w:t>
      </w:r>
    </w:p>
    <w:p w14:paraId="5903C821">
      <w:pPr>
        <w:spacing w:line="360" w:lineRule="auto"/>
        <w:jc w:val="left"/>
        <w:rPr>
          <w:bCs/>
          <w:szCs w:val="21"/>
        </w:rPr>
      </w:pPr>
      <w:r>
        <w:rPr>
          <w:rFonts w:hint="eastAsia"/>
          <w:bCs/>
          <w:szCs w:val="21"/>
        </w:rPr>
        <w:t>（</w:t>
      </w:r>
      <w:r>
        <w:rPr>
          <w:bCs/>
          <w:szCs w:val="21"/>
        </w:rPr>
        <w:t>2</w:t>
      </w:r>
      <w:r>
        <w:rPr>
          <w:rFonts w:hint="eastAsia"/>
          <w:bCs/>
          <w:szCs w:val="21"/>
        </w:rPr>
        <w:t>）如供应商为联合体或分包的，声明函中“项目名称”应填写联合体中小微企业承担的具体内容或者小微企业具体分包内容。</w:t>
      </w:r>
    </w:p>
    <w:p w14:paraId="2FB36E22">
      <w:pPr>
        <w:spacing w:line="360" w:lineRule="auto"/>
        <w:jc w:val="left"/>
        <w:rPr>
          <w:bCs/>
          <w:szCs w:val="21"/>
        </w:rPr>
      </w:pPr>
      <w:r>
        <w:rPr>
          <w:rFonts w:hint="eastAsia"/>
          <w:bCs/>
          <w:szCs w:val="21"/>
        </w:rPr>
        <w:t>（</w:t>
      </w:r>
      <w:r>
        <w:rPr>
          <w:bCs/>
          <w:szCs w:val="21"/>
        </w:rPr>
        <w:t>3</w:t>
      </w:r>
      <w:r>
        <w:rPr>
          <w:rFonts w:hint="eastAsia"/>
          <w:bCs/>
          <w:szCs w:val="21"/>
        </w:rPr>
        <w:t>）从业人员、营业收入、资产总额填报上一年度数据，无上一年度数据的新成立企业参照国务院批准的中小企业划分标准，根据企业自身情况如实判断。</w:t>
      </w:r>
    </w:p>
    <w:p w14:paraId="500A12CD">
      <w:pPr>
        <w:spacing w:line="360" w:lineRule="auto"/>
        <w:jc w:val="left"/>
        <w:rPr>
          <w:bCs/>
          <w:szCs w:val="21"/>
        </w:rPr>
      </w:pPr>
      <w:r>
        <w:rPr>
          <w:rFonts w:hint="eastAsia"/>
          <w:bCs/>
          <w:szCs w:val="21"/>
        </w:rPr>
        <w:t>（</w:t>
      </w:r>
      <w:r>
        <w:rPr>
          <w:bCs/>
          <w:szCs w:val="21"/>
        </w:rPr>
        <w:t>4</w:t>
      </w:r>
      <w:r>
        <w:rPr>
          <w:rFonts w:hint="eastAsia"/>
          <w:bCs/>
          <w:szCs w:val="21"/>
        </w:rPr>
        <w:t>）根据工业和信息化部对“从业人员”定义的答复，《民法典》、《公司法》等法律规定，分公司不具有法人资格，其民事责任由总公司承担。企业划型时，应将分公司的从业人员、营业收入、资产总额等指标数据纳入合并计算。</w:t>
      </w:r>
    </w:p>
    <w:p w14:paraId="3B730057">
      <w:pPr>
        <w:spacing w:line="360" w:lineRule="auto"/>
        <w:jc w:val="left"/>
        <w:rPr>
          <w:bCs/>
          <w:szCs w:val="21"/>
        </w:rPr>
      </w:pPr>
      <w:r>
        <w:rPr>
          <w:rFonts w:hint="eastAsia"/>
          <w:bCs/>
          <w:szCs w:val="21"/>
        </w:rPr>
        <w:t>（5）根据</w:t>
      </w:r>
      <w:r>
        <w:rPr>
          <w:rFonts w:hint="eastAsia"/>
          <w:bCs/>
          <w:szCs w:val="21"/>
          <w:lang w:eastAsia="zh-CN"/>
        </w:rPr>
        <w:t>国家统计局</w:t>
      </w:r>
      <w:r>
        <w:rPr>
          <w:rFonts w:hint="eastAsia"/>
          <w:bCs/>
          <w:szCs w:val="21"/>
        </w:rPr>
        <w:t>《劳动工资统计报表制度》，从业人员数是指本单位工作，并取得工资或其他形式劳动报酬的人员数，是在岗职工、劳务派遣人员及其他从业人员之和。</w:t>
      </w:r>
    </w:p>
    <w:p w14:paraId="2001B583">
      <w:pPr>
        <w:spacing w:line="360" w:lineRule="auto"/>
        <w:jc w:val="left"/>
        <w:rPr>
          <w:bCs/>
          <w:szCs w:val="21"/>
        </w:rPr>
      </w:pPr>
      <w:r>
        <w:rPr>
          <w:rFonts w:hint="eastAsia"/>
          <w:bCs/>
          <w:szCs w:val="21"/>
        </w:rPr>
        <w:t>（</w:t>
      </w:r>
      <w:r>
        <w:rPr>
          <w:bCs/>
          <w:szCs w:val="21"/>
        </w:rPr>
        <w:t>6</w:t>
      </w:r>
      <w:r>
        <w:rPr>
          <w:rFonts w:hint="eastAsia"/>
          <w:bCs/>
          <w:szCs w:val="21"/>
        </w:rPr>
        <w:t>）本声明函由供应商填写，供应商应按中小企业划分标准《关于印发中小企业划型标准规定的通知》（工信部联企业〔2011〕300号</w:t>
      </w:r>
      <w:r>
        <w:rPr>
          <w:rFonts w:hint="eastAsia"/>
          <w:szCs w:val="21"/>
        </w:rPr>
        <w:t>以及《金融业企业划型标准规定》（银发〔2015〕309号）</w:t>
      </w:r>
      <w:r>
        <w:rPr>
          <w:rFonts w:hint="eastAsia"/>
          <w:bCs/>
          <w:szCs w:val="21"/>
        </w:rPr>
        <w:t>）判断是否为中小企业。</w:t>
      </w:r>
    </w:p>
    <w:p w14:paraId="7BB6F51B">
      <w:pPr>
        <w:spacing w:line="360" w:lineRule="auto"/>
        <w:jc w:val="left"/>
        <w:rPr>
          <w:bCs/>
          <w:szCs w:val="21"/>
        </w:rPr>
      </w:pPr>
      <w:r>
        <w:rPr>
          <w:rFonts w:hint="eastAsia"/>
          <w:bCs/>
          <w:szCs w:val="21"/>
        </w:rPr>
        <w:t>（</w:t>
      </w:r>
      <w:r>
        <w:rPr>
          <w:bCs/>
          <w:szCs w:val="21"/>
        </w:rPr>
        <w:t>7</w:t>
      </w:r>
      <w:r>
        <w:rPr>
          <w:rFonts w:hint="eastAsia"/>
          <w:bCs/>
          <w:szCs w:val="21"/>
        </w:rPr>
        <w:t>）供应商对《中小企业声明函》的真实性负责，如有虚假则需承担不利后果。依法享受中小企业优惠政策的，采购人或采购代理机构在公告成交结果时，同时公告其《中小企业声明函》，接受社会监督。</w:t>
      </w:r>
    </w:p>
    <w:p w14:paraId="7E2FD175">
      <w:pPr>
        <w:spacing w:line="360" w:lineRule="auto"/>
        <w:jc w:val="left"/>
        <w:rPr>
          <w:rFonts w:hint="eastAsia"/>
          <w:bCs/>
          <w:szCs w:val="21"/>
        </w:rPr>
      </w:pPr>
      <w:r>
        <w:rPr>
          <w:rFonts w:hint="eastAsia"/>
          <w:bCs/>
          <w:szCs w:val="21"/>
        </w:rPr>
        <w:t>（</w:t>
      </w:r>
      <w:r>
        <w:rPr>
          <w:bCs/>
          <w:szCs w:val="21"/>
        </w:rPr>
        <w:t>8</w:t>
      </w:r>
      <w:r>
        <w:rPr>
          <w:rFonts w:hint="eastAsia"/>
          <w:bCs/>
          <w:szCs w:val="21"/>
        </w:rPr>
        <w:t>）上述企业属于大企业的分支机构或控股股东为大企业或与大企业的负责人为同一人的，不得享受价格扣除优惠政策。接受分包的小微企业与分包企业之间存在直接控股、管理关系的，不得享受价格扣除优惠政策。</w:t>
      </w:r>
    </w:p>
    <w:p w14:paraId="66114FAE">
      <w:pPr>
        <w:spacing w:line="528" w:lineRule="exact"/>
        <w:ind w:firstLine="280" w:firstLineChars="100"/>
        <w:jc w:val="center"/>
        <w:rPr>
          <w:sz w:val="28"/>
          <w:szCs w:val="28"/>
        </w:rPr>
      </w:pPr>
      <w:r>
        <w:rPr>
          <w:rFonts w:hint="eastAsia"/>
          <w:sz w:val="28"/>
          <w:szCs w:val="28"/>
        </w:rPr>
        <w:t>中小微企业划型标准</w:t>
      </w:r>
    </w:p>
    <w:tbl>
      <w:tblPr>
        <w:tblStyle w:val="53"/>
        <w:tblW w:w="8706" w:type="dxa"/>
        <w:tblInd w:w="250" w:type="dxa"/>
        <w:tblLayout w:type="fixed"/>
        <w:tblCellMar>
          <w:top w:w="0" w:type="dxa"/>
          <w:left w:w="108" w:type="dxa"/>
          <w:bottom w:w="0" w:type="dxa"/>
          <w:right w:w="108" w:type="dxa"/>
        </w:tblCellMar>
      </w:tblPr>
      <w:tblGrid>
        <w:gridCol w:w="1446"/>
        <w:gridCol w:w="1701"/>
        <w:gridCol w:w="1134"/>
        <w:gridCol w:w="1846"/>
        <w:gridCol w:w="1570"/>
        <w:gridCol w:w="1009"/>
      </w:tblGrid>
      <w:tr w14:paraId="783AE847">
        <w:trPr>
          <w:trHeight w:val="279" w:hRule="atLeast"/>
        </w:trPr>
        <w:tc>
          <w:tcPr>
            <w:tcW w:w="1446" w:type="dxa"/>
            <w:tcBorders>
              <w:top w:val="single" w:color="auto" w:sz="4" w:space="0"/>
              <w:left w:val="single" w:color="auto" w:sz="4" w:space="0"/>
              <w:bottom w:val="single" w:color="auto" w:sz="4" w:space="0"/>
              <w:right w:val="single" w:color="auto" w:sz="4" w:space="0"/>
            </w:tcBorders>
            <w:noWrap w:val="0"/>
            <w:vAlign w:val="center"/>
          </w:tcPr>
          <w:p w14:paraId="31EAA8C5">
            <w:pPr>
              <w:widowControl/>
              <w:jc w:val="left"/>
              <w:rPr>
                <w:szCs w:val="21"/>
              </w:rPr>
            </w:pPr>
            <w:r>
              <w:rPr>
                <w:rFonts w:hint="eastAsia"/>
                <w:szCs w:val="21"/>
              </w:rPr>
              <w:t>行业名称</w:t>
            </w:r>
          </w:p>
        </w:tc>
        <w:tc>
          <w:tcPr>
            <w:tcW w:w="1701" w:type="dxa"/>
            <w:tcBorders>
              <w:top w:val="single" w:color="auto" w:sz="4" w:space="0"/>
              <w:left w:val="nil"/>
              <w:bottom w:val="single" w:color="auto" w:sz="4" w:space="0"/>
              <w:right w:val="single" w:color="auto" w:sz="4" w:space="0"/>
            </w:tcBorders>
            <w:noWrap w:val="0"/>
            <w:vAlign w:val="center"/>
          </w:tcPr>
          <w:p w14:paraId="60F1E689">
            <w:pPr>
              <w:widowControl/>
              <w:jc w:val="left"/>
              <w:rPr>
                <w:szCs w:val="21"/>
              </w:rPr>
            </w:pPr>
            <w:r>
              <w:rPr>
                <w:rFonts w:hint="eastAsia"/>
                <w:szCs w:val="21"/>
              </w:rPr>
              <w:t>指标名称</w:t>
            </w:r>
          </w:p>
        </w:tc>
        <w:tc>
          <w:tcPr>
            <w:tcW w:w="1134" w:type="dxa"/>
            <w:tcBorders>
              <w:top w:val="single" w:color="auto" w:sz="4" w:space="0"/>
              <w:left w:val="nil"/>
              <w:bottom w:val="single" w:color="auto" w:sz="4" w:space="0"/>
              <w:right w:val="single" w:color="auto" w:sz="4" w:space="0"/>
            </w:tcBorders>
            <w:noWrap w:val="0"/>
            <w:vAlign w:val="center"/>
          </w:tcPr>
          <w:p w14:paraId="467F635A">
            <w:pPr>
              <w:widowControl/>
              <w:jc w:val="left"/>
              <w:rPr>
                <w:szCs w:val="21"/>
              </w:rPr>
            </w:pPr>
            <w:r>
              <w:rPr>
                <w:rFonts w:hint="eastAsia"/>
                <w:szCs w:val="21"/>
              </w:rPr>
              <w:t>计量单位</w:t>
            </w:r>
          </w:p>
        </w:tc>
        <w:tc>
          <w:tcPr>
            <w:tcW w:w="1846" w:type="dxa"/>
            <w:tcBorders>
              <w:top w:val="single" w:color="auto" w:sz="4" w:space="0"/>
              <w:left w:val="nil"/>
              <w:bottom w:val="single" w:color="auto" w:sz="4" w:space="0"/>
              <w:right w:val="single" w:color="auto" w:sz="4" w:space="0"/>
            </w:tcBorders>
            <w:noWrap w:val="0"/>
            <w:vAlign w:val="center"/>
          </w:tcPr>
          <w:p w14:paraId="13484D96">
            <w:pPr>
              <w:widowControl/>
              <w:jc w:val="left"/>
              <w:rPr>
                <w:szCs w:val="21"/>
              </w:rPr>
            </w:pPr>
            <w:r>
              <w:rPr>
                <w:rFonts w:hint="eastAsia"/>
                <w:szCs w:val="21"/>
              </w:rPr>
              <w:t>中型</w:t>
            </w:r>
          </w:p>
        </w:tc>
        <w:tc>
          <w:tcPr>
            <w:tcW w:w="1570" w:type="dxa"/>
            <w:tcBorders>
              <w:top w:val="single" w:color="auto" w:sz="4" w:space="0"/>
              <w:left w:val="nil"/>
              <w:bottom w:val="single" w:color="auto" w:sz="4" w:space="0"/>
              <w:right w:val="single" w:color="auto" w:sz="4" w:space="0"/>
            </w:tcBorders>
            <w:noWrap w:val="0"/>
            <w:vAlign w:val="center"/>
          </w:tcPr>
          <w:p w14:paraId="2D499C1B">
            <w:pPr>
              <w:widowControl/>
              <w:jc w:val="left"/>
              <w:rPr>
                <w:szCs w:val="21"/>
              </w:rPr>
            </w:pPr>
            <w:r>
              <w:rPr>
                <w:rFonts w:hint="eastAsia"/>
                <w:szCs w:val="21"/>
              </w:rPr>
              <w:t>小型</w:t>
            </w:r>
          </w:p>
        </w:tc>
        <w:tc>
          <w:tcPr>
            <w:tcW w:w="1009" w:type="dxa"/>
            <w:tcBorders>
              <w:top w:val="single" w:color="auto" w:sz="4" w:space="0"/>
              <w:left w:val="nil"/>
              <w:bottom w:val="single" w:color="auto" w:sz="4" w:space="0"/>
              <w:right w:val="single" w:color="auto" w:sz="4" w:space="0"/>
            </w:tcBorders>
            <w:noWrap w:val="0"/>
            <w:vAlign w:val="center"/>
          </w:tcPr>
          <w:p w14:paraId="4E61F000">
            <w:pPr>
              <w:widowControl/>
              <w:jc w:val="left"/>
              <w:rPr>
                <w:szCs w:val="21"/>
              </w:rPr>
            </w:pPr>
            <w:r>
              <w:rPr>
                <w:rFonts w:hint="eastAsia"/>
                <w:szCs w:val="21"/>
              </w:rPr>
              <w:t>微型</w:t>
            </w:r>
          </w:p>
        </w:tc>
      </w:tr>
      <w:tr w14:paraId="29491FD1">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1B6A14CB">
            <w:pPr>
              <w:widowControl/>
              <w:jc w:val="center"/>
              <w:rPr>
                <w:szCs w:val="21"/>
              </w:rPr>
            </w:pPr>
            <w:r>
              <w:rPr>
                <w:rFonts w:hint="eastAsia"/>
                <w:szCs w:val="21"/>
              </w:rPr>
              <w:t>农、林、牧、渔</w:t>
            </w:r>
          </w:p>
        </w:tc>
        <w:tc>
          <w:tcPr>
            <w:tcW w:w="1701" w:type="dxa"/>
            <w:tcBorders>
              <w:top w:val="nil"/>
              <w:left w:val="nil"/>
              <w:bottom w:val="single" w:color="auto" w:sz="4" w:space="0"/>
              <w:right w:val="single" w:color="auto" w:sz="4" w:space="0"/>
            </w:tcBorders>
            <w:noWrap w:val="0"/>
            <w:vAlign w:val="center"/>
          </w:tcPr>
          <w:p w14:paraId="0AAE24DC">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287546D2">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1004D71B">
            <w:pPr>
              <w:widowControl/>
              <w:jc w:val="left"/>
              <w:rPr>
                <w:szCs w:val="21"/>
              </w:rPr>
            </w:pPr>
            <w:r>
              <w:rPr>
                <w:rFonts w:hint="eastAsia"/>
                <w:szCs w:val="21"/>
              </w:rPr>
              <w:t>500≤Y</w:t>
            </w:r>
            <w:r>
              <w:rPr>
                <w:rFonts w:hint="eastAsia"/>
                <w:szCs w:val="21"/>
                <w:lang w:eastAsia="zh-CN"/>
              </w:rPr>
              <w:t>＜</w:t>
            </w:r>
            <w:r>
              <w:rPr>
                <w:rFonts w:hint="eastAsia"/>
                <w:szCs w:val="21"/>
              </w:rPr>
              <w:t>20000</w:t>
            </w:r>
          </w:p>
        </w:tc>
        <w:tc>
          <w:tcPr>
            <w:tcW w:w="1570" w:type="dxa"/>
            <w:tcBorders>
              <w:top w:val="nil"/>
              <w:left w:val="nil"/>
              <w:bottom w:val="single" w:color="auto" w:sz="4" w:space="0"/>
              <w:right w:val="single" w:color="auto" w:sz="4" w:space="0"/>
            </w:tcBorders>
            <w:noWrap w:val="0"/>
            <w:vAlign w:val="center"/>
          </w:tcPr>
          <w:p w14:paraId="35315341">
            <w:pPr>
              <w:widowControl/>
              <w:jc w:val="left"/>
              <w:rPr>
                <w:szCs w:val="21"/>
              </w:rPr>
            </w:pPr>
            <w:r>
              <w:rPr>
                <w:rFonts w:hint="eastAsia"/>
                <w:szCs w:val="21"/>
              </w:rPr>
              <w:t>50≤Y</w:t>
            </w:r>
            <w:r>
              <w:rPr>
                <w:rFonts w:hint="eastAsia"/>
                <w:szCs w:val="21"/>
                <w:lang w:eastAsia="zh-CN"/>
              </w:rPr>
              <w:t>＜</w:t>
            </w:r>
            <w:r>
              <w:rPr>
                <w:rFonts w:hint="eastAsia"/>
                <w:szCs w:val="21"/>
              </w:rPr>
              <w:t>500</w:t>
            </w:r>
          </w:p>
        </w:tc>
        <w:tc>
          <w:tcPr>
            <w:tcW w:w="1009" w:type="dxa"/>
            <w:tcBorders>
              <w:top w:val="nil"/>
              <w:left w:val="nil"/>
              <w:bottom w:val="single" w:color="auto" w:sz="4" w:space="0"/>
              <w:right w:val="single" w:color="auto" w:sz="4" w:space="0"/>
            </w:tcBorders>
            <w:noWrap w:val="0"/>
            <w:vAlign w:val="center"/>
          </w:tcPr>
          <w:p w14:paraId="5268DDDE">
            <w:pPr>
              <w:widowControl/>
              <w:jc w:val="left"/>
              <w:rPr>
                <w:szCs w:val="21"/>
              </w:rPr>
            </w:pPr>
            <w:r>
              <w:rPr>
                <w:rFonts w:hint="eastAsia"/>
                <w:szCs w:val="21"/>
              </w:rPr>
              <w:t>Y</w:t>
            </w:r>
            <w:r>
              <w:rPr>
                <w:rFonts w:hint="eastAsia"/>
                <w:szCs w:val="21"/>
                <w:lang w:eastAsia="zh-CN"/>
              </w:rPr>
              <w:t>＜</w:t>
            </w:r>
            <w:r>
              <w:rPr>
                <w:rFonts w:hint="eastAsia"/>
                <w:szCs w:val="21"/>
              </w:rPr>
              <w:t>50</w:t>
            </w:r>
          </w:p>
        </w:tc>
      </w:tr>
      <w:tr w14:paraId="6886E32E">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8C7C565">
            <w:pPr>
              <w:widowControl/>
              <w:jc w:val="center"/>
              <w:rPr>
                <w:szCs w:val="21"/>
              </w:rPr>
            </w:pPr>
            <w:r>
              <w:rPr>
                <w:rFonts w:hint="eastAsia"/>
                <w:szCs w:val="21"/>
              </w:rPr>
              <w:t>工业</w:t>
            </w:r>
          </w:p>
        </w:tc>
        <w:tc>
          <w:tcPr>
            <w:tcW w:w="1701" w:type="dxa"/>
            <w:tcBorders>
              <w:top w:val="nil"/>
              <w:left w:val="nil"/>
              <w:bottom w:val="single" w:color="auto" w:sz="4" w:space="0"/>
              <w:right w:val="single" w:color="auto" w:sz="4" w:space="0"/>
            </w:tcBorders>
            <w:noWrap w:val="0"/>
            <w:vAlign w:val="center"/>
          </w:tcPr>
          <w:p w14:paraId="700545F7">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ACCEF22">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4D3A3D90">
            <w:pPr>
              <w:widowControl/>
              <w:jc w:val="left"/>
              <w:rPr>
                <w:szCs w:val="21"/>
              </w:rPr>
            </w:pPr>
            <w:r>
              <w:rPr>
                <w:rFonts w:hint="eastAsia"/>
                <w:szCs w:val="21"/>
              </w:rPr>
              <w:t>300≤X</w:t>
            </w:r>
            <w:r>
              <w:rPr>
                <w:rFonts w:hint="eastAsia"/>
                <w:szCs w:val="21"/>
                <w:lang w:eastAsia="zh-CN"/>
              </w:rPr>
              <w:t>＜</w:t>
            </w:r>
            <w:r>
              <w:rPr>
                <w:rFonts w:hint="eastAsia"/>
                <w:szCs w:val="21"/>
              </w:rPr>
              <w:t>1000</w:t>
            </w:r>
          </w:p>
        </w:tc>
        <w:tc>
          <w:tcPr>
            <w:tcW w:w="1570" w:type="dxa"/>
            <w:tcBorders>
              <w:top w:val="nil"/>
              <w:left w:val="nil"/>
              <w:bottom w:val="single" w:color="auto" w:sz="4" w:space="0"/>
              <w:right w:val="single" w:color="auto" w:sz="4" w:space="0"/>
            </w:tcBorders>
            <w:noWrap w:val="0"/>
            <w:vAlign w:val="center"/>
          </w:tcPr>
          <w:p w14:paraId="748A8F5B">
            <w:pPr>
              <w:widowControl/>
              <w:jc w:val="left"/>
              <w:rPr>
                <w:szCs w:val="21"/>
              </w:rPr>
            </w:pPr>
            <w:r>
              <w:rPr>
                <w:rFonts w:hint="eastAsia"/>
                <w:szCs w:val="21"/>
              </w:rPr>
              <w:t>20≤X</w:t>
            </w:r>
            <w:r>
              <w:rPr>
                <w:rFonts w:hint="eastAsia"/>
                <w:szCs w:val="21"/>
                <w:lang w:eastAsia="zh-CN"/>
              </w:rPr>
              <w:t>＜</w:t>
            </w:r>
            <w:r>
              <w:rPr>
                <w:rFonts w:hint="eastAsia"/>
                <w:szCs w:val="21"/>
              </w:rPr>
              <w:t>300</w:t>
            </w:r>
          </w:p>
        </w:tc>
        <w:tc>
          <w:tcPr>
            <w:tcW w:w="1009" w:type="dxa"/>
            <w:tcBorders>
              <w:top w:val="nil"/>
              <w:left w:val="nil"/>
              <w:bottom w:val="single" w:color="auto" w:sz="4" w:space="0"/>
              <w:right w:val="single" w:color="auto" w:sz="4" w:space="0"/>
            </w:tcBorders>
            <w:noWrap w:val="0"/>
            <w:vAlign w:val="center"/>
          </w:tcPr>
          <w:p w14:paraId="1F3C7633">
            <w:pPr>
              <w:widowControl/>
              <w:jc w:val="left"/>
              <w:rPr>
                <w:szCs w:val="21"/>
              </w:rPr>
            </w:pPr>
            <w:r>
              <w:rPr>
                <w:rFonts w:hint="eastAsia"/>
                <w:szCs w:val="21"/>
              </w:rPr>
              <w:t>X</w:t>
            </w:r>
            <w:r>
              <w:rPr>
                <w:rFonts w:hint="eastAsia"/>
                <w:szCs w:val="21"/>
                <w:lang w:eastAsia="zh-CN"/>
              </w:rPr>
              <w:t>＜</w:t>
            </w:r>
            <w:r>
              <w:rPr>
                <w:rFonts w:hint="eastAsia"/>
                <w:szCs w:val="21"/>
              </w:rPr>
              <w:t>20</w:t>
            </w:r>
          </w:p>
        </w:tc>
      </w:tr>
      <w:tr w14:paraId="4803EA98">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EA81E81">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0507681E">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536DB87D">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7D82E896">
            <w:pPr>
              <w:widowControl/>
              <w:jc w:val="left"/>
              <w:rPr>
                <w:szCs w:val="21"/>
              </w:rPr>
            </w:pPr>
            <w:r>
              <w:rPr>
                <w:rFonts w:hint="eastAsia"/>
                <w:szCs w:val="21"/>
              </w:rPr>
              <w:t>2000≤Y</w:t>
            </w:r>
            <w:r>
              <w:rPr>
                <w:rFonts w:hint="eastAsia"/>
                <w:szCs w:val="21"/>
                <w:lang w:eastAsia="zh-CN"/>
              </w:rPr>
              <w:t>＜</w:t>
            </w:r>
            <w:r>
              <w:rPr>
                <w:rFonts w:hint="eastAsia"/>
                <w:szCs w:val="21"/>
              </w:rPr>
              <w:t>40000</w:t>
            </w:r>
          </w:p>
        </w:tc>
        <w:tc>
          <w:tcPr>
            <w:tcW w:w="1570" w:type="dxa"/>
            <w:tcBorders>
              <w:top w:val="nil"/>
              <w:left w:val="nil"/>
              <w:bottom w:val="single" w:color="auto" w:sz="4" w:space="0"/>
              <w:right w:val="single" w:color="auto" w:sz="4" w:space="0"/>
            </w:tcBorders>
            <w:noWrap w:val="0"/>
            <w:vAlign w:val="center"/>
          </w:tcPr>
          <w:p w14:paraId="1546948D">
            <w:pPr>
              <w:widowControl/>
              <w:jc w:val="left"/>
              <w:rPr>
                <w:szCs w:val="21"/>
              </w:rPr>
            </w:pPr>
            <w:r>
              <w:rPr>
                <w:rFonts w:hint="eastAsia"/>
                <w:szCs w:val="21"/>
              </w:rPr>
              <w:t>300≤Y＜2000</w:t>
            </w:r>
          </w:p>
        </w:tc>
        <w:tc>
          <w:tcPr>
            <w:tcW w:w="1009" w:type="dxa"/>
            <w:tcBorders>
              <w:top w:val="nil"/>
              <w:left w:val="nil"/>
              <w:bottom w:val="single" w:color="auto" w:sz="4" w:space="0"/>
              <w:right w:val="single" w:color="auto" w:sz="4" w:space="0"/>
            </w:tcBorders>
            <w:noWrap w:val="0"/>
            <w:vAlign w:val="center"/>
          </w:tcPr>
          <w:p w14:paraId="0FC1F729">
            <w:pPr>
              <w:widowControl/>
              <w:jc w:val="left"/>
              <w:rPr>
                <w:szCs w:val="21"/>
              </w:rPr>
            </w:pPr>
            <w:r>
              <w:rPr>
                <w:rFonts w:hint="eastAsia"/>
                <w:szCs w:val="21"/>
              </w:rPr>
              <w:t>Y＜300</w:t>
            </w:r>
          </w:p>
        </w:tc>
      </w:tr>
      <w:tr w14:paraId="358BB25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E99FF28">
            <w:pPr>
              <w:widowControl/>
              <w:jc w:val="center"/>
              <w:rPr>
                <w:szCs w:val="21"/>
              </w:rPr>
            </w:pPr>
            <w:r>
              <w:rPr>
                <w:rFonts w:hint="eastAsia"/>
                <w:szCs w:val="21"/>
              </w:rPr>
              <w:t>建筑业</w:t>
            </w:r>
          </w:p>
        </w:tc>
        <w:tc>
          <w:tcPr>
            <w:tcW w:w="1701" w:type="dxa"/>
            <w:tcBorders>
              <w:top w:val="nil"/>
              <w:left w:val="nil"/>
              <w:bottom w:val="single" w:color="auto" w:sz="4" w:space="0"/>
              <w:right w:val="single" w:color="auto" w:sz="4" w:space="0"/>
            </w:tcBorders>
            <w:noWrap w:val="0"/>
            <w:vAlign w:val="center"/>
          </w:tcPr>
          <w:p w14:paraId="0D5FBFB9">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4B953968">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2B70F918">
            <w:pPr>
              <w:widowControl/>
              <w:jc w:val="left"/>
              <w:rPr>
                <w:szCs w:val="21"/>
              </w:rPr>
            </w:pPr>
            <w:r>
              <w:rPr>
                <w:rFonts w:hint="eastAsia"/>
                <w:szCs w:val="21"/>
              </w:rPr>
              <w:t>6000≤Y＜80000</w:t>
            </w:r>
          </w:p>
        </w:tc>
        <w:tc>
          <w:tcPr>
            <w:tcW w:w="1570" w:type="dxa"/>
            <w:tcBorders>
              <w:top w:val="nil"/>
              <w:left w:val="nil"/>
              <w:bottom w:val="single" w:color="auto" w:sz="4" w:space="0"/>
              <w:right w:val="single" w:color="auto" w:sz="4" w:space="0"/>
            </w:tcBorders>
            <w:noWrap w:val="0"/>
            <w:vAlign w:val="center"/>
          </w:tcPr>
          <w:p w14:paraId="720948DA">
            <w:pPr>
              <w:widowControl/>
              <w:jc w:val="left"/>
              <w:rPr>
                <w:szCs w:val="21"/>
              </w:rPr>
            </w:pPr>
            <w:r>
              <w:rPr>
                <w:rFonts w:hint="eastAsia"/>
                <w:szCs w:val="21"/>
              </w:rPr>
              <w:t>300≤Y＜6000</w:t>
            </w:r>
          </w:p>
        </w:tc>
        <w:tc>
          <w:tcPr>
            <w:tcW w:w="1009" w:type="dxa"/>
            <w:tcBorders>
              <w:top w:val="nil"/>
              <w:left w:val="nil"/>
              <w:bottom w:val="single" w:color="auto" w:sz="4" w:space="0"/>
              <w:right w:val="single" w:color="auto" w:sz="4" w:space="0"/>
            </w:tcBorders>
            <w:noWrap w:val="0"/>
            <w:vAlign w:val="center"/>
          </w:tcPr>
          <w:p w14:paraId="63B8F755">
            <w:pPr>
              <w:widowControl/>
              <w:jc w:val="left"/>
              <w:rPr>
                <w:szCs w:val="21"/>
              </w:rPr>
            </w:pPr>
            <w:r>
              <w:rPr>
                <w:rFonts w:hint="eastAsia"/>
                <w:szCs w:val="21"/>
              </w:rPr>
              <w:t>Y＜300</w:t>
            </w:r>
          </w:p>
        </w:tc>
      </w:tr>
      <w:tr w14:paraId="031C2454">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DBA8F3B">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5AD01F50">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2E0DE493">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1F11EC2B">
            <w:pPr>
              <w:widowControl/>
              <w:jc w:val="left"/>
              <w:rPr>
                <w:szCs w:val="21"/>
              </w:rPr>
            </w:pPr>
            <w:r>
              <w:rPr>
                <w:rFonts w:hint="eastAsia"/>
                <w:szCs w:val="21"/>
              </w:rPr>
              <w:t>5000≤Z＜80000</w:t>
            </w:r>
          </w:p>
        </w:tc>
        <w:tc>
          <w:tcPr>
            <w:tcW w:w="1570" w:type="dxa"/>
            <w:tcBorders>
              <w:top w:val="nil"/>
              <w:left w:val="nil"/>
              <w:bottom w:val="single" w:color="auto" w:sz="4" w:space="0"/>
              <w:right w:val="single" w:color="auto" w:sz="4" w:space="0"/>
            </w:tcBorders>
            <w:noWrap w:val="0"/>
            <w:vAlign w:val="center"/>
          </w:tcPr>
          <w:p w14:paraId="6A4D0EF8">
            <w:pPr>
              <w:widowControl/>
              <w:jc w:val="left"/>
              <w:rPr>
                <w:szCs w:val="21"/>
              </w:rPr>
            </w:pPr>
            <w:r>
              <w:rPr>
                <w:rFonts w:hint="eastAsia"/>
                <w:szCs w:val="21"/>
              </w:rPr>
              <w:t>300≤Z＜5000</w:t>
            </w:r>
          </w:p>
        </w:tc>
        <w:tc>
          <w:tcPr>
            <w:tcW w:w="1009" w:type="dxa"/>
            <w:tcBorders>
              <w:top w:val="nil"/>
              <w:left w:val="nil"/>
              <w:bottom w:val="single" w:color="auto" w:sz="4" w:space="0"/>
              <w:right w:val="single" w:color="auto" w:sz="4" w:space="0"/>
            </w:tcBorders>
            <w:noWrap w:val="0"/>
            <w:vAlign w:val="center"/>
          </w:tcPr>
          <w:p w14:paraId="5BBAA085">
            <w:pPr>
              <w:widowControl/>
              <w:jc w:val="left"/>
              <w:rPr>
                <w:szCs w:val="21"/>
              </w:rPr>
            </w:pPr>
            <w:r>
              <w:rPr>
                <w:rFonts w:hint="eastAsia"/>
                <w:szCs w:val="21"/>
              </w:rPr>
              <w:t>Z＜300</w:t>
            </w:r>
          </w:p>
        </w:tc>
      </w:tr>
      <w:tr w14:paraId="28AD3063">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81F5099">
            <w:pPr>
              <w:widowControl/>
              <w:ind w:firstLine="315" w:firstLineChars="150"/>
              <w:rPr>
                <w:szCs w:val="21"/>
              </w:rPr>
            </w:pPr>
            <w:r>
              <w:rPr>
                <w:rFonts w:hint="eastAsia"/>
                <w:szCs w:val="21"/>
              </w:rPr>
              <w:t>批发业</w:t>
            </w:r>
          </w:p>
        </w:tc>
        <w:tc>
          <w:tcPr>
            <w:tcW w:w="1701" w:type="dxa"/>
            <w:tcBorders>
              <w:top w:val="nil"/>
              <w:left w:val="nil"/>
              <w:bottom w:val="single" w:color="auto" w:sz="4" w:space="0"/>
              <w:right w:val="single" w:color="auto" w:sz="4" w:space="0"/>
            </w:tcBorders>
            <w:noWrap w:val="0"/>
            <w:vAlign w:val="center"/>
          </w:tcPr>
          <w:p w14:paraId="4A1548EF">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930BFDD">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C7F2CD3">
            <w:pPr>
              <w:widowControl/>
              <w:jc w:val="left"/>
              <w:rPr>
                <w:szCs w:val="21"/>
              </w:rPr>
            </w:pPr>
            <w:r>
              <w:rPr>
                <w:rFonts w:hint="eastAsia"/>
                <w:szCs w:val="21"/>
              </w:rPr>
              <w:t>20≤X＜200</w:t>
            </w:r>
          </w:p>
        </w:tc>
        <w:tc>
          <w:tcPr>
            <w:tcW w:w="1570" w:type="dxa"/>
            <w:tcBorders>
              <w:top w:val="nil"/>
              <w:left w:val="nil"/>
              <w:bottom w:val="single" w:color="auto" w:sz="4" w:space="0"/>
              <w:right w:val="single" w:color="auto" w:sz="4" w:space="0"/>
            </w:tcBorders>
            <w:noWrap w:val="0"/>
            <w:vAlign w:val="center"/>
          </w:tcPr>
          <w:p w14:paraId="39623B11">
            <w:pPr>
              <w:widowControl/>
              <w:jc w:val="left"/>
              <w:rPr>
                <w:szCs w:val="21"/>
              </w:rPr>
            </w:pPr>
            <w:r>
              <w:rPr>
                <w:rFonts w:hint="eastAsia"/>
                <w:szCs w:val="21"/>
              </w:rPr>
              <w:t>5≤X＜20</w:t>
            </w:r>
          </w:p>
        </w:tc>
        <w:tc>
          <w:tcPr>
            <w:tcW w:w="1009" w:type="dxa"/>
            <w:tcBorders>
              <w:top w:val="nil"/>
              <w:left w:val="nil"/>
              <w:bottom w:val="single" w:color="auto" w:sz="4" w:space="0"/>
              <w:right w:val="single" w:color="auto" w:sz="4" w:space="0"/>
            </w:tcBorders>
            <w:noWrap w:val="0"/>
            <w:vAlign w:val="center"/>
          </w:tcPr>
          <w:p w14:paraId="6A8A4B85">
            <w:pPr>
              <w:widowControl/>
              <w:jc w:val="left"/>
              <w:rPr>
                <w:szCs w:val="21"/>
              </w:rPr>
            </w:pPr>
            <w:r>
              <w:rPr>
                <w:rFonts w:hint="eastAsia"/>
                <w:szCs w:val="21"/>
              </w:rPr>
              <w:t>X＜5</w:t>
            </w:r>
          </w:p>
        </w:tc>
      </w:tr>
      <w:tr w14:paraId="7B8FC803">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77B42BA">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70C269E4">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386D86BF">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8D69E32">
            <w:pPr>
              <w:widowControl/>
              <w:jc w:val="left"/>
              <w:rPr>
                <w:szCs w:val="21"/>
              </w:rPr>
            </w:pPr>
            <w:r>
              <w:rPr>
                <w:rFonts w:hint="eastAsia"/>
                <w:szCs w:val="21"/>
              </w:rPr>
              <w:t>5000≤Y＜40000</w:t>
            </w:r>
          </w:p>
        </w:tc>
        <w:tc>
          <w:tcPr>
            <w:tcW w:w="1570" w:type="dxa"/>
            <w:tcBorders>
              <w:top w:val="nil"/>
              <w:left w:val="nil"/>
              <w:bottom w:val="single" w:color="auto" w:sz="4" w:space="0"/>
              <w:right w:val="single" w:color="auto" w:sz="4" w:space="0"/>
            </w:tcBorders>
            <w:noWrap w:val="0"/>
            <w:vAlign w:val="center"/>
          </w:tcPr>
          <w:p w14:paraId="0B19935E">
            <w:pPr>
              <w:widowControl/>
              <w:jc w:val="left"/>
              <w:rPr>
                <w:szCs w:val="21"/>
              </w:rPr>
            </w:pPr>
            <w:r>
              <w:rPr>
                <w:rFonts w:hint="eastAsia"/>
                <w:szCs w:val="21"/>
              </w:rPr>
              <w:t>1000≤Y＜5000</w:t>
            </w:r>
          </w:p>
        </w:tc>
        <w:tc>
          <w:tcPr>
            <w:tcW w:w="1009" w:type="dxa"/>
            <w:tcBorders>
              <w:top w:val="nil"/>
              <w:left w:val="nil"/>
              <w:bottom w:val="single" w:color="auto" w:sz="4" w:space="0"/>
              <w:right w:val="single" w:color="auto" w:sz="4" w:space="0"/>
            </w:tcBorders>
            <w:noWrap w:val="0"/>
            <w:vAlign w:val="center"/>
          </w:tcPr>
          <w:p w14:paraId="3395632B">
            <w:pPr>
              <w:widowControl/>
              <w:jc w:val="left"/>
              <w:rPr>
                <w:szCs w:val="21"/>
              </w:rPr>
            </w:pPr>
            <w:r>
              <w:rPr>
                <w:rFonts w:hint="eastAsia"/>
                <w:szCs w:val="21"/>
              </w:rPr>
              <w:t>Y＜1000</w:t>
            </w:r>
          </w:p>
        </w:tc>
      </w:tr>
      <w:tr w14:paraId="512D39B9">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B88A70A">
            <w:pPr>
              <w:widowControl/>
              <w:jc w:val="center"/>
              <w:rPr>
                <w:szCs w:val="21"/>
              </w:rPr>
            </w:pPr>
            <w:r>
              <w:rPr>
                <w:rFonts w:hint="eastAsia"/>
                <w:szCs w:val="21"/>
              </w:rPr>
              <w:t>零售业</w:t>
            </w:r>
          </w:p>
        </w:tc>
        <w:tc>
          <w:tcPr>
            <w:tcW w:w="1701" w:type="dxa"/>
            <w:tcBorders>
              <w:top w:val="nil"/>
              <w:left w:val="nil"/>
              <w:bottom w:val="single" w:color="auto" w:sz="4" w:space="0"/>
              <w:right w:val="single" w:color="auto" w:sz="4" w:space="0"/>
            </w:tcBorders>
            <w:noWrap w:val="0"/>
            <w:vAlign w:val="center"/>
          </w:tcPr>
          <w:p w14:paraId="6FDD9C94">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72E5A8D4">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454A3FF9">
            <w:pPr>
              <w:widowControl/>
              <w:jc w:val="left"/>
              <w:rPr>
                <w:szCs w:val="21"/>
              </w:rPr>
            </w:pPr>
            <w:r>
              <w:rPr>
                <w:rFonts w:hint="eastAsia"/>
                <w:szCs w:val="21"/>
              </w:rPr>
              <w:t>50≤X＜300</w:t>
            </w:r>
          </w:p>
        </w:tc>
        <w:tc>
          <w:tcPr>
            <w:tcW w:w="1570" w:type="dxa"/>
            <w:tcBorders>
              <w:top w:val="nil"/>
              <w:left w:val="nil"/>
              <w:bottom w:val="single" w:color="auto" w:sz="4" w:space="0"/>
              <w:right w:val="single" w:color="auto" w:sz="4" w:space="0"/>
            </w:tcBorders>
            <w:noWrap w:val="0"/>
            <w:vAlign w:val="center"/>
          </w:tcPr>
          <w:p w14:paraId="7EA3E92D">
            <w:pPr>
              <w:widowControl/>
              <w:jc w:val="left"/>
              <w:rPr>
                <w:szCs w:val="21"/>
              </w:rPr>
            </w:pPr>
            <w:r>
              <w:rPr>
                <w:rFonts w:hint="eastAsia"/>
                <w:szCs w:val="21"/>
              </w:rPr>
              <w:t>10≤X＜50</w:t>
            </w:r>
          </w:p>
        </w:tc>
        <w:tc>
          <w:tcPr>
            <w:tcW w:w="1009" w:type="dxa"/>
            <w:tcBorders>
              <w:top w:val="nil"/>
              <w:left w:val="nil"/>
              <w:bottom w:val="single" w:color="auto" w:sz="4" w:space="0"/>
              <w:right w:val="single" w:color="auto" w:sz="4" w:space="0"/>
            </w:tcBorders>
            <w:noWrap w:val="0"/>
            <w:vAlign w:val="center"/>
          </w:tcPr>
          <w:p w14:paraId="19AB947B">
            <w:pPr>
              <w:widowControl/>
              <w:jc w:val="left"/>
              <w:rPr>
                <w:szCs w:val="21"/>
              </w:rPr>
            </w:pPr>
            <w:r>
              <w:rPr>
                <w:rFonts w:hint="eastAsia"/>
                <w:szCs w:val="21"/>
              </w:rPr>
              <w:t>X＜10</w:t>
            </w:r>
          </w:p>
        </w:tc>
      </w:tr>
      <w:tr w14:paraId="1643436F">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BE3B2EC">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1F72775D">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161FFC41">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8303C63">
            <w:pPr>
              <w:widowControl/>
              <w:jc w:val="left"/>
              <w:rPr>
                <w:szCs w:val="21"/>
              </w:rPr>
            </w:pPr>
            <w:r>
              <w:rPr>
                <w:rFonts w:hint="eastAsia"/>
                <w:szCs w:val="21"/>
              </w:rPr>
              <w:t>500≤Y＜20000</w:t>
            </w:r>
          </w:p>
        </w:tc>
        <w:tc>
          <w:tcPr>
            <w:tcW w:w="1570" w:type="dxa"/>
            <w:tcBorders>
              <w:top w:val="nil"/>
              <w:left w:val="nil"/>
              <w:bottom w:val="single" w:color="auto" w:sz="4" w:space="0"/>
              <w:right w:val="single" w:color="auto" w:sz="4" w:space="0"/>
            </w:tcBorders>
            <w:noWrap w:val="0"/>
            <w:vAlign w:val="center"/>
          </w:tcPr>
          <w:p w14:paraId="45F4AE42">
            <w:pPr>
              <w:widowControl/>
              <w:jc w:val="left"/>
              <w:rPr>
                <w:szCs w:val="21"/>
              </w:rPr>
            </w:pPr>
            <w:r>
              <w:rPr>
                <w:rFonts w:hint="eastAsia"/>
                <w:szCs w:val="21"/>
              </w:rPr>
              <w:t>100≤Y＜500</w:t>
            </w:r>
          </w:p>
        </w:tc>
        <w:tc>
          <w:tcPr>
            <w:tcW w:w="1009" w:type="dxa"/>
            <w:tcBorders>
              <w:top w:val="nil"/>
              <w:left w:val="nil"/>
              <w:bottom w:val="single" w:color="auto" w:sz="4" w:space="0"/>
              <w:right w:val="single" w:color="auto" w:sz="4" w:space="0"/>
            </w:tcBorders>
            <w:noWrap w:val="0"/>
            <w:vAlign w:val="center"/>
          </w:tcPr>
          <w:p w14:paraId="0C0D653A">
            <w:pPr>
              <w:widowControl/>
              <w:jc w:val="left"/>
              <w:rPr>
                <w:szCs w:val="21"/>
              </w:rPr>
            </w:pPr>
            <w:r>
              <w:rPr>
                <w:rFonts w:hint="eastAsia"/>
                <w:szCs w:val="21"/>
              </w:rPr>
              <w:t>Y＜100</w:t>
            </w:r>
          </w:p>
        </w:tc>
      </w:tr>
      <w:tr w14:paraId="5E5E15F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1B5178BD">
            <w:pPr>
              <w:widowControl/>
              <w:jc w:val="center"/>
              <w:rPr>
                <w:szCs w:val="21"/>
              </w:rPr>
            </w:pPr>
            <w:r>
              <w:rPr>
                <w:rFonts w:hint="eastAsia"/>
                <w:szCs w:val="21"/>
              </w:rPr>
              <w:t>交通运输业</w:t>
            </w:r>
          </w:p>
        </w:tc>
        <w:tc>
          <w:tcPr>
            <w:tcW w:w="1701" w:type="dxa"/>
            <w:tcBorders>
              <w:top w:val="nil"/>
              <w:left w:val="nil"/>
              <w:bottom w:val="single" w:color="auto" w:sz="4" w:space="0"/>
              <w:right w:val="single" w:color="auto" w:sz="4" w:space="0"/>
            </w:tcBorders>
            <w:noWrap w:val="0"/>
            <w:vAlign w:val="center"/>
          </w:tcPr>
          <w:p w14:paraId="05D6E516">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9803AFD">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21996A46">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5864C0C8">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noWrap w:val="0"/>
            <w:vAlign w:val="center"/>
          </w:tcPr>
          <w:p w14:paraId="16D0FC94">
            <w:pPr>
              <w:widowControl/>
              <w:jc w:val="left"/>
              <w:rPr>
                <w:szCs w:val="21"/>
              </w:rPr>
            </w:pPr>
            <w:r>
              <w:rPr>
                <w:rFonts w:hint="eastAsia"/>
                <w:szCs w:val="21"/>
              </w:rPr>
              <w:t>X＜20</w:t>
            </w:r>
          </w:p>
        </w:tc>
      </w:tr>
      <w:tr w14:paraId="04D9CE1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093EB787">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4BA575B0">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6FBB7DE2">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54FE478E">
            <w:pPr>
              <w:widowControl/>
              <w:jc w:val="left"/>
              <w:rPr>
                <w:szCs w:val="21"/>
              </w:rPr>
            </w:pPr>
            <w:r>
              <w:rPr>
                <w:rFonts w:hint="eastAsia"/>
                <w:szCs w:val="21"/>
              </w:rPr>
              <w:t>3000≤Y＜30000</w:t>
            </w:r>
          </w:p>
        </w:tc>
        <w:tc>
          <w:tcPr>
            <w:tcW w:w="1570" w:type="dxa"/>
            <w:tcBorders>
              <w:top w:val="nil"/>
              <w:left w:val="nil"/>
              <w:bottom w:val="single" w:color="auto" w:sz="4" w:space="0"/>
              <w:right w:val="single" w:color="auto" w:sz="4" w:space="0"/>
            </w:tcBorders>
            <w:noWrap w:val="0"/>
            <w:vAlign w:val="center"/>
          </w:tcPr>
          <w:p w14:paraId="4C6731C0">
            <w:pPr>
              <w:widowControl/>
              <w:jc w:val="left"/>
              <w:rPr>
                <w:szCs w:val="21"/>
              </w:rPr>
            </w:pPr>
            <w:r>
              <w:rPr>
                <w:rFonts w:hint="eastAsia"/>
                <w:szCs w:val="21"/>
              </w:rPr>
              <w:t>200≤Y＜3000</w:t>
            </w:r>
          </w:p>
        </w:tc>
        <w:tc>
          <w:tcPr>
            <w:tcW w:w="1009" w:type="dxa"/>
            <w:tcBorders>
              <w:top w:val="nil"/>
              <w:left w:val="nil"/>
              <w:bottom w:val="single" w:color="auto" w:sz="4" w:space="0"/>
              <w:right w:val="single" w:color="auto" w:sz="4" w:space="0"/>
            </w:tcBorders>
            <w:noWrap w:val="0"/>
            <w:vAlign w:val="center"/>
          </w:tcPr>
          <w:p w14:paraId="14C12B10">
            <w:pPr>
              <w:widowControl/>
              <w:jc w:val="left"/>
              <w:rPr>
                <w:szCs w:val="21"/>
              </w:rPr>
            </w:pPr>
            <w:r>
              <w:rPr>
                <w:rFonts w:hint="eastAsia"/>
                <w:szCs w:val="21"/>
              </w:rPr>
              <w:t>Y＜200</w:t>
            </w:r>
          </w:p>
        </w:tc>
      </w:tr>
      <w:tr w14:paraId="4DD56282">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CF8AF69">
            <w:pPr>
              <w:widowControl/>
              <w:jc w:val="center"/>
              <w:rPr>
                <w:szCs w:val="21"/>
              </w:rPr>
            </w:pPr>
            <w:r>
              <w:rPr>
                <w:rFonts w:hint="eastAsia"/>
                <w:szCs w:val="21"/>
              </w:rPr>
              <w:t>仓储业</w:t>
            </w:r>
          </w:p>
        </w:tc>
        <w:tc>
          <w:tcPr>
            <w:tcW w:w="1701" w:type="dxa"/>
            <w:tcBorders>
              <w:top w:val="nil"/>
              <w:left w:val="nil"/>
              <w:bottom w:val="single" w:color="auto" w:sz="4" w:space="0"/>
              <w:right w:val="single" w:color="auto" w:sz="4" w:space="0"/>
            </w:tcBorders>
            <w:noWrap w:val="0"/>
            <w:vAlign w:val="center"/>
          </w:tcPr>
          <w:p w14:paraId="745511ED">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04CD69E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34F369E8">
            <w:pPr>
              <w:widowControl/>
              <w:jc w:val="left"/>
              <w:rPr>
                <w:szCs w:val="21"/>
              </w:rPr>
            </w:pPr>
            <w:r>
              <w:rPr>
                <w:rFonts w:hint="eastAsia"/>
                <w:szCs w:val="21"/>
              </w:rPr>
              <w:t>100≤X＜200</w:t>
            </w:r>
          </w:p>
        </w:tc>
        <w:tc>
          <w:tcPr>
            <w:tcW w:w="1570" w:type="dxa"/>
            <w:tcBorders>
              <w:top w:val="nil"/>
              <w:left w:val="nil"/>
              <w:bottom w:val="single" w:color="auto" w:sz="4" w:space="0"/>
              <w:right w:val="single" w:color="auto" w:sz="4" w:space="0"/>
            </w:tcBorders>
            <w:noWrap w:val="0"/>
            <w:vAlign w:val="center"/>
          </w:tcPr>
          <w:p w14:paraId="13A284B2">
            <w:pPr>
              <w:widowControl/>
              <w:jc w:val="left"/>
              <w:rPr>
                <w:szCs w:val="21"/>
              </w:rPr>
            </w:pPr>
            <w:r>
              <w:rPr>
                <w:rFonts w:hint="eastAsia"/>
                <w:szCs w:val="21"/>
              </w:rPr>
              <w:t>20≤X＜100</w:t>
            </w:r>
          </w:p>
        </w:tc>
        <w:tc>
          <w:tcPr>
            <w:tcW w:w="1009" w:type="dxa"/>
            <w:tcBorders>
              <w:top w:val="nil"/>
              <w:left w:val="nil"/>
              <w:bottom w:val="single" w:color="auto" w:sz="4" w:space="0"/>
              <w:right w:val="single" w:color="auto" w:sz="4" w:space="0"/>
            </w:tcBorders>
            <w:noWrap w:val="0"/>
            <w:vAlign w:val="center"/>
          </w:tcPr>
          <w:p w14:paraId="7659D0FD">
            <w:pPr>
              <w:widowControl/>
              <w:jc w:val="left"/>
              <w:rPr>
                <w:szCs w:val="21"/>
              </w:rPr>
            </w:pPr>
            <w:r>
              <w:rPr>
                <w:rFonts w:hint="eastAsia"/>
                <w:szCs w:val="21"/>
              </w:rPr>
              <w:t>X＜20</w:t>
            </w:r>
          </w:p>
        </w:tc>
      </w:tr>
      <w:tr w14:paraId="08CDC0BC">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C1F9F12">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5F1BD023">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52532010">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4CA2977F">
            <w:pPr>
              <w:widowControl/>
              <w:jc w:val="left"/>
              <w:rPr>
                <w:szCs w:val="21"/>
              </w:rPr>
            </w:pPr>
            <w:r>
              <w:rPr>
                <w:rFonts w:hint="eastAsia"/>
                <w:szCs w:val="21"/>
              </w:rPr>
              <w:t>1000≤Y＜30000</w:t>
            </w:r>
          </w:p>
        </w:tc>
        <w:tc>
          <w:tcPr>
            <w:tcW w:w="1570" w:type="dxa"/>
            <w:tcBorders>
              <w:top w:val="nil"/>
              <w:left w:val="nil"/>
              <w:bottom w:val="single" w:color="auto" w:sz="4" w:space="0"/>
              <w:right w:val="single" w:color="auto" w:sz="4" w:space="0"/>
            </w:tcBorders>
            <w:noWrap w:val="0"/>
            <w:vAlign w:val="center"/>
          </w:tcPr>
          <w:p w14:paraId="24C845E3">
            <w:pPr>
              <w:widowControl/>
              <w:jc w:val="left"/>
              <w:rPr>
                <w:szCs w:val="21"/>
              </w:rPr>
            </w:pPr>
            <w:r>
              <w:rPr>
                <w:rFonts w:hint="eastAsia"/>
                <w:szCs w:val="21"/>
              </w:rPr>
              <w:t>100≤Y＜1000</w:t>
            </w:r>
          </w:p>
        </w:tc>
        <w:tc>
          <w:tcPr>
            <w:tcW w:w="1009" w:type="dxa"/>
            <w:tcBorders>
              <w:top w:val="nil"/>
              <w:left w:val="nil"/>
              <w:bottom w:val="single" w:color="auto" w:sz="4" w:space="0"/>
              <w:right w:val="single" w:color="auto" w:sz="4" w:space="0"/>
            </w:tcBorders>
            <w:noWrap w:val="0"/>
            <w:vAlign w:val="center"/>
          </w:tcPr>
          <w:p w14:paraId="0789ED04">
            <w:pPr>
              <w:widowControl/>
              <w:jc w:val="left"/>
              <w:rPr>
                <w:szCs w:val="21"/>
              </w:rPr>
            </w:pPr>
            <w:r>
              <w:rPr>
                <w:rFonts w:hint="eastAsia"/>
                <w:szCs w:val="21"/>
              </w:rPr>
              <w:t>Y＜100</w:t>
            </w:r>
          </w:p>
        </w:tc>
      </w:tr>
      <w:tr w14:paraId="04173518">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6CF7095">
            <w:pPr>
              <w:widowControl/>
              <w:jc w:val="center"/>
              <w:rPr>
                <w:szCs w:val="21"/>
              </w:rPr>
            </w:pPr>
            <w:r>
              <w:rPr>
                <w:rFonts w:hint="eastAsia"/>
                <w:szCs w:val="21"/>
              </w:rPr>
              <w:t>邮政业</w:t>
            </w:r>
          </w:p>
        </w:tc>
        <w:tc>
          <w:tcPr>
            <w:tcW w:w="1701" w:type="dxa"/>
            <w:tcBorders>
              <w:top w:val="nil"/>
              <w:left w:val="nil"/>
              <w:bottom w:val="single" w:color="auto" w:sz="4" w:space="0"/>
              <w:right w:val="single" w:color="auto" w:sz="4" w:space="0"/>
            </w:tcBorders>
            <w:noWrap w:val="0"/>
            <w:vAlign w:val="center"/>
          </w:tcPr>
          <w:p w14:paraId="13CA2B3B">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322AE45">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DD1A2BD">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1DCCF234">
            <w:pPr>
              <w:widowControl/>
              <w:jc w:val="left"/>
              <w:rPr>
                <w:szCs w:val="21"/>
              </w:rPr>
            </w:pPr>
            <w:r>
              <w:rPr>
                <w:rFonts w:hint="eastAsia"/>
                <w:szCs w:val="21"/>
              </w:rPr>
              <w:t>20≤X＜300</w:t>
            </w:r>
          </w:p>
        </w:tc>
        <w:tc>
          <w:tcPr>
            <w:tcW w:w="1009" w:type="dxa"/>
            <w:tcBorders>
              <w:top w:val="nil"/>
              <w:left w:val="nil"/>
              <w:bottom w:val="single" w:color="auto" w:sz="4" w:space="0"/>
              <w:right w:val="single" w:color="auto" w:sz="4" w:space="0"/>
            </w:tcBorders>
            <w:noWrap w:val="0"/>
            <w:vAlign w:val="center"/>
          </w:tcPr>
          <w:p w14:paraId="432F662D">
            <w:pPr>
              <w:widowControl/>
              <w:jc w:val="left"/>
              <w:rPr>
                <w:szCs w:val="21"/>
              </w:rPr>
            </w:pPr>
            <w:r>
              <w:rPr>
                <w:rFonts w:hint="eastAsia"/>
                <w:szCs w:val="21"/>
              </w:rPr>
              <w:t>X＜20</w:t>
            </w:r>
          </w:p>
        </w:tc>
      </w:tr>
      <w:tr w14:paraId="2014C2B6">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6C6E8282">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6BE47553">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57080E4D">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9D658EA">
            <w:pPr>
              <w:widowControl/>
              <w:jc w:val="left"/>
              <w:rPr>
                <w:szCs w:val="21"/>
              </w:rPr>
            </w:pPr>
            <w:r>
              <w:rPr>
                <w:rFonts w:hint="eastAsia"/>
                <w:szCs w:val="21"/>
              </w:rPr>
              <w:t>2000≤Y＜30000</w:t>
            </w:r>
          </w:p>
        </w:tc>
        <w:tc>
          <w:tcPr>
            <w:tcW w:w="1570" w:type="dxa"/>
            <w:tcBorders>
              <w:top w:val="nil"/>
              <w:left w:val="nil"/>
              <w:bottom w:val="single" w:color="auto" w:sz="4" w:space="0"/>
              <w:right w:val="single" w:color="auto" w:sz="4" w:space="0"/>
            </w:tcBorders>
            <w:noWrap w:val="0"/>
            <w:vAlign w:val="center"/>
          </w:tcPr>
          <w:p w14:paraId="4F9A01C6">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001E827D">
            <w:pPr>
              <w:widowControl/>
              <w:jc w:val="left"/>
              <w:rPr>
                <w:szCs w:val="21"/>
              </w:rPr>
            </w:pPr>
            <w:r>
              <w:rPr>
                <w:rFonts w:hint="eastAsia"/>
                <w:szCs w:val="21"/>
              </w:rPr>
              <w:t>Y＜100</w:t>
            </w:r>
          </w:p>
        </w:tc>
      </w:tr>
      <w:tr w14:paraId="70C5BF2C">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B007CCB">
            <w:pPr>
              <w:widowControl/>
              <w:jc w:val="center"/>
              <w:rPr>
                <w:szCs w:val="21"/>
              </w:rPr>
            </w:pPr>
            <w:r>
              <w:rPr>
                <w:rFonts w:hint="eastAsia"/>
                <w:szCs w:val="21"/>
              </w:rPr>
              <w:t>住宿业</w:t>
            </w:r>
          </w:p>
        </w:tc>
        <w:tc>
          <w:tcPr>
            <w:tcW w:w="1701" w:type="dxa"/>
            <w:tcBorders>
              <w:top w:val="nil"/>
              <w:left w:val="nil"/>
              <w:bottom w:val="single" w:color="auto" w:sz="4" w:space="0"/>
              <w:right w:val="single" w:color="auto" w:sz="4" w:space="0"/>
            </w:tcBorders>
            <w:noWrap w:val="0"/>
            <w:vAlign w:val="center"/>
          </w:tcPr>
          <w:p w14:paraId="089C16BB">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26596247">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09E5851">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14AD76D5">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5D83E78C">
            <w:pPr>
              <w:widowControl/>
              <w:jc w:val="left"/>
              <w:rPr>
                <w:szCs w:val="21"/>
              </w:rPr>
            </w:pPr>
            <w:r>
              <w:rPr>
                <w:rFonts w:hint="eastAsia"/>
                <w:szCs w:val="21"/>
              </w:rPr>
              <w:t>X＜10</w:t>
            </w:r>
          </w:p>
        </w:tc>
      </w:tr>
      <w:tr w14:paraId="619E7D28">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67E95DB9">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459B685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6B2FA059">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0FFE67AE">
            <w:pPr>
              <w:widowControl/>
              <w:jc w:val="left"/>
              <w:rPr>
                <w:szCs w:val="21"/>
              </w:rPr>
            </w:pPr>
            <w:r>
              <w:rPr>
                <w:rFonts w:hint="eastAsia"/>
                <w:szCs w:val="21"/>
              </w:rPr>
              <w:t>2000≤Y＜10000</w:t>
            </w:r>
          </w:p>
        </w:tc>
        <w:tc>
          <w:tcPr>
            <w:tcW w:w="1570" w:type="dxa"/>
            <w:tcBorders>
              <w:top w:val="nil"/>
              <w:left w:val="nil"/>
              <w:bottom w:val="single" w:color="auto" w:sz="4" w:space="0"/>
              <w:right w:val="single" w:color="auto" w:sz="4" w:space="0"/>
            </w:tcBorders>
            <w:noWrap w:val="0"/>
            <w:vAlign w:val="center"/>
          </w:tcPr>
          <w:p w14:paraId="58835D40">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5C15169C">
            <w:pPr>
              <w:widowControl/>
              <w:jc w:val="left"/>
              <w:rPr>
                <w:szCs w:val="21"/>
              </w:rPr>
            </w:pPr>
            <w:r>
              <w:rPr>
                <w:rFonts w:hint="eastAsia"/>
                <w:szCs w:val="21"/>
              </w:rPr>
              <w:t>Y＜100</w:t>
            </w:r>
          </w:p>
        </w:tc>
      </w:tr>
      <w:tr w14:paraId="3B6ED6B4">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40DF4CEA">
            <w:pPr>
              <w:widowControl/>
              <w:jc w:val="center"/>
              <w:rPr>
                <w:szCs w:val="21"/>
              </w:rPr>
            </w:pPr>
            <w:r>
              <w:rPr>
                <w:rFonts w:hint="eastAsia"/>
                <w:szCs w:val="21"/>
              </w:rPr>
              <w:t>餐饮业</w:t>
            </w:r>
          </w:p>
        </w:tc>
        <w:tc>
          <w:tcPr>
            <w:tcW w:w="1701" w:type="dxa"/>
            <w:tcBorders>
              <w:top w:val="nil"/>
              <w:left w:val="nil"/>
              <w:bottom w:val="single" w:color="auto" w:sz="4" w:space="0"/>
              <w:right w:val="single" w:color="auto" w:sz="4" w:space="0"/>
            </w:tcBorders>
            <w:noWrap w:val="0"/>
            <w:vAlign w:val="center"/>
          </w:tcPr>
          <w:p w14:paraId="7F2397D8">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3861EBA8">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06F0582">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1CA1DBA5">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1E7798A8">
            <w:pPr>
              <w:widowControl/>
              <w:jc w:val="left"/>
              <w:rPr>
                <w:szCs w:val="21"/>
              </w:rPr>
            </w:pPr>
            <w:r>
              <w:rPr>
                <w:rFonts w:hint="eastAsia"/>
                <w:szCs w:val="21"/>
              </w:rPr>
              <w:t>X＜10</w:t>
            </w:r>
          </w:p>
        </w:tc>
      </w:tr>
      <w:tr w14:paraId="1E3061CB">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EEF66E3">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0A240CD5">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051E65FC">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5BE491A1">
            <w:pPr>
              <w:widowControl/>
              <w:jc w:val="left"/>
              <w:rPr>
                <w:szCs w:val="21"/>
              </w:rPr>
            </w:pPr>
            <w:r>
              <w:rPr>
                <w:rFonts w:hint="eastAsia"/>
                <w:szCs w:val="21"/>
              </w:rPr>
              <w:t>2000≤Y＜10000</w:t>
            </w:r>
          </w:p>
        </w:tc>
        <w:tc>
          <w:tcPr>
            <w:tcW w:w="1570" w:type="dxa"/>
            <w:tcBorders>
              <w:top w:val="nil"/>
              <w:left w:val="nil"/>
              <w:bottom w:val="single" w:color="auto" w:sz="4" w:space="0"/>
              <w:right w:val="single" w:color="auto" w:sz="4" w:space="0"/>
            </w:tcBorders>
            <w:noWrap w:val="0"/>
            <w:vAlign w:val="center"/>
          </w:tcPr>
          <w:p w14:paraId="59D02254">
            <w:pPr>
              <w:widowControl/>
              <w:jc w:val="left"/>
              <w:rPr>
                <w:szCs w:val="21"/>
              </w:rPr>
            </w:pPr>
            <w:r>
              <w:rPr>
                <w:rFonts w:hint="eastAsia"/>
                <w:szCs w:val="21"/>
              </w:rPr>
              <w:t>100≤Y＜2000</w:t>
            </w:r>
          </w:p>
        </w:tc>
        <w:tc>
          <w:tcPr>
            <w:tcW w:w="1009" w:type="dxa"/>
            <w:tcBorders>
              <w:top w:val="nil"/>
              <w:left w:val="nil"/>
              <w:bottom w:val="single" w:color="auto" w:sz="4" w:space="0"/>
              <w:right w:val="single" w:color="auto" w:sz="4" w:space="0"/>
            </w:tcBorders>
            <w:noWrap w:val="0"/>
            <w:vAlign w:val="center"/>
          </w:tcPr>
          <w:p w14:paraId="585212A2">
            <w:pPr>
              <w:widowControl/>
              <w:jc w:val="left"/>
              <w:rPr>
                <w:szCs w:val="21"/>
              </w:rPr>
            </w:pPr>
            <w:r>
              <w:rPr>
                <w:rFonts w:hint="eastAsia"/>
                <w:szCs w:val="21"/>
              </w:rPr>
              <w:t>Y＜100</w:t>
            </w:r>
          </w:p>
        </w:tc>
      </w:tr>
      <w:tr w14:paraId="51ADDF71">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D0678FD">
            <w:pPr>
              <w:widowControl/>
              <w:jc w:val="center"/>
              <w:rPr>
                <w:szCs w:val="21"/>
              </w:rPr>
            </w:pPr>
            <w:r>
              <w:rPr>
                <w:rFonts w:hint="eastAsia"/>
                <w:szCs w:val="21"/>
              </w:rPr>
              <w:t>信息传输业</w:t>
            </w:r>
          </w:p>
        </w:tc>
        <w:tc>
          <w:tcPr>
            <w:tcW w:w="1701" w:type="dxa"/>
            <w:tcBorders>
              <w:top w:val="nil"/>
              <w:left w:val="nil"/>
              <w:bottom w:val="single" w:color="auto" w:sz="4" w:space="0"/>
              <w:right w:val="single" w:color="auto" w:sz="4" w:space="0"/>
            </w:tcBorders>
            <w:noWrap w:val="0"/>
            <w:vAlign w:val="center"/>
          </w:tcPr>
          <w:p w14:paraId="24C5C3AA">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67258EE5">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12E41B2C">
            <w:pPr>
              <w:widowControl/>
              <w:jc w:val="left"/>
              <w:rPr>
                <w:szCs w:val="21"/>
              </w:rPr>
            </w:pPr>
            <w:r>
              <w:rPr>
                <w:rFonts w:hint="eastAsia"/>
                <w:szCs w:val="21"/>
              </w:rPr>
              <w:t>100≤X＜2000</w:t>
            </w:r>
          </w:p>
        </w:tc>
        <w:tc>
          <w:tcPr>
            <w:tcW w:w="1570" w:type="dxa"/>
            <w:tcBorders>
              <w:top w:val="nil"/>
              <w:left w:val="nil"/>
              <w:bottom w:val="single" w:color="auto" w:sz="4" w:space="0"/>
              <w:right w:val="single" w:color="auto" w:sz="4" w:space="0"/>
            </w:tcBorders>
            <w:noWrap w:val="0"/>
            <w:vAlign w:val="center"/>
          </w:tcPr>
          <w:p w14:paraId="222D7E02">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23659E06">
            <w:pPr>
              <w:widowControl/>
              <w:jc w:val="left"/>
              <w:rPr>
                <w:szCs w:val="21"/>
              </w:rPr>
            </w:pPr>
            <w:r>
              <w:rPr>
                <w:rFonts w:hint="eastAsia"/>
                <w:szCs w:val="21"/>
              </w:rPr>
              <w:t>X＜10</w:t>
            </w:r>
          </w:p>
        </w:tc>
      </w:tr>
      <w:tr w14:paraId="54AA4D3A">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21D5C97F">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7C4093E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0ECFF2B2">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548B26F6">
            <w:pPr>
              <w:widowControl/>
              <w:jc w:val="left"/>
              <w:rPr>
                <w:szCs w:val="21"/>
              </w:rPr>
            </w:pPr>
            <w:r>
              <w:rPr>
                <w:rFonts w:hint="eastAsia"/>
                <w:szCs w:val="21"/>
              </w:rPr>
              <w:t>1000≤Y＜100000</w:t>
            </w:r>
          </w:p>
        </w:tc>
        <w:tc>
          <w:tcPr>
            <w:tcW w:w="1570" w:type="dxa"/>
            <w:tcBorders>
              <w:top w:val="nil"/>
              <w:left w:val="nil"/>
              <w:bottom w:val="single" w:color="auto" w:sz="4" w:space="0"/>
              <w:right w:val="single" w:color="auto" w:sz="4" w:space="0"/>
            </w:tcBorders>
            <w:noWrap w:val="0"/>
            <w:vAlign w:val="center"/>
          </w:tcPr>
          <w:p w14:paraId="37C665EA">
            <w:pPr>
              <w:widowControl/>
              <w:jc w:val="left"/>
              <w:rPr>
                <w:szCs w:val="21"/>
              </w:rPr>
            </w:pPr>
            <w:r>
              <w:rPr>
                <w:rFonts w:hint="eastAsia"/>
                <w:szCs w:val="21"/>
              </w:rPr>
              <w:t>100≤Y＜1000</w:t>
            </w:r>
          </w:p>
        </w:tc>
        <w:tc>
          <w:tcPr>
            <w:tcW w:w="1009" w:type="dxa"/>
            <w:tcBorders>
              <w:top w:val="nil"/>
              <w:left w:val="nil"/>
              <w:bottom w:val="single" w:color="auto" w:sz="4" w:space="0"/>
              <w:right w:val="single" w:color="auto" w:sz="4" w:space="0"/>
            </w:tcBorders>
            <w:noWrap w:val="0"/>
            <w:vAlign w:val="center"/>
          </w:tcPr>
          <w:p w14:paraId="3884905C">
            <w:pPr>
              <w:widowControl/>
              <w:jc w:val="left"/>
              <w:rPr>
                <w:szCs w:val="21"/>
              </w:rPr>
            </w:pPr>
            <w:r>
              <w:rPr>
                <w:rFonts w:hint="eastAsia"/>
                <w:szCs w:val="21"/>
              </w:rPr>
              <w:t>Y＜100</w:t>
            </w:r>
          </w:p>
        </w:tc>
      </w:tr>
      <w:tr w14:paraId="0FA5386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0743F3D5">
            <w:pPr>
              <w:widowControl/>
              <w:jc w:val="center"/>
              <w:rPr>
                <w:szCs w:val="21"/>
              </w:rPr>
            </w:pPr>
            <w:r>
              <w:rPr>
                <w:rFonts w:hint="eastAsia"/>
                <w:szCs w:val="21"/>
              </w:rPr>
              <w:t>软件和信息技术服务业</w:t>
            </w:r>
          </w:p>
        </w:tc>
        <w:tc>
          <w:tcPr>
            <w:tcW w:w="1701" w:type="dxa"/>
            <w:tcBorders>
              <w:top w:val="nil"/>
              <w:left w:val="nil"/>
              <w:bottom w:val="single" w:color="auto" w:sz="4" w:space="0"/>
              <w:right w:val="single" w:color="auto" w:sz="4" w:space="0"/>
            </w:tcBorders>
            <w:noWrap w:val="0"/>
            <w:vAlign w:val="center"/>
          </w:tcPr>
          <w:p w14:paraId="2518BD05">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2EB4D7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448B82F8">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5C901E96">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5FC84D48">
            <w:pPr>
              <w:widowControl/>
              <w:jc w:val="left"/>
              <w:rPr>
                <w:szCs w:val="21"/>
              </w:rPr>
            </w:pPr>
            <w:r>
              <w:rPr>
                <w:rFonts w:hint="eastAsia"/>
                <w:szCs w:val="21"/>
              </w:rPr>
              <w:t>X＜10</w:t>
            </w:r>
          </w:p>
        </w:tc>
      </w:tr>
      <w:tr w14:paraId="0651C9AE">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7A0D16A">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250856FB">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2879CE7A">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130155E8">
            <w:pPr>
              <w:widowControl/>
              <w:jc w:val="left"/>
              <w:rPr>
                <w:szCs w:val="21"/>
              </w:rPr>
            </w:pPr>
            <w:r>
              <w:rPr>
                <w:rFonts w:hint="eastAsia"/>
                <w:szCs w:val="21"/>
              </w:rPr>
              <w:t>1000≤Y＜10000</w:t>
            </w:r>
          </w:p>
        </w:tc>
        <w:tc>
          <w:tcPr>
            <w:tcW w:w="1570" w:type="dxa"/>
            <w:tcBorders>
              <w:top w:val="nil"/>
              <w:left w:val="nil"/>
              <w:bottom w:val="single" w:color="auto" w:sz="4" w:space="0"/>
              <w:right w:val="single" w:color="auto" w:sz="4" w:space="0"/>
            </w:tcBorders>
            <w:noWrap w:val="0"/>
            <w:vAlign w:val="center"/>
          </w:tcPr>
          <w:p w14:paraId="1682145D">
            <w:pPr>
              <w:widowControl/>
              <w:jc w:val="left"/>
              <w:rPr>
                <w:szCs w:val="21"/>
              </w:rPr>
            </w:pPr>
            <w:r>
              <w:rPr>
                <w:rFonts w:hint="eastAsia"/>
                <w:szCs w:val="21"/>
              </w:rPr>
              <w:t>50≤Y＜1000</w:t>
            </w:r>
          </w:p>
        </w:tc>
        <w:tc>
          <w:tcPr>
            <w:tcW w:w="1009" w:type="dxa"/>
            <w:tcBorders>
              <w:top w:val="nil"/>
              <w:left w:val="nil"/>
              <w:bottom w:val="single" w:color="auto" w:sz="4" w:space="0"/>
              <w:right w:val="single" w:color="auto" w:sz="4" w:space="0"/>
            </w:tcBorders>
            <w:noWrap w:val="0"/>
            <w:vAlign w:val="center"/>
          </w:tcPr>
          <w:p w14:paraId="3029B39D">
            <w:pPr>
              <w:widowControl/>
              <w:jc w:val="left"/>
              <w:rPr>
                <w:szCs w:val="21"/>
              </w:rPr>
            </w:pPr>
            <w:r>
              <w:rPr>
                <w:rFonts w:hint="eastAsia"/>
                <w:szCs w:val="21"/>
              </w:rPr>
              <w:t>Y＜50</w:t>
            </w:r>
          </w:p>
        </w:tc>
      </w:tr>
      <w:tr w14:paraId="4DCBDE26">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7C01A68F">
            <w:pPr>
              <w:widowControl/>
              <w:jc w:val="center"/>
              <w:rPr>
                <w:szCs w:val="21"/>
              </w:rPr>
            </w:pPr>
            <w:r>
              <w:rPr>
                <w:rFonts w:hint="eastAsia"/>
                <w:szCs w:val="21"/>
              </w:rPr>
              <w:t>房地产开发经营</w:t>
            </w:r>
          </w:p>
        </w:tc>
        <w:tc>
          <w:tcPr>
            <w:tcW w:w="1701" w:type="dxa"/>
            <w:tcBorders>
              <w:top w:val="nil"/>
              <w:left w:val="nil"/>
              <w:bottom w:val="single" w:color="auto" w:sz="4" w:space="0"/>
              <w:right w:val="single" w:color="auto" w:sz="4" w:space="0"/>
            </w:tcBorders>
            <w:noWrap w:val="0"/>
            <w:vAlign w:val="center"/>
          </w:tcPr>
          <w:p w14:paraId="47E231C8">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33B42321">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102BC3DC">
            <w:pPr>
              <w:widowControl/>
              <w:jc w:val="left"/>
              <w:rPr>
                <w:szCs w:val="21"/>
              </w:rPr>
            </w:pPr>
            <w:r>
              <w:rPr>
                <w:rFonts w:hint="eastAsia"/>
                <w:szCs w:val="21"/>
              </w:rPr>
              <w:t>1000≤Y＜200000</w:t>
            </w:r>
          </w:p>
        </w:tc>
        <w:tc>
          <w:tcPr>
            <w:tcW w:w="1570" w:type="dxa"/>
            <w:tcBorders>
              <w:top w:val="nil"/>
              <w:left w:val="nil"/>
              <w:bottom w:val="single" w:color="auto" w:sz="4" w:space="0"/>
              <w:right w:val="single" w:color="auto" w:sz="4" w:space="0"/>
            </w:tcBorders>
            <w:noWrap w:val="0"/>
            <w:vAlign w:val="center"/>
          </w:tcPr>
          <w:p w14:paraId="16639E11">
            <w:pPr>
              <w:widowControl/>
              <w:jc w:val="left"/>
              <w:rPr>
                <w:szCs w:val="21"/>
              </w:rPr>
            </w:pPr>
            <w:r>
              <w:rPr>
                <w:rFonts w:hint="eastAsia"/>
                <w:szCs w:val="21"/>
              </w:rPr>
              <w:t>100≤X＜1000</w:t>
            </w:r>
          </w:p>
        </w:tc>
        <w:tc>
          <w:tcPr>
            <w:tcW w:w="1009" w:type="dxa"/>
            <w:tcBorders>
              <w:top w:val="nil"/>
              <w:left w:val="nil"/>
              <w:bottom w:val="single" w:color="auto" w:sz="4" w:space="0"/>
              <w:right w:val="single" w:color="auto" w:sz="4" w:space="0"/>
            </w:tcBorders>
            <w:noWrap w:val="0"/>
            <w:vAlign w:val="center"/>
          </w:tcPr>
          <w:p w14:paraId="1CBFA800">
            <w:pPr>
              <w:widowControl/>
              <w:jc w:val="left"/>
              <w:rPr>
                <w:szCs w:val="21"/>
              </w:rPr>
            </w:pPr>
            <w:r>
              <w:rPr>
                <w:rFonts w:hint="eastAsia"/>
                <w:szCs w:val="21"/>
              </w:rPr>
              <w:t>X＜100</w:t>
            </w:r>
          </w:p>
        </w:tc>
      </w:tr>
      <w:tr w14:paraId="33BD4049">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4793A9DD">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140C322A">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34A84B06">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319CB659">
            <w:pPr>
              <w:widowControl/>
              <w:jc w:val="left"/>
              <w:rPr>
                <w:szCs w:val="21"/>
              </w:rPr>
            </w:pPr>
            <w:r>
              <w:rPr>
                <w:rFonts w:hint="eastAsia"/>
                <w:szCs w:val="21"/>
              </w:rPr>
              <w:t>5000≤Z＜10000</w:t>
            </w:r>
          </w:p>
        </w:tc>
        <w:tc>
          <w:tcPr>
            <w:tcW w:w="1570" w:type="dxa"/>
            <w:tcBorders>
              <w:top w:val="nil"/>
              <w:left w:val="nil"/>
              <w:bottom w:val="single" w:color="auto" w:sz="4" w:space="0"/>
              <w:right w:val="single" w:color="auto" w:sz="4" w:space="0"/>
            </w:tcBorders>
            <w:noWrap w:val="0"/>
            <w:vAlign w:val="center"/>
          </w:tcPr>
          <w:p w14:paraId="1704E20A">
            <w:pPr>
              <w:widowControl/>
              <w:jc w:val="left"/>
              <w:rPr>
                <w:szCs w:val="21"/>
              </w:rPr>
            </w:pPr>
            <w:r>
              <w:rPr>
                <w:rFonts w:hint="eastAsia"/>
                <w:szCs w:val="21"/>
              </w:rPr>
              <w:t>2000≤Y＜5000</w:t>
            </w:r>
          </w:p>
        </w:tc>
        <w:tc>
          <w:tcPr>
            <w:tcW w:w="1009" w:type="dxa"/>
            <w:tcBorders>
              <w:top w:val="nil"/>
              <w:left w:val="nil"/>
              <w:bottom w:val="single" w:color="auto" w:sz="4" w:space="0"/>
              <w:right w:val="single" w:color="auto" w:sz="4" w:space="0"/>
            </w:tcBorders>
            <w:noWrap w:val="0"/>
            <w:vAlign w:val="center"/>
          </w:tcPr>
          <w:p w14:paraId="7E539B2B">
            <w:pPr>
              <w:widowControl/>
              <w:jc w:val="left"/>
              <w:rPr>
                <w:szCs w:val="21"/>
              </w:rPr>
            </w:pPr>
            <w:r>
              <w:rPr>
                <w:rFonts w:hint="eastAsia"/>
                <w:szCs w:val="21"/>
              </w:rPr>
              <w:t>Y＜2000</w:t>
            </w:r>
          </w:p>
        </w:tc>
      </w:tr>
      <w:tr w14:paraId="0BE9E56D">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516E919E">
            <w:pPr>
              <w:widowControl/>
              <w:jc w:val="center"/>
              <w:rPr>
                <w:szCs w:val="21"/>
              </w:rPr>
            </w:pPr>
            <w:r>
              <w:rPr>
                <w:rFonts w:hint="eastAsia"/>
                <w:szCs w:val="21"/>
              </w:rPr>
              <w:t>物业管理</w:t>
            </w:r>
          </w:p>
        </w:tc>
        <w:tc>
          <w:tcPr>
            <w:tcW w:w="1701" w:type="dxa"/>
            <w:tcBorders>
              <w:top w:val="nil"/>
              <w:left w:val="nil"/>
              <w:bottom w:val="single" w:color="auto" w:sz="4" w:space="0"/>
              <w:right w:val="single" w:color="auto" w:sz="4" w:space="0"/>
            </w:tcBorders>
            <w:noWrap w:val="0"/>
            <w:vAlign w:val="center"/>
          </w:tcPr>
          <w:p w14:paraId="5B2EFC73">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34A32A49">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77D1E3A4">
            <w:pPr>
              <w:widowControl/>
              <w:jc w:val="left"/>
              <w:rPr>
                <w:szCs w:val="21"/>
              </w:rPr>
            </w:pPr>
            <w:r>
              <w:rPr>
                <w:rFonts w:hint="eastAsia"/>
                <w:szCs w:val="21"/>
              </w:rPr>
              <w:t>300≤X＜1000</w:t>
            </w:r>
          </w:p>
        </w:tc>
        <w:tc>
          <w:tcPr>
            <w:tcW w:w="1570" w:type="dxa"/>
            <w:tcBorders>
              <w:top w:val="nil"/>
              <w:left w:val="nil"/>
              <w:bottom w:val="single" w:color="auto" w:sz="4" w:space="0"/>
              <w:right w:val="single" w:color="auto" w:sz="4" w:space="0"/>
            </w:tcBorders>
            <w:noWrap w:val="0"/>
            <w:vAlign w:val="center"/>
          </w:tcPr>
          <w:p w14:paraId="2C627375">
            <w:pPr>
              <w:widowControl/>
              <w:jc w:val="left"/>
              <w:rPr>
                <w:szCs w:val="21"/>
              </w:rPr>
            </w:pPr>
            <w:r>
              <w:rPr>
                <w:rFonts w:hint="eastAsia"/>
                <w:szCs w:val="21"/>
              </w:rPr>
              <w:t>100≤X＜300</w:t>
            </w:r>
          </w:p>
        </w:tc>
        <w:tc>
          <w:tcPr>
            <w:tcW w:w="1009" w:type="dxa"/>
            <w:tcBorders>
              <w:top w:val="nil"/>
              <w:left w:val="nil"/>
              <w:bottom w:val="single" w:color="auto" w:sz="4" w:space="0"/>
              <w:right w:val="single" w:color="auto" w:sz="4" w:space="0"/>
            </w:tcBorders>
            <w:noWrap w:val="0"/>
            <w:vAlign w:val="center"/>
          </w:tcPr>
          <w:p w14:paraId="42CD48D5">
            <w:pPr>
              <w:widowControl/>
              <w:jc w:val="left"/>
              <w:rPr>
                <w:szCs w:val="21"/>
              </w:rPr>
            </w:pPr>
            <w:r>
              <w:rPr>
                <w:rFonts w:hint="eastAsia"/>
                <w:szCs w:val="21"/>
              </w:rPr>
              <w:t>X＜100</w:t>
            </w:r>
          </w:p>
        </w:tc>
      </w:tr>
      <w:tr w14:paraId="6780294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35C1D544">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671EE56A">
            <w:pPr>
              <w:widowControl/>
              <w:jc w:val="left"/>
              <w:rPr>
                <w:szCs w:val="21"/>
              </w:rPr>
            </w:pPr>
            <w:r>
              <w:rPr>
                <w:rFonts w:hint="eastAsia"/>
                <w:szCs w:val="21"/>
              </w:rPr>
              <w:t>营业收入（Y）</w:t>
            </w:r>
          </w:p>
        </w:tc>
        <w:tc>
          <w:tcPr>
            <w:tcW w:w="1134" w:type="dxa"/>
            <w:tcBorders>
              <w:top w:val="nil"/>
              <w:left w:val="nil"/>
              <w:bottom w:val="single" w:color="auto" w:sz="4" w:space="0"/>
              <w:right w:val="single" w:color="auto" w:sz="4" w:space="0"/>
            </w:tcBorders>
            <w:noWrap w:val="0"/>
            <w:vAlign w:val="center"/>
          </w:tcPr>
          <w:p w14:paraId="4E04A29B">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4F97662E">
            <w:pPr>
              <w:widowControl/>
              <w:jc w:val="left"/>
              <w:rPr>
                <w:szCs w:val="21"/>
              </w:rPr>
            </w:pPr>
            <w:r>
              <w:rPr>
                <w:rFonts w:hint="eastAsia"/>
                <w:szCs w:val="21"/>
              </w:rPr>
              <w:t>1000≤Y＜5000</w:t>
            </w:r>
          </w:p>
        </w:tc>
        <w:tc>
          <w:tcPr>
            <w:tcW w:w="1570" w:type="dxa"/>
            <w:tcBorders>
              <w:top w:val="nil"/>
              <w:left w:val="nil"/>
              <w:bottom w:val="single" w:color="auto" w:sz="4" w:space="0"/>
              <w:right w:val="single" w:color="auto" w:sz="4" w:space="0"/>
            </w:tcBorders>
            <w:noWrap w:val="0"/>
            <w:vAlign w:val="center"/>
          </w:tcPr>
          <w:p w14:paraId="477C89EB">
            <w:pPr>
              <w:widowControl/>
              <w:jc w:val="left"/>
              <w:rPr>
                <w:szCs w:val="21"/>
              </w:rPr>
            </w:pPr>
            <w:r>
              <w:rPr>
                <w:rFonts w:hint="eastAsia"/>
                <w:szCs w:val="21"/>
              </w:rPr>
              <w:t>500≤Y＜1000</w:t>
            </w:r>
          </w:p>
        </w:tc>
        <w:tc>
          <w:tcPr>
            <w:tcW w:w="1009" w:type="dxa"/>
            <w:tcBorders>
              <w:top w:val="nil"/>
              <w:left w:val="nil"/>
              <w:bottom w:val="single" w:color="auto" w:sz="4" w:space="0"/>
              <w:right w:val="single" w:color="auto" w:sz="4" w:space="0"/>
            </w:tcBorders>
            <w:noWrap w:val="0"/>
            <w:vAlign w:val="center"/>
          </w:tcPr>
          <w:p w14:paraId="3399925D">
            <w:pPr>
              <w:widowControl/>
              <w:jc w:val="left"/>
              <w:rPr>
                <w:szCs w:val="21"/>
              </w:rPr>
            </w:pPr>
            <w:r>
              <w:rPr>
                <w:rFonts w:hint="eastAsia"/>
                <w:szCs w:val="21"/>
              </w:rPr>
              <w:t>Y＜500</w:t>
            </w:r>
          </w:p>
        </w:tc>
      </w:tr>
      <w:tr w14:paraId="29F4C34B">
        <w:tblPrEx>
          <w:tblCellMar>
            <w:top w:w="0" w:type="dxa"/>
            <w:left w:w="108" w:type="dxa"/>
            <w:bottom w:w="0" w:type="dxa"/>
            <w:right w:w="108" w:type="dxa"/>
          </w:tblCellMar>
        </w:tblPrEx>
        <w:trPr>
          <w:trHeight w:val="220" w:hRule="atLeast"/>
        </w:trPr>
        <w:tc>
          <w:tcPr>
            <w:tcW w:w="1446" w:type="dxa"/>
            <w:vMerge w:val="restart"/>
            <w:tcBorders>
              <w:top w:val="nil"/>
              <w:left w:val="single" w:color="auto" w:sz="4" w:space="0"/>
              <w:bottom w:val="single" w:color="auto" w:sz="4" w:space="0"/>
              <w:right w:val="single" w:color="auto" w:sz="4" w:space="0"/>
            </w:tcBorders>
            <w:noWrap w:val="0"/>
            <w:vAlign w:val="bottom"/>
          </w:tcPr>
          <w:p w14:paraId="35D35CFF">
            <w:pPr>
              <w:widowControl/>
              <w:jc w:val="center"/>
              <w:rPr>
                <w:szCs w:val="21"/>
              </w:rPr>
            </w:pPr>
            <w:r>
              <w:rPr>
                <w:rFonts w:hint="eastAsia"/>
                <w:szCs w:val="21"/>
              </w:rPr>
              <w:t>租赁和商务服务业</w:t>
            </w:r>
          </w:p>
        </w:tc>
        <w:tc>
          <w:tcPr>
            <w:tcW w:w="1701" w:type="dxa"/>
            <w:tcBorders>
              <w:top w:val="nil"/>
              <w:left w:val="nil"/>
              <w:bottom w:val="single" w:color="auto" w:sz="4" w:space="0"/>
              <w:right w:val="single" w:color="auto" w:sz="4" w:space="0"/>
            </w:tcBorders>
            <w:noWrap w:val="0"/>
            <w:vAlign w:val="center"/>
          </w:tcPr>
          <w:p w14:paraId="6520B372">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1EC045AA">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08A7F29">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2F0C9E35">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7231F70E">
            <w:pPr>
              <w:widowControl/>
              <w:jc w:val="left"/>
              <w:rPr>
                <w:szCs w:val="21"/>
              </w:rPr>
            </w:pPr>
            <w:r>
              <w:rPr>
                <w:rFonts w:hint="eastAsia"/>
                <w:szCs w:val="21"/>
              </w:rPr>
              <w:t>X＜10</w:t>
            </w:r>
          </w:p>
        </w:tc>
      </w:tr>
      <w:tr w14:paraId="43B329DD">
        <w:tblPrEx>
          <w:tblCellMar>
            <w:top w:w="0" w:type="dxa"/>
            <w:left w:w="108" w:type="dxa"/>
            <w:bottom w:w="0" w:type="dxa"/>
            <w:right w:w="108" w:type="dxa"/>
          </w:tblCellMar>
        </w:tblPrEx>
        <w:trPr>
          <w:trHeight w:val="220" w:hRule="atLeast"/>
        </w:trPr>
        <w:tc>
          <w:tcPr>
            <w:tcW w:w="1446" w:type="dxa"/>
            <w:vMerge w:val="continue"/>
            <w:tcBorders>
              <w:top w:val="nil"/>
              <w:left w:val="single" w:color="auto" w:sz="4" w:space="0"/>
              <w:bottom w:val="single" w:color="auto" w:sz="4" w:space="0"/>
              <w:right w:val="single" w:color="auto" w:sz="4" w:space="0"/>
            </w:tcBorders>
            <w:noWrap w:val="0"/>
            <w:vAlign w:val="center"/>
          </w:tcPr>
          <w:p w14:paraId="7F7F846F">
            <w:pPr>
              <w:widowControl/>
              <w:jc w:val="left"/>
              <w:rPr>
                <w:szCs w:val="21"/>
              </w:rPr>
            </w:pPr>
          </w:p>
        </w:tc>
        <w:tc>
          <w:tcPr>
            <w:tcW w:w="1701" w:type="dxa"/>
            <w:tcBorders>
              <w:top w:val="nil"/>
              <w:left w:val="nil"/>
              <w:bottom w:val="single" w:color="auto" w:sz="4" w:space="0"/>
              <w:right w:val="single" w:color="auto" w:sz="4" w:space="0"/>
            </w:tcBorders>
            <w:noWrap w:val="0"/>
            <w:vAlign w:val="center"/>
          </w:tcPr>
          <w:p w14:paraId="4C2B3CC6">
            <w:pPr>
              <w:widowControl/>
              <w:jc w:val="left"/>
              <w:rPr>
                <w:szCs w:val="21"/>
              </w:rPr>
            </w:pPr>
            <w:r>
              <w:rPr>
                <w:rFonts w:hint="eastAsia"/>
                <w:szCs w:val="21"/>
              </w:rPr>
              <w:t>资产总额（Z）</w:t>
            </w:r>
          </w:p>
        </w:tc>
        <w:tc>
          <w:tcPr>
            <w:tcW w:w="1134" w:type="dxa"/>
            <w:tcBorders>
              <w:top w:val="nil"/>
              <w:left w:val="nil"/>
              <w:bottom w:val="single" w:color="auto" w:sz="4" w:space="0"/>
              <w:right w:val="single" w:color="auto" w:sz="4" w:space="0"/>
            </w:tcBorders>
            <w:noWrap w:val="0"/>
            <w:vAlign w:val="center"/>
          </w:tcPr>
          <w:p w14:paraId="6B3FA4D6">
            <w:pPr>
              <w:widowControl/>
              <w:jc w:val="left"/>
              <w:rPr>
                <w:szCs w:val="21"/>
              </w:rPr>
            </w:pPr>
            <w:r>
              <w:rPr>
                <w:rFonts w:hint="eastAsia"/>
                <w:szCs w:val="21"/>
              </w:rPr>
              <w:t>万元</w:t>
            </w:r>
          </w:p>
        </w:tc>
        <w:tc>
          <w:tcPr>
            <w:tcW w:w="1846" w:type="dxa"/>
            <w:tcBorders>
              <w:top w:val="nil"/>
              <w:left w:val="nil"/>
              <w:bottom w:val="single" w:color="auto" w:sz="4" w:space="0"/>
              <w:right w:val="single" w:color="auto" w:sz="4" w:space="0"/>
            </w:tcBorders>
            <w:noWrap w:val="0"/>
            <w:vAlign w:val="center"/>
          </w:tcPr>
          <w:p w14:paraId="4B63997A">
            <w:pPr>
              <w:widowControl/>
              <w:jc w:val="left"/>
              <w:rPr>
                <w:szCs w:val="21"/>
              </w:rPr>
            </w:pPr>
            <w:r>
              <w:rPr>
                <w:rFonts w:hint="eastAsia"/>
                <w:szCs w:val="21"/>
              </w:rPr>
              <w:t>8000≤Z＜120000</w:t>
            </w:r>
          </w:p>
        </w:tc>
        <w:tc>
          <w:tcPr>
            <w:tcW w:w="1570" w:type="dxa"/>
            <w:tcBorders>
              <w:top w:val="nil"/>
              <w:left w:val="nil"/>
              <w:bottom w:val="single" w:color="auto" w:sz="4" w:space="0"/>
              <w:right w:val="single" w:color="auto" w:sz="4" w:space="0"/>
            </w:tcBorders>
            <w:noWrap w:val="0"/>
            <w:vAlign w:val="center"/>
          </w:tcPr>
          <w:p w14:paraId="20991F69">
            <w:pPr>
              <w:widowControl/>
              <w:jc w:val="left"/>
              <w:rPr>
                <w:szCs w:val="21"/>
              </w:rPr>
            </w:pPr>
            <w:r>
              <w:rPr>
                <w:rFonts w:hint="eastAsia"/>
                <w:szCs w:val="21"/>
              </w:rPr>
              <w:t>100≤Z＜8000</w:t>
            </w:r>
          </w:p>
        </w:tc>
        <w:tc>
          <w:tcPr>
            <w:tcW w:w="1009" w:type="dxa"/>
            <w:tcBorders>
              <w:top w:val="nil"/>
              <w:left w:val="nil"/>
              <w:bottom w:val="single" w:color="auto" w:sz="4" w:space="0"/>
              <w:right w:val="single" w:color="auto" w:sz="4" w:space="0"/>
            </w:tcBorders>
            <w:noWrap w:val="0"/>
            <w:vAlign w:val="center"/>
          </w:tcPr>
          <w:p w14:paraId="320EFF61">
            <w:pPr>
              <w:widowControl/>
              <w:jc w:val="left"/>
              <w:rPr>
                <w:szCs w:val="21"/>
              </w:rPr>
            </w:pPr>
            <w:r>
              <w:rPr>
                <w:rFonts w:hint="eastAsia"/>
                <w:szCs w:val="21"/>
              </w:rPr>
              <w:t>Y＜100</w:t>
            </w:r>
          </w:p>
        </w:tc>
      </w:tr>
      <w:tr w14:paraId="3A07DB02">
        <w:tblPrEx>
          <w:tblCellMar>
            <w:top w:w="0" w:type="dxa"/>
            <w:left w:w="108" w:type="dxa"/>
            <w:bottom w:w="0" w:type="dxa"/>
            <w:right w:w="108" w:type="dxa"/>
          </w:tblCellMar>
        </w:tblPrEx>
        <w:trPr>
          <w:trHeight w:val="220" w:hRule="atLeast"/>
        </w:trPr>
        <w:tc>
          <w:tcPr>
            <w:tcW w:w="1446" w:type="dxa"/>
            <w:tcBorders>
              <w:top w:val="nil"/>
              <w:left w:val="single" w:color="auto" w:sz="4" w:space="0"/>
              <w:bottom w:val="single" w:color="auto" w:sz="4" w:space="0"/>
              <w:right w:val="single" w:color="auto" w:sz="4" w:space="0"/>
            </w:tcBorders>
            <w:noWrap w:val="0"/>
            <w:vAlign w:val="bottom"/>
          </w:tcPr>
          <w:p w14:paraId="35868CD9">
            <w:pPr>
              <w:widowControl/>
              <w:jc w:val="center"/>
              <w:rPr>
                <w:szCs w:val="21"/>
              </w:rPr>
            </w:pPr>
            <w:r>
              <w:rPr>
                <w:rFonts w:hint="eastAsia"/>
                <w:szCs w:val="21"/>
              </w:rPr>
              <w:t>其他未列明行业</w:t>
            </w:r>
          </w:p>
        </w:tc>
        <w:tc>
          <w:tcPr>
            <w:tcW w:w="1701" w:type="dxa"/>
            <w:tcBorders>
              <w:top w:val="nil"/>
              <w:left w:val="nil"/>
              <w:bottom w:val="single" w:color="auto" w:sz="4" w:space="0"/>
              <w:right w:val="single" w:color="auto" w:sz="4" w:space="0"/>
            </w:tcBorders>
            <w:noWrap w:val="0"/>
            <w:vAlign w:val="center"/>
          </w:tcPr>
          <w:p w14:paraId="33EB167A">
            <w:pPr>
              <w:widowControl/>
              <w:jc w:val="left"/>
              <w:rPr>
                <w:szCs w:val="21"/>
              </w:rPr>
            </w:pPr>
            <w:r>
              <w:rPr>
                <w:rFonts w:hint="eastAsia"/>
                <w:szCs w:val="21"/>
              </w:rPr>
              <w:t>从业人员（X）</w:t>
            </w:r>
          </w:p>
        </w:tc>
        <w:tc>
          <w:tcPr>
            <w:tcW w:w="1134" w:type="dxa"/>
            <w:tcBorders>
              <w:top w:val="nil"/>
              <w:left w:val="nil"/>
              <w:bottom w:val="single" w:color="auto" w:sz="4" w:space="0"/>
              <w:right w:val="single" w:color="auto" w:sz="4" w:space="0"/>
            </w:tcBorders>
            <w:noWrap w:val="0"/>
            <w:vAlign w:val="center"/>
          </w:tcPr>
          <w:p w14:paraId="4D938F12">
            <w:pPr>
              <w:widowControl/>
              <w:jc w:val="left"/>
              <w:rPr>
                <w:szCs w:val="21"/>
              </w:rPr>
            </w:pPr>
            <w:r>
              <w:rPr>
                <w:rFonts w:hint="eastAsia"/>
                <w:szCs w:val="21"/>
              </w:rPr>
              <w:t>人</w:t>
            </w:r>
          </w:p>
        </w:tc>
        <w:tc>
          <w:tcPr>
            <w:tcW w:w="1846" w:type="dxa"/>
            <w:tcBorders>
              <w:top w:val="nil"/>
              <w:left w:val="nil"/>
              <w:bottom w:val="single" w:color="auto" w:sz="4" w:space="0"/>
              <w:right w:val="single" w:color="auto" w:sz="4" w:space="0"/>
            </w:tcBorders>
            <w:noWrap w:val="0"/>
            <w:vAlign w:val="center"/>
          </w:tcPr>
          <w:p w14:paraId="0AA520E3">
            <w:pPr>
              <w:widowControl/>
              <w:jc w:val="left"/>
              <w:rPr>
                <w:szCs w:val="21"/>
              </w:rPr>
            </w:pPr>
            <w:r>
              <w:rPr>
                <w:rFonts w:hint="eastAsia"/>
                <w:szCs w:val="21"/>
              </w:rPr>
              <w:t>100≤X＜300</w:t>
            </w:r>
          </w:p>
        </w:tc>
        <w:tc>
          <w:tcPr>
            <w:tcW w:w="1570" w:type="dxa"/>
            <w:tcBorders>
              <w:top w:val="nil"/>
              <w:left w:val="nil"/>
              <w:bottom w:val="single" w:color="auto" w:sz="4" w:space="0"/>
              <w:right w:val="single" w:color="auto" w:sz="4" w:space="0"/>
            </w:tcBorders>
            <w:noWrap w:val="0"/>
            <w:vAlign w:val="center"/>
          </w:tcPr>
          <w:p w14:paraId="501DB5E5">
            <w:pPr>
              <w:widowControl/>
              <w:jc w:val="left"/>
              <w:rPr>
                <w:szCs w:val="21"/>
              </w:rPr>
            </w:pPr>
            <w:r>
              <w:rPr>
                <w:rFonts w:hint="eastAsia"/>
                <w:szCs w:val="21"/>
              </w:rPr>
              <w:t>10≤X＜100</w:t>
            </w:r>
          </w:p>
        </w:tc>
        <w:tc>
          <w:tcPr>
            <w:tcW w:w="1009" w:type="dxa"/>
            <w:tcBorders>
              <w:top w:val="nil"/>
              <w:left w:val="nil"/>
              <w:bottom w:val="single" w:color="auto" w:sz="4" w:space="0"/>
              <w:right w:val="single" w:color="auto" w:sz="4" w:space="0"/>
            </w:tcBorders>
            <w:noWrap w:val="0"/>
            <w:vAlign w:val="center"/>
          </w:tcPr>
          <w:p w14:paraId="2F33C22A">
            <w:pPr>
              <w:widowControl/>
              <w:jc w:val="left"/>
              <w:rPr>
                <w:szCs w:val="21"/>
              </w:rPr>
            </w:pPr>
            <w:r>
              <w:rPr>
                <w:rFonts w:hint="eastAsia"/>
                <w:szCs w:val="21"/>
              </w:rPr>
              <w:t>X＜10</w:t>
            </w:r>
          </w:p>
        </w:tc>
      </w:tr>
    </w:tbl>
    <w:p w14:paraId="670354B4">
      <w:pPr>
        <w:spacing w:line="360" w:lineRule="auto"/>
        <w:ind w:firstLine="525" w:firstLineChars="250"/>
        <w:rPr>
          <w:szCs w:val="21"/>
        </w:rPr>
      </w:pPr>
      <w:r>
        <w:rPr>
          <w:rFonts w:hint="eastAsia"/>
          <w:szCs w:val="21"/>
        </w:rPr>
        <w:t>说明：上述标准参照《关于印发中小企业划型标准规定的通知》（工信部联企业</w:t>
      </w:r>
      <w:r>
        <w:rPr>
          <w:rFonts w:hint="eastAsia"/>
          <w:szCs w:val="21"/>
          <w:lang w:eastAsia="zh-CN"/>
        </w:rPr>
        <w:t>〔2011〕300号</w:t>
      </w:r>
      <w:r>
        <w:rPr>
          <w:rFonts w:hint="eastAsia"/>
          <w:szCs w:val="21"/>
        </w:rPr>
        <w:t>），大型、中型和小型企业须同时满足所列指标的下限，否则下划一档；微型企业只须满足所列指标中的一项即可。</w:t>
      </w:r>
    </w:p>
    <w:p w14:paraId="5182BC0B">
      <w:pPr>
        <w:spacing w:line="360" w:lineRule="auto"/>
        <w:jc w:val="left"/>
        <w:rPr>
          <w:rFonts w:hint="eastAsia"/>
          <w:bCs/>
          <w:szCs w:val="21"/>
        </w:rPr>
      </w:pPr>
    </w:p>
    <w:p w14:paraId="2FBBBE3F">
      <w:pPr>
        <w:spacing w:line="360" w:lineRule="auto"/>
        <w:jc w:val="left"/>
        <w:rPr>
          <w:rFonts w:hint="eastAsia"/>
          <w:bCs/>
          <w:szCs w:val="21"/>
        </w:rPr>
      </w:pPr>
    </w:p>
    <w:p w14:paraId="655B0611">
      <w:pPr>
        <w:spacing w:line="360" w:lineRule="auto"/>
        <w:jc w:val="left"/>
        <w:rPr>
          <w:rFonts w:hint="eastAsia"/>
          <w:bCs/>
          <w:szCs w:val="21"/>
        </w:rPr>
      </w:pPr>
    </w:p>
    <w:p w14:paraId="54EEC355">
      <w:pPr>
        <w:spacing w:line="360" w:lineRule="auto"/>
        <w:jc w:val="left"/>
        <w:rPr>
          <w:rFonts w:hint="eastAsia"/>
          <w:bCs/>
          <w:szCs w:val="21"/>
        </w:rPr>
      </w:pPr>
    </w:p>
    <w:p w14:paraId="1BAD347D">
      <w:pPr>
        <w:spacing w:line="360" w:lineRule="auto"/>
        <w:jc w:val="left"/>
        <w:rPr>
          <w:rFonts w:hint="eastAsia"/>
          <w:bCs/>
          <w:szCs w:val="21"/>
        </w:rPr>
      </w:pPr>
    </w:p>
    <w:p w14:paraId="1E364EDD">
      <w:pPr>
        <w:rPr>
          <w:szCs w:val="21"/>
        </w:rPr>
      </w:pPr>
      <w:r>
        <w:rPr>
          <w:szCs w:val="21"/>
        </w:rPr>
        <w:br w:type="page"/>
      </w:r>
    </w:p>
    <w:p w14:paraId="32E23BF9">
      <w:pPr>
        <w:snapToGrid w:val="0"/>
        <w:spacing w:before="50" w:after="120" w:afterLines="50"/>
        <w:jc w:val="left"/>
        <w:rPr>
          <w:szCs w:val="21"/>
        </w:rPr>
      </w:pPr>
      <w:r>
        <w:rPr>
          <w:szCs w:val="21"/>
        </w:rPr>
        <w:t>6.2监狱企业须提供最新一期《XX省监狱企业产品目录》或其他监狱企业证明材料。（非监狱企业无需提供）</w:t>
      </w:r>
    </w:p>
    <w:p w14:paraId="70DD1B4B">
      <w:pPr>
        <w:snapToGrid w:val="0"/>
        <w:spacing w:before="50" w:after="120" w:afterLines="50"/>
        <w:jc w:val="left"/>
        <w:rPr>
          <w:szCs w:val="21"/>
        </w:rPr>
      </w:pPr>
    </w:p>
    <w:p w14:paraId="328203EE">
      <w:pPr>
        <w:widowControl/>
        <w:jc w:val="left"/>
        <w:rPr>
          <w:szCs w:val="21"/>
        </w:rPr>
      </w:pPr>
      <w:r>
        <w:rPr>
          <w:szCs w:val="21"/>
        </w:rPr>
        <w:t>6.3</w:t>
      </w:r>
      <w:r>
        <w:t>残疾人福利性单位须提供《残疾人福利性单位声明函》，格式如下。</w:t>
      </w:r>
      <w:r>
        <w:rPr>
          <w:szCs w:val="21"/>
        </w:rPr>
        <w:t>（非残疾人福利性单位无需提供）</w:t>
      </w:r>
    </w:p>
    <w:p w14:paraId="1317F8B9">
      <w:pPr>
        <w:spacing w:line="360" w:lineRule="auto"/>
        <w:jc w:val="center"/>
        <w:rPr>
          <w:b/>
          <w:szCs w:val="21"/>
        </w:rPr>
      </w:pPr>
      <w:r>
        <w:rPr>
          <w:b/>
          <w:szCs w:val="21"/>
        </w:rPr>
        <w:t>残疾人福利性单位声明函</w:t>
      </w:r>
    </w:p>
    <w:p w14:paraId="16D3085F">
      <w:pPr>
        <w:spacing w:line="360" w:lineRule="auto"/>
        <w:ind w:firstLine="420"/>
        <w:jc w:val="left"/>
        <w:rPr>
          <w:szCs w:val="21"/>
        </w:rPr>
      </w:pPr>
      <w:r>
        <w:rPr>
          <w:szCs w:val="21"/>
        </w:rPr>
        <w:t>本单位郑重声明，根据《财政部 民政部 中国残疾人联合会关于促进残疾人就业政府采购政策的通知》（财库〔2017〕141号）的规定，本单位为符合条件的残疾人福利性单位，且本单位参加</w:t>
      </w:r>
      <w:r>
        <w:rPr>
          <w:szCs w:val="21"/>
          <w:u w:val="single"/>
        </w:rPr>
        <w:t xml:space="preserve">        </w:t>
      </w:r>
      <w:r>
        <w:rPr>
          <w:szCs w:val="21"/>
        </w:rPr>
        <w:t>单位的</w:t>
      </w:r>
      <w:r>
        <w:rPr>
          <w:szCs w:val="21"/>
          <w:u w:val="single"/>
        </w:rPr>
        <w:t xml:space="preserve">           </w:t>
      </w:r>
      <w:r>
        <w:rPr>
          <w:szCs w:val="21"/>
        </w:rPr>
        <w:t>项目采购活动提供本单位制造的货物（由本单位承担工程/提供服务），或者提供其他残疾人福利性单位制造的货物（不包括使用非残疾人福利性单位注册商标的货物）。</w:t>
      </w:r>
    </w:p>
    <w:p w14:paraId="3FBB8C7E">
      <w:pPr>
        <w:spacing w:line="360" w:lineRule="auto"/>
        <w:ind w:firstLine="420"/>
        <w:rPr>
          <w:szCs w:val="21"/>
        </w:rPr>
      </w:pPr>
      <w:r>
        <w:rPr>
          <w:szCs w:val="21"/>
        </w:rPr>
        <w:t>本单位对上述声明的真实性负责。如有虚假，将依法承担相应责任。</w:t>
      </w:r>
    </w:p>
    <w:p w14:paraId="690EBD1F">
      <w:pPr>
        <w:spacing w:line="360" w:lineRule="auto"/>
        <w:ind w:firstLine="420"/>
        <w:jc w:val="right"/>
        <w:rPr>
          <w:spacing w:val="6"/>
          <w:szCs w:val="21"/>
        </w:rPr>
      </w:pPr>
      <w:r>
        <w:rPr>
          <w:spacing w:val="6"/>
          <w:sz w:val="30"/>
          <w:szCs w:val="30"/>
        </w:rPr>
        <w:t xml:space="preserve"> </w:t>
      </w:r>
      <w:r>
        <w:rPr>
          <w:spacing w:val="6"/>
          <w:szCs w:val="21"/>
        </w:rPr>
        <w:t xml:space="preserve"> </w:t>
      </w:r>
      <w:r>
        <w:rPr>
          <w:rFonts w:hint="eastAsia"/>
          <w:spacing w:val="6"/>
          <w:szCs w:val="21"/>
        </w:rPr>
        <w:t xml:space="preserve">                                            </w:t>
      </w:r>
      <w:r>
        <w:rPr>
          <w:spacing w:val="6"/>
          <w:szCs w:val="21"/>
        </w:rPr>
        <w:t>单位名称</w:t>
      </w:r>
      <w:r>
        <w:rPr>
          <w:rFonts w:hint="eastAsia"/>
          <w:szCs w:val="21"/>
        </w:rPr>
        <w:t>(电子签章</w:t>
      </w:r>
      <w:r>
        <w:rPr>
          <w:szCs w:val="21"/>
        </w:rPr>
        <w:t>)</w:t>
      </w:r>
      <w:r>
        <w:rPr>
          <w:spacing w:val="6"/>
          <w:szCs w:val="21"/>
        </w:rPr>
        <w:t xml:space="preserve">：          </w:t>
      </w:r>
    </w:p>
    <w:p w14:paraId="7FF32C7F">
      <w:pPr>
        <w:spacing w:line="360" w:lineRule="auto"/>
        <w:ind w:firstLine="420"/>
        <w:jc w:val="right"/>
        <w:rPr>
          <w:spacing w:val="6"/>
          <w:szCs w:val="21"/>
        </w:rPr>
      </w:pPr>
      <w:r>
        <w:rPr>
          <w:spacing w:val="6"/>
          <w:szCs w:val="21"/>
        </w:rPr>
        <w:t xml:space="preserve"> </w:t>
      </w:r>
      <w:r>
        <w:rPr>
          <w:rFonts w:hint="eastAsia"/>
          <w:spacing w:val="6"/>
          <w:szCs w:val="21"/>
        </w:rPr>
        <w:t xml:space="preserve">                                                      </w:t>
      </w:r>
      <w:r>
        <w:rPr>
          <w:spacing w:val="6"/>
          <w:szCs w:val="21"/>
        </w:rPr>
        <w:t>日  期：</w:t>
      </w:r>
    </w:p>
    <w:p w14:paraId="33F0D4EE">
      <w:pPr>
        <w:spacing w:line="360" w:lineRule="auto"/>
        <w:rPr>
          <w:szCs w:val="21"/>
        </w:rPr>
      </w:pPr>
    </w:p>
    <w:bookmarkEnd w:id="143"/>
    <w:bookmarkEnd w:id="144"/>
    <w:p w14:paraId="6D4DFC47">
      <w:pPr>
        <w:widowControl/>
        <w:jc w:val="left"/>
        <w:rPr>
          <w:b/>
          <w:szCs w:val="21"/>
        </w:rPr>
      </w:pPr>
      <w:r>
        <w:rPr>
          <w:szCs w:val="21"/>
        </w:rPr>
        <w:t>7．</w:t>
      </w:r>
      <w:r>
        <w:t>满足供应商特定资格条件的其他证明材料</w:t>
      </w:r>
      <w:r>
        <w:rPr>
          <w:szCs w:val="21"/>
        </w:rPr>
        <w:t>加盖供应商</w:t>
      </w:r>
      <w:r>
        <w:rPr>
          <w:rFonts w:hint="eastAsia"/>
          <w:szCs w:val="21"/>
        </w:rPr>
        <w:t>电子签章</w:t>
      </w:r>
      <w:r>
        <w:t>（</w:t>
      </w:r>
      <w:r>
        <w:rPr>
          <w:szCs w:val="21"/>
        </w:rPr>
        <w:t>按“评审方法及标准” “资格审查表”“</w:t>
      </w:r>
      <w:r>
        <w:rPr>
          <w:szCs w:val="21"/>
          <w:lang w:val="zh-CN"/>
        </w:rPr>
        <w:t xml:space="preserve"> 供应商应符合的</w:t>
      </w:r>
      <w:r>
        <w:rPr>
          <w:szCs w:val="21"/>
        </w:rPr>
        <w:t>特定资格条件”规定提供</w:t>
      </w:r>
      <w:r>
        <w:t>）。</w:t>
      </w:r>
      <w:r>
        <w:rPr>
          <w:rFonts w:hint="eastAsia"/>
          <w:b/>
          <w:szCs w:val="21"/>
        </w:rPr>
        <w:t>（如招标文件有要求时提供）</w:t>
      </w:r>
    </w:p>
    <w:p w14:paraId="272C9CE5">
      <w:pPr>
        <w:snapToGrid w:val="0"/>
        <w:spacing w:before="50" w:after="120" w:afterLines="50" w:line="440" w:lineRule="exact"/>
        <w:jc w:val="left"/>
      </w:pPr>
    </w:p>
    <w:p w14:paraId="40536B95">
      <w:pPr>
        <w:widowControl/>
        <w:jc w:val="left"/>
      </w:pPr>
      <w:r>
        <w:br w:type="page"/>
      </w:r>
    </w:p>
    <w:p w14:paraId="51331710">
      <w:pPr>
        <w:snapToGrid w:val="0"/>
        <w:spacing w:before="50" w:after="120" w:afterLines="50" w:line="360" w:lineRule="auto"/>
        <w:jc w:val="left"/>
        <w:rPr>
          <w:szCs w:val="21"/>
        </w:rPr>
      </w:pPr>
      <w:bookmarkStart w:id="145" w:name="_Hlk93048232"/>
      <w:r>
        <w:rPr>
          <w:szCs w:val="21"/>
        </w:rPr>
        <w:t>7.1</w:t>
      </w:r>
      <w:r>
        <w:rPr>
          <w:rFonts w:hint="eastAsia"/>
          <w:szCs w:val="21"/>
        </w:rPr>
        <w:t>投标人直接控股股东信息表</w:t>
      </w:r>
    </w:p>
    <w:tbl>
      <w:tblPr>
        <w:tblStyle w:val="53"/>
        <w:tblW w:w="0" w:type="auto"/>
        <w:tblInd w:w="0" w:type="dxa"/>
        <w:tblLayout w:type="fixed"/>
        <w:tblCellMar>
          <w:top w:w="0" w:type="dxa"/>
          <w:left w:w="0" w:type="dxa"/>
          <w:bottom w:w="0" w:type="dxa"/>
          <w:right w:w="0" w:type="dxa"/>
        </w:tblCellMar>
      </w:tblPr>
      <w:tblGrid>
        <w:gridCol w:w="828"/>
        <w:gridCol w:w="2269"/>
        <w:gridCol w:w="1239"/>
        <w:gridCol w:w="3722"/>
        <w:gridCol w:w="1418"/>
      </w:tblGrid>
      <w:tr w14:paraId="2F928DA6">
        <w:tblPrEx>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ECAAEAA">
            <w:pPr>
              <w:spacing w:line="360" w:lineRule="auto"/>
              <w:jc w:val="center"/>
              <w:rPr>
                <w:szCs w:val="21"/>
              </w:rPr>
            </w:pPr>
            <w:r>
              <w:rPr>
                <w:rFonts w:hint="eastAsia"/>
                <w:szCs w:val="21"/>
              </w:rPr>
              <w:t>序号</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B366077">
            <w:pPr>
              <w:spacing w:line="360" w:lineRule="auto"/>
              <w:jc w:val="center"/>
              <w:rPr>
                <w:szCs w:val="21"/>
              </w:rPr>
            </w:pPr>
            <w:r>
              <w:rPr>
                <w:rFonts w:hint="eastAsia"/>
                <w:szCs w:val="21"/>
              </w:rPr>
              <w:t>直接控股股东名称</w:t>
            </w: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8F3F66D">
            <w:pPr>
              <w:spacing w:line="360" w:lineRule="auto"/>
              <w:jc w:val="center"/>
              <w:rPr>
                <w:szCs w:val="21"/>
              </w:rPr>
            </w:pPr>
            <w:r>
              <w:rPr>
                <w:rFonts w:hint="eastAsia"/>
                <w:szCs w:val="21"/>
              </w:rPr>
              <w:t>出资比例</w:t>
            </w: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E2CDE16">
            <w:pPr>
              <w:spacing w:line="360" w:lineRule="auto"/>
              <w:jc w:val="center"/>
              <w:rPr>
                <w:szCs w:val="21"/>
              </w:rPr>
            </w:pPr>
            <w:r>
              <w:rPr>
                <w:rFonts w:hint="eastAsia"/>
                <w:szCs w:val="21"/>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186FCA8">
            <w:pPr>
              <w:spacing w:line="360" w:lineRule="auto"/>
              <w:jc w:val="center"/>
              <w:rPr>
                <w:szCs w:val="21"/>
              </w:rPr>
            </w:pPr>
            <w:r>
              <w:rPr>
                <w:rFonts w:hint="eastAsia"/>
                <w:szCs w:val="21"/>
              </w:rPr>
              <w:t>备注</w:t>
            </w:r>
          </w:p>
        </w:tc>
      </w:tr>
      <w:tr w14:paraId="4FDFD063">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830DAB3">
            <w:pPr>
              <w:spacing w:line="360" w:lineRule="auto"/>
              <w:jc w:val="center"/>
              <w:rPr>
                <w:szCs w:val="21"/>
              </w:rPr>
            </w:pPr>
            <w:r>
              <w:rPr>
                <w:szCs w:val="21"/>
              </w:rPr>
              <w:t>1</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3465A9C">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B5764AC">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9E1BC48">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C030474">
            <w:pPr>
              <w:spacing w:line="360" w:lineRule="auto"/>
              <w:jc w:val="center"/>
              <w:rPr>
                <w:szCs w:val="21"/>
              </w:rPr>
            </w:pPr>
          </w:p>
        </w:tc>
      </w:tr>
      <w:tr w14:paraId="0A6ECF3A">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DC1C4DD">
            <w:pPr>
              <w:spacing w:line="360" w:lineRule="auto"/>
              <w:jc w:val="center"/>
              <w:rPr>
                <w:szCs w:val="21"/>
              </w:rPr>
            </w:pPr>
            <w:r>
              <w:rPr>
                <w:szCs w:val="21"/>
              </w:rPr>
              <w:t>2</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78E0C86">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862793F">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18C876B">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B510060">
            <w:pPr>
              <w:spacing w:line="360" w:lineRule="auto"/>
              <w:jc w:val="center"/>
              <w:rPr>
                <w:szCs w:val="21"/>
              </w:rPr>
            </w:pPr>
          </w:p>
        </w:tc>
      </w:tr>
      <w:tr w14:paraId="79B4EBB6">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7A8E9548">
            <w:pPr>
              <w:spacing w:line="360" w:lineRule="auto"/>
              <w:jc w:val="center"/>
              <w:rPr>
                <w:szCs w:val="21"/>
              </w:rPr>
            </w:pPr>
            <w:r>
              <w:rPr>
                <w:szCs w:val="21"/>
              </w:rPr>
              <w:t>3</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79BC6C2">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67CB6F58">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4B0B7155">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F6DF420">
            <w:pPr>
              <w:spacing w:line="360" w:lineRule="auto"/>
              <w:jc w:val="center"/>
              <w:rPr>
                <w:szCs w:val="21"/>
              </w:rPr>
            </w:pPr>
          </w:p>
        </w:tc>
      </w:tr>
      <w:tr w14:paraId="41149F19">
        <w:tblPrEx>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5F6DC5CE">
            <w:pPr>
              <w:spacing w:line="360" w:lineRule="auto"/>
              <w:jc w:val="center"/>
              <w:rPr>
                <w:szCs w:val="21"/>
              </w:rPr>
            </w:pPr>
            <w:r>
              <w:rPr>
                <w:rFonts w:hint="eastAsia"/>
                <w:szCs w:val="21"/>
              </w:rPr>
              <w:t>……</w:t>
            </w:r>
          </w:p>
        </w:tc>
        <w:tc>
          <w:tcPr>
            <w:tcW w:w="226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25F57736">
            <w:pPr>
              <w:spacing w:line="360" w:lineRule="auto"/>
              <w:jc w:val="center"/>
              <w:rPr>
                <w:szCs w:val="21"/>
              </w:rPr>
            </w:pPr>
          </w:p>
        </w:tc>
        <w:tc>
          <w:tcPr>
            <w:tcW w:w="1239"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8962E35">
            <w:pPr>
              <w:spacing w:line="360" w:lineRule="auto"/>
              <w:jc w:val="center"/>
              <w:rPr>
                <w:szCs w:val="21"/>
              </w:rPr>
            </w:pPr>
          </w:p>
        </w:tc>
        <w:tc>
          <w:tcPr>
            <w:tcW w:w="3722"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35006F24">
            <w:pPr>
              <w:spacing w:line="360" w:lineRule="auto"/>
              <w:jc w:val="center"/>
              <w:rPr>
                <w:szCs w:val="21"/>
              </w:rPr>
            </w:pPr>
          </w:p>
        </w:tc>
        <w:tc>
          <w:tcPr>
            <w:tcW w:w="1418" w:type="dxa"/>
            <w:tcBorders>
              <w:top w:val="single" w:color="auto" w:sz="4" w:space="0"/>
              <w:left w:val="single" w:color="auto" w:sz="4" w:space="0"/>
              <w:bottom w:val="single" w:color="auto" w:sz="4" w:space="0"/>
              <w:right w:val="single" w:color="auto" w:sz="4" w:space="0"/>
            </w:tcBorders>
            <w:noWrap w:val="0"/>
            <w:tcMar>
              <w:top w:w="120" w:type="dxa"/>
              <w:left w:w="120" w:type="dxa"/>
              <w:bottom w:w="120" w:type="dxa"/>
              <w:right w:w="120" w:type="dxa"/>
            </w:tcMar>
            <w:vAlign w:val="center"/>
          </w:tcPr>
          <w:p w14:paraId="07548205">
            <w:pPr>
              <w:spacing w:line="360" w:lineRule="auto"/>
              <w:jc w:val="center"/>
              <w:rPr>
                <w:szCs w:val="21"/>
              </w:rPr>
            </w:pPr>
          </w:p>
        </w:tc>
      </w:tr>
    </w:tbl>
    <w:p w14:paraId="119F512E">
      <w:pPr>
        <w:snapToGrid w:val="0"/>
        <w:spacing w:line="360" w:lineRule="auto"/>
        <w:jc w:val="left"/>
        <w:rPr>
          <w:szCs w:val="21"/>
        </w:rPr>
      </w:pPr>
      <w:r>
        <w:rPr>
          <w:rFonts w:hint="eastAsia"/>
          <w:szCs w:val="21"/>
        </w:rPr>
        <w:t>注：</w:t>
      </w:r>
    </w:p>
    <w:p w14:paraId="3F8353AE">
      <w:pPr>
        <w:snapToGrid w:val="0"/>
        <w:spacing w:line="360" w:lineRule="auto"/>
        <w:jc w:val="left"/>
        <w:rPr>
          <w:szCs w:val="21"/>
        </w:rPr>
      </w:pPr>
      <w:r>
        <w:rPr>
          <w:szCs w:val="21"/>
        </w:rPr>
        <w:t>1.</w:t>
      </w:r>
      <w:r>
        <w:rPr>
          <w:rFonts w:hint="eastAsia"/>
          <w:szCs w:val="21"/>
        </w:rPr>
        <w:t>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6651AED">
      <w:pPr>
        <w:snapToGrid w:val="0"/>
        <w:spacing w:line="360" w:lineRule="auto"/>
        <w:jc w:val="left"/>
        <w:rPr>
          <w:szCs w:val="21"/>
        </w:rPr>
      </w:pPr>
      <w:r>
        <w:rPr>
          <w:szCs w:val="21"/>
        </w:rPr>
        <w:t>2.</w:t>
      </w:r>
      <w:r>
        <w:rPr>
          <w:rFonts w:hint="eastAsia"/>
          <w:szCs w:val="21"/>
        </w:rPr>
        <w:t>本表所指的控股关系仅限于直接控股关系，不包括间接的控股关系。公司实际控制人与公司之间的关系不属于本表所指的直接控股关系。</w:t>
      </w:r>
    </w:p>
    <w:p w14:paraId="17DB1554">
      <w:pPr>
        <w:snapToGrid w:val="0"/>
        <w:spacing w:line="360" w:lineRule="auto"/>
        <w:jc w:val="left"/>
        <w:rPr>
          <w:szCs w:val="21"/>
        </w:rPr>
      </w:pPr>
      <w:r>
        <w:rPr>
          <w:szCs w:val="21"/>
        </w:rPr>
        <w:t>3.</w:t>
      </w:r>
      <w:r>
        <w:rPr>
          <w:rFonts w:hint="eastAsia"/>
          <w:szCs w:val="21"/>
        </w:rPr>
        <w:t>供应商不存在直接控股股东的，则填“无”。</w:t>
      </w:r>
    </w:p>
    <w:p w14:paraId="7923D6ED">
      <w:pPr>
        <w:snapToGrid w:val="0"/>
        <w:spacing w:line="360" w:lineRule="auto"/>
        <w:jc w:val="left"/>
        <w:rPr>
          <w:szCs w:val="21"/>
        </w:rPr>
      </w:pPr>
    </w:p>
    <w:p w14:paraId="5B390EA9">
      <w:pPr>
        <w:snapToGrid w:val="0"/>
        <w:spacing w:line="360" w:lineRule="auto"/>
        <w:jc w:val="left"/>
        <w:rPr>
          <w:szCs w:val="21"/>
        </w:rPr>
      </w:pPr>
    </w:p>
    <w:p w14:paraId="725351FE">
      <w:pPr>
        <w:snapToGrid w:val="0"/>
        <w:spacing w:line="360" w:lineRule="auto"/>
        <w:jc w:val="left"/>
        <w:rPr>
          <w:szCs w:val="21"/>
        </w:rPr>
      </w:pPr>
    </w:p>
    <w:p w14:paraId="30EAC81E">
      <w:pPr>
        <w:snapToGrid w:val="0"/>
        <w:spacing w:line="360" w:lineRule="auto"/>
        <w:jc w:val="left"/>
        <w:rPr>
          <w:szCs w:val="21"/>
        </w:rPr>
      </w:pPr>
    </w:p>
    <w:p w14:paraId="7DFFEE27">
      <w:pPr>
        <w:snapToGrid w:val="0"/>
        <w:spacing w:line="360" w:lineRule="auto"/>
        <w:jc w:val="left"/>
        <w:rPr>
          <w:szCs w:val="21"/>
        </w:rPr>
      </w:pPr>
    </w:p>
    <w:p w14:paraId="2E5C93C3">
      <w:pPr>
        <w:snapToGrid w:val="0"/>
        <w:spacing w:line="360" w:lineRule="auto"/>
        <w:ind w:firstLine="4410" w:firstLineChars="2100"/>
        <w:rPr>
          <w:szCs w:val="21"/>
        </w:rPr>
      </w:pPr>
      <w:r>
        <w:rPr>
          <w:rFonts w:hint="eastAsia"/>
          <w:szCs w:val="21"/>
        </w:rPr>
        <w:t>供应商名称</w:t>
      </w:r>
      <w:r>
        <w:rPr>
          <w:szCs w:val="21"/>
        </w:rPr>
        <w:t>(</w:t>
      </w:r>
      <w:r>
        <w:rPr>
          <w:rFonts w:hint="eastAsia"/>
          <w:szCs w:val="21"/>
        </w:rPr>
        <w:t>电子签章</w:t>
      </w:r>
      <w:r>
        <w:rPr>
          <w:szCs w:val="21"/>
        </w:rPr>
        <w:t>)</w:t>
      </w:r>
      <w:r>
        <w:rPr>
          <w:rFonts w:hint="eastAsia"/>
          <w:szCs w:val="21"/>
        </w:rPr>
        <w:t>：</w:t>
      </w:r>
    </w:p>
    <w:p w14:paraId="3ABE64F8">
      <w:pPr>
        <w:snapToGrid w:val="0"/>
        <w:spacing w:line="360" w:lineRule="auto"/>
        <w:ind w:firstLine="4515" w:firstLineChars="2150"/>
        <w:rPr>
          <w:szCs w:val="21"/>
        </w:rPr>
      </w:pP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14:paraId="639802CF">
      <w:pPr>
        <w:snapToGrid w:val="0"/>
        <w:jc w:val="center"/>
        <w:rPr>
          <w:rFonts w:hint="eastAsia" w:ascii="宋体" w:hAnsi="宋体"/>
          <w:b/>
          <w:color w:val="000000"/>
          <w:sz w:val="28"/>
          <w:szCs w:val="28"/>
        </w:rPr>
      </w:pPr>
      <w:r>
        <w:rPr>
          <w:rFonts w:hint="eastAsia" w:ascii="宋体" w:hAnsi="宋体"/>
          <w:b/>
          <w:color w:val="000000"/>
          <w:sz w:val="28"/>
          <w:szCs w:val="28"/>
        </w:rPr>
        <w:br w:type="page"/>
      </w:r>
    </w:p>
    <w:p w14:paraId="6F98EBBF">
      <w:pPr>
        <w:snapToGrid w:val="0"/>
        <w:spacing w:line="360" w:lineRule="auto"/>
        <w:jc w:val="left"/>
        <w:rPr>
          <w:szCs w:val="21"/>
        </w:rPr>
      </w:pPr>
      <w:r>
        <w:rPr>
          <w:szCs w:val="21"/>
        </w:rPr>
        <w:t>7.2</w:t>
      </w:r>
      <w:r>
        <w:rPr>
          <w:rFonts w:hint="eastAsia"/>
          <w:szCs w:val="21"/>
        </w:rPr>
        <w:t>投标人直接管理关系信息表</w:t>
      </w:r>
    </w:p>
    <w:tbl>
      <w:tblPr>
        <w:tblStyle w:val="53"/>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68E75086">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3EC44DFD">
            <w:pPr>
              <w:spacing w:line="360" w:lineRule="auto"/>
              <w:jc w:val="center"/>
              <w:rPr>
                <w:szCs w:val="21"/>
              </w:rPr>
            </w:pPr>
            <w:r>
              <w:rPr>
                <w:rFonts w:hint="eastAsia"/>
                <w:szCs w:val="21"/>
              </w:rPr>
              <w:t>序号</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D76E91">
            <w:pPr>
              <w:spacing w:line="360" w:lineRule="auto"/>
              <w:jc w:val="center"/>
              <w:rPr>
                <w:szCs w:val="21"/>
              </w:rPr>
            </w:pPr>
            <w:r>
              <w:rPr>
                <w:rFonts w:hint="eastAsia"/>
                <w:szCs w:val="21"/>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733C3C2">
            <w:pPr>
              <w:spacing w:line="360" w:lineRule="auto"/>
              <w:jc w:val="center"/>
              <w:rPr>
                <w:szCs w:val="21"/>
              </w:rPr>
            </w:pPr>
            <w:r>
              <w:rPr>
                <w:rFonts w:hint="eastAsia"/>
                <w:szCs w:val="21"/>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5DB6699">
            <w:pPr>
              <w:spacing w:line="360" w:lineRule="auto"/>
              <w:jc w:val="center"/>
              <w:rPr>
                <w:szCs w:val="21"/>
              </w:rPr>
            </w:pPr>
            <w:r>
              <w:rPr>
                <w:rFonts w:hint="eastAsia"/>
                <w:szCs w:val="21"/>
              </w:rPr>
              <w:t>备注</w:t>
            </w:r>
          </w:p>
        </w:tc>
      </w:tr>
      <w:tr w14:paraId="6B7F6EAB">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3A62EB">
            <w:pPr>
              <w:spacing w:line="360" w:lineRule="auto"/>
              <w:jc w:val="center"/>
              <w:rPr>
                <w:szCs w:val="21"/>
              </w:rPr>
            </w:pPr>
            <w:r>
              <w:rPr>
                <w:szCs w:val="21"/>
              </w:rPr>
              <w:t>1</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9B0386F">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454CF68">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D4CE129">
            <w:pPr>
              <w:spacing w:line="360" w:lineRule="auto"/>
              <w:jc w:val="center"/>
              <w:rPr>
                <w:szCs w:val="21"/>
              </w:rPr>
            </w:pPr>
          </w:p>
        </w:tc>
      </w:tr>
      <w:tr w14:paraId="59CBF86B">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36EBC96">
            <w:pPr>
              <w:spacing w:line="360" w:lineRule="auto"/>
              <w:jc w:val="center"/>
              <w:rPr>
                <w:szCs w:val="21"/>
              </w:rPr>
            </w:pPr>
            <w:r>
              <w:rPr>
                <w:szCs w:val="21"/>
              </w:rPr>
              <w:t>2</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A49CD56">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185AB03">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E7BD066">
            <w:pPr>
              <w:spacing w:line="360" w:lineRule="auto"/>
              <w:jc w:val="center"/>
              <w:rPr>
                <w:szCs w:val="21"/>
              </w:rPr>
            </w:pPr>
          </w:p>
        </w:tc>
      </w:tr>
      <w:tr w14:paraId="1DBE752B">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67759522">
            <w:pPr>
              <w:spacing w:line="360" w:lineRule="auto"/>
              <w:jc w:val="center"/>
              <w:rPr>
                <w:szCs w:val="21"/>
              </w:rPr>
            </w:pPr>
            <w:r>
              <w:rPr>
                <w:szCs w:val="21"/>
              </w:rPr>
              <w:t>3</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0B21B6E3">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16DA9A38">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4841AC9D">
            <w:pPr>
              <w:spacing w:line="360" w:lineRule="auto"/>
              <w:jc w:val="center"/>
              <w:rPr>
                <w:szCs w:val="21"/>
              </w:rPr>
            </w:pPr>
          </w:p>
        </w:tc>
      </w:tr>
      <w:tr w14:paraId="0E7A1B4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5B2971B8">
            <w:pPr>
              <w:spacing w:line="360" w:lineRule="auto"/>
              <w:jc w:val="center"/>
              <w:rPr>
                <w:szCs w:val="21"/>
              </w:rPr>
            </w:pPr>
            <w:r>
              <w:rPr>
                <w:rFonts w:hint="eastAsia"/>
                <w:szCs w:val="21"/>
              </w:rPr>
              <w:t>……</w:t>
            </w:r>
          </w:p>
        </w:tc>
        <w:tc>
          <w:tcPr>
            <w:tcW w:w="2659"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2C4D8250">
            <w:pPr>
              <w:spacing w:line="360" w:lineRule="auto"/>
              <w:jc w:val="center"/>
              <w:rPr>
                <w:szCs w:val="21"/>
              </w:rPr>
            </w:pPr>
          </w:p>
        </w:tc>
        <w:tc>
          <w:tcPr>
            <w:tcW w:w="392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99428B4">
            <w:pPr>
              <w:spacing w:line="360" w:lineRule="auto"/>
              <w:jc w:val="center"/>
              <w:rPr>
                <w:szCs w:val="21"/>
              </w:rPr>
            </w:pPr>
          </w:p>
        </w:tc>
        <w:tc>
          <w:tcPr>
            <w:tcW w:w="2064" w:type="dxa"/>
            <w:tcBorders>
              <w:top w:val="single" w:color="auto" w:sz="4" w:space="0"/>
              <w:left w:val="single" w:color="auto" w:sz="4" w:space="0"/>
              <w:bottom w:val="single" w:color="auto" w:sz="4" w:space="0"/>
              <w:right w:val="single" w:color="auto" w:sz="4" w:space="0"/>
            </w:tcBorders>
            <w:shd w:val="clear" w:color="auto" w:fill="auto"/>
            <w:noWrap w:val="0"/>
            <w:tcMar>
              <w:top w:w="120" w:type="dxa"/>
              <w:left w:w="120" w:type="dxa"/>
              <w:bottom w:w="120" w:type="dxa"/>
              <w:right w:w="120" w:type="dxa"/>
            </w:tcMar>
            <w:vAlign w:val="center"/>
          </w:tcPr>
          <w:p w14:paraId="7FEEA38E">
            <w:pPr>
              <w:spacing w:line="360" w:lineRule="auto"/>
              <w:jc w:val="center"/>
              <w:rPr>
                <w:szCs w:val="21"/>
              </w:rPr>
            </w:pPr>
          </w:p>
        </w:tc>
      </w:tr>
    </w:tbl>
    <w:p w14:paraId="259EC082">
      <w:pPr>
        <w:snapToGrid w:val="0"/>
        <w:spacing w:line="360" w:lineRule="auto"/>
        <w:jc w:val="left"/>
        <w:rPr>
          <w:szCs w:val="21"/>
        </w:rPr>
      </w:pPr>
      <w:r>
        <w:rPr>
          <w:rFonts w:hint="eastAsia"/>
          <w:szCs w:val="21"/>
        </w:rPr>
        <w:t>注：</w:t>
      </w:r>
    </w:p>
    <w:p w14:paraId="03A54E8E">
      <w:pPr>
        <w:snapToGrid w:val="0"/>
        <w:spacing w:line="360" w:lineRule="auto"/>
        <w:ind w:firstLine="420" w:firstLineChars="200"/>
        <w:jc w:val="left"/>
        <w:rPr>
          <w:szCs w:val="21"/>
        </w:rPr>
      </w:pPr>
      <w:r>
        <w:rPr>
          <w:szCs w:val="21"/>
        </w:rPr>
        <w:t>1.</w:t>
      </w:r>
      <w:r>
        <w:rPr>
          <w:rFonts w:hint="eastAsia"/>
          <w:szCs w:val="21"/>
        </w:rPr>
        <w:t>管理关系：是指不具有出资持股关系的其他单位之间存在的管理与被管理关系，如一些上下级关系的事业单位和团体组织。</w:t>
      </w:r>
    </w:p>
    <w:p w14:paraId="79E5D557">
      <w:pPr>
        <w:snapToGrid w:val="0"/>
        <w:spacing w:line="360" w:lineRule="auto"/>
        <w:ind w:firstLine="420" w:firstLineChars="200"/>
        <w:jc w:val="left"/>
        <w:rPr>
          <w:szCs w:val="21"/>
        </w:rPr>
      </w:pPr>
      <w:r>
        <w:rPr>
          <w:szCs w:val="21"/>
        </w:rPr>
        <w:t>2.</w:t>
      </w:r>
      <w:r>
        <w:rPr>
          <w:rFonts w:hint="eastAsia"/>
          <w:szCs w:val="21"/>
        </w:rPr>
        <w:t>本表所指的管理关系仅限于直接管理关系，不包括间接的管理关系。</w:t>
      </w:r>
    </w:p>
    <w:p w14:paraId="186A4BDC">
      <w:pPr>
        <w:snapToGrid w:val="0"/>
        <w:spacing w:line="360" w:lineRule="auto"/>
        <w:ind w:firstLine="420" w:firstLineChars="200"/>
        <w:jc w:val="left"/>
        <w:rPr>
          <w:szCs w:val="21"/>
        </w:rPr>
      </w:pPr>
      <w:r>
        <w:rPr>
          <w:szCs w:val="21"/>
        </w:rPr>
        <w:t>3.</w:t>
      </w:r>
      <w:r>
        <w:rPr>
          <w:rFonts w:hint="eastAsia"/>
          <w:szCs w:val="21"/>
        </w:rPr>
        <w:t>供应商不存在直接管理关系的，则填“无”。</w:t>
      </w:r>
    </w:p>
    <w:p w14:paraId="172C7C1A">
      <w:pPr>
        <w:snapToGrid w:val="0"/>
        <w:spacing w:line="360" w:lineRule="auto"/>
        <w:jc w:val="left"/>
        <w:rPr>
          <w:szCs w:val="21"/>
        </w:rPr>
      </w:pPr>
    </w:p>
    <w:p w14:paraId="4FE64B19">
      <w:pPr>
        <w:snapToGrid w:val="0"/>
        <w:spacing w:line="360" w:lineRule="auto"/>
        <w:jc w:val="left"/>
        <w:rPr>
          <w:szCs w:val="21"/>
        </w:rPr>
      </w:pPr>
    </w:p>
    <w:p w14:paraId="3482B2C9">
      <w:pPr>
        <w:snapToGrid w:val="0"/>
        <w:spacing w:line="360" w:lineRule="auto"/>
        <w:jc w:val="left"/>
        <w:rPr>
          <w:szCs w:val="21"/>
        </w:rPr>
      </w:pPr>
    </w:p>
    <w:p w14:paraId="230545C2">
      <w:pPr>
        <w:snapToGrid w:val="0"/>
        <w:spacing w:line="360" w:lineRule="auto"/>
        <w:jc w:val="left"/>
        <w:rPr>
          <w:szCs w:val="21"/>
        </w:rPr>
      </w:pPr>
    </w:p>
    <w:p w14:paraId="48DB7108">
      <w:pPr>
        <w:snapToGrid w:val="0"/>
        <w:spacing w:line="360" w:lineRule="auto"/>
        <w:jc w:val="left"/>
        <w:rPr>
          <w:szCs w:val="21"/>
        </w:rPr>
      </w:pPr>
    </w:p>
    <w:p w14:paraId="697AE771">
      <w:pPr>
        <w:snapToGrid w:val="0"/>
        <w:spacing w:line="360" w:lineRule="auto"/>
        <w:jc w:val="left"/>
        <w:rPr>
          <w:szCs w:val="21"/>
        </w:rPr>
      </w:pPr>
    </w:p>
    <w:p w14:paraId="647F219B">
      <w:pPr>
        <w:snapToGrid w:val="0"/>
        <w:spacing w:line="360" w:lineRule="auto"/>
        <w:jc w:val="left"/>
        <w:rPr>
          <w:szCs w:val="21"/>
        </w:rPr>
      </w:pPr>
    </w:p>
    <w:p w14:paraId="703787A4">
      <w:pPr>
        <w:snapToGrid w:val="0"/>
        <w:spacing w:line="360" w:lineRule="auto"/>
        <w:jc w:val="left"/>
        <w:rPr>
          <w:szCs w:val="21"/>
        </w:rPr>
      </w:pPr>
    </w:p>
    <w:p w14:paraId="10F0F727">
      <w:pPr>
        <w:snapToGrid w:val="0"/>
        <w:spacing w:line="360" w:lineRule="auto"/>
        <w:ind w:firstLine="4410" w:firstLineChars="2100"/>
        <w:rPr>
          <w:szCs w:val="21"/>
        </w:rPr>
      </w:pPr>
      <w:r>
        <w:rPr>
          <w:rFonts w:hint="eastAsia"/>
          <w:szCs w:val="21"/>
        </w:rPr>
        <w:t>供应商名称</w:t>
      </w:r>
      <w:r>
        <w:rPr>
          <w:szCs w:val="21"/>
        </w:rPr>
        <w:t>(</w:t>
      </w:r>
      <w:r>
        <w:rPr>
          <w:rFonts w:hint="eastAsia"/>
          <w:szCs w:val="21"/>
        </w:rPr>
        <w:t>电子签章</w:t>
      </w:r>
      <w:r>
        <w:rPr>
          <w:szCs w:val="21"/>
        </w:rPr>
        <w:t>)</w:t>
      </w:r>
      <w:r>
        <w:rPr>
          <w:rFonts w:hint="eastAsia"/>
          <w:szCs w:val="21"/>
        </w:rPr>
        <w:t>：</w:t>
      </w:r>
    </w:p>
    <w:p w14:paraId="1645D1BD">
      <w:pPr>
        <w:snapToGrid w:val="0"/>
        <w:spacing w:line="360" w:lineRule="auto"/>
        <w:ind w:firstLine="4515" w:firstLineChars="2150"/>
        <w:rPr>
          <w:szCs w:val="21"/>
        </w:rPr>
      </w:pPr>
      <w:r>
        <w:rPr>
          <w:rFonts w:hint="eastAsia"/>
          <w:szCs w:val="21"/>
        </w:rPr>
        <w:t>日期：</w:t>
      </w:r>
      <w:r>
        <w:rPr>
          <w:szCs w:val="21"/>
        </w:rPr>
        <w:t xml:space="preserve">  </w:t>
      </w:r>
      <w:r>
        <w:rPr>
          <w:rFonts w:hint="eastAsia"/>
          <w:szCs w:val="21"/>
        </w:rPr>
        <w:t>年</w:t>
      </w:r>
      <w:r>
        <w:rPr>
          <w:szCs w:val="21"/>
        </w:rPr>
        <w:t xml:space="preserve">  </w:t>
      </w:r>
      <w:r>
        <w:rPr>
          <w:rFonts w:hint="eastAsia"/>
          <w:szCs w:val="21"/>
        </w:rPr>
        <w:t>月</w:t>
      </w:r>
      <w:r>
        <w:rPr>
          <w:szCs w:val="21"/>
        </w:rPr>
        <w:t xml:space="preserve">   </w:t>
      </w:r>
      <w:r>
        <w:rPr>
          <w:rFonts w:hint="eastAsia"/>
          <w:szCs w:val="21"/>
        </w:rPr>
        <w:t>日</w:t>
      </w:r>
    </w:p>
    <w:p w14:paraId="4A225240">
      <w:pPr>
        <w:snapToGrid w:val="0"/>
        <w:spacing w:before="50" w:after="120" w:afterLines="50" w:line="440" w:lineRule="exact"/>
        <w:jc w:val="left"/>
        <w:rPr>
          <w:szCs w:val="21"/>
        </w:rPr>
      </w:pPr>
    </w:p>
    <w:bookmarkEnd w:id="145"/>
    <w:p w14:paraId="545F9C80">
      <w:pPr>
        <w:widowControl/>
        <w:jc w:val="left"/>
        <w:rPr>
          <w:szCs w:val="21"/>
        </w:rPr>
      </w:pPr>
      <w:r>
        <w:rPr>
          <w:szCs w:val="21"/>
        </w:rPr>
        <w:br w:type="page"/>
      </w:r>
      <w:bookmarkStart w:id="146" w:name="_Hlk60652166"/>
      <w:bookmarkStart w:id="147" w:name="_Hlk65854557"/>
      <w:bookmarkStart w:id="148" w:name="_Hlk65852070"/>
    </w:p>
    <w:bookmarkEnd w:id="146"/>
    <w:bookmarkEnd w:id="147"/>
    <w:p w14:paraId="149143E9">
      <w:pPr>
        <w:snapToGrid w:val="0"/>
        <w:spacing w:before="50" w:after="120" w:afterLines="50" w:line="400" w:lineRule="exact"/>
        <w:jc w:val="left"/>
        <w:rPr>
          <w:szCs w:val="21"/>
        </w:rPr>
      </w:pPr>
      <w:r>
        <w:rPr>
          <w:szCs w:val="21"/>
        </w:rPr>
        <w:t>8．投标保证金缴纳证明</w:t>
      </w:r>
      <w:r>
        <w:rPr>
          <w:rFonts w:hint="eastAsia"/>
          <w:szCs w:val="21"/>
        </w:rPr>
        <w:t>。</w:t>
      </w:r>
      <w:r>
        <w:rPr>
          <w:rFonts w:hint="eastAsia"/>
          <w:b/>
          <w:szCs w:val="21"/>
        </w:rPr>
        <w:t>（如招标文件有要求时提供）</w:t>
      </w:r>
    </w:p>
    <w:p w14:paraId="51F48864">
      <w:pPr>
        <w:snapToGrid w:val="0"/>
        <w:spacing w:before="50" w:after="120" w:afterLines="50" w:line="440" w:lineRule="exact"/>
        <w:jc w:val="left"/>
      </w:pPr>
      <w:r>
        <w:rPr>
          <w:rFonts w:hint="eastAsia"/>
        </w:rPr>
        <w:t>（1）以转账、电汇形式缴纳的，提供转账、电汇凭证扫描件或复印件（网银可提供截图）</w:t>
      </w:r>
      <w:r>
        <w:t>加盖</w:t>
      </w:r>
      <w:r>
        <w:rPr>
          <w:szCs w:val="21"/>
        </w:rPr>
        <w:t>供应商</w:t>
      </w:r>
      <w:r>
        <w:rPr>
          <w:rFonts w:hint="eastAsia"/>
          <w:szCs w:val="21"/>
        </w:rPr>
        <w:t>电子签章</w:t>
      </w:r>
      <w:r>
        <w:rPr>
          <w:rFonts w:hint="eastAsia"/>
        </w:rPr>
        <w:t>；</w:t>
      </w:r>
    </w:p>
    <w:p w14:paraId="3AEEA5EC">
      <w:pPr>
        <w:snapToGrid w:val="0"/>
        <w:spacing w:before="50" w:after="120" w:afterLines="50" w:line="440" w:lineRule="exact"/>
        <w:jc w:val="left"/>
        <w:rPr>
          <w:szCs w:val="21"/>
        </w:rPr>
      </w:pPr>
      <w:r>
        <w:rPr>
          <w:rFonts w:hint="eastAsia"/>
        </w:rPr>
        <w:t>（2）以支票、汇票、本票或金融机构、担保机构出具的保函等非现金形式缴纳的，提供原件扫描件或复印件并加盖供应商电子签章。投标保函参考如下格式开具：</w:t>
      </w:r>
    </w:p>
    <w:p w14:paraId="295963AD">
      <w:pPr>
        <w:widowControl/>
        <w:jc w:val="center"/>
        <w:rPr>
          <w:b/>
          <w:bCs/>
          <w:sz w:val="28"/>
          <w:szCs w:val="36"/>
        </w:rPr>
      </w:pPr>
    </w:p>
    <w:p w14:paraId="6B8D246E">
      <w:pPr>
        <w:widowControl/>
        <w:jc w:val="center"/>
        <w:rPr>
          <w:szCs w:val="21"/>
        </w:rPr>
      </w:pPr>
      <w:r>
        <w:rPr>
          <w:rFonts w:hint="eastAsia"/>
          <w:b/>
          <w:bCs/>
          <w:sz w:val="28"/>
          <w:szCs w:val="36"/>
        </w:rPr>
        <w:t>投标保函格式</w:t>
      </w:r>
    </w:p>
    <w:p w14:paraId="3DCABAC2">
      <w:pPr>
        <w:snapToGrid w:val="0"/>
        <w:spacing w:before="50" w:after="120" w:afterLines="50"/>
        <w:jc w:val="left"/>
      </w:pPr>
      <w:r>
        <w:rPr>
          <w:rFonts w:hint="eastAsia"/>
        </w:rPr>
        <w:t xml:space="preserve">编号：           </w:t>
      </w:r>
    </w:p>
    <w:p w14:paraId="02A2FF3B">
      <w:pPr>
        <w:snapToGrid w:val="0"/>
        <w:spacing w:before="50" w:after="120" w:afterLines="50"/>
        <w:jc w:val="left"/>
      </w:pPr>
      <w:r>
        <w:rPr>
          <w:rFonts w:hint="eastAsia"/>
        </w:rPr>
        <w:t>申请人：</w:t>
      </w:r>
    </w:p>
    <w:p w14:paraId="33C26F29">
      <w:pPr>
        <w:snapToGrid w:val="0"/>
        <w:spacing w:before="50" w:after="120" w:afterLines="50"/>
        <w:jc w:val="left"/>
      </w:pPr>
      <w:r>
        <w:rPr>
          <w:rFonts w:hint="eastAsia"/>
        </w:rPr>
        <w:t>地址：</w:t>
      </w:r>
    </w:p>
    <w:p w14:paraId="60627C96">
      <w:pPr>
        <w:snapToGrid w:val="0"/>
        <w:spacing w:before="50" w:after="120" w:afterLines="50"/>
        <w:jc w:val="left"/>
      </w:pPr>
      <w:r>
        <w:rPr>
          <w:rFonts w:hint="eastAsia"/>
        </w:rPr>
        <w:t xml:space="preserve">受益人：广西机电设备招标有限公司 </w:t>
      </w:r>
    </w:p>
    <w:p w14:paraId="138D1398">
      <w:pPr>
        <w:snapToGrid w:val="0"/>
        <w:spacing w:before="50" w:after="120" w:afterLines="50"/>
        <w:jc w:val="left"/>
      </w:pPr>
      <w:r>
        <w:rPr>
          <w:rFonts w:hint="eastAsia"/>
        </w:rPr>
        <w:t>地址：</w:t>
      </w:r>
    </w:p>
    <w:p w14:paraId="3AECAF36">
      <w:pPr>
        <w:snapToGrid w:val="0"/>
        <w:spacing w:before="50" w:after="120" w:afterLines="50"/>
        <w:jc w:val="left"/>
      </w:pPr>
      <w:r>
        <w:rPr>
          <w:rFonts w:hint="eastAsia"/>
        </w:rPr>
        <w:t>开立人：</w:t>
      </w:r>
    </w:p>
    <w:p w14:paraId="6CFE974E">
      <w:pPr>
        <w:snapToGrid w:val="0"/>
        <w:spacing w:before="50" w:after="120" w:afterLines="50"/>
        <w:jc w:val="left"/>
      </w:pPr>
      <w:r>
        <w:rPr>
          <w:rFonts w:hint="eastAsia"/>
        </w:rPr>
        <w:t>地址：</w:t>
      </w:r>
    </w:p>
    <w:p w14:paraId="13CD56A7">
      <w:pPr>
        <w:snapToGrid w:val="0"/>
        <w:spacing w:before="50" w:after="120" w:afterLines="50" w:line="440" w:lineRule="exact"/>
        <w:jc w:val="left"/>
      </w:pPr>
    </w:p>
    <w:p w14:paraId="1CB853B4">
      <w:pPr>
        <w:snapToGrid w:val="0"/>
        <w:spacing w:before="50" w:after="120" w:afterLines="50" w:line="276" w:lineRule="auto"/>
        <w:jc w:val="left"/>
      </w:pPr>
      <w:r>
        <w:rPr>
          <w:rFonts w:hint="eastAsia"/>
        </w:rPr>
        <w:t>致：广西机电设备招标有限公司</w:t>
      </w:r>
    </w:p>
    <w:p w14:paraId="40ACCEE3">
      <w:pPr>
        <w:snapToGrid w:val="0"/>
        <w:spacing w:before="50" w:after="120" w:afterLines="50" w:line="276" w:lineRule="auto"/>
        <w:ind w:firstLine="420" w:firstLineChars="200"/>
        <w:jc w:val="left"/>
      </w:pPr>
      <w:r>
        <w:rPr>
          <w:rFonts w:hint="eastAsia"/>
        </w:rPr>
        <w:t>我方（即“开立人”）已获得通知，本保函申请人（即“供应商”）已响应贵方于</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 xml:space="preserve"> 日就 </w:t>
      </w:r>
      <w:r>
        <w:rPr>
          <w:rFonts w:hint="eastAsia"/>
          <w:u w:val="single"/>
        </w:rPr>
        <w:t xml:space="preserve">                                          </w:t>
      </w:r>
      <w:r>
        <w:rPr>
          <w:rFonts w:hint="eastAsia"/>
        </w:rPr>
        <w:t>（以下简称“本项目”）发出的招标文件，并已向采购代理机构（即“受益人”）提交了投标文件。</w:t>
      </w:r>
    </w:p>
    <w:p w14:paraId="41DAB248">
      <w:pPr>
        <w:snapToGrid w:val="0"/>
        <w:spacing w:before="50" w:after="120" w:afterLines="50" w:line="276" w:lineRule="auto"/>
        <w:ind w:firstLine="420" w:firstLineChars="200"/>
        <w:jc w:val="left"/>
      </w:pPr>
      <w:r>
        <w:rPr>
          <w:rFonts w:hint="eastAsia"/>
        </w:rPr>
        <w:t>一、我方理解根据招标条件，投标人必须提交一份投标保函（以下简称“本保函”），以担保供应商诚信履行其在采购活动中承担的义务。鉴此，应申请人要求，我方在此同意向贵方出具此投标保函，本保函担保金额为人民币（大写）</w:t>
      </w:r>
      <w:r>
        <w:rPr>
          <w:rFonts w:hint="eastAsia"/>
          <w:u w:val="single"/>
        </w:rPr>
        <w:t xml:space="preserve">                            </w:t>
      </w:r>
      <w:r>
        <w:rPr>
          <w:rFonts w:hint="eastAsia"/>
        </w:rPr>
        <w:t>元（¥</w:t>
      </w:r>
      <w:r>
        <w:rPr>
          <w:rFonts w:hint="eastAsia"/>
          <w:u w:val="single"/>
        </w:rPr>
        <w:t xml:space="preserve">                         </w:t>
      </w:r>
      <w:r>
        <w:rPr>
          <w:rFonts w:hint="eastAsia"/>
        </w:rPr>
        <w:t>）。</w:t>
      </w:r>
    </w:p>
    <w:p w14:paraId="33E51905">
      <w:pPr>
        <w:snapToGrid w:val="0"/>
        <w:spacing w:before="50" w:after="120" w:afterLines="50" w:line="276" w:lineRule="auto"/>
        <w:ind w:firstLine="420" w:firstLineChars="200"/>
        <w:jc w:val="left"/>
      </w:pPr>
      <w:r>
        <w:rPr>
          <w:rFonts w:hint="eastAsia"/>
        </w:rPr>
        <w:t xml:space="preserve">二、我方在供应商发生以下情形时承担保证担保责任： </w:t>
      </w:r>
    </w:p>
    <w:p w14:paraId="2A73F5EB">
      <w:pPr>
        <w:snapToGrid w:val="0"/>
        <w:spacing w:before="50" w:after="120" w:afterLines="50" w:line="276" w:lineRule="auto"/>
        <w:ind w:firstLine="420" w:firstLineChars="200"/>
        <w:jc w:val="left"/>
      </w:pPr>
      <w:r>
        <w:rPr>
          <w:rFonts w:hint="eastAsia"/>
        </w:rPr>
        <w:t xml:space="preserve">（1）投标人在开标后和投标有效期满之前撤销投标文件的； </w:t>
      </w:r>
    </w:p>
    <w:p w14:paraId="39BC8AFD">
      <w:pPr>
        <w:snapToGrid w:val="0"/>
        <w:spacing w:before="50" w:after="120" w:afterLines="50" w:line="276" w:lineRule="auto"/>
        <w:ind w:firstLine="420" w:firstLineChars="200"/>
        <w:jc w:val="left"/>
      </w:pPr>
      <w:r>
        <w:rPr>
          <w:rFonts w:hint="eastAsia"/>
        </w:rPr>
        <w:t xml:space="preserve">（2）投标人在收到中标通知书后，不能或拒绝按招标文件规定的时间内与采购人签订合同； </w:t>
      </w:r>
    </w:p>
    <w:p w14:paraId="56246A37">
      <w:pPr>
        <w:snapToGrid w:val="0"/>
        <w:spacing w:before="50" w:after="120" w:afterLines="50" w:line="276" w:lineRule="auto"/>
        <w:ind w:firstLine="420" w:firstLineChars="200"/>
        <w:jc w:val="left"/>
      </w:pPr>
      <w:r>
        <w:rPr>
          <w:rFonts w:hint="eastAsia"/>
        </w:rPr>
        <w:t>（3）投标人在与采购人签订合同后，未在规定的时间内提交符合招标文件要求的履约担保；</w:t>
      </w:r>
    </w:p>
    <w:p w14:paraId="24CF0C0F">
      <w:pPr>
        <w:snapToGrid w:val="0"/>
        <w:spacing w:before="50" w:after="120" w:afterLines="50" w:line="276" w:lineRule="auto"/>
        <w:ind w:firstLine="420" w:firstLineChars="200"/>
        <w:jc w:val="left"/>
      </w:pPr>
      <w:r>
        <w:rPr>
          <w:rFonts w:hint="eastAsia"/>
        </w:rPr>
        <w:t>（4）投标人在中标通知书发出之日起5个工作日内，未缴纳本项目代理服务费的；</w:t>
      </w:r>
    </w:p>
    <w:p w14:paraId="7A05A0A4">
      <w:pPr>
        <w:snapToGrid w:val="0"/>
        <w:spacing w:before="50" w:after="120" w:afterLines="50" w:line="276" w:lineRule="auto"/>
        <w:ind w:firstLine="420" w:firstLineChars="200"/>
        <w:jc w:val="left"/>
      </w:pPr>
      <w:r>
        <w:rPr>
          <w:rFonts w:hint="eastAsia"/>
        </w:rPr>
        <w:t>（5）投标人违反招标文件规定的其他情形。</w:t>
      </w:r>
    </w:p>
    <w:p w14:paraId="47D03062">
      <w:pPr>
        <w:snapToGrid w:val="0"/>
        <w:spacing w:before="50" w:after="120" w:afterLines="50" w:line="276" w:lineRule="auto"/>
        <w:ind w:firstLine="210" w:firstLineChars="100"/>
        <w:jc w:val="left"/>
        <w:rPr>
          <w:color w:val="auto"/>
        </w:rPr>
      </w:pPr>
      <w:r>
        <w:rPr>
          <w:rFonts w:hint="eastAsia"/>
        </w:rPr>
        <w:t xml:space="preserve">    三、本保函为不可撤销、不可转让的见索即付独立保函。本保函有效期自开立之日起至投标有效期届满之日</w:t>
      </w:r>
      <w:r>
        <w:rPr>
          <w:rFonts w:hint="eastAsia"/>
          <w:color w:val="auto"/>
        </w:rPr>
        <w:t>后的</w:t>
      </w:r>
      <w:r>
        <w:rPr>
          <w:rFonts w:hint="eastAsia"/>
          <w:color w:val="auto"/>
          <w:u w:val="single"/>
        </w:rPr>
        <w:t xml:space="preserve">  28  </w:t>
      </w:r>
      <w:r>
        <w:rPr>
          <w:rFonts w:hint="eastAsia"/>
          <w:color w:val="auto"/>
        </w:rPr>
        <w:t>日。投标有效期延长的，本保函有效期相应顺延。</w:t>
      </w:r>
    </w:p>
    <w:p w14:paraId="181AC99F">
      <w:pPr>
        <w:snapToGrid w:val="0"/>
        <w:spacing w:before="50" w:after="120" w:afterLines="50" w:line="276" w:lineRule="auto"/>
        <w:ind w:firstLine="420" w:firstLineChars="200"/>
        <w:jc w:val="left"/>
      </w:pPr>
      <w:r>
        <w:rPr>
          <w:rFonts w:hint="eastAsia"/>
          <w:color w:val="auto"/>
        </w:rPr>
        <w:t>四、我方承诺，在收到受益人发来的书面付款通知后的</w:t>
      </w:r>
      <w:r>
        <w:rPr>
          <w:rFonts w:hint="eastAsia"/>
          <w:color w:val="auto"/>
          <w:u w:val="single"/>
        </w:rPr>
        <w:t xml:space="preserve">   5    </w:t>
      </w:r>
      <w:r>
        <w:rPr>
          <w:rFonts w:hint="eastAsia"/>
          <w:color w:val="auto"/>
        </w:rPr>
        <w:t>日内无条件支付</w:t>
      </w:r>
      <w:r>
        <w:rPr>
          <w:rFonts w:hint="eastAsia"/>
        </w:rPr>
        <w:t>，前述书面付款通知即为付款要求之单据，且应满足以下要求：</w:t>
      </w:r>
    </w:p>
    <w:p w14:paraId="60C0F84A">
      <w:pPr>
        <w:snapToGrid w:val="0"/>
        <w:spacing w:before="50" w:after="120" w:afterLines="50" w:line="276" w:lineRule="auto"/>
        <w:ind w:firstLine="420" w:firstLineChars="200"/>
        <w:jc w:val="left"/>
      </w:pPr>
      <w:r>
        <w:rPr>
          <w:rFonts w:hint="eastAsia"/>
        </w:rPr>
        <w:t>（1）付款通知到达的日期在本保函的有效期内；</w:t>
      </w:r>
    </w:p>
    <w:p w14:paraId="351C76DE">
      <w:pPr>
        <w:snapToGrid w:val="0"/>
        <w:spacing w:before="50" w:after="120" w:afterLines="50" w:line="276" w:lineRule="auto"/>
        <w:ind w:firstLine="420" w:firstLineChars="200"/>
        <w:jc w:val="left"/>
      </w:pPr>
      <w:r>
        <w:rPr>
          <w:rFonts w:hint="eastAsia"/>
        </w:rPr>
        <w:t>（2）载明要求支付的金额；</w:t>
      </w:r>
    </w:p>
    <w:p w14:paraId="0A26BA91">
      <w:pPr>
        <w:snapToGrid w:val="0"/>
        <w:spacing w:before="50" w:after="120" w:afterLines="50" w:line="276" w:lineRule="auto"/>
        <w:ind w:firstLine="420" w:firstLineChars="200"/>
        <w:jc w:val="left"/>
      </w:pPr>
      <w:r>
        <w:rPr>
          <w:rFonts w:hint="eastAsia"/>
        </w:rPr>
        <w:t>（3）载明申请人违反采购文件规定的义务内容和具体条款；</w:t>
      </w:r>
    </w:p>
    <w:p w14:paraId="2BBA8ED1">
      <w:pPr>
        <w:snapToGrid w:val="0"/>
        <w:spacing w:before="50" w:after="120" w:afterLines="50" w:line="276" w:lineRule="auto"/>
        <w:ind w:firstLine="420" w:firstLineChars="200"/>
        <w:jc w:val="left"/>
      </w:pPr>
      <w:r>
        <w:rPr>
          <w:rFonts w:hint="eastAsia"/>
        </w:rPr>
        <w:t>（4）声明不存在采购文件规定或我国法律规定免除申请人或我方支付责任的情形；</w:t>
      </w:r>
    </w:p>
    <w:p w14:paraId="3CF62D77">
      <w:pPr>
        <w:snapToGrid w:val="0"/>
        <w:spacing w:before="50" w:after="120" w:afterLines="50" w:line="276" w:lineRule="auto"/>
        <w:ind w:firstLine="420" w:firstLineChars="200"/>
        <w:jc w:val="left"/>
      </w:pPr>
      <w:r>
        <w:rPr>
          <w:rFonts w:hint="eastAsia"/>
        </w:rPr>
        <w:t>（5）书面付款通知应在本保函有效期内到达的地址是：</w:t>
      </w:r>
      <w:r>
        <w:rPr>
          <w:rFonts w:hint="eastAsia"/>
          <w:u w:val="single"/>
        </w:rPr>
        <w:t xml:space="preserve">                                     </w:t>
      </w:r>
      <w:r>
        <w:rPr>
          <w:rFonts w:hint="eastAsia"/>
        </w:rPr>
        <w:t>。</w:t>
      </w:r>
    </w:p>
    <w:p w14:paraId="1BA4A02D">
      <w:pPr>
        <w:snapToGrid w:val="0"/>
        <w:spacing w:before="50" w:after="120" w:afterLines="50" w:line="276" w:lineRule="auto"/>
        <w:jc w:val="left"/>
      </w:pPr>
      <w:r>
        <w:rPr>
          <w:rFonts w:hint="eastAsia"/>
        </w:rPr>
        <w:t xml:space="preserve">        受益人发出的书面付款通知应由其为鉴明受益人法定代表人（负责人）或授权代理人签字并加盖公章。</w:t>
      </w:r>
    </w:p>
    <w:p w14:paraId="43293E92">
      <w:pPr>
        <w:snapToGrid w:val="0"/>
        <w:spacing w:before="50" w:after="120" w:afterLines="50" w:line="276" w:lineRule="auto"/>
        <w:ind w:firstLine="420" w:firstLineChars="200"/>
        <w:jc w:val="left"/>
      </w:pPr>
      <w:r>
        <w:rPr>
          <w:rFonts w:hint="eastAsia"/>
        </w:rPr>
        <w:t xml:space="preserve">五、本保函项下的权利不得转让，不得设定担保。贵方未经我方书面同意转让本保函或其项下任何权利，对我方不发生法律效力。 </w:t>
      </w:r>
    </w:p>
    <w:p w14:paraId="501AA783">
      <w:pPr>
        <w:snapToGrid w:val="0"/>
        <w:spacing w:before="50" w:after="120" w:afterLines="50" w:line="276" w:lineRule="auto"/>
        <w:ind w:firstLine="420" w:firstLineChars="200"/>
        <w:jc w:val="left"/>
      </w:pPr>
      <w:r>
        <w:rPr>
          <w:rFonts w:hint="eastAsia"/>
        </w:rPr>
        <w:t xml:space="preserve">六、本保函项下的基础交易不成立、不生效、无效、被撤销、被解除，不影响本保函的独立有效。 </w:t>
      </w:r>
    </w:p>
    <w:p w14:paraId="6E9FBA94">
      <w:pPr>
        <w:snapToGrid w:val="0"/>
        <w:spacing w:before="50" w:after="120" w:afterLines="50" w:line="276" w:lineRule="auto"/>
        <w:ind w:firstLine="420" w:firstLineChars="200"/>
        <w:jc w:val="left"/>
      </w:pPr>
      <w:r>
        <w:rPr>
          <w:rFonts w:hint="eastAsia"/>
        </w:rPr>
        <w:t xml:space="preserve">七、受益人应在本保函到期后的七日内将本保函正本退回我方注销，但是不论受益人是否按此要求将本保函正本退回我方，我方在本保函项下的义务和责任均在保函有效期到期后自动消灭。 </w:t>
      </w:r>
    </w:p>
    <w:p w14:paraId="5455229F">
      <w:pPr>
        <w:snapToGrid w:val="0"/>
        <w:spacing w:before="50" w:after="120" w:afterLines="50" w:line="276" w:lineRule="auto"/>
        <w:ind w:firstLine="420" w:firstLineChars="200"/>
        <w:jc w:val="left"/>
      </w:pPr>
      <w:r>
        <w:rPr>
          <w:rFonts w:hint="eastAsia"/>
        </w:rPr>
        <w:t xml:space="preserve">八、本保函适用的法律为中华人民共和国法律，争议裁判管辖地为中华人民共和国。 </w:t>
      </w:r>
    </w:p>
    <w:p w14:paraId="0FD4C947">
      <w:pPr>
        <w:snapToGrid w:val="0"/>
        <w:spacing w:before="50" w:after="120" w:afterLines="50" w:line="276" w:lineRule="auto"/>
        <w:ind w:firstLine="420" w:firstLineChars="200"/>
        <w:jc w:val="left"/>
      </w:pPr>
      <w:r>
        <w:rPr>
          <w:rFonts w:hint="eastAsia"/>
        </w:rPr>
        <w:t xml:space="preserve">九、本保函自我方法定代表人或授权代表签字并加盖公章之日起生效。 </w:t>
      </w:r>
    </w:p>
    <w:p w14:paraId="2ADEA453">
      <w:pPr>
        <w:snapToGrid w:val="0"/>
        <w:spacing w:before="50" w:after="120" w:afterLines="50" w:line="276" w:lineRule="auto"/>
        <w:jc w:val="left"/>
      </w:pPr>
    </w:p>
    <w:p w14:paraId="56F2C786">
      <w:pPr>
        <w:snapToGrid w:val="0"/>
        <w:spacing w:before="50" w:after="120" w:afterLines="50" w:line="276" w:lineRule="auto"/>
        <w:jc w:val="left"/>
      </w:pPr>
      <w:r>
        <w:rPr>
          <w:rFonts w:hint="eastAsia"/>
        </w:rPr>
        <w:t xml:space="preserve">开 立 人：                                                  （公章） </w:t>
      </w:r>
    </w:p>
    <w:p w14:paraId="0A717478">
      <w:pPr>
        <w:snapToGrid w:val="0"/>
        <w:spacing w:before="50" w:after="120" w:afterLines="50" w:line="276" w:lineRule="auto"/>
        <w:jc w:val="left"/>
      </w:pPr>
      <w:r>
        <w:rPr>
          <w:rFonts w:hint="eastAsia"/>
        </w:rPr>
        <w:t xml:space="preserve">法定代表人（或授权代表） ：               （签字） </w:t>
      </w:r>
    </w:p>
    <w:p w14:paraId="5F16AE2D">
      <w:pPr>
        <w:snapToGrid w:val="0"/>
        <w:spacing w:before="50" w:after="120" w:afterLines="50" w:line="276" w:lineRule="auto"/>
        <w:jc w:val="left"/>
      </w:pPr>
      <w:r>
        <w:rPr>
          <w:rFonts w:hint="eastAsia"/>
        </w:rPr>
        <w:t xml:space="preserve">地    址：                                       </w:t>
      </w:r>
    </w:p>
    <w:p w14:paraId="42DE5568">
      <w:pPr>
        <w:snapToGrid w:val="0"/>
        <w:spacing w:before="50" w:after="120" w:afterLines="50" w:line="276" w:lineRule="auto"/>
        <w:jc w:val="left"/>
      </w:pPr>
      <w:r>
        <w:rPr>
          <w:rFonts w:hint="eastAsia"/>
        </w:rPr>
        <w:t xml:space="preserve">邮政编码：                 </w:t>
      </w:r>
    </w:p>
    <w:p w14:paraId="0ED16A1E">
      <w:pPr>
        <w:snapToGrid w:val="0"/>
        <w:spacing w:before="50" w:after="120" w:afterLines="50" w:line="276" w:lineRule="auto"/>
        <w:jc w:val="left"/>
      </w:pPr>
      <w:r>
        <w:rPr>
          <w:rFonts w:hint="eastAsia"/>
        </w:rPr>
        <w:t xml:space="preserve">电    话：                 </w:t>
      </w:r>
    </w:p>
    <w:p w14:paraId="7B39D8BF">
      <w:pPr>
        <w:snapToGrid w:val="0"/>
        <w:spacing w:before="50" w:after="120" w:afterLines="50" w:line="276" w:lineRule="auto"/>
        <w:jc w:val="left"/>
      </w:pPr>
      <w:r>
        <w:rPr>
          <w:rFonts w:hint="eastAsia"/>
        </w:rPr>
        <w:t xml:space="preserve">传    真：                 </w:t>
      </w:r>
    </w:p>
    <w:p w14:paraId="21616BFA">
      <w:pPr>
        <w:snapToGrid w:val="0"/>
        <w:spacing w:before="50" w:after="120" w:afterLines="50" w:line="276" w:lineRule="auto"/>
        <w:jc w:val="left"/>
      </w:pPr>
      <w:r>
        <w:rPr>
          <w:rFonts w:hint="eastAsia"/>
        </w:rPr>
        <w:t>开立时间：      年       月        日</w:t>
      </w:r>
    </w:p>
    <w:p w14:paraId="50BF04D9">
      <w:pPr>
        <w:widowControl/>
        <w:jc w:val="left"/>
        <w:rPr>
          <w:szCs w:val="21"/>
        </w:rPr>
      </w:pPr>
      <w:r>
        <w:rPr>
          <w:szCs w:val="21"/>
        </w:rPr>
        <w:br w:type="page"/>
      </w:r>
    </w:p>
    <w:p w14:paraId="224A48A0">
      <w:pPr>
        <w:snapToGrid w:val="0"/>
        <w:spacing w:before="50" w:after="120" w:afterLines="50"/>
        <w:jc w:val="left"/>
        <w:rPr>
          <w:color w:val="4472C4"/>
          <w:szCs w:val="21"/>
        </w:rPr>
      </w:pPr>
      <w:r>
        <w:rPr>
          <w:szCs w:val="21"/>
        </w:rPr>
        <w:t>9．供应商认为应当要提交的</w:t>
      </w:r>
      <w:r>
        <w:rPr>
          <w:rFonts w:hint="eastAsia"/>
          <w:szCs w:val="21"/>
        </w:rPr>
        <w:t>其他</w:t>
      </w:r>
      <w:r>
        <w:rPr>
          <w:szCs w:val="21"/>
        </w:rPr>
        <w:t>资格证明材料。</w:t>
      </w:r>
      <w:r>
        <w:rPr>
          <w:bCs/>
          <w:sz w:val="24"/>
        </w:rPr>
        <w:t xml:space="preserve"> </w:t>
      </w:r>
    </w:p>
    <w:p w14:paraId="369A5C00">
      <w:pPr>
        <w:spacing w:line="276" w:lineRule="auto"/>
        <w:rPr>
          <w:szCs w:val="21"/>
        </w:rPr>
      </w:pPr>
    </w:p>
    <w:p w14:paraId="314F1333">
      <w:pPr>
        <w:widowControl/>
        <w:jc w:val="left"/>
        <w:rPr>
          <w:szCs w:val="21"/>
        </w:rPr>
      </w:pPr>
      <w:r>
        <w:rPr>
          <w:szCs w:val="21"/>
        </w:rPr>
        <w:br w:type="page"/>
      </w:r>
      <w:bookmarkEnd w:id="148"/>
    </w:p>
    <w:bookmarkEnd w:id="140"/>
    <w:p w14:paraId="6A039E40">
      <w:pPr>
        <w:snapToGrid w:val="0"/>
        <w:spacing w:before="120" w:beforeLines="50" w:after="50" w:line="440" w:lineRule="exact"/>
        <w:jc w:val="left"/>
        <w:outlineLvl w:val="1"/>
        <w:rPr>
          <w:bCs/>
          <w:sz w:val="24"/>
        </w:rPr>
      </w:pPr>
      <w:r>
        <w:rPr>
          <w:bCs/>
          <w:sz w:val="24"/>
        </w:rPr>
        <w:t>2．投标文件封面参考格式</w:t>
      </w:r>
      <w:r>
        <w:rPr>
          <w:rFonts w:hint="eastAsia"/>
          <w:bCs/>
          <w:sz w:val="24"/>
        </w:rPr>
        <w:t>（商务技术文件）</w:t>
      </w:r>
      <w:r>
        <w:rPr>
          <w:bCs/>
          <w:sz w:val="24"/>
        </w:rPr>
        <w:t xml:space="preserve">： </w:t>
      </w:r>
    </w:p>
    <w:p w14:paraId="46A0F082">
      <w:pPr>
        <w:snapToGrid w:val="0"/>
        <w:spacing w:before="50" w:after="120" w:afterLines="50" w:line="400" w:lineRule="exact"/>
        <w:jc w:val="left"/>
        <w:rPr>
          <w:bCs/>
          <w:sz w:val="24"/>
        </w:rPr>
      </w:pPr>
    </w:p>
    <w:p w14:paraId="21FDB4D0">
      <w:pPr>
        <w:snapToGrid w:val="0"/>
        <w:spacing w:before="120" w:beforeLines="50" w:after="50" w:line="360" w:lineRule="exact"/>
        <w:rPr>
          <w:sz w:val="24"/>
        </w:rPr>
      </w:pPr>
    </w:p>
    <w:p w14:paraId="1723285B">
      <w:pPr>
        <w:snapToGrid w:val="0"/>
        <w:spacing w:before="120" w:beforeLines="50" w:after="50" w:line="360" w:lineRule="exact"/>
        <w:jc w:val="center"/>
        <w:rPr>
          <w:bCs/>
          <w:color w:val="FF0000"/>
          <w:sz w:val="24"/>
        </w:rPr>
      </w:pPr>
    </w:p>
    <w:p w14:paraId="3FFD8058">
      <w:pPr>
        <w:snapToGrid w:val="0"/>
        <w:spacing w:before="120" w:beforeLines="50" w:after="50" w:line="360" w:lineRule="exact"/>
        <w:jc w:val="center"/>
        <w:rPr>
          <w:b/>
          <w:bCs/>
          <w:sz w:val="44"/>
          <w:szCs w:val="44"/>
        </w:rPr>
      </w:pPr>
      <w:r>
        <w:rPr>
          <w:rFonts w:hint="eastAsia"/>
          <w:b/>
          <w:bCs/>
          <w:sz w:val="44"/>
          <w:szCs w:val="44"/>
        </w:rPr>
        <w:t>电子</w:t>
      </w:r>
      <w:r>
        <w:rPr>
          <w:b/>
          <w:bCs/>
          <w:sz w:val="44"/>
          <w:szCs w:val="44"/>
        </w:rPr>
        <w:t>投标文件</w:t>
      </w:r>
    </w:p>
    <w:p w14:paraId="5C4B4F3E">
      <w:pPr>
        <w:snapToGrid w:val="0"/>
        <w:spacing w:before="120" w:beforeLines="50" w:after="50" w:line="360" w:lineRule="exact"/>
        <w:jc w:val="center"/>
        <w:rPr>
          <w:b/>
          <w:bCs/>
          <w:sz w:val="44"/>
          <w:szCs w:val="44"/>
        </w:rPr>
      </w:pPr>
    </w:p>
    <w:p w14:paraId="5E9F7969">
      <w:pPr>
        <w:snapToGrid w:val="0"/>
        <w:spacing w:before="120" w:beforeLines="50" w:after="50" w:line="360" w:lineRule="exact"/>
        <w:jc w:val="center"/>
        <w:rPr>
          <w:b/>
          <w:bCs/>
          <w:sz w:val="44"/>
          <w:szCs w:val="44"/>
        </w:rPr>
      </w:pPr>
    </w:p>
    <w:p w14:paraId="414CD2B1">
      <w:pPr>
        <w:snapToGrid w:val="0"/>
        <w:spacing w:before="120" w:beforeLines="50" w:after="50" w:line="360" w:lineRule="exact"/>
        <w:jc w:val="center"/>
        <w:rPr>
          <w:b/>
          <w:bCs/>
          <w:sz w:val="44"/>
          <w:szCs w:val="44"/>
        </w:rPr>
      </w:pPr>
      <w:r>
        <w:rPr>
          <w:b/>
          <w:bCs/>
          <w:sz w:val="44"/>
          <w:szCs w:val="44"/>
        </w:rPr>
        <w:t xml:space="preserve"> 商务技术文件</w:t>
      </w:r>
    </w:p>
    <w:p w14:paraId="5A75A11B">
      <w:pPr>
        <w:snapToGrid w:val="0"/>
        <w:spacing w:before="120" w:beforeLines="50" w:after="50" w:line="360" w:lineRule="exact"/>
        <w:rPr>
          <w:bCs/>
          <w:sz w:val="24"/>
        </w:rPr>
      </w:pPr>
    </w:p>
    <w:p w14:paraId="080C4513">
      <w:pPr>
        <w:snapToGrid w:val="0"/>
        <w:spacing w:before="120" w:beforeLines="50" w:after="50" w:line="360" w:lineRule="exact"/>
        <w:rPr>
          <w:bCs/>
          <w:sz w:val="24"/>
        </w:rPr>
      </w:pPr>
    </w:p>
    <w:p w14:paraId="6EA9EBEB">
      <w:pPr>
        <w:snapToGrid w:val="0"/>
        <w:spacing w:before="120" w:beforeLines="50" w:after="50" w:line="360" w:lineRule="exact"/>
        <w:rPr>
          <w:bCs/>
          <w:sz w:val="24"/>
        </w:rPr>
      </w:pPr>
    </w:p>
    <w:p w14:paraId="40A8D83C">
      <w:pPr>
        <w:snapToGrid w:val="0"/>
        <w:spacing w:before="120" w:beforeLines="50" w:after="50" w:line="360" w:lineRule="exact"/>
        <w:ind w:firstLine="720" w:firstLineChars="300"/>
        <w:rPr>
          <w:bCs/>
          <w:sz w:val="24"/>
        </w:rPr>
      </w:pPr>
      <w:r>
        <w:rPr>
          <w:bCs/>
          <w:sz w:val="24"/>
        </w:rPr>
        <w:t xml:space="preserve">项目名称： </w:t>
      </w:r>
    </w:p>
    <w:p w14:paraId="5064BF16">
      <w:pPr>
        <w:snapToGrid w:val="0"/>
        <w:spacing w:before="120" w:beforeLines="50" w:after="50" w:line="360" w:lineRule="exact"/>
        <w:ind w:firstLine="720" w:firstLineChars="300"/>
        <w:rPr>
          <w:bCs/>
          <w:sz w:val="24"/>
        </w:rPr>
      </w:pPr>
      <w:r>
        <w:rPr>
          <w:bCs/>
          <w:sz w:val="24"/>
        </w:rPr>
        <w:t>项目编号：</w:t>
      </w:r>
    </w:p>
    <w:p w14:paraId="18817775">
      <w:pPr>
        <w:snapToGrid w:val="0"/>
        <w:spacing w:before="120" w:beforeLines="50" w:after="50" w:line="360" w:lineRule="exact"/>
        <w:ind w:firstLine="720" w:firstLineChars="300"/>
        <w:rPr>
          <w:bCs/>
          <w:sz w:val="24"/>
        </w:rPr>
      </w:pPr>
      <w:r>
        <w:rPr>
          <w:bCs/>
          <w:sz w:val="24"/>
        </w:rPr>
        <w:t>分标号：（若无</w:t>
      </w:r>
      <w:r>
        <w:rPr>
          <w:rFonts w:hint="eastAsia"/>
          <w:bCs/>
          <w:sz w:val="24"/>
        </w:rPr>
        <w:t>留空或写</w:t>
      </w:r>
      <w:r>
        <w:rPr>
          <w:bCs/>
          <w:sz w:val="24"/>
        </w:rPr>
        <w:t>“/”）</w:t>
      </w:r>
    </w:p>
    <w:p w14:paraId="52DB8D30">
      <w:pPr>
        <w:snapToGrid w:val="0"/>
        <w:spacing w:before="120" w:beforeLines="50" w:after="50" w:line="360" w:lineRule="exact"/>
        <w:ind w:firstLine="720" w:firstLineChars="300"/>
        <w:rPr>
          <w:bCs/>
          <w:sz w:val="24"/>
        </w:rPr>
      </w:pPr>
      <w:r>
        <w:rPr>
          <w:bCs/>
          <w:sz w:val="24"/>
        </w:rPr>
        <w:t>供应商名称：</w:t>
      </w:r>
    </w:p>
    <w:p w14:paraId="41B7E462">
      <w:pPr>
        <w:snapToGrid w:val="0"/>
        <w:spacing w:before="120" w:beforeLines="50" w:after="50" w:line="360" w:lineRule="exact"/>
        <w:ind w:firstLine="720" w:firstLineChars="300"/>
        <w:rPr>
          <w:bCs/>
          <w:sz w:val="24"/>
        </w:rPr>
      </w:pPr>
      <w:r>
        <w:rPr>
          <w:bCs/>
          <w:sz w:val="24"/>
        </w:rPr>
        <w:t>供应商地址：</w:t>
      </w:r>
    </w:p>
    <w:p w14:paraId="63FB5ABE">
      <w:pPr>
        <w:snapToGrid w:val="0"/>
        <w:spacing w:before="120" w:beforeLines="50" w:after="50" w:line="360" w:lineRule="exact"/>
        <w:ind w:firstLine="720" w:firstLineChars="300"/>
        <w:rPr>
          <w:bCs/>
          <w:sz w:val="24"/>
        </w:rPr>
      </w:pPr>
    </w:p>
    <w:p w14:paraId="6D465F56">
      <w:pPr>
        <w:pStyle w:val="10"/>
        <w:snapToGrid w:val="0"/>
        <w:spacing w:before="50" w:after="50" w:line="360" w:lineRule="exact"/>
        <w:ind w:firstLine="960" w:firstLineChars="400"/>
        <w:rPr>
          <w:bCs/>
          <w:sz w:val="24"/>
          <w:szCs w:val="24"/>
        </w:rPr>
      </w:pPr>
    </w:p>
    <w:p w14:paraId="36ABBCAE">
      <w:pPr>
        <w:snapToGrid w:val="0"/>
        <w:spacing w:before="120" w:beforeLines="50" w:after="50" w:line="360" w:lineRule="exact"/>
        <w:jc w:val="center"/>
        <w:rPr>
          <w:sz w:val="24"/>
        </w:rPr>
      </w:pPr>
      <w:r>
        <w:rPr>
          <w:sz w:val="24"/>
        </w:rPr>
        <w:t xml:space="preserve">                        年  月  日</w:t>
      </w:r>
    </w:p>
    <w:p w14:paraId="615AD2EC">
      <w:r>
        <w:br w:type="page"/>
      </w:r>
    </w:p>
    <w:p w14:paraId="18546B45">
      <w:pPr>
        <w:snapToGrid w:val="0"/>
        <w:spacing w:before="50" w:after="50" w:line="440" w:lineRule="exact"/>
        <w:ind w:firstLine="138" w:firstLineChars="49"/>
        <w:jc w:val="center"/>
        <w:rPr>
          <w:b/>
          <w:sz w:val="28"/>
          <w:szCs w:val="28"/>
        </w:rPr>
      </w:pPr>
      <w:r>
        <w:rPr>
          <w:b/>
          <w:sz w:val="28"/>
          <w:szCs w:val="28"/>
        </w:rPr>
        <w:t>目录</w:t>
      </w:r>
    </w:p>
    <w:p w14:paraId="273F8F0C">
      <w:pPr>
        <w:snapToGrid w:val="0"/>
        <w:spacing w:before="50" w:after="50" w:line="440" w:lineRule="exact"/>
        <w:ind w:firstLine="118" w:firstLineChars="49"/>
        <w:jc w:val="center"/>
        <w:rPr>
          <w:b/>
          <w:sz w:val="24"/>
        </w:rPr>
      </w:pPr>
      <w:r>
        <w:rPr>
          <w:b/>
          <w:sz w:val="24"/>
        </w:rPr>
        <w:t>（应有页码）</w:t>
      </w:r>
    </w:p>
    <w:p w14:paraId="62CA2923">
      <w:pPr>
        <w:rPr>
          <w:b/>
          <w:szCs w:val="21"/>
        </w:rPr>
      </w:pPr>
      <w:r>
        <w:br w:type="page"/>
      </w:r>
      <w:bookmarkStart w:id="149" w:name="_Toc462223472"/>
      <w:bookmarkStart w:id="150" w:name="_Toc462320613"/>
      <w:bookmarkStart w:id="151" w:name="_Toc455309222"/>
      <w:bookmarkStart w:id="152" w:name="_Hlk19114325"/>
      <w:r>
        <w:rPr>
          <w:szCs w:val="21"/>
        </w:rPr>
        <w:t>1．法定代表人身份证明</w:t>
      </w:r>
      <w:r>
        <w:rPr>
          <w:rFonts w:hint="eastAsia"/>
          <w:b/>
          <w:szCs w:val="21"/>
        </w:rPr>
        <w:t>（无授权</w:t>
      </w:r>
      <w:r>
        <w:rPr>
          <w:b/>
          <w:szCs w:val="21"/>
        </w:rPr>
        <w:t>代表</w:t>
      </w:r>
      <w:r>
        <w:rPr>
          <w:rFonts w:hint="eastAsia"/>
          <w:b/>
          <w:szCs w:val="21"/>
        </w:rPr>
        <w:t>时提供）</w:t>
      </w:r>
      <w:r>
        <w:rPr>
          <w:b/>
          <w:szCs w:val="21"/>
        </w:rPr>
        <w:t>：</w:t>
      </w:r>
    </w:p>
    <w:p w14:paraId="32C5B367">
      <w:pPr>
        <w:snapToGrid w:val="0"/>
        <w:spacing w:before="120" w:beforeLines="50" w:after="50" w:line="440" w:lineRule="exact"/>
        <w:jc w:val="center"/>
        <w:rPr>
          <w:szCs w:val="21"/>
        </w:rPr>
      </w:pPr>
    </w:p>
    <w:p w14:paraId="2E3E2F69">
      <w:pPr>
        <w:snapToGrid w:val="0"/>
        <w:spacing w:before="120" w:beforeLines="50" w:after="50" w:line="440" w:lineRule="exact"/>
        <w:jc w:val="center"/>
        <w:rPr>
          <w:b/>
          <w:szCs w:val="21"/>
        </w:rPr>
      </w:pPr>
      <w:r>
        <w:rPr>
          <w:b/>
          <w:szCs w:val="21"/>
        </w:rPr>
        <w:t>法定代表人身份证明</w:t>
      </w:r>
      <w:bookmarkEnd w:id="149"/>
      <w:bookmarkEnd w:id="150"/>
      <w:bookmarkEnd w:id="151"/>
    </w:p>
    <w:p w14:paraId="22FE8607">
      <w:pPr>
        <w:spacing w:line="360" w:lineRule="auto"/>
      </w:pPr>
    </w:p>
    <w:p w14:paraId="122A5675">
      <w:pPr>
        <w:spacing w:line="540" w:lineRule="exact"/>
        <w:rPr>
          <w:szCs w:val="21"/>
        </w:rPr>
      </w:pPr>
      <w:r>
        <w:rPr>
          <w:szCs w:val="21"/>
        </w:rPr>
        <w:t>供应商名称：</w:t>
      </w:r>
      <w:r>
        <w:rPr>
          <w:szCs w:val="21"/>
          <w:u w:val="single"/>
        </w:rPr>
        <w:t xml:space="preserve">                                         </w:t>
      </w:r>
    </w:p>
    <w:p w14:paraId="5433ADEC">
      <w:pPr>
        <w:spacing w:line="540" w:lineRule="exact"/>
        <w:rPr>
          <w:szCs w:val="21"/>
        </w:rPr>
      </w:pPr>
      <w:r>
        <w:rPr>
          <w:szCs w:val="21"/>
        </w:rPr>
        <w:t>单位性质：</w:t>
      </w:r>
      <w:r>
        <w:rPr>
          <w:szCs w:val="21"/>
          <w:u w:val="single"/>
        </w:rPr>
        <w:t xml:space="preserve">                                           </w:t>
      </w:r>
    </w:p>
    <w:p w14:paraId="5EC6B8EB">
      <w:pPr>
        <w:spacing w:line="540" w:lineRule="exact"/>
        <w:rPr>
          <w:szCs w:val="21"/>
        </w:rPr>
      </w:pPr>
      <w:r>
        <w:rPr>
          <w:szCs w:val="21"/>
        </w:rPr>
        <w:t>地址：</w:t>
      </w:r>
      <w:r>
        <w:rPr>
          <w:szCs w:val="21"/>
          <w:u w:val="single"/>
        </w:rPr>
        <w:t xml:space="preserve">                                               </w:t>
      </w:r>
    </w:p>
    <w:p w14:paraId="22C6479A">
      <w:pPr>
        <w:spacing w:line="540" w:lineRule="exact"/>
        <w:rPr>
          <w:szCs w:val="21"/>
          <w:u w:val="single"/>
        </w:rPr>
      </w:pPr>
      <w:r>
        <w:rPr>
          <w:szCs w:val="21"/>
        </w:rPr>
        <w:t>成立时间：</w:t>
      </w:r>
      <w:r>
        <w:rPr>
          <w:szCs w:val="21"/>
          <w:u w:val="single"/>
        </w:rPr>
        <w:t xml:space="preserve">          年        月        日</w:t>
      </w:r>
    </w:p>
    <w:p w14:paraId="7ADFADCC">
      <w:pPr>
        <w:spacing w:line="540" w:lineRule="exact"/>
        <w:rPr>
          <w:szCs w:val="21"/>
        </w:rPr>
      </w:pPr>
      <w:r>
        <w:rPr>
          <w:szCs w:val="21"/>
        </w:rPr>
        <w:t>经营期限：</w:t>
      </w:r>
      <w:r>
        <w:rPr>
          <w:szCs w:val="21"/>
          <w:u w:val="single"/>
        </w:rPr>
        <w:t xml:space="preserve">                                           </w:t>
      </w:r>
    </w:p>
    <w:p w14:paraId="443B6329">
      <w:pPr>
        <w:spacing w:line="540" w:lineRule="exact"/>
        <w:rPr>
          <w:szCs w:val="21"/>
        </w:rPr>
      </w:pPr>
      <w:r>
        <w:rPr>
          <w:szCs w:val="21"/>
        </w:rPr>
        <w:t>姓名：</w:t>
      </w:r>
      <w:r>
        <w:rPr>
          <w:szCs w:val="21"/>
          <w:u w:val="single"/>
        </w:rPr>
        <w:t xml:space="preserve">                   </w:t>
      </w:r>
      <w:r>
        <w:rPr>
          <w:szCs w:val="21"/>
        </w:rPr>
        <w:t>；性别：</w:t>
      </w:r>
      <w:r>
        <w:rPr>
          <w:szCs w:val="21"/>
          <w:u w:val="single"/>
        </w:rPr>
        <w:t xml:space="preserve">              </w:t>
      </w:r>
      <w:r>
        <w:rPr>
          <w:szCs w:val="21"/>
        </w:rPr>
        <w:t xml:space="preserve">        </w:t>
      </w:r>
    </w:p>
    <w:p w14:paraId="5AC53863">
      <w:pPr>
        <w:spacing w:line="540" w:lineRule="exact"/>
        <w:rPr>
          <w:szCs w:val="21"/>
        </w:rPr>
      </w:pPr>
      <w:r>
        <w:rPr>
          <w:szCs w:val="21"/>
        </w:rPr>
        <w:t>年龄：</w:t>
      </w:r>
      <w:r>
        <w:rPr>
          <w:szCs w:val="21"/>
          <w:u w:val="single"/>
        </w:rPr>
        <w:t xml:space="preserve">         </w:t>
      </w:r>
      <w:r>
        <w:rPr>
          <w:szCs w:val="21"/>
        </w:rPr>
        <w:t>；职务：</w:t>
      </w:r>
      <w:r>
        <w:rPr>
          <w:szCs w:val="21"/>
          <w:u w:val="single"/>
        </w:rPr>
        <w:t xml:space="preserve">              </w:t>
      </w:r>
      <w:r>
        <w:rPr>
          <w:szCs w:val="21"/>
        </w:rPr>
        <w:t>；身份证：</w:t>
      </w:r>
      <w:r>
        <w:rPr>
          <w:szCs w:val="21"/>
          <w:u w:val="single"/>
        </w:rPr>
        <w:t xml:space="preserve">                                      </w:t>
      </w:r>
    </w:p>
    <w:p w14:paraId="7AB86B7D">
      <w:pPr>
        <w:spacing w:line="540" w:lineRule="exact"/>
        <w:rPr>
          <w:szCs w:val="21"/>
        </w:rPr>
      </w:pPr>
      <w:r>
        <w:rPr>
          <w:szCs w:val="21"/>
        </w:rPr>
        <w:t>系</w:t>
      </w:r>
      <w:r>
        <w:rPr>
          <w:szCs w:val="21"/>
          <w:u w:val="single"/>
        </w:rPr>
        <w:t xml:space="preserve">                                      （ 供应商名称）</w:t>
      </w:r>
      <w:r>
        <w:rPr>
          <w:szCs w:val="21"/>
        </w:rPr>
        <w:t>的法定代表人。</w:t>
      </w:r>
    </w:p>
    <w:p w14:paraId="6DF229C1">
      <w:pPr>
        <w:spacing w:line="540" w:lineRule="exact"/>
        <w:rPr>
          <w:szCs w:val="21"/>
        </w:rPr>
      </w:pPr>
    </w:p>
    <w:p w14:paraId="1EA48E79">
      <w:pPr>
        <w:spacing w:line="540" w:lineRule="exact"/>
        <w:ind w:firstLine="420" w:firstLineChars="200"/>
        <w:rPr>
          <w:szCs w:val="21"/>
        </w:rPr>
      </w:pPr>
      <w:r>
        <w:rPr>
          <w:szCs w:val="21"/>
        </w:rPr>
        <w:t>特此证明。</w:t>
      </w:r>
    </w:p>
    <w:p w14:paraId="73514C26">
      <w:pPr>
        <w:spacing w:line="360" w:lineRule="auto"/>
        <w:ind w:firstLine="4830" w:firstLineChars="2300"/>
        <w:rPr>
          <w:szCs w:val="21"/>
        </w:rPr>
      </w:pPr>
      <w:r>
        <w:rPr>
          <w:szCs w:val="21"/>
        </w:rPr>
        <w:t>供应商</w:t>
      </w:r>
      <w:r>
        <w:rPr>
          <w:rFonts w:hint="eastAsia"/>
          <w:szCs w:val="21"/>
        </w:rPr>
        <w:t>名称(电子签章</w:t>
      </w:r>
      <w:r>
        <w:rPr>
          <w:szCs w:val="21"/>
        </w:rPr>
        <w:t>)：</w:t>
      </w:r>
      <w:r>
        <w:rPr>
          <w:szCs w:val="21"/>
          <w:u w:val="single"/>
        </w:rPr>
        <w:t xml:space="preserve">                </w:t>
      </w:r>
    </w:p>
    <w:p w14:paraId="0BE7EA09">
      <w:pPr>
        <w:spacing w:line="360" w:lineRule="auto"/>
        <w:rPr>
          <w:szCs w:val="21"/>
        </w:rPr>
      </w:pPr>
      <w:r>
        <w:rPr>
          <w:szCs w:val="21"/>
        </w:rPr>
        <w:t xml:space="preserve">                                                                                               年       月       日 </w:t>
      </w:r>
    </w:p>
    <w:p w14:paraId="283EE58F">
      <w:pPr>
        <w:spacing w:line="360" w:lineRule="auto"/>
        <w:ind w:firstLine="420" w:firstLineChars="200"/>
        <w:rPr>
          <w:szCs w:val="21"/>
        </w:rPr>
      </w:pPr>
    </w:p>
    <w:p w14:paraId="5EFA3222">
      <w:pPr>
        <w:spacing w:line="360" w:lineRule="auto"/>
        <w:rPr>
          <w:szCs w:val="21"/>
        </w:rPr>
      </w:pPr>
      <w:r>
        <w:rPr>
          <w:szCs w:val="21"/>
        </w:rPr>
        <w:t>附件：法定代表人身份证复印件</w:t>
      </w:r>
    </w:p>
    <w:p w14:paraId="3873BB66">
      <w:pPr>
        <w:spacing w:line="360" w:lineRule="auto"/>
        <w:rPr>
          <w:szCs w:val="21"/>
        </w:rPr>
      </w:pPr>
    </w:p>
    <w:bookmarkEnd w:id="152"/>
    <w:p w14:paraId="79E31A94">
      <w:pPr>
        <w:snapToGrid w:val="0"/>
        <w:spacing w:before="120" w:beforeLines="50" w:after="50" w:line="360" w:lineRule="exact"/>
        <w:rPr>
          <w:b/>
          <w:szCs w:val="21"/>
        </w:rPr>
      </w:pPr>
      <w:r>
        <w:rPr>
          <w:b/>
          <w:szCs w:val="21"/>
        </w:rPr>
        <w:br w:type="page"/>
      </w:r>
      <w:r>
        <w:rPr>
          <w:rFonts w:hint="eastAsia"/>
          <w:b/>
          <w:szCs w:val="21"/>
        </w:rPr>
        <w:t>1</w:t>
      </w:r>
      <w:r>
        <w:rPr>
          <w:b/>
          <w:szCs w:val="21"/>
        </w:rPr>
        <w:t>．</w:t>
      </w:r>
      <w:r>
        <w:rPr>
          <w:rFonts w:hint="eastAsia"/>
          <w:b/>
          <w:szCs w:val="21"/>
        </w:rPr>
        <w:t>授权</w:t>
      </w:r>
      <w:r>
        <w:rPr>
          <w:b/>
          <w:szCs w:val="21"/>
        </w:rPr>
        <w:t>委托书</w:t>
      </w:r>
      <w:r>
        <w:rPr>
          <w:rFonts w:hint="eastAsia"/>
          <w:b/>
          <w:szCs w:val="21"/>
        </w:rPr>
        <w:t>（有授权</w:t>
      </w:r>
      <w:r>
        <w:rPr>
          <w:b/>
          <w:szCs w:val="21"/>
        </w:rPr>
        <w:t>代表</w:t>
      </w:r>
      <w:r>
        <w:rPr>
          <w:rFonts w:hint="eastAsia"/>
          <w:b/>
          <w:szCs w:val="21"/>
        </w:rPr>
        <w:t>时提供）</w:t>
      </w:r>
      <w:r>
        <w:rPr>
          <w:b/>
          <w:szCs w:val="21"/>
        </w:rPr>
        <w:t>：</w:t>
      </w:r>
    </w:p>
    <w:p w14:paraId="1AF7A1C1">
      <w:pPr>
        <w:snapToGrid w:val="0"/>
        <w:spacing w:before="120" w:beforeLines="50" w:after="50" w:line="440" w:lineRule="exact"/>
        <w:jc w:val="center"/>
        <w:rPr>
          <w:b/>
          <w:szCs w:val="21"/>
        </w:rPr>
      </w:pPr>
    </w:p>
    <w:p w14:paraId="2515F77B">
      <w:pPr>
        <w:snapToGrid w:val="0"/>
        <w:spacing w:before="120" w:beforeLines="50" w:after="50" w:line="440" w:lineRule="exact"/>
        <w:jc w:val="center"/>
        <w:rPr>
          <w:b/>
          <w:szCs w:val="21"/>
        </w:rPr>
      </w:pPr>
      <w:r>
        <w:rPr>
          <w:b/>
          <w:szCs w:val="21"/>
        </w:rPr>
        <w:t>法定代表人授权委托书</w:t>
      </w:r>
    </w:p>
    <w:p w14:paraId="24DCF9D8">
      <w:pPr>
        <w:snapToGrid w:val="0"/>
        <w:spacing w:before="120" w:beforeLines="50" w:after="50" w:line="440" w:lineRule="exact"/>
        <w:rPr>
          <w:b/>
          <w:bCs/>
          <w:i w:val="0"/>
          <w:iCs w:val="0"/>
          <w:szCs w:val="21"/>
        </w:rPr>
      </w:pPr>
      <w:r>
        <w:rPr>
          <w:bCs/>
          <w:szCs w:val="21"/>
        </w:rPr>
        <w:t>致</w:t>
      </w:r>
      <w:r>
        <w:rPr>
          <w:bCs/>
          <w:i w:val="0"/>
          <w:iCs w:val="0"/>
          <w:szCs w:val="21"/>
        </w:rPr>
        <w:t>：</w:t>
      </w:r>
      <w:r>
        <w:rPr>
          <w:i w:val="0"/>
          <w:iCs w:val="0"/>
          <w:szCs w:val="21"/>
          <w:u w:val="single"/>
        </w:rPr>
        <w:t>（采购</w:t>
      </w:r>
      <w:r>
        <w:rPr>
          <w:rFonts w:hint="eastAsia"/>
          <w:i w:val="0"/>
          <w:iCs w:val="0"/>
          <w:szCs w:val="21"/>
          <w:u w:val="single"/>
        </w:rPr>
        <w:t>人</w:t>
      </w:r>
      <w:r>
        <w:rPr>
          <w:i w:val="0"/>
          <w:iCs w:val="0"/>
          <w:szCs w:val="21"/>
          <w:u w:val="single"/>
        </w:rPr>
        <w:t>名称）</w:t>
      </w:r>
      <w:r>
        <w:rPr>
          <w:i w:val="0"/>
          <w:iCs w:val="0"/>
          <w:szCs w:val="21"/>
        </w:rPr>
        <w:t>：</w:t>
      </w:r>
    </w:p>
    <w:p w14:paraId="5C305870">
      <w:pPr>
        <w:snapToGrid w:val="0"/>
        <w:spacing w:before="120" w:beforeLines="50" w:after="50" w:line="440" w:lineRule="exact"/>
        <w:ind w:firstLine="420" w:firstLineChars="200"/>
        <w:rPr>
          <w:i w:val="0"/>
          <w:iCs w:val="0"/>
          <w:szCs w:val="21"/>
        </w:rPr>
      </w:pPr>
      <w:r>
        <w:rPr>
          <w:i w:val="0"/>
          <w:iCs w:val="0"/>
          <w:szCs w:val="21"/>
        </w:rPr>
        <w:t>我</w:t>
      </w:r>
      <w:r>
        <w:rPr>
          <w:i w:val="0"/>
          <w:iCs w:val="0"/>
          <w:szCs w:val="21"/>
          <w:u w:val="single"/>
        </w:rPr>
        <w:t>（</w:t>
      </w:r>
      <w:r>
        <w:rPr>
          <w:rFonts w:hint="eastAsia"/>
          <w:i w:val="0"/>
          <w:iCs w:val="0"/>
          <w:szCs w:val="21"/>
          <w:u w:val="single"/>
        </w:rPr>
        <w:t>法定代表人姓名</w:t>
      </w:r>
      <w:r>
        <w:rPr>
          <w:i w:val="0"/>
          <w:iCs w:val="0"/>
          <w:szCs w:val="21"/>
          <w:u w:val="single"/>
        </w:rPr>
        <w:t>）</w:t>
      </w:r>
      <w:r>
        <w:rPr>
          <w:i w:val="0"/>
          <w:iCs w:val="0"/>
          <w:szCs w:val="21"/>
        </w:rPr>
        <w:t>系</w:t>
      </w:r>
      <w:r>
        <w:rPr>
          <w:i w:val="0"/>
          <w:iCs w:val="0"/>
          <w:szCs w:val="21"/>
          <w:u w:val="single"/>
        </w:rPr>
        <w:t>（供应商名称）</w:t>
      </w:r>
      <w:r>
        <w:rPr>
          <w:i w:val="0"/>
          <w:iCs w:val="0"/>
          <w:szCs w:val="21"/>
        </w:rPr>
        <w:t xml:space="preserve">的法定代表人，现授权委托本单位在职职工 </w:t>
      </w:r>
      <w:r>
        <w:rPr>
          <w:i w:val="0"/>
          <w:iCs w:val="0"/>
          <w:szCs w:val="21"/>
          <w:u w:val="single"/>
        </w:rPr>
        <w:t xml:space="preserve">        </w:t>
      </w:r>
      <w:r>
        <w:rPr>
          <w:i w:val="0"/>
          <w:iCs w:val="0"/>
          <w:szCs w:val="21"/>
        </w:rPr>
        <w:t>（姓名）以我方的名义参加</w:t>
      </w:r>
      <w:r>
        <w:rPr>
          <w:i w:val="0"/>
          <w:iCs w:val="0"/>
          <w:szCs w:val="21"/>
          <w:u w:val="single"/>
        </w:rPr>
        <w:t xml:space="preserve"> </w:t>
      </w:r>
      <w:r>
        <w:rPr>
          <w:rFonts w:hint="eastAsia"/>
          <w:i w:val="0"/>
          <w:iCs w:val="0"/>
          <w:szCs w:val="21"/>
          <w:u w:val="single"/>
        </w:rPr>
        <w:t>（项目名称）</w:t>
      </w:r>
      <w:r>
        <w:rPr>
          <w:i w:val="0"/>
          <w:iCs w:val="0"/>
          <w:szCs w:val="21"/>
          <w:u w:val="single"/>
        </w:rPr>
        <w:t xml:space="preserve"> </w:t>
      </w:r>
      <w:r>
        <w:rPr>
          <w:i w:val="0"/>
          <w:iCs w:val="0"/>
          <w:szCs w:val="21"/>
        </w:rPr>
        <w:t>项目的投标活动，并代表我方全权办理针对上述项目的投标、开标、评审、签约等具体事务和签署相关文件。</w:t>
      </w:r>
    </w:p>
    <w:p w14:paraId="249879FF">
      <w:pPr>
        <w:snapToGrid w:val="0"/>
        <w:spacing w:before="120" w:beforeLines="50" w:after="50" w:line="440" w:lineRule="exact"/>
        <w:rPr>
          <w:szCs w:val="21"/>
        </w:rPr>
      </w:pPr>
      <w:r>
        <w:rPr>
          <w:i w:val="0"/>
          <w:iCs w:val="0"/>
          <w:szCs w:val="21"/>
        </w:rPr>
        <w:t xml:space="preserve">    我方对被授权人的签名事项负全部责</w:t>
      </w:r>
      <w:r>
        <w:rPr>
          <w:szCs w:val="21"/>
        </w:rPr>
        <w:t>任。</w:t>
      </w:r>
    </w:p>
    <w:p w14:paraId="2E0F44C2">
      <w:pPr>
        <w:snapToGrid w:val="0"/>
        <w:spacing w:before="120" w:beforeLines="50" w:after="50" w:line="440" w:lineRule="exact"/>
        <w:ind w:firstLine="480"/>
        <w:rPr>
          <w:szCs w:val="21"/>
        </w:rPr>
      </w:pPr>
      <w:r>
        <w:rPr>
          <w:szCs w:val="21"/>
        </w:rPr>
        <w:t>在撤销授权的书面通知以前，本授权书一直有效。被授权人在授权书有效期内签署的所有文件不因授权的撤销而失效。</w:t>
      </w:r>
    </w:p>
    <w:p w14:paraId="59775762">
      <w:pPr>
        <w:snapToGrid w:val="0"/>
        <w:spacing w:before="120" w:beforeLines="50" w:after="50" w:line="440" w:lineRule="exact"/>
        <w:ind w:firstLine="480"/>
        <w:rPr>
          <w:szCs w:val="21"/>
        </w:rPr>
      </w:pPr>
      <w:r>
        <w:rPr>
          <w:szCs w:val="21"/>
        </w:rPr>
        <w:t>被授权人无转委托权，特此委托。</w:t>
      </w:r>
    </w:p>
    <w:p w14:paraId="2DCE01B9">
      <w:pPr>
        <w:snapToGrid w:val="0"/>
        <w:spacing w:before="120" w:beforeLines="50" w:after="50" w:line="440" w:lineRule="exact"/>
        <w:rPr>
          <w:szCs w:val="21"/>
          <w:u w:val="single"/>
        </w:rPr>
      </w:pPr>
      <w:r>
        <w:rPr>
          <w:szCs w:val="21"/>
        </w:rPr>
        <w:t>被授权人签字或</w:t>
      </w:r>
      <w:r>
        <w:rPr>
          <w:rFonts w:hint="eastAsia"/>
          <w:szCs w:val="21"/>
        </w:rPr>
        <w:t>签</w:t>
      </w:r>
      <w:r>
        <w:rPr>
          <w:szCs w:val="21"/>
        </w:rPr>
        <w:t>章：</w:t>
      </w:r>
      <w:r>
        <w:rPr>
          <w:szCs w:val="21"/>
          <w:u w:val="single"/>
        </w:rPr>
        <w:t xml:space="preserve">          </w:t>
      </w:r>
      <w:r>
        <w:rPr>
          <w:szCs w:val="21"/>
        </w:rPr>
        <w:t xml:space="preserve">                     法定代表人签字或</w:t>
      </w:r>
      <w:r>
        <w:rPr>
          <w:rFonts w:hint="eastAsia"/>
          <w:szCs w:val="21"/>
        </w:rPr>
        <w:t>签</w:t>
      </w:r>
      <w:r>
        <w:rPr>
          <w:szCs w:val="21"/>
        </w:rPr>
        <w:t>章：</w:t>
      </w:r>
      <w:r>
        <w:rPr>
          <w:szCs w:val="21"/>
          <w:u w:val="single"/>
        </w:rPr>
        <w:t xml:space="preserve">          </w:t>
      </w:r>
    </w:p>
    <w:p w14:paraId="39DF78DF">
      <w:pPr>
        <w:snapToGrid w:val="0"/>
        <w:spacing w:before="120" w:beforeLines="50" w:after="50" w:line="440" w:lineRule="exact"/>
        <w:rPr>
          <w:szCs w:val="21"/>
        </w:rPr>
      </w:pPr>
      <w:r>
        <w:rPr>
          <w:szCs w:val="21"/>
        </w:rPr>
        <w:t>职务：</w:t>
      </w:r>
      <w:r>
        <w:rPr>
          <w:szCs w:val="21"/>
          <w:u w:val="single"/>
        </w:rPr>
        <w:t xml:space="preserve">           </w:t>
      </w:r>
      <w:r>
        <w:rPr>
          <w:szCs w:val="21"/>
        </w:rPr>
        <w:t xml:space="preserve">                                                 职务：</w:t>
      </w:r>
      <w:r>
        <w:rPr>
          <w:szCs w:val="21"/>
          <w:u w:val="single"/>
        </w:rPr>
        <w:t xml:space="preserve">           </w:t>
      </w:r>
    </w:p>
    <w:p w14:paraId="04D9507B">
      <w:pPr>
        <w:snapToGrid w:val="0"/>
        <w:spacing w:before="120" w:beforeLines="50" w:after="50" w:line="440" w:lineRule="exact"/>
        <w:rPr>
          <w:szCs w:val="21"/>
          <w:u w:val="single"/>
        </w:rPr>
      </w:pPr>
      <w:bookmarkStart w:id="153" w:name="_Hlk138844890"/>
      <w:r>
        <w:rPr>
          <w:szCs w:val="21"/>
        </w:rPr>
        <w:t>被授权人身份证号码：</w:t>
      </w:r>
      <w:r>
        <w:rPr>
          <w:szCs w:val="21"/>
          <w:u w:val="single"/>
        </w:rPr>
        <w:t xml:space="preserve">                   </w:t>
      </w:r>
      <w:r>
        <w:rPr>
          <w:szCs w:val="21"/>
        </w:rPr>
        <w:t xml:space="preserve">  </w:t>
      </w:r>
      <w:bookmarkEnd w:id="153"/>
      <w:r>
        <w:rPr>
          <w:szCs w:val="21"/>
        </w:rPr>
        <w:t xml:space="preserve">          授权人身份证号码：</w:t>
      </w:r>
      <w:r>
        <w:rPr>
          <w:szCs w:val="21"/>
          <w:u w:val="single"/>
        </w:rPr>
        <w:t xml:space="preserve">                 </w:t>
      </w:r>
    </w:p>
    <w:p w14:paraId="03C7681F">
      <w:pPr>
        <w:snapToGrid w:val="0"/>
        <w:spacing w:before="120" w:beforeLines="50" w:after="50" w:line="440" w:lineRule="exact"/>
        <w:rPr>
          <w:szCs w:val="21"/>
        </w:rPr>
      </w:pPr>
      <w:r>
        <w:rPr>
          <w:rFonts w:hint="eastAsia"/>
          <w:szCs w:val="21"/>
        </w:rPr>
        <w:t>被授权人</w:t>
      </w:r>
      <w:bookmarkStart w:id="154" w:name="_Hlk132793041"/>
      <w:r>
        <w:rPr>
          <w:rFonts w:hint="eastAsia"/>
          <w:szCs w:val="21"/>
        </w:rPr>
        <w:t>手机号码及邮箱：</w:t>
      </w:r>
      <w:bookmarkEnd w:id="154"/>
      <w:r>
        <w:rPr>
          <w:rFonts w:hint="eastAsia"/>
          <w:szCs w:val="21"/>
          <w:u w:val="single"/>
        </w:rPr>
        <w:t xml:space="preserve"> </w:t>
      </w:r>
      <w:r>
        <w:rPr>
          <w:szCs w:val="21"/>
          <w:u w:val="single"/>
        </w:rPr>
        <w:t xml:space="preserve">                       </w:t>
      </w:r>
      <w:r>
        <w:rPr>
          <w:rFonts w:hint="eastAsia"/>
          <w:szCs w:val="21"/>
        </w:rPr>
        <w:t xml:space="preserve"> </w:t>
      </w:r>
      <w:r>
        <w:rPr>
          <w:szCs w:val="21"/>
        </w:rPr>
        <w:t xml:space="preserve">                  </w:t>
      </w:r>
    </w:p>
    <w:p w14:paraId="23AE5BA5">
      <w:pPr>
        <w:snapToGrid w:val="0"/>
        <w:spacing w:before="120" w:beforeLines="50" w:after="50" w:line="440" w:lineRule="exact"/>
        <w:rPr>
          <w:szCs w:val="21"/>
        </w:rPr>
      </w:pPr>
      <w:r>
        <w:rPr>
          <w:szCs w:val="21"/>
        </w:rPr>
        <w:t xml:space="preserve">                                  </w:t>
      </w:r>
    </w:p>
    <w:p w14:paraId="791F2919">
      <w:pPr>
        <w:snapToGrid w:val="0"/>
        <w:spacing w:before="120" w:beforeLines="50" w:after="50" w:line="440" w:lineRule="exact"/>
        <w:ind w:firstLine="5250" w:firstLineChars="2500"/>
        <w:rPr>
          <w:szCs w:val="21"/>
        </w:rPr>
      </w:pPr>
      <w:r>
        <w:rPr>
          <w:szCs w:val="21"/>
        </w:rPr>
        <w:t>供应商</w:t>
      </w:r>
      <w:r>
        <w:rPr>
          <w:rFonts w:hint="eastAsia"/>
          <w:szCs w:val="21"/>
        </w:rPr>
        <w:t>名称(电子签章</w:t>
      </w:r>
      <w:r>
        <w:rPr>
          <w:szCs w:val="21"/>
        </w:rPr>
        <w:t>)：</w:t>
      </w:r>
      <w:r>
        <w:rPr>
          <w:szCs w:val="21"/>
          <w:u w:val="single"/>
        </w:rPr>
        <w:t xml:space="preserve">                </w:t>
      </w:r>
    </w:p>
    <w:p w14:paraId="36F9D366">
      <w:pPr>
        <w:snapToGrid w:val="0"/>
        <w:spacing w:before="120" w:beforeLines="50" w:after="50" w:line="440" w:lineRule="exact"/>
        <w:jc w:val="center"/>
        <w:rPr>
          <w:szCs w:val="21"/>
        </w:rPr>
      </w:pPr>
      <w:r>
        <w:rPr>
          <w:szCs w:val="21"/>
        </w:rPr>
        <w:t xml:space="preserve">                                        年    月    日</w:t>
      </w:r>
    </w:p>
    <w:p w14:paraId="583F761C">
      <w:pPr>
        <w:spacing w:line="360" w:lineRule="auto"/>
        <w:rPr>
          <w:color w:val="FF0000"/>
          <w:szCs w:val="21"/>
        </w:rPr>
      </w:pPr>
    </w:p>
    <w:p w14:paraId="40ADDC8D">
      <w:pPr>
        <w:spacing w:line="360" w:lineRule="auto"/>
        <w:rPr>
          <w:color w:val="FF0000"/>
          <w:szCs w:val="21"/>
        </w:rPr>
      </w:pPr>
    </w:p>
    <w:p w14:paraId="5B1E830C">
      <w:pPr>
        <w:spacing w:line="360" w:lineRule="auto"/>
        <w:rPr>
          <w:szCs w:val="21"/>
        </w:rPr>
      </w:pPr>
      <w:r>
        <w:rPr>
          <w:szCs w:val="21"/>
        </w:rPr>
        <w:t>附件：法定代表人身份证复印件及授权代表身份证复印件</w:t>
      </w:r>
    </w:p>
    <w:p w14:paraId="169C0C63">
      <w:pPr>
        <w:jc w:val="center"/>
        <w:rPr>
          <w:bCs/>
          <w:sz w:val="28"/>
          <w:szCs w:val="28"/>
        </w:rPr>
      </w:pPr>
      <w:r>
        <w:rPr>
          <w:bCs/>
          <w:sz w:val="24"/>
        </w:rPr>
        <w:br w:type="page"/>
      </w:r>
      <w:r>
        <w:rPr>
          <w:sz w:val="28"/>
          <w:szCs w:val="28"/>
        </w:rPr>
        <w:t>第一部分 商务文件</w:t>
      </w:r>
    </w:p>
    <w:p w14:paraId="0620C4E2">
      <w:pPr>
        <w:jc w:val="center"/>
        <w:rPr>
          <w:bCs/>
          <w:sz w:val="24"/>
        </w:rPr>
      </w:pPr>
      <w:r>
        <w:t>（本商务文件供应商可自行编写，也可参照下述提纲编写）</w:t>
      </w:r>
    </w:p>
    <w:p w14:paraId="2638C455">
      <w:pPr>
        <w:snapToGrid w:val="0"/>
        <w:spacing w:before="50" w:after="120" w:afterLines="50" w:line="440" w:lineRule="exact"/>
        <w:jc w:val="left"/>
        <w:rPr>
          <w:szCs w:val="21"/>
        </w:rPr>
      </w:pPr>
    </w:p>
    <w:p w14:paraId="268AF7E3">
      <w:pPr>
        <w:snapToGrid w:val="0"/>
        <w:spacing w:before="50" w:after="120" w:afterLines="50" w:line="440" w:lineRule="exact"/>
        <w:jc w:val="left"/>
        <w:rPr>
          <w:color w:val="auto"/>
          <w:szCs w:val="21"/>
        </w:rPr>
      </w:pPr>
      <w:r>
        <w:rPr>
          <w:rFonts w:hint="eastAsia"/>
          <w:color w:val="auto"/>
          <w:szCs w:val="21"/>
        </w:rPr>
        <w:t>1</w:t>
      </w:r>
      <w:r>
        <w:rPr>
          <w:color w:val="auto"/>
          <w:szCs w:val="21"/>
        </w:rPr>
        <w:t>．</w:t>
      </w:r>
      <w:r>
        <w:rPr>
          <w:rFonts w:hint="eastAsia"/>
          <w:color w:val="auto"/>
          <w:szCs w:val="21"/>
        </w:rPr>
        <w:t>对</w:t>
      </w:r>
      <w:r>
        <w:rPr>
          <w:color w:val="auto"/>
          <w:szCs w:val="21"/>
        </w:rPr>
        <w:t>本项目第</w:t>
      </w:r>
      <w:r>
        <w:rPr>
          <w:rFonts w:hint="eastAsia"/>
          <w:color w:val="auto"/>
          <w:szCs w:val="21"/>
        </w:rPr>
        <w:t>二</w:t>
      </w:r>
      <w:r>
        <w:rPr>
          <w:color w:val="auto"/>
          <w:szCs w:val="21"/>
        </w:rPr>
        <w:t>章</w:t>
      </w:r>
      <w:r>
        <w:rPr>
          <w:rFonts w:hint="eastAsia"/>
          <w:color w:val="auto"/>
          <w:szCs w:val="21"/>
        </w:rPr>
        <w:t>《采购需求》“</w:t>
      </w:r>
      <w:r>
        <w:rPr>
          <w:color w:val="auto"/>
          <w:szCs w:val="21"/>
        </w:rPr>
        <w:t>商务要求</w:t>
      </w:r>
      <w:r>
        <w:rPr>
          <w:rFonts w:hint="eastAsia"/>
          <w:color w:val="auto"/>
          <w:szCs w:val="21"/>
        </w:rPr>
        <w:t>”</w:t>
      </w:r>
      <w:r>
        <w:rPr>
          <w:color w:val="auto"/>
          <w:szCs w:val="21"/>
        </w:rPr>
        <w:t>的</w:t>
      </w:r>
      <w:r>
        <w:rPr>
          <w:rFonts w:hint="eastAsia"/>
          <w:color w:val="auto"/>
          <w:szCs w:val="21"/>
        </w:rPr>
        <w:t>响应表</w:t>
      </w:r>
    </w:p>
    <w:tbl>
      <w:tblPr>
        <w:tblStyle w:val="5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2110"/>
        <w:gridCol w:w="4085"/>
        <w:gridCol w:w="1887"/>
      </w:tblGrid>
      <w:tr w14:paraId="4438EF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9"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58A4BBAE">
            <w:pPr>
              <w:snapToGrid w:val="0"/>
              <w:spacing w:before="120" w:beforeLines="50"/>
              <w:jc w:val="center"/>
              <w:rPr>
                <w:color w:val="auto"/>
                <w:szCs w:val="21"/>
              </w:rPr>
            </w:pPr>
            <w:r>
              <w:rPr>
                <w:color w:val="auto"/>
                <w:szCs w:val="21"/>
              </w:rPr>
              <w:t>序号</w:t>
            </w:r>
          </w:p>
        </w:tc>
        <w:tc>
          <w:tcPr>
            <w:tcW w:w="2110" w:type="dxa"/>
            <w:tcBorders>
              <w:top w:val="single" w:color="auto" w:sz="4" w:space="0"/>
              <w:left w:val="single" w:color="auto" w:sz="4" w:space="0"/>
              <w:bottom w:val="single" w:color="auto" w:sz="4" w:space="0"/>
              <w:right w:val="single" w:color="auto" w:sz="4" w:space="0"/>
            </w:tcBorders>
            <w:noWrap w:val="0"/>
            <w:vAlign w:val="center"/>
          </w:tcPr>
          <w:p w14:paraId="3D6A507F">
            <w:pPr>
              <w:snapToGrid w:val="0"/>
              <w:spacing w:before="120" w:beforeLines="50"/>
              <w:jc w:val="center"/>
              <w:rPr>
                <w:color w:val="auto"/>
                <w:szCs w:val="21"/>
              </w:rPr>
            </w:pPr>
            <w:r>
              <w:rPr>
                <w:color w:val="auto"/>
                <w:szCs w:val="21"/>
              </w:rPr>
              <w:t>招标文件的商务要求</w:t>
            </w:r>
          </w:p>
        </w:tc>
        <w:tc>
          <w:tcPr>
            <w:tcW w:w="4085" w:type="dxa"/>
            <w:tcBorders>
              <w:top w:val="single" w:color="auto" w:sz="4" w:space="0"/>
              <w:left w:val="single" w:color="auto" w:sz="4" w:space="0"/>
              <w:bottom w:val="single" w:color="auto" w:sz="4" w:space="0"/>
              <w:right w:val="single" w:color="auto" w:sz="4" w:space="0"/>
            </w:tcBorders>
            <w:noWrap w:val="0"/>
            <w:vAlign w:val="center"/>
          </w:tcPr>
          <w:p w14:paraId="3AD05BF5">
            <w:pPr>
              <w:snapToGrid w:val="0"/>
              <w:spacing w:before="120" w:beforeLines="50"/>
              <w:jc w:val="center"/>
              <w:rPr>
                <w:color w:val="auto"/>
                <w:szCs w:val="21"/>
              </w:rPr>
            </w:pPr>
            <w:r>
              <w:rPr>
                <w:color w:val="auto"/>
                <w:szCs w:val="21"/>
              </w:rPr>
              <w:t>投标文件响应内容</w:t>
            </w:r>
          </w:p>
        </w:tc>
        <w:tc>
          <w:tcPr>
            <w:tcW w:w="1887" w:type="dxa"/>
            <w:tcBorders>
              <w:top w:val="single" w:color="auto" w:sz="4" w:space="0"/>
              <w:left w:val="single" w:color="auto" w:sz="4" w:space="0"/>
              <w:bottom w:val="single" w:color="auto" w:sz="4" w:space="0"/>
              <w:right w:val="single" w:color="auto" w:sz="4" w:space="0"/>
            </w:tcBorders>
            <w:noWrap w:val="0"/>
            <w:vAlign w:val="center"/>
          </w:tcPr>
          <w:p w14:paraId="655786EC">
            <w:pPr>
              <w:snapToGrid w:val="0"/>
              <w:spacing w:before="120" w:beforeLines="50"/>
              <w:jc w:val="center"/>
              <w:rPr>
                <w:color w:val="auto"/>
                <w:szCs w:val="21"/>
              </w:rPr>
            </w:pPr>
            <w:r>
              <w:rPr>
                <w:color w:val="auto"/>
              </w:rPr>
              <w:t>偏离</w:t>
            </w:r>
            <w:r>
              <w:rPr>
                <w:color w:val="auto"/>
                <w:szCs w:val="21"/>
              </w:rPr>
              <w:t>说明</w:t>
            </w:r>
          </w:p>
        </w:tc>
      </w:tr>
      <w:tr w14:paraId="25BF27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4F3EDAA">
            <w:pPr>
              <w:snapToGrid w:val="0"/>
              <w:spacing w:before="120" w:beforeLines="50"/>
              <w:jc w:val="center"/>
              <w:rPr>
                <w:color w:val="auto"/>
                <w:szCs w:val="21"/>
              </w:rPr>
            </w:pP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232F6D0">
            <w:pPr>
              <w:snapToGrid w:val="0"/>
              <w:spacing w:before="120" w:beforeLines="50"/>
              <w:jc w:val="center"/>
              <w:rPr>
                <w:color w:val="auto"/>
                <w:szCs w:val="21"/>
              </w:rPr>
            </w:pPr>
          </w:p>
        </w:tc>
        <w:tc>
          <w:tcPr>
            <w:tcW w:w="4085" w:type="dxa"/>
            <w:tcBorders>
              <w:top w:val="single" w:color="auto" w:sz="4" w:space="0"/>
              <w:left w:val="single" w:color="auto" w:sz="4" w:space="0"/>
              <w:bottom w:val="single" w:color="auto" w:sz="4" w:space="0"/>
              <w:right w:val="single" w:color="auto" w:sz="4" w:space="0"/>
            </w:tcBorders>
            <w:noWrap w:val="0"/>
            <w:vAlign w:val="center"/>
          </w:tcPr>
          <w:p w14:paraId="2CADFE1B">
            <w:pPr>
              <w:snapToGrid w:val="0"/>
              <w:spacing w:before="120" w:beforeLines="50"/>
              <w:jc w:val="center"/>
              <w:rPr>
                <w:color w:val="auto"/>
                <w:szCs w:val="21"/>
              </w:rPr>
            </w:pPr>
          </w:p>
        </w:tc>
        <w:tc>
          <w:tcPr>
            <w:tcW w:w="1887" w:type="dxa"/>
            <w:tcBorders>
              <w:top w:val="single" w:color="auto" w:sz="4" w:space="0"/>
              <w:left w:val="single" w:color="auto" w:sz="4" w:space="0"/>
              <w:bottom w:val="single" w:color="auto" w:sz="4" w:space="0"/>
              <w:right w:val="single" w:color="auto" w:sz="4" w:space="0"/>
            </w:tcBorders>
            <w:noWrap w:val="0"/>
            <w:vAlign w:val="center"/>
          </w:tcPr>
          <w:p w14:paraId="42729462">
            <w:pPr>
              <w:snapToGrid w:val="0"/>
              <w:spacing w:before="120" w:beforeLines="50"/>
              <w:jc w:val="center"/>
              <w:rPr>
                <w:color w:val="auto"/>
                <w:szCs w:val="21"/>
              </w:rPr>
            </w:pPr>
          </w:p>
        </w:tc>
      </w:tr>
      <w:tr w14:paraId="4057B0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7F321466">
            <w:pPr>
              <w:snapToGrid w:val="0"/>
              <w:spacing w:before="120" w:beforeLines="50"/>
              <w:jc w:val="center"/>
              <w:rPr>
                <w:color w:val="auto"/>
                <w:szCs w:val="21"/>
              </w:rPr>
            </w:pPr>
          </w:p>
        </w:tc>
        <w:tc>
          <w:tcPr>
            <w:tcW w:w="2110" w:type="dxa"/>
            <w:tcBorders>
              <w:top w:val="single" w:color="auto" w:sz="4" w:space="0"/>
              <w:left w:val="single" w:color="auto" w:sz="4" w:space="0"/>
              <w:bottom w:val="single" w:color="auto" w:sz="4" w:space="0"/>
              <w:right w:val="single" w:color="auto" w:sz="4" w:space="0"/>
            </w:tcBorders>
            <w:noWrap w:val="0"/>
            <w:vAlign w:val="center"/>
          </w:tcPr>
          <w:p w14:paraId="298080E7">
            <w:pPr>
              <w:snapToGrid w:val="0"/>
              <w:spacing w:before="120" w:beforeLines="50"/>
              <w:jc w:val="center"/>
              <w:rPr>
                <w:color w:val="auto"/>
                <w:szCs w:val="21"/>
              </w:rPr>
            </w:pPr>
          </w:p>
        </w:tc>
        <w:tc>
          <w:tcPr>
            <w:tcW w:w="4085" w:type="dxa"/>
            <w:tcBorders>
              <w:top w:val="single" w:color="auto" w:sz="4" w:space="0"/>
              <w:left w:val="single" w:color="auto" w:sz="4" w:space="0"/>
              <w:bottom w:val="single" w:color="auto" w:sz="4" w:space="0"/>
              <w:right w:val="single" w:color="auto" w:sz="4" w:space="0"/>
            </w:tcBorders>
            <w:noWrap w:val="0"/>
            <w:vAlign w:val="center"/>
          </w:tcPr>
          <w:p w14:paraId="02A82DF3">
            <w:pPr>
              <w:snapToGrid w:val="0"/>
              <w:spacing w:before="120" w:beforeLines="50"/>
              <w:jc w:val="center"/>
              <w:rPr>
                <w:color w:val="auto"/>
                <w:szCs w:val="21"/>
              </w:rPr>
            </w:pPr>
          </w:p>
        </w:tc>
        <w:tc>
          <w:tcPr>
            <w:tcW w:w="1887" w:type="dxa"/>
            <w:tcBorders>
              <w:top w:val="single" w:color="auto" w:sz="4" w:space="0"/>
              <w:left w:val="single" w:color="auto" w:sz="4" w:space="0"/>
              <w:bottom w:val="single" w:color="auto" w:sz="4" w:space="0"/>
              <w:right w:val="single" w:color="auto" w:sz="4" w:space="0"/>
            </w:tcBorders>
            <w:noWrap w:val="0"/>
            <w:vAlign w:val="center"/>
          </w:tcPr>
          <w:p w14:paraId="4F040AE2">
            <w:pPr>
              <w:snapToGrid w:val="0"/>
              <w:spacing w:before="120" w:beforeLines="50"/>
              <w:jc w:val="center"/>
              <w:rPr>
                <w:color w:val="auto"/>
                <w:szCs w:val="21"/>
              </w:rPr>
            </w:pPr>
          </w:p>
        </w:tc>
      </w:tr>
      <w:tr w14:paraId="7FC807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2"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F0D8CF8">
            <w:pPr>
              <w:snapToGrid w:val="0"/>
              <w:spacing w:before="120" w:beforeLines="50"/>
              <w:jc w:val="center"/>
              <w:rPr>
                <w:color w:val="auto"/>
                <w:szCs w:val="21"/>
              </w:rPr>
            </w:pPr>
          </w:p>
        </w:tc>
        <w:tc>
          <w:tcPr>
            <w:tcW w:w="2110" w:type="dxa"/>
            <w:tcBorders>
              <w:top w:val="single" w:color="auto" w:sz="4" w:space="0"/>
              <w:left w:val="single" w:color="auto" w:sz="4" w:space="0"/>
              <w:bottom w:val="single" w:color="auto" w:sz="4" w:space="0"/>
              <w:right w:val="single" w:color="auto" w:sz="4" w:space="0"/>
            </w:tcBorders>
            <w:noWrap w:val="0"/>
            <w:vAlign w:val="center"/>
          </w:tcPr>
          <w:p w14:paraId="1CBC0673">
            <w:pPr>
              <w:snapToGrid w:val="0"/>
              <w:spacing w:before="120" w:beforeLines="50"/>
              <w:jc w:val="center"/>
              <w:rPr>
                <w:color w:val="auto"/>
                <w:szCs w:val="21"/>
              </w:rPr>
            </w:pPr>
            <w:r>
              <w:rPr>
                <w:color w:val="auto"/>
                <w:szCs w:val="21"/>
              </w:rPr>
              <w:t>……</w:t>
            </w:r>
          </w:p>
        </w:tc>
        <w:tc>
          <w:tcPr>
            <w:tcW w:w="4085" w:type="dxa"/>
            <w:tcBorders>
              <w:top w:val="single" w:color="auto" w:sz="4" w:space="0"/>
              <w:left w:val="single" w:color="auto" w:sz="4" w:space="0"/>
              <w:bottom w:val="single" w:color="auto" w:sz="4" w:space="0"/>
              <w:right w:val="single" w:color="auto" w:sz="4" w:space="0"/>
            </w:tcBorders>
            <w:noWrap w:val="0"/>
            <w:vAlign w:val="center"/>
          </w:tcPr>
          <w:p w14:paraId="7221874F">
            <w:pPr>
              <w:snapToGrid w:val="0"/>
              <w:spacing w:before="120" w:beforeLines="50"/>
              <w:jc w:val="center"/>
              <w:rPr>
                <w:color w:val="auto"/>
                <w:szCs w:val="21"/>
              </w:rPr>
            </w:pPr>
          </w:p>
        </w:tc>
        <w:tc>
          <w:tcPr>
            <w:tcW w:w="1887" w:type="dxa"/>
            <w:tcBorders>
              <w:top w:val="single" w:color="auto" w:sz="4" w:space="0"/>
              <w:left w:val="single" w:color="auto" w:sz="4" w:space="0"/>
              <w:bottom w:val="single" w:color="auto" w:sz="4" w:space="0"/>
              <w:right w:val="single" w:color="auto" w:sz="4" w:space="0"/>
            </w:tcBorders>
            <w:noWrap w:val="0"/>
            <w:vAlign w:val="center"/>
          </w:tcPr>
          <w:p w14:paraId="0FF22AF9">
            <w:pPr>
              <w:snapToGrid w:val="0"/>
              <w:spacing w:before="120" w:beforeLines="50"/>
              <w:jc w:val="center"/>
              <w:rPr>
                <w:color w:val="auto"/>
                <w:szCs w:val="21"/>
              </w:rPr>
            </w:pPr>
          </w:p>
        </w:tc>
      </w:tr>
    </w:tbl>
    <w:p w14:paraId="570F9DCF">
      <w:pPr>
        <w:pStyle w:val="28"/>
        <w:tabs>
          <w:tab w:val="left" w:pos="2127"/>
        </w:tabs>
        <w:spacing w:line="340" w:lineRule="exact"/>
        <w:ind w:firstLine="420" w:firstLineChars="200"/>
        <w:jc w:val="left"/>
        <w:rPr>
          <w:rFonts w:ascii="Times New Roman" w:hAnsi="Times New Roman" w:cs="Times New Roman"/>
          <w:color w:val="auto"/>
        </w:rPr>
      </w:pPr>
      <w:bookmarkStart w:id="155" w:name="_Hlk48144603"/>
      <w:bookmarkStart w:id="156" w:name="_Hlk88990584"/>
      <w:r>
        <w:rPr>
          <w:rFonts w:ascii="Times New Roman" w:hAnsi="Times New Roman" w:cs="Times New Roman"/>
          <w:color w:val="auto"/>
        </w:rPr>
        <w:t>注：</w:t>
      </w:r>
      <w:bookmarkStart w:id="157" w:name="_Hlk19049081"/>
      <w:r>
        <w:rPr>
          <w:rFonts w:ascii="Times New Roman" w:hAnsi="Times New Roman" w:cs="Times New Roman"/>
          <w:color w:val="auto"/>
        </w:rPr>
        <w:t>（1）本表应对招标文件</w:t>
      </w:r>
      <w:r>
        <w:rPr>
          <w:color w:val="auto"/>
        </w:rPr>
        <w:t>第</w:t>
      </w:r>
      <w:r>
        <w:rPr>
          <w:rFonts w:hint="eastAsia"/>
          <w:color w:val="auto"/>
        </w:rPr>
        <w:t>二</w:t>
      </w:r>
      <w:r>
        <w:rPr>
          <w:color w:val="auto"/>
        </w:rPr>
        <w:t>章</w:t>
      </w:r>
      <w:r>
        <w:rPr>
          <w:rFonts w:hint="eastAsia"/>
          <w:color w:val="auto"/>
        </w:rPr>
        <w:t>《采购需求》</w:t>
      </w:r>
      <w:r>
        <w:rPr>
          <w:rFonts w:ascii="Times New Roman" w:hAnsi="Times New Roman" w:cs="Times New Roman"/>
          <w:color w:val="auto"/>
        </w:rPr>
        <w:t>中所列商务要求进行响应，并根据响应情况在“偏离说明”栏填写正偏离或负偏离及原因，完全符合的填写</w:t>
      </w:r>
      <w:r>
        <w:rPr>
          <w:rFonts w:hint="eastAsia" w:ascii="Times New Roman" w:hAnsi="Times New Roman" w:cs="Times New Roman"/>
          <w:color w:val="auto"/>
        </w:rPr>
        <w:t>“</w:t>
      </w:r>
      <w:r>
        <w:rPr>
          <w:rFonts w:ascii="Times New Roman" w:hAnsi="Times New Roman" w:cs="Times New Roman"/>
          <w:color w:val="auto"/>
        </w:rPr>
        <w:t>无偏离</w:t>
      </w:r>
      <w:r>
        <w:rPr>
          <w:rFonts w:hint="eastAsia" w:ascii="Times New Roman" w:hAnsi="Times New Roman" w:cs="Times New Roman"/>
          <w:color w:val="auto"/>
        </w:rPr>
        <w:t>”</w:t>
      </w:r>
      <w:r>
        <w:rPr>
          <w:rFonts w:ascii="Times New Roman" w:hAnsi="Times New Roman" w:cs="Times New Roman"/>
          <w:color w:val="auto"/>
        </w:rPr>
        <w:t>。</w:t>
      </w:r>
    </w:p>
    <w:p w14:paraId="459CBC37">
      <w:pPr>
        <w:pStyle w:val="28"/>
        <w:tabs>
          <w:tab w:val="left" w:pos="2127"/>
        </w:tabs>
        <w:spacing w:line="340" w:lineRule="exact"/>
        <w:ind w:firstLine="420" w:firstLineChars="200"/>
        <w:jc w:val="left"/>
        <w:rPr>
          <w:rFonts w:ascii="Times New Roman" w:hAnsi="Times New Roman" w:cs="Times New Roman"/>
          <w:color w:val="auto"/>
        </w:rPr>
      </w:pPr>
      <w:r>
        <w:rPr>
          <w:rFonts w:hint="eastAsia" w:ascii="Times New Roman" w:hAnsi="Times New Roman" w:cs="Times New Roman"/>
          <w:color w:val="auto"/>
        </w:rPr>
        <w:t>（2）</w:t>
      </w:r>
      <w:r>
        <w:rPr>
          <w:color w:val="auto"/>
        </w:rPr>
        <w:t>第</w:t>
      </w:r>
      <w:r>
        <w:rPr>
          <w:rFonts w:hint="eastAsia"/>
          <w:color w:val="auto"/>
        </w:rPr>
        <w:t>二</w:t>
      </w:r>
      <w:r>
        <w:rPr>
          <w:color w:val="auto"/>
        </w:rPr>
        <w:t>章</w:t>
      </w:r>
      <w:r>
        <w:rPr>
          <w:rFonts w:hint="eastAsia"/>
          <w:color w:val="auto"/>
        </w:rPr>
        <w:t>《采购需求》</w:t>
      </w:r>
      <w:r>
        <w:rPr>
          <w:rFonts w:hint="eastAsia" w:ascii="Times New Roman" w:hAnsi="Times New Roman" w:cs="Times New Roman"/>
          <w:color w:val="auto"/>
        </w:rPr>
        <w:t>中的总体要求无需响应。</w:t>
      </w:r>
    </w:p>
    <w:p w14:paraId="6101E3F0">
      <w:pPr>
        <w:ind w:firstLine="420" w:firstLineChars="200"/>
        <w:rPr>
          <w:color w:val="auto"/>
        </w:rPr>
      </w:pPr>
      <w:r>
        <w:rPr>
          <w:rFonts w:hint="eastAsia"/>
          <w:color w:val="auto"/>
        </w:rPr>
        <w:t>（</w:t>
      </w:r>
      <w:r>
        <w:rPr>
          <w:color w:val="auto"/>
        </w:rPr>
        <w:t>3</w:t>
      </w:r>
      <w:r>
        <w:rPr>
          <w:rFonts w:hint="eastAsia"/>
          <w:color w:val="auto"/>
        </w:rPr>
        <w:t>）偏离认定说明详见评审方法及标准。</w:t>
      </w:r>
    </w:p>
    <w:bookmarkEnd w:id="157"/>
    <w:p w14:paraId="381D0A08">
      <w:pPr>
        <w:pStyle w:val="28"/>
        <w:tabs>
          <w:tab w:val="left" w:pos="2127"/>
        </w:tabs>
        <w:spacing w:line="340" w:lineRule="exact"/>
        <w:ind w:firstLine="420" w:firstLineChars="200"/>
        <w:jc w:val="left"/>
        <w:rPr>
          <w:rFonts w:ascii="Times New Roman" w:hAnsi="Times New Roman" w:cs="Times New Roman"/>
          <w:color w:val="auto"/>
        </w:rPr>
      </w:pPr>
      <w:r>
        <w:rPr>
          <w:rFonts w:ascii="Times New Roman" w:hAnsi="Times New Roman" w:cs="Times New Roman"/>
          <w:color w:val="auto"/>
        </w:rPr>
        <w:t>（4）本表可扩展。</w:t>
      </w:r>
    </w:p>
    <w:bookmarkEnd w:id="155"/>
    <w:p w14:paraId="596275D4">
      <w:pPr>
        <w:snapToGrid w:val="0"/>
        <w:spacing w:before="50" w:after="120" w:afterLines="50" w:line="440" w:lineRule="exact"/>
        <w:jc w:val="left"/>
        <w:rPr>
          <w:color w:val="auto"/>
          <w:spacing w:val="20"/>
          <w:szCs w:val="21"/>
          <w:u w:val="single"/>
        </w:rPr>
      </w:pPr>
      <w:r>
        <w:rPr>
          <w:color w:val="auto"/>
          <w:szCs w:val="21"/>
        </w:rPr>
        <w:t>供应商</w:t>
      </w:r>
      <w:r>
        <w:rPr>
          <w:rFonts w:hint="eastAsia"/>
          <w:color w:val="auto"/>
          <w:szCs w:val="21"/>
        </w:rPr>
        <w:t>名称(电子签章</w:t>
      </w:r>
      <w:r>
        <w:rPr>
          <w:color w:val="auto"/>
          <w:szCs w:val="21"/>
        </w:rPr>
        <w:t>)</w:t>
      </w:r>
      <w:r>
        <w:rPr>
          <w:color w:val="auto"/>
          <w:spacing w:val="20"/>
          <w:szCs w:val="21"/>
        </w:rPr>
        <w:t>：</w:t>
      </w:r>
      <w:r>
        <w:rPr>
          <w:color w:val="auto"/>
          <w:spacing w:val="20"/>
          <w:szCs w:val="21"/>
          <w:u w:val="single"/>
        </w:rPr>
        <w:t xml:space="preserve">            </w:t>
      </w:r>
      <w:r>
        <w:rPr>
          <w:color w:val="auto"/>
          <w:spacing w:val="20"/>
          <w:szCs w:val="21"/>
        </w:rPr>
        <w:t xml:space="preserve">             日  期：</w:t>
      </w:r>
      <w:r>
        <w:rPr>
          <w:color w:val="auto"/>
          <w:spacing w:val="20"/>
          <w:szCs w:val="21"/>
          <w:u w:val="single"/>
        </w:rPr>
        <w:t xml:space="preserve">        </w:t>
      </w:r>
    </w:p>
    <w:bookmarkEnd w:id="156"/>
    <w:p w14:paraId="2D9FDFDB">
      <w:pPr>
        <w:snapToGrid w:val="0"/>
        <w:spacing w:before="50" w:after="120" w:afterLines="50" w:line="440" w:lineRule="exact"/>
        <w:jc w:val="left"/>
        <w:rPr>
          <w:color w:val="auto"/>
          <w:szCs w:val="21"/>
        </w:rPr>
      </w:pPr>
    </w:p>
    <w:p w14:paraId="0881B1A9">
      <w:pPr>
        <w:snapToGrid w:val="0"/>
        <w:spacing w:before="50" w:after="120" w:afterLines="50" w:line="440" w:lineRule="exact"/>
        <w:jc w:val="left"/>
        <w:rPr>
          <w:color w:val="auto"/>
          <w:szCs w:val="21"/>
        </w:rPr>
      </w:pPr>
      <w:r>
        <w:rPr>
          <w:rFonts w:hint="eastAsia"/>
          <w:color w:val="auto"/>
          <w:szCs w:val="21"/>
        </w:rPr>
        <w:t>2</w:t>
      </w:r>
      <w:r>
        <w:rPr>
          <w:color w:val="auto"/>
          <w:szCs w:val="21"/>
        </w:rPr>
        <w:t>．售后服务方案（如有</w:t>
      </w:r>
      <w:r>
        <w:rPr>
          <w:rFonts w:hint="eastAsia"/>
          <w:color w:val="auto"/>
          <w:szCs w:val="21"/>
        </w:rPr>
        <w:t>，</w:t>
      </w:r>
      <w:r>
        <w:rPr>
          <w:color w:val="auto"/>
          <w:szCs w:val="21"/>
        </w:rPr>
        <w:t>供应商自行编写）</w:t>
      </w:r>
    </w:p>
    <w:p w14:paraId="5027C931">
      <w:pPr>
        <w:snapToGrid w:val="0"/>
        <w:spacing w:before="50" w:after="120" w:afterLines="50" w:line="440" w:lineRule="exact"/>
        <w:jc w:val="left"/>
        <w:rPr>
          <w:szCs w:val="21"/>
        </w:rPr>
      </w:pPr>
    </w:p>
    <w:p w14:paraId="5BC5F6DF">
      <w:pPr>
        <w:snapToGrid w:val="0"/>
        <w:spacing w:before="50" w:after="120" w:afterLines="50" w:line="440" w:lineRule="exact"/>
        <w:jc w:val="left"/>
        <w:rPr>
          <w:spacing w:val="20"/>
          <w:szCs w:val="21"/>
          <w:u w:val="single"/>
        </w:rPr>
      </w:pPr>
    </w:p>
    <w:p w14:paraId="3239DDF0">
      <w:pPr>
        <w:snapToGrid w:val="0"/>
        <w:spacing w:before="50" w:after="120" w:afterLines="50" w:line="440" w:lineRule="exact"/>
        <w:jc w:val="left"/>
        <w:rPr>
          <w:spacing w:val="20"/>
          <w:szCs w:val="21"/>
          <w:u w:val="single"/>
        </w:rPr>
        <w:sectPr>
          <w:headerReference r:id="rId13" w:type="first"/>
          <w:headerReference r:id="rId12" w:type="default"/>
          <w:footerReference r:id="rId14" w:type="default"/>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14E25C38">
      <w:pPr>
        <w:snapToGrid w:val="0"/>
        <w:spacing w:before="50" w:after="120" w:afterLines="50"/>
        <w:jc w:val="left"/>
        <w:rPr>
          <w:b/>
          <w:color w:val="auto"/>
          <w:szCs w:val="21"/>
        </w:rPr>
      </w:pPr>
      <w:r>
        <w:rPr>
          <w:rFonts w:hint="eastAsia"/>
          <w:color w:val="auto"/>
          <w:szCs w:val="21"/>
          <w:lang w:val="en-US" w:eastAsia="zh-CN"/>
        </w:rPr>
        <w:t>3</w:t>
      </w:r>
      <w:r>
        <w:rPr>
          <w:color w:val="auto"/>
          <w:szCs w:val="21"/>
        </w:rPr>
        <w:t>．近年供应商类似成功案例的业绩证明</w:t>
      </w:r>
      <w:r>
        <w:rPr>
          <w:rFonts w:hint="eastAsia"/>
          <w:color w:val="auto"/>
          <w:szCs w:val="21"/>
        </w:rPr>
        <w:t>。</w:t>
      </w:r>
    </w:p>
    <w:p w14:paraId="1AD330FF">
      <w:pPr>
        <w:snapToGrid w:val="0"/>
        <w:spacing w:before="50" w:after="120" w:afterLines="50"/>
        <w:jc w:val="center"/>
        <w:rPr>
          <w:color w:val="auto"/>
          <w:szCs w:val="21"/>
        </w:rPr>
      </w:pPr>
      <w:r>
        <w:rPr>
          <w:b/>
          <w:color w:val="auto"/>
          <w:szCs w:val="21"/>
        </w:rPr>
        <w:t>类似成功案例业绩一览表</w:t>
      </w:r>
    </w:p>
    <w:tbl>
      <w:tblPr>
        <w:tblStyle w:val="53"/>
        <w:tblW w:w="1337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35"/>
        <w:gridCol w:w="2943"/>
        <w:gridCol w:w="4123"/>
        <w:gridCol w:w="958"/>
        <w:gridCol w:w="958"/>
        <w:gridCol w:w="1278"/>
        <w:gridCol w:w="2480"/>
      </w:tblGrid>
      <w:tr w14:paraId="089CB4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363" w:hRule="atLeast"/>
        </w:trPr>
        <w:tc>
          <w:tcPr>
            <w:tcW w:w="635" w:type="dxa"/>
            <w:tcBorders>
              <w:top w:val="single" w:color="auto" w:sz="4" w:space="0"/>
              <w:left w:val="single" w:color="auto" w:sz="4" w:space="0"/>
              <w:right w:val="single" w:color="auto" w:sz="4" w:space="0"/>
            </w:tcBorders>
            <w:noWrap w:val="0"/>
            <w:vAlign w:val="top"/>
          </w:tcPr>
          <w:p w14:paraId="7F4A2788">
            <w:pPr>
              <w:snapToGrid w:val="0"/>
              <w:spacing w:line="240" w:lineRule="exact"/>
              <w:jc w:val="center"/>
              <w:rPr>
                <w:color w:val="auto"/>
                <w:szCs w:val="21"/>
              </w:rPr>
            </w:pPr>
          </w:p>
          <w:p w14:paraId="0B622D7F">
            <w:pPr>
              <w:snapToGrid w:val="0"/>
              <w:spacing w:line="240" w:lineRule="exact"/>
              <w:jc w:val="center"/>
              <w:rPr>
                <w:color w:val="auto"/>
                <w:szCs w:val="21"/>
              </w:rPr>
            </w:pPr>
          </w:p>
          <w:p w14:paraId="42D30064">
            <w:pPr>
              <w:snapToGrid w:val="0"/>
              <w:spacing w:line="240" w:lineRule="exact"/>
              <w:jc w:val="center"/>
              <w:rPr>
                <w:color w:val="auto"/>
                <w:szCs w:val="21"/>
              </w:rPr>
            </w:pPr>
            <w:r>
              <w:rPr>
                <w:rFonts w:hint="eastAsia"/>
                <w:color w:val="auto"/>
                <w:szCs w:val="21"/>
              </w:rPr>
              <w:t>序号</w:t>
            </w:r>
          </w:p>
        </w:tc>
        <w:tc>
          <w:tcPr>
            <w:tcW w:w="2943" w:type="dxa"/>
            <w:tcBorders>
              <w:top w:val="single" w:color="auto" w:sz="4" w:space="0"/>
              <w:left w:val="single" w:color="auto" w:sz="4" w:space="0"/>
              <w:bottom w:val="single" w:color="auto" w:sz="4" w:space="0"/>
              <w:right w:val="single" w:color="auto" w:sz="4" w:space="0"/>
            </w:tcBorders>
            <w:noWrap w:val="0"/>
            <w:vAlign w:val="center"/>
          </w:tcPr>
          <w:p w14:paraId="04AA010E">
            <w:pPr>
              <w:snapToGrid w:val="0"/>
              <w:spacing w:line="240" w:lineRule="exact"/>
              <w:jc w:val="center"/>
              <w:rPr>
                <w:color w:val="auto"/>
                <w:szCs w:val="21"/>
              </w:rPr>
            </w:pPr>
            <w:r>
              <w:rPr>
                <w:color w:val="auto"/>
                <w:szCs w:val="21"/>
              </w:rPr>
              <w:t>采购单位名称</w:t>
            </w:r>
          </w:p>
        </w:tc>
        <w:tc>
          <w:tcPr>
            <w:tcW w:w="4123" w:type="dxa"/>
            <w:tcBorders>
              <w:top w:val="single" w:color="auto" w:sz="4" w:space="0"/>
              <w:left w:val="single" w:color="auto" w:sz="4" w:space="0"/>
              <w:bottom w:val="single" w:color="auto" w:sz="4" w:space="0"/>
              <w:right w:val="single" w:color="auto" w:sz="4" w:space="0"/>
            </w:tcBorders>
            <w:noWrap w:val="0"/>
            <w:vAlign w:val="center"/>
          </w:tcPr>
          <w:p w14:paraId="77E85E25">
            <w:pPr>
              <w:snapToGrid w:val="0"/>
              <w:spacing w:line="240" w:lineRule="exact"/>
              <w:jc w:val="center"/>
              <w:rPr>
                <w:color w:val="auto"/>
                <w:szCs w:val="21"/>
              </w:rPr>
            </w:pPr>
            <w:r>
              <w:rPr>
                <w:color w:val="auto"/>
                <w:szCs w:val="21"/>
              </w:rPr>
              <w:t>产品或项目名称</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656D30B3">
            <w:pPr>
              <w:snapToGrid w:val="0"/>
              <w:spacing w:line="240" w:lineRule="exact"/>
              <w:jc w:val="center"/>
              <w:rPr>
                <w:color w:val="auto"/>
                <w:szCs w:val="21"/>
              </w:rPr>
            </w:pPr>
            <w:r>
              <w:rPr>
                <w:color w:val="auto"/>
                <w:szCs w:val="21"/>
              </w:rPr>
              <w:t>采购</w:t>
            </w:r>
          </w:p>
          <w:p w14:paraId="78516B72">
            <w:pPr>
              <w:snapToGrid w:val="0"/>
              <w:spacing w:line="240" w:lineRule="exact"/>
              <w:jc w:val="center"/>
              <w:rPr>
                <w:color w:val="auto"/>
                <w:szCs w:val="21"/>
              </w:rPr>
            </w:pPr>
            <w:r>
              <w:rPr>
                <w:color w:val="auto"/>
                <w:szCs w:val="21"/>
              </w:rPr>
              <w:t>数量</w:t>
            </w:r>
          </w:p>
        </w:tc>
        <w:tc>
          <w:tcPr>
            <w:tcW w:w="958" w:type="dxa"/>
            <w:tcBorders>
              <w:top w:val="single" w:color="auto" w:sz="4" w:space="0"/>
              <w:left w:val="single" w:color="auto" w:sz="4" w:space="0"/>
              <w:bottom w:val="single" w:color="auto" w:sz="4" w:space="0"/>
              <w:right w:val="single" w:color="auto" w:sz="4" w:space="0"/>
            </w:tcBorders>
            <w:noWrap w:val="0"/>
            <w:vAlign w:val="center"/>
          </w:tcPr>
          <w:p w14:paraId="1C6F78DF">
            <w:pPr>
              <w:snapToGrid w:val="0"/>
              <w:spacing w:line="240" w:lineRule="exact"/>
              <w:jc w:val="center"/>
              <w:rPr>
                <w:color w:val="auto"/>
                <w:szCs w:val="21"/>
              </w:rPr>
            </w:pPr>
            <w:r>
              <w:rPr>
                <w:color w:val="auto"/>
                <w:szCs w:val="21"/>
              </w:rPr>
              <w:t>单价</w:t>
            </w:r>
            <w:r>
              <w:rPr>
                <w:rFonts w:hint="eastAsia"/>
                <w:color w:val="auto"/>
                <w:szCs w:val="21"/>
              </w:rPr>
              <w:t>（元）</w:t>
            </w:r>
          </w:p>
        </w:tc>
        <w:tc>
          <w:tcPr>
            <w:tcW w:w="1278" w:type="dxa"/>
            <w:tcBorders>
              <w:top w:val="single" w:color="auto" w:sz="4" w:space="0"/>
              <w:left w:val="single" w:color="auto" w:sz="4" w:space="0"/>
              <w:bottom w:val="single" w:color="auto" w:sz="4" w:space="0"/>
              <w:right w:val="single" w:color="auto" w:sz="4" w:space="0"/>
            </w:tcBorders>
            <w:noWrap w:val="0"/>
            <w:vAlign w:val="center"/>
          </w:tcPr>
          <w:p w14:paraId="620A06D1">
            <w:pPr>
              <w:snapToGrid w:val="0"/>
              <w:spacing w:line="240" w:lineRule="exact"/>
              <w:jc w:val="center"/>
              <w:rPr>
                <w:color w:val="auto"/>
                <w:szCs w:val="21"/>
              </w:rPr>
            </w:pPr>
            <w:r>
              <w:rPr>
                <w:color w:val="auto"/>
                <w:szCs w:val="21"/>
              </w:rPr>
              <w:t>合同总价</w:t>
            </w:r>
            <w:r>
              <w:rPr>
                <w:rFonts w:hint="eastAsia"/>
                <w:color w:val="auto"/>
                <w:szCs w:val="21"/>
              </w:rPr>
              <w:t>（元）</w:t>
            </w:r>
          </w:p>
        </w:tc>
        <w:tc>
          <w:tcPr>
            <w:tcW w:w="2480" w:type="dxa"/>
            <w:tcBorders>
              <w:top w:val="single" w:color="auto" w:sz="4" w:space="0"/>
              <w:left w:val="single" w:color="auto" w:sz="4" w:space="0"/>
              <w:right w:val="single" w:color="auto" w:sz="4" w:space="0"/>
            </w:tcBorders>
            <w:noWrap w:val="0"/>
            <w:vAlign w:val="center"/>
          </w:tcPr>
          <w:p w14:paraId="734D71BF">
            <w:pPr>
              <w:jc w:val="center"/>
              <w:rPr>
                <w:color w:val="auto"/>
                <w:szCs w:val="21"/>
              </w:rPr>
            </w:pPr>
            <w:r>
              <w:rPr>
                <w:color w:val="auto"/>
                <w:szCs w:val="21"/>
              </w:rPr>
              <w:t>采购单位联系人及联系电话</w:t>
            </w:r>
          </w:p>
        </w:tc>
      </w:tr>
      <w:tr w14:paraId="0D19C7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635" w:type="dxa"/>
            <w:tcBorders>
              <w:top w:val="single" w:color="auto" w:sz="4" w:space="0"/>
              <w:left w:val="single" w:color="auto" w:sz="4" w:space="0"/>
              <w:bottom w:val="single" w:color="auto" w:sz="4" w:space="0"/>
              <w:right w:val="single" w:color="auto" w:sz="4" w:space="0"/>
            </w:tcBorders>
            <w:noWrap w:val="0"/>
            <w:vAlign w:val="top"/>
          </w:tcPr>
          <w:p w14:paraId="79689066">
            <w:pPr>
              <w:snapToGrid w:val="0"/>
              <w:spacing w:line="240" w:lineRule="exact"/>
              <w:jc w:val="left"/>
              <w:rPr>
                <w:color w:val="auto"/>
                <w:szCs w:val="21"/>
              </w:rPr>
            </w:pPr>
          </w:p>
        </w:tc>
        <w:tc>
          <w:tcPr>
            <w:tcW w:w="2943" w:type="dxa"/>
            <w:tcBorders>
              <w:top w:val="single" w:color="auto" w:sz="4" w:space="0"/>
              <w:left w:val="single" w:color="auto" w:sz="4" w:space="0"/>
              <w:bottom w:val="single" w:color="auto" w:sz="4" w:space="0"/>
              <w:right w:val="single" w:color="auto" w:sz="4" w:space="0"/>
            </w:tcBorders>
            <w:noWrap w:val="0"/>
            <w:vAlign w:val="top"/>
          </w:tcPr>
          <w:p w14:paraId="7317562A">
            <w:pPr>
              <w:snapToGrid w:val="0"/>
              <w:spacing w:line="240" w:lineRule="exact"/>
              <w:jc w:val="left"/>
              <w:rPr>
                <w:color w:val="auto"/>
                <w:szCs w:val="21"/>
              </w:rPr>
            </w:pPr>
          </w:p>
        </w:tc>
        <w:tc>
          <w:tcPr>
            <w:tcW w:w="4123" w:type="dxa"/>
            <w:tcBorders>
              <w:top w:val="single" w:color="auto" w:sz="4" w:space="0"/>
              <w:left w:val="single" w:color="auto" w:sz="4" w:space="0"/>
              <w:bottom w:val="single" w:color="auto" w:sz="4" w:space="0"/>
              <w:right w:val="single" w:color="auto" w:sz="4" w:space="0"/>
            </w:tcBorders>
            <w:noWrap w:val="0"/>
            <w:vAlign w:val="top"/>
          </w:tcPr>
          <w:p w14:paraId="6B910C82">
            <w:pPr>
              <w:snapToGrid w:val="0"/>
              <w:spacing w:line="24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7675B0C5">
            <w:pPr>
              <w:snapToGrid w:val="0"/>
              <w:spacing w:line="24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5540A088">
            <w:pPr>
              <w:snapToGrid w:val="0"/>
              <w:spacing w:line="240" w:lineRule="exact"/>
              <w:jc w:val="left"/>
              <w:rPr>
                <w:color w:val="auto"/>
                <w:szCs w:val="21"/>
              </w:rPr>
            </w:pPr>
          </w:p>
        </w:tc>
        <w:tc>
          <w:tcPr>
            <w:tcW w:w="1278" w:type="dxa"/>
            <w:tcBorders>
              <w:top w:val="single" w:color="auto" w:sz="4" w:space="0"/>
              <w:left w:val="single" w:color="auto" w:sz="4" w:space="0"/>
              <w:bottom w:val="single" w:color="auto" w:sz="4" w:space="0"/>
              <w:right w:val="single" w:color="auto" w:sz="4" w:space="0"/>
            </w:tcBorders>
            <w:noWrap w:val="0"/>
            <w:vAlign w:val="top"/>
          </w:tcPr>
          <w:p w14:paraId="3274B994">
            <w:pPr>
              <w:snapToGrid w:val="0"/>
              <w:spacing w:line="240" w:lineRule="exact"/>
              <w:jc w:val="left"/>
              <w:rPr>
                <w:color w:val="auto"/>
                <w:szCs w:val="21"/>
              </w:rPr>
            </w:pPr>
          </w:p>
        </w:tc>
        <w:tc>
          <w:tcPr>
            <w:tcW w:w="2480" w:type="dxa"/>
            <w:tcBorders>
              <w:top w:val="single" w:color="auto" w:sz="4" w:space="0"/>
              <w:left w:val="single" w:color="auto" w:sz="4" w:space="0"/>
              <w:bottom w:val="single" w:color="auto" w:sz="4" w:space="0"/>
              <w:right w:val="single" w:color="auto" w:sz="4" w:space="0"/>
            </w:tcBorders>
            <w:noWrap w:val="0"/>
            <w:vAlign w:val="top"/>
          </w:tcPr>
          <w:p w14:paraId="7AF3ACD9">
            <w:pPr>
              <w:snapToGrid w:val="0"/>
              <w:spacing w:line="240" w:lineRule="exact"/>
              <w:jc w:val="left"/>
              <w:rPr>
                <w:color w:val="auto"/>
                <w:szCs w:val="21"/>
              </w:rPr>
            </w:pPr>
          </w:p>
        </w:tc>
      </w:tr>
      <w:tr w14:paraId="5EE581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635" w:type="dxa"/>
            <w:tcBorders>
              <w:top w:val="single" w:color="auto" w:sz="4" w:space="0"/>
              <w:left w:val="single" w:color="auto" w:sz="4" w:space="0"/>
              <w:bottom w:val="single" w:color="auto" w:sz="4" w:space="0"/>
              <w:right w:val="single" w:color="auto" w:sz="4" w:space="0"/>
            </w:tcBorders>
            <w:noWrap w:val="0"/>
            <w:vAlign w:val="top"/>
          </w:tcPr>
          <w:p w14:paraId="5DDAA6A0">
            <w:pPr>
              <w:snapToGrid w:val="0"/>
              <w:spacing w:before="50" w:after="120" w:afterLines="50" w:line="400" w:lineRule="exact"/>
              <w:jc w:val="left"/>
              <w:rPr>
                <w:color w:val="auto"/>
                <w:szCs w:val="21"/>
              </w:rPr>
            </w:pPr>
          </w:p>
        </w:tc>
        <w:tc>
          <w:tcPr>
            <w:tcW w:w="2943" w:type="dxa"/>
            <w:tcBorders>
              <w:top w:val="single" w:color="auto" w:sz="4" w:space="0"/>
              <w:left w:val="single" w:color="auto" w:sz="4" w:space="0"/>
              <w:bottom w:val="single" w:color="auto" w:sz="4" w:space="0"/>
              <w:right w:val="single" w:color="auto" w:sz="4" w:space="0"/>
            </w:tcBorders>
            <w:noWrap w:val="0"/>
            <w:vAlign w:val="top"/>
          </w:tcPr>
          <w:p w14:paraId="45BBC473">
            <w:pPr>
              <w:snapToGrid w:val="0"/>
              <w:spacing w:before="50" w:after="120" w:afterLines="50" w:line="400" w:lineRule="exact"/>
              <w:jc w:val="left"/>
              <w:rPr>
                <w:color w:val="auto"/>
                <w:szCs w:val="21"/>
              </w:rPr>
            </w:pPr>
          </w:p>
        </w:tc>
        <w:tc>
          <w:tcPr>
            <w:tcW w:w="4123" w:type="dxa"/>
            <w:tcBorders>
              <w:top w:val="single" w:color="auto" w:sz="4" w:space="0"/>
              <w:left w:val="single" w:color="auto" w:sz="4" w:space="0"/>
              <w:bottom w:val="single" w:color="auto" w:sz="4" w:space="0"/>
              <w:right w:val="single" w:color="auto" w:sz="4" w:space="0"/>
            </w:tcBorders>
            <w:noWrap w:val="0"/>
            <w:vAlign w:val="top"/>
          </w:tcPr>
          <w:p w14:paraId="443693C2">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3DCF2CB6">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14159038">
            <w:pPr>
              <w:snapToGrid w:val="0"/>
              <w:spacing w:before="50" w:after="120" w:afterLines="50" w:line="400" w:lineRule="exact"/>
              <w:jc w:val="left"/>
              <w:rPr>
                <w:color w:val="auto"/>
                <w:szCs w:val="21"/>
              </w:rPr>
            </w:pPr>
          </w:p>
        </w:tc>
        <w:tc>
          <w:tcPr>
            <w:tcW w:w="1278" w:type="dxa"/>
            <w:tcBorders>
              <w:top w:val="single" w:color="auto" w:sz="4" w:space="0"/>
              <w:left w:val="single" w:color="auto" w:sz="4" w:space="0"/>
              <w:bottom w:val="single" w:color="auto" w:sz="4" w:space="0"/>
              <w:right w:val="single" w:color="auto" w:sz="4" w:space="0"/>
            </w:tcBorders>
            <w:noWrap w:val="0"/>
            <w:vAlign w:val="top"/>
          </w:tcPr>
          <w:p w14:paraId="37F11879">
            <w:pPr>
              <w:snapToGrid w:val="0"/>
              <w:spacing w:before="50" w:after="120" w:afterLines="50" w:line="400" w:lineRule="exact"/>
              <w:jc w:val="left"/>
              <w:rPr>
                <w:color w:val="auto"/>
                <w:szCs w:val="21"/>
              </w:rPr>
            </w:pPr>
          </w:p>
        </w:tc>
        <w:tc>
          <w:tcPr>
            <w:tcW w:w="2480" w:type="dxa"/>
            <w:tcBorders>
              <w:top w:val="single" w:color="auto" w:sz="4" w:space="0"/>
              <w:left w:val="single" w:color="auto" w:sz="4" w:space="0"/>
              <w:bottom w:val="single" w:color="auto" w:sz="4" w:space="0"/>
              <w:right w:val="single" w:color="auto" w:sz="4" w:space="0"/>
            </w:tcBorders>
            <w:noWrap w:val="0"/>
            <w:vAlign w:val="top"/>
          </w:tcPr>
          <w:p w14:paraId="5379ACE5">
            <w:pPr>
              <w:snapToGrid w:val="0"/>
              <w:spacing w:before="50" w:after="120" w:afterLines="50" w:line="400" w:lineRule="exact"/>
              <w:jc w:val="left"/>
              <w:rPr>
                <w:color w:val="auto"/>
                <w:szCs w:val="21"/>
              </w:rPr>
            </w:pPr>
          </w:p>
        </w:tc>
      </w:tr>
      <w:tr w14:paraId="696BF1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6" w:hRule="atLeast"/>
        </w:trPr>
        <w:tc>
          <w:tcPr>
            <w:tcW w:w="635" w:type="dxa"/>
            <w:tcBorders>
              <w:top w:val="single" w:color="auto" w:sz="4" w:space="0"/>
              <w:left w:val="single" w:color="auto" w:sz="4" w:space="0"/>
              <w:bottom w:val="single" w:color="auto" w:sz="4" w:space="0"/>
              <w:right w:val="single" w:color="auto" w:sz="4" w:space="0"/>
            </w:tcBorders>
            <w:noWrap w:val="0"/>
            <w:vAlign w:val="top"/>
          </w:tcPr>
          <w:p w14:paraId="16F7D5DF">
            <w:pPr>
              <w:snapToGrid w:val="0"/>
              <w:spacing w:before="50" w:after="120" w:afterLines="50" w:line="400" w:lineRule="exact"/>
              <w:jc w:val="left"/>
              <w:rPr>
                <w:color w:val="auto"/>
                <w:szCs w:val="21"/>
              </w:rPr>
            </w:pPr>
          </w:p>
        </w:tc>
        <w:tc>
          <w:tcPr>
            <w:tcW w:w="2943" w:type="dxa"/>
            <w:tcBorders>
              <w:top w:val="single" w:color="auto" w:sz="4" w:space="0"/>
              <w:left w:val="single" w:color="auto" w:sz="4" w:space="0"/>
              <w:bottom w:val="single" w:color="auto" w:sz="4" w:space="0"/>
              <w:right w:val="single" w:color="auto" w:sz="4" w:space="0"/>
            </w:tcBorders>
            <w:noWrap w:val="0"/>
            <w:vAlign w:val="top"/>
          </w:tcPr>
          <w:p w14:paraId="4F80D620">
            <w:pPr>
              <w:snapToGrid w:val="0"/>
              <w:spacing w:before="50" w:after="120" w:afterLines="50" w:line="400" w:lineRule="exact"/>
              <w:jc w:val="left"/>
              <w:rPr>
                <w:color w:val="auto"/>
                <w:szCs w:val="21"/>
              </w:rPr>
            </w:pPr>
          </w:p>
        </w:tc>
        <w:tc>
          <w:tcPr>
            <w:tcW w:w="4123" w:type="dxa"/>
            <w:tcBorders>
              <w:top w:val="single" w:color="auto" w:sz="4" w:space="0"/>
              <w:left w:val="single" w:color="auto" w:sz="4" w:space="0"/>
              <w:bottom w:val="single" w:color="auto" w:sz="4" w:space="0"/>
              <w:right w:val="single" w:color="auto" w:sz="4" w:space="0"/>
            </w:tcBorders>
            <w:noWrap w:val="0"/>
            <w:vAlign w:val="top"/>
          </w:tcPr>
          <w:p w14:paraId="4E0388DC">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769FF310">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6C858AD6">
            <w:pPr>
              <w:snapToGrid w:val="0"/>
              <w:spacing w:before="50" w:after="120" w:afterLines="50" w:line="400" w:lineRule="exact"/>
              <w:jc w:val="left"/>
              <w:rPr>
                <w:color w:val="auto"/>
                <w:szCs w:val="21"/>
              </w:rPr>
            </w:pPr>
          </w:p>
        </w:tc>
        <w:tc>
          <w:tcPr>
            <w:tcW w:w="1278" w:type="dxa"/>
            <w:tcBorders>
              <w:top w:val="single" w:color="auto" w:sz="4" w:space="0"/>
              <w:left w:val="single" w:color="auto" w:sz="4" w:space="0"/>
              <w:bottom w:val="single" w:color="auto" w:sz="4" w:space="0"/>
              <w:right w:val="single" w:color="auto" w:sz="4" w:space="0"/>
            </w:tcBorders>
            <w:noWrap w:val="0"/>
            <w:vAlign w:val="top"/>
          </w:tcPr>
          <w:p w14:paraId="0AD24551">
            <w:pPr>
              <w:snapToGrid w:val="0"/>
              <w:spacing w:before="50" w:after="120" w:afterLines="50" w:line="400" w:lineRule="exact"/>
              <w:jc w:val="left"/>
              <w:rPr>
                <w:color w:val="auto"/>
                <w:szCs w:val="21"/>
              </w:rPr>
            </w:pPr>
          </w:p>
        </w:tc>
        <w:tc>
          <w:tcPr>
            <w:tcW w:w="2480" w:type="dxa"/>
            <w:tcBorders>
              <w:top w:val="single" w:color="auto" w:sz="4" w:space="0"/>
              <w:left w:val="single" w:color="auto" w:sz="4" w:space="0"/>
              <w:bottom w:val="single" w:color="auto" w:sz="4" w:space="0"/>
              <w:right w:val="single" w:color="auto" w:sz="4" w:space="0"/>
            </w:tcBorders>
            <w:noWrap w:val="0"/>
            <w:vAlign w:val="top"/>
          </w:tcPr>
          <w:p w14:paraId="2AAAA845">
            <w:pPr>
              <w:snapToGrid w:val="0"/>
              <w:spacing w:before="50" w:after="120" w:afterLines="50" w:line="400" w:lineRule="exact"/>
              <w:jc w:val="left"/>
              <w:rPr>
                <w:color w:val="auto"/>
                <w:szCs w:val="21"/>
              </w:rPr>
            </w:pPr>
          </w:p>
        </w:tc>
      </w:tr>
      <w:tr w14:paraId="234A54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635" w:type="dxa"/>
            <w:tcBorders>
              <w:top w:val="single" w:color="auto" w:sz="4" w:space="0"/>
              <w:left w:val="single" w:color="auto" w:sz="4" w:space="0"/>
              <w:bottom w:val="single" w:color="auto" w:sz="4" w:space="0"/>
              <w:right w:val="single" w:color="auto" w:sz="4" w:space="0"/>
            </w:tcBorders>
            <w:noWrap w:val="0"/>
            <w:vAlign w:val="top"/>
          </w:tcPr>
          <w:p w14:paraId="13273797">
            <w:pPr>
              <w:snapToGrid w:val="0"/>
              <w:spacing w:before="50" w:after="120" w:afterLines="50" w:line="400" w:lineRule="exact"/>
              <w:jc w:val="left"/>
              <w:rPr>
                <w:color w:val="auto"/>
                <w:szCs w:val="21"/>
              </w:rPr>
            </w:pPr>
          </w:p>
        </w:tc>
        <w:tc>
          <w:tcPr>
            <w:tcW w:w="2943" w:type="dxa"/>
            <w:tcBorders>
              <w:top w:val="single" w:color="auto" w:sz="4" w:space="0"/>
              <w:left w:val="single" w:color="auto" w:sz="4" w:space="0"/>
              <w:bottom w:val="single" w:color="auto" w:sz="4" w:space="0"/>
              <w:right w:val="single" w:color="auto" w:sz="4" w:space="0"/>
            </w:tcBorders>
            <w:noWrap w:val="0"/>
            <w:vAlign w:val="top"/>
          </w:tcPr>
          <w:p w14:paraId="2D80C696">
            <w:pPr>
              <w:snapToGrid w:val="0"/>
              <w:spacing w:before="50" w:after="120" w:afterLines="50" w:line="400" w:lineRule="exact"/>
              <w:jc w:val="left"/>
              <w:rPr>
                <w:color w:val="auto"/>
                <w:szCs w:val="21"/>
              </w:rPr>
            </w:pPr>
          </w:p>
        </w:tc>
        <w:tc>
          <w:tcPr>
            <w:tcW w:w="4123" w:type="dxa"/>
            <w:tcBorders>
              <w:top w:val="single" w:color="auto" w:sz="4" w:space="0"/>
              <w:left w:val="single" w:color="auto" w:sz="4" w:space="0"/>
              <w:bottom w:val="single" w:color="auto" w:sz="4" w:space="0"/>
              <w:right w:val="single" w:color="auto" w:sz="4" w:space="0"/>
            </w:tcBorders>
            <w:noWrap w:val="0"/>
            <w:vAlign w:val="top"/>
          </w:tcPr>
          <w:p w14:paraId="6CF8386C">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1EC2D362">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45570F0D">
            <w:pPr>
              <w:snapToGrid w:val="0"/>
              <w:spacing w:before="50" w:after="120" w:afterLines="50" w:line="400" w:lineRule="exact"/>
              <w:jc w:val="left"/>
              <w:rPr>
                <w:color w:val="auto"/>
                <w:szCs w:val="21"/>
              </w:rPr>
            </w:pPr>
          </w:p>
        </w:tc>
        <w:tc>
          <w:tcPr>
            <w:tcW w:w="1278" w:type="dxa"/>
            <w:tcBorders>
              <w:top w:val="single" w:color="auto" w:sz="4" w:space="0"/>
              <w:left w:val="single" w:color="auto" w:sz="4" w:space="0"/>
              <w:bottom w:val="single" w:color="auto" w:sz="4" w:space="0"/>
              <w:right w:val="single" w:color="auto" w:sz="4" w:space="0"/>
            </w:tcBorders>
            <w:noWrap w:val="0"/>
            <w:vAlign w:val="top"/>
          </w:tcPr>
          <w:p w14:paraId="2A966BCF">
            <w:pPr>
              <w:snapToGrid w:val="0"/>
              <w:spacing w:before="50" w:after="120" w:afterLines="50" w:line="400" w:lineRule="exact"/>
              <w:jc w:val="left"/>
              <w:rPr>
                <w:color w:val="auto"/>
                <w:szCs w:val="21"/>
              </w:rPr>
            </w:pPr>
          </w:p>
        </w:tc>
        <w:tc>
          <w:tcPr>
            <w:tcW w:w="2480" w:type="dxa"/>
            <w:tcBorders>
              <w:top w:val="single" w:color="auto" w:sz="4" w:space="0"/>
              <w:left w:val="single" w:color="auto" w:sz="4" w:space="0"/>
              <w:bottom w:val="single" w:color="auto" w:sz="4" w:space="0"/>
              <w:right w:val="single" w:color="auto" w:sz="4" w:space="0"/>
            </w:tcBorders>
            <w:noWrap w:val="0"/>
            <w:vAlign w:val="top"/>
          </w:tcPr>
          <w:p w14:paraId="458739E1">
            <w:pPr>
              <w:snapToGrid w:val="0"/>
              <w:spacing w:before="50" w:after="120" w:afterLines="50" w:line="400" w:lineRule="exact"/>
              <w:jc w:val="left"/>
              <w:rPr>
                <w:color w:val="auto"/>
                <w:szCs w:val="21"/>
              </w:rPr>
            </w:pPr>
          </w:p>
        </w:tc>
      </w:tr>
      <w:tr w14:paraId="0C7B58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3" w:hRule="atLeast"/>
        </w:trPr>
        <w:tc>
          <w:tcPr>
            <w:tcW w:w="635" w:type="dxa"/>
            <w:tcBorders>
              <w:top w:val="single" w:color="auto" w:sz="4" w:space="0"/>
              <w:left w:val="single" w:color="auto" w:sz="4" w:space="0"/>
              <w:bottom w:val="single" w:color="auto" w:sz="4" w:space="0"/>
              <w:right w:val="single" w:color="auto" w:sz="4" w:space="0"/>
            </w:tcBorders>
            <w:noWrap w:val="0"/>
            <w:vAlign w:val="top"/>
          </w:tcPr>
          <w:p w14:paraId="2D282A02">
            <w:pPr>
              <w:snapToGrid w:val="0"/>
              <w:spacing w:before="50" w:after="120" w:afterLines="50" w:line="400" w:lineRule="exact"/>
              <w:jc w:val="left"/>
              <w:rPr>
                <w:color w:val="auto"/>
                <w:szCs w:val="21"/>
              </w:rPr>
            </w:pPr>
          </w:p>
        </w:tc>
        <w:tc>
          <w:tcPr>
            <w:tcW w:w="2943" w:type="dxa"/>
            <w:tcBorders>
              <w:top w:val="single" w:color="auto" w:sz="4" w:space="0"/>
              <w:left w:val="single" w:color="auto" w:sz="4" w:space="0"/>
              <w:bottom w:val="single" w:color="auto" w:sz="4" w:space="0"/>
              <w:right w:val="single" w:color="auto" w:sz="4" w:space="0"/>
            </w:tcBorders>
            <w:noWrap w:val="0"/>
            <w:vAlign w:val="top"/>
          </w:tcPr>
          <w:p w14:paraId="610135EE">
            <w:pPr>
              <w:snapToGrid w:val="0"/>
              <w:spacing w:before="50" w:after="120" w:afterLines="50" w:line="400" w:lineRule="exact"/>
              <w:jc w:val="left"/>
              <w:rPr>
                <w:color w:val="auto"/>
                <w:szCs w:val="21"/>
              </w:rPr>
            </w:pPr>
          </w:p>
        </w:tc>
        <w:tc>
          <w:tcPr>
            <w:tcW w:w="4123" w:type="dxa"/>
            <w:tcBorders>
              <w:top w:val="single" w:color="auto" w:sz="4" w:space="0"/>
              <w:left w:val="single" w:color="auto" w:sz="4" w:space="0"/>
              <w:bottom w:val="single" w:color="auto" w:sz="4" w:space="0"/>
              <w:right w:val="single" w:color="auto" w:sz="4" w:space="0"/>
            </w:tcBorders>
            <w:noWrap w:val="0"/>
            <w:vAlign w:val="top"/>
          </w:tcPr>
          <w:p w14:paraId="19F2DAFC">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5ABC905C">
            <w:pPr>
              <w:snapToGrid w:val="0"/>
              <w:spacing w:before="50" w:after="120" w:afterLines="50" w:line="400" w:lineRule="exact"/>
              <w:jc w:val="left"/>
              <w:rPr>
                <w:color w:val="auto"/>
                <w:szCs w:val="21"/>
              </w:rPr>
            </w:pPr>
          </w:p>
        </w:tc>
        <w:tc>
          <w:tcPr>
            <w:tcW w:w="958" w:type="dxa"/>
            <w:tcBorders>
              <w:top w:val="single" w:color="auto" w:sz="4" w:space="0"/>
              <w:left w:val="single" w:color="auto" w:sz="4" w:space="0"/>
              <w:bottom w:val="single" w:color="auto" w:sz="4" w:space="0"/>
              <w:right w:val="single" w:color="auto" w:sz="4" w:space="0"/>
            </w:tcBorders>
            <w:noWrap w:val="0"/>
            <w:vAlign w:val="top"/>
          </w:tcPr>
          <w:p w14:paraId="379E01C7">
            <w:pPr>
              <w:snapToGrid w:val="0"/>
              <w:spacing w:before="50" w:after="120" w:afterLines="50" w:line="400" w:lineRule="exact"/>
              <w:jc w:val="left"/>
              <w:rPr>
                <w:color w:val="auto"/>
                <w:szCs w:val="21"/>
              </w:rPr>
            </w:pPr>
          </w:p>
        </w:tc>
        <w:tc>
          <w:tcPr>
            <w:tcW w:w="1278" w:type="dxa"/>
            <w:tcBorders>
              <w:top w:val="single" w:color="auto" w:sz="4" w:space="0"/>
              <w:left w:val="single" w:color="auto" w:sz="4" w:space="0"/>
              <w:bottom w:val="single" w:color="auto" w:sz="4" w:space="0"/>
              <w:right w:val="single" w:color="auto" w:sz="4" w:space="0"/>
            </w:tcBorders>
            <w:noWrap w:val="0"/>
            <w:vAlign w:val="top"/>
          </w:tcPr>
          <w:p w14:paraId="29D360AE">
            <w:pPr>
              <w:snapToGrid w:val="0"/>
              <w:spacing w:before="50" w:after="120" w:afterLines="50" w:line="400" w:lineRule="exact"/>
              <w:jc w:val="left"/>
              <w:rPr>
                <w:color w:val="auto"/>
                <w:szCs w:val="21"/>
              </w:rPr>
            </w:pPr>
          </w:p>
        </w:tc>
        <w:tc>
          <w:tcPr>
            <w:tcW w:w="2480" w:type="dxa"/>
            <w:tcBorders>
              <w:top w:val="single" w:color="auto" w:sz="4" w:space="0"/>
              <w:left w:val="single" w:color="auto" w:sz="4" w:space="0"/>
              <w:bottom w:val="single" w:color="auto" w:sz="4" w:space="0"/>
              <w:right w:val="single" w:color="auto" w:sz="4" w:space="0"/>
            </w:tcBorders>
            <w:noWrap w:val="0"/>
            <w:vAlign w:val="top"/>
          </w:tcPr>
          <w:p w14:paraId="55735DA7">
            <w:pPr>
              <w:snapToGrid w:val="0"/>
              <w:spacing w:before="50" w:after="120" w:afterLines="50" w:line="400" w:lineRule="exact"/>
              <w:jc w:val="left"/>
              <w:rPr>
                <w:color w:val="auto"/>
                <w:szCs w:val="21"/>
              </w:rPr>
            </w:pPr>
          </w:p>
        </w:tc>
      </w:tr>
    </w:tbl>
    <w:p w14:paraId="2D0281F5">
      <w:pPr>
        <w:pStyle w:val="18"/>
        <w:snapToGrid w:val="0"/>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注：</w:t>
      </w:r>
    </w:p>
    <w:p w14:paraId="217E091F">
      <w:pPr>
        <w:pStyle w:val="18"/>
        <w:snapToGrid w:val="0"/>
        <w:rPr>
          <w:rFonts w:ascii="Times New Roman" w:hAnsi="Times New Roman" w:eastAsia="宋体" w:cs="Times New Roman"/>
          <w:color w:val="auto"/>
          <w:sz w:val="21"/>
          <w:szCs w:val="21"/>
        </w:rPr>
      </w:pPr>
      <w:r>
        <w:rPr>
          <w:rFonts w:ascii="Times New Roman" w:hAnsi="Times New Roman" w:eastAsia="宋体" w:cs="Times New Roman"/>
          <w:color w:val="auto"/>
          <w:szCs w:val="21"/>
        </w:rPr>
        <w:t>（1）</w:t>
      </w:r>
      <w:r>
        <w:rPr>
          <w:rFonts w:ascii="Times New Roman" w:hAnsi="Times New Roman" w:eastAsia="宋体" w:cs="Times New Roman"/>
          <w:color w:val="auto"/>
          <w:sz w:val="21"/>
          <w:szCs w:val="21"/>
        </w:rPr>
        <w:t>未附</w:t>
      </w:r>
      <w:r>
        <w:rPr>
          <w:rFonts w:hint="eastAsia" w:ascii="Times New Roman" w:hAnsi="Times New Roman" w:eastAsia="宋体" w:cs="Times New Roman"/>
          <w:color w:val="auto"/>
          <w:sz w:val="21"/>
          <w:szCs w:val="21"/>
        </w:rPr>
        <w:t>证明材料</w:t>
      </w:r>
      <w:r>
        <w:rPr>
          <w:rFonts w:ascii="Times New Roman" w:hAnsi="Times New Roman" w:eastAsia="宋体" w:cs="Times New Roman"/>
          <w:color w:val="auto"/>
          <w:sz w:val="21"/>
          <w:szCs w:val="21"/>
        </w:rPr>
        <w:t>的业绩无效</w:t>
      </w:r>
      <w:r>
        <w:rPr>
          <w:rFonts w:hint="eastAsia" w:ascii="Times New Roman" w:hAnsi="Times New Roman" w:eastAsia="宋体" w:cs="Times New Roman"/>
          <w:color w:val="auto"/>
          <w:sz w:val="21"/>
          <w:szCs w:val="21"/>
        </w:rPr>
        <w:t>，证明材料</w:t>
      </w:r>
      <w:r>
        <w:rPr>
          <w:rFonts w:ascii="Times New Roman" w:hAnsi="Times New Roman" w:eastAsia="宋体" w:cs="Times New Roman"/>
          <w:color w:val="auto"/>
          <w:sz w:val="21"/>
          <w:szCs w:val="21"/>
        </w:rPr>
        <w:t>见第四章《评审方法及标准》规定</w:t>
      </w:r>
    </w:p>
    <w:p w14:paraId="2D2D3552">
      <w:pPr>
        <w:pStyle w:val="18"/>
        <w:snapToGrid w:val="0"/>
        <w:rPr>
          <w:rFonts w:ascii="Times New Roman" w:hAnsi="Times New Roman" w:eastAsia="宋体" w:cs="Times New Roman"/>
          <w:color w:val="auto"/>
          <w:sz w:val="21"/>
          <w:szCs w:val="21"/>
        </w:rPr>
      </w:pP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w:t>
      </w:r>
      <w:r>
        <w:rPr>
          <w:rFonts w:ascii="Times New Roman" w:hAnsi="Times New Roman" w:eastAsia="宋体" w:cs="Times New Roman"/>
          <w:color w:val="auto"/>
          <w:sz w:val="21"/>
          <w:szCs w:val="21"/>
        </w:rPr>
        <w:t>类似项目的定义见第四章《评审方法及标准》规定。</w:t>
      </w:r>
    </w:p>
    <w:p w14:paraId="174B3E2E">
      <w:pPr>
        <w:rPr>
          <w:color w:val="auto"/>
        </w:rPr>
      </w:pPr>
      <w:r>
        <w:rPr>
          <w:color w:val="auto"/>
          <w:szCs w:val="21"/>
        </w:rPr>
        <w:t>（</w:t>
      </w:r>
      <w:r>
        <w:rPr>
          <w:rFonts w:hint="eastAsia"/>
          <w:color w:val="auto"/>
          <w:szCs w:val="21"/>
        </w:rPr>
        <w:t>3</w:t>
      </w:r>
      <w:r>
        <w:rPr>
          <w:color w:val="auto"/>
          <w:szCs w:val="21"/>
        </w:rPr>
        <w:t>）</w:t>
      </w:r>
      <w:bookmarkStart w:id="158" w:name="_Hlk19049505"/>
      <w:r>
        <w:rPr>
          <w:color w:val="auto"/>
        </w:rPr>
        <w:t>本表可拓展。</w:t>
      </w:r>
      <w:bookmarkEnd w:id="158"/>
    </w:p>
    <w:p w14:paraId="2C903246">
      <w:pPr>
        <w:snapToGrid w:val="0"/>
        <w:spacing w:before="50"/>
        <w:jc w:val="left"/>
        <w:rPr>
          <w:color w:val="auto"/>
          <w:szCs w:val="21"/>
        </w:rPr>
      </w:pPr>
    </w:p>
    <w:p w14:paraId="0BF3B8CC">
      <w:pPr>
        <w:snapToGrid w:val="0"/>
        <w:spacing w:before="50"/>
        <w:jc w:val="left"/>
        <w:rPr>
          <w:color w:val="auto"/>
          <w:szCs w:val="21"/>
        </w:rPr>
      </w:pPr>
      <w:bookmarkStart w:id="159" w:name="_Hlk88990617"/>
      <w:r>
        <w:rPr>
          <w:color w:val="auto"/>
          <w:szCs w:val="21"/>
        </w:rPr>
        <w:t>供应商</w:t>
      </w:r>
      <w:r>
        <w:rPr>
          <w:rFonts w:hint="eastAsia"/>
          <w:color w:val="auto"/>
          <w:szCs w:val="21"/>
        </w:rPr>
        <w:t>名称(电子签章</w:t>
      </w:r>
      <w:r>
        <w:rPr>
          <w:color w:val="auto"/>
          <w:szCs w:val="21"/>
        </w:rPr>
        <w:t>)：</w:t>
      </w:r>
      <w:bookmarkEnd w:id="159"/>
      <w:r>
        <w:rPr>
          <w:color w:val="auto"/>
          <w:szCs w:val="21"/>
          <w:u w:val="single"/>
        </w:rPr>
        <w:t xml:space="preserve">                 </w:t>
      </w:r>
      <w:r>
        <w:rPr>
          <w:color w:val="auto"/>
          <w:szCs w:val="21"/>
        </w:rPr>
        <w:t xml:space="preserve">                                           年    月   日</w:t>
      </w:r>
    </w:p>
    <w:p w14:paraId="19015F58">
      <w:pPr>
        <w:snapToGrid w:val="0"/>
        <w:spacing w:before="50"/>
        <w:jc w:val="left"/>
        <w:rPr>
          <w:color w:val="4472C4"/>
          <w:szCs w:val="21"/>
        </w:rPr>
      </w:pPr>
    </w:p>
    <w:p w14:paraId="11EFE644">
      <w:pPr>
        <w:snapToGrid w:val="0"/>
        <w:spacing w:before="50"/>
        <w:jc w:val="left"/>
        <w:rPr>
          <w:szCs w:val="21"/>
        </w:rPr>
        <w:sectPr>
          <w:pgSz w:w="16838" w:h="11906" w:orient="landscape"/>
          <w:pgMar w:top="1418" w:right="1418" w:bottom="1133" w:left="1246" w:header="851" w:footer="992" w:gutter="0"/>
          <w:pgBorders>
            <w:top w:val="none" w:sz="0" w:space="0"/>
            <w:left w:val="none" w:sz="0" w:space="0"/>
            <w:bottom w:val="none" w:sz="0" w:space="0"/>
            <w:right w:val="none" w:sz="0" w:space="0"/>
          </w:pgBorders>
          <w:pgNumType w:fmt="decimal"/>
          <w:cols w:space="720" w:num="1"/>
          <w:docGrid w:linePitch="312" w:charSpace="0"/>
        </w:sectPr>
      </w:pPr>
    </w:p>
    <w:p w14:paraId="00EC1365">
      <w:pPr>
        <w:snapToGrid w:val="0"/>
        <w:spacing w:before="50" w:after="120" w:afterLines="50"/>
        <w:jc w:val="left"/>
        <w:rPr>
          <w:szCs w:val="21"/>
        </w:rPr>
      </w:pPr>
      <w:r>
        <w:rPr>
          <w:rFonts w:hint="eastAsia"/>
          <w:szCs w:val="21"/>
          <w:lang w:val="en-US" w:eastAsia="zh-CN"/>
        </w:rPr>
        <w:t>4</w:t>
      </w:r>
      <w:r>
        <w:rPr>
          <w:szCs w:val="21"/>
        </w:rPr>
        <w:t>．</w:t>
      </w:r>
      <w:r>
        <w:rPr>
          <w:rFonts w:hint="eastAsia"/>
          <w:szCs w:val="21"/>
        </w:rPr>
        <w:t>提供投标产品由中共中央网络安全和信息化委员会办公室网站最新发布的《网络关键设备和网络安全专用产品安全认证和安全检测结果》截图证明材料或提供有效期内的《计算机信息系统安全专用产品销售许可证》（采购标的包含时提供）</w:t>
      </w:r>
    </w:p>
    <w:p w14:paraId="53A08D13">
      <w:pPr>
        <w:widowControl/>
        <w:jc w:val="left"/>
        <w:rPr>
          <w:szCs w:val="21"/>
        </w:rPr>
      </w:pPr>
    </w:p>
    <w:p w14:paraId="654CB7B8">
      <w:pPr>
        <w:widowControl/>
        <w:jc w:val="left"/>
        <w:rPr>
          <w:szCs w:val="21"/>
        </w:rPr>
      </w:pPr>
    </w:p>
    <w:p w14:paraId="44C4EB72">
      <w:pPr>
        <w:widowControl/>
        <w:jc w:val="left"/>
        <w:rPr>
          <w:szCs w:val="21"/>
        </w:rPr>
      </w:pPr>
      <w:r>
        <w:rPr>
          <w:rFonts w:hint="eastAsia"/>
          <w:szCs w:val="21"/>
          <w:lang w:val="en-US" w:eastAsia="zh-CN"/>
        </w:rPr>
        <w:t>5</w:t>
      </w:r>
      <w:r>
        <w:rPr>
          <w:szCs w:val="21"/>
        </w:rPr>
        <w:t>．符合政府采购政策</w:t>
      </w:r>
      <w:r>
        <w:rPr>
          <w:rFonts w:hint="eastAsia"/>
          <w:szCs w:val="21"/>
        </w:rPr>
        <w:t>的</w:t>
      </w:r>
      <w:r>
        <w:rPr>
          <w:szCs w:val="21"/>
        </w:rPr>
        <w:t>证明材料。</w:t>
      </w:r>
    </w:p>
    <w:p w14:paraId="0F2E9F8A">
      <w:pPr>
        <w:snapToGrid w:val="0"/>
        <w:spacing w:before="50" w:after="120" w:afterLines="50"/>
        <w:jc w:val="left"/>
        <w:rPr>
          <w:szCs w:val="21"/>
        </w:rPr>
      </w:pPr>
      <w:r>
        <w:rPr>
          <w:rFonts w:hint="eastAsia"/>
          <w:szCs w:val="21"/>
          <w:lang w:val="en-US" w:eastAsia="zh-CN"/>
        </w:rPr>
        <w:t>5</w:t>
      </w:r>
      <w:r>
        <w:rPr>
          <w:rFonts w:hint="eastAsia"/>
          <w:szCs w:val="21"/>
        </w:rPr>
        <w:t>.1列入节能产品政府采购品目清单及环境标志产品政府采购品目清单的货物清单。</w:t>
      </w:r>
      <w:r>
        <w:rPr>
          <w:rFonts w:hint="eastAsia"/>
          <w:b/>
          <w:szCs w:val="21"/>
        </w:rPr>
        <w:t>（如有，须提供）</w:t>
      </w:r>
    </w:p>
    <w:p w14:paraId="13A04303">
      <w:pPr>
        <w:snapToGrid w:val="0"/>
        <w:spacing w:before="50" w:after="120" w:afterLines="50"/>
        <w:jc w:val="left"/>
        <w:rPr>
          <w:rFonts w:hint="eastAsia" w:eastAsia="宋体"/>
          <w:szCs w:val="21"/>
          <w:lang w:eastAsia="zh-CN"/>
        </w:rPr>
      </w:pPr>
      <w:r>
        <w:rPr>
          <w:rFonts w:hint="eastAsia"/>
          <w:szCs w:val="21"/>
        </w:rPr>
        <w:t>投标产品中如有列入节能产品政府采购品目清单及环境标志产品政府采购品目清单的货物，应按下表提供清单。投标文件中</w:t>
      </w:r>
      <w:r>
        <w:rPr>
          <w:rFonts w:hint="eastAsia"/>
          <w:szCs w:val="21"/>
          <w:lang w:val="en-US" w:eastAsia="zh-CN"/>
        </w:rPr>
        <w:t>同时</w:t>
      </w:r>
      <w:r>
        <w:rPr>
          <w:rFonts w:hint="eastAsia"/>
          <w:szCs w:val="21"/>
        </w:rPr>
        <w:t>提供所投标产品的节能产品及环境标志认证证书扫描件</w:t>
      </w:r>
      <w:r>
        <w:rPr>
          <w:rFonts w:hint="eastAsia"/>
          <w:lang w:eastAsia="zh-CN"/>
        </w:rPr>
        <w:t>。</w:t>
      </w:r>
    </w:p>
    <w:p w14:paraId="3078411B">
      <w:pPr>
        <w:spacing w:line="360" w:lineRule="auto"/>
        <w:jc w:val="center"/>
        <w:rPr>
          <w:szCs w:val="21"/>
        </w:rPr>
      </w:pPr>
      <w:r>
        <w:rPr>
          <w:rFonts w:hint="eastAsia"/>
          <w:b/>
          <w:szCs w:val="21"/>
        </w:rPr>
        <w:t>节能产品及环境标志产品清单</w:t>
      </w:r>
    </w:p>
    <w:tbl>
      <w:tblPr>
        <w:tblStyle w:val="53"/>
        <w:tblW w:w="9328"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67"/>
        <w:gridCol w:w="1134"/>
        <w:gridCol w:w="897"/>
        <w:gridCol w:w="1088"/>
        <w:gridCol w:w="1409"/>
        <w:gridCol w:w="1851"/>
        <w:gridCol w:w="1412"/>
        <w:gridCol w:w="770"/>
      </w:tblGrid>
      <w:tr w14:paraId="064F81F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4" w:hRule="atLeast"/>
          <w:jc w:val="center"/>
        </w:trPr>
        <w:tc>
          <w:tcPr>
            <w:tcW w:w="767" w:type="dxa"/>
            <w:tcBorders>
              <w:top w:val="single" w:color="auto" w:sz="12" w:space="0"/>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6BFE2B00">
            <w:pPr>
              <w:widowControl/>
              <w:spacing w:before="100" w:beforeAutospacing="1" w:after="100" w:afterAutospacing="1" w:line="376" w:lineRule="atLeast"/>
              <w:jc w:val="center"/>
              <w:rPr>
                <w:kern w:val="0"/>
                <w:szCs w:val="21"/>
              </w:rPr>
            </w:pPr>
            <w:r>
              <w:rPr>
                <w:kern w:val="0"/>
                <w:szCs w:val="21"/>
              </w:rPr>
              <w:t>序号</w:t>
            </w:r>
          </w:p>
        </w:tc>
        <w:tc>
          <w:tcPr>
            <w:tcW w:w="1134"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657CBCF3">
            <w:pPr>
              <w:widowControl/>
              <w:spacing w:before="100" w:beforeAutospacing="1" w:after="100" w:afterAutospacing="1" w:line="376" w:lineRule="atLeast"/>
              <w:jc w:val="center"/>
              <w:rPr>
                <w:kern w:val="0"/>
                <w:szCs w:val="21"/>
              </w:rPr>
            </w:pPr>
            <w:r>
              <w:rPr>
                <w:rFonts w:hint="eastAsia"/>
                <w:kern w:val="0"/>
                <w:szCs w:val="21"/>
              </w:rPr>
              <w:t>类别</w:t>
            </w:r>
          </w:p>
        </w:tc>
        <w:tc>
          <w:tcPr>
            <w:tcW w:w="897" w:type="dxa"/>
            <w:tcBorders>
              <w:top w:val="single" w:color="auto" w:sz="12" w:space="0"/>
              <w:left w:val="single" w:color="auto" w:sz="4" w:space="0"/>
              <w:bottom w:val="single" w:color="auto" w:sz="8" w:space="0"/>
              <w:right w:val="single" w:color="auto" w:sz="8" w:space="0"/>
            </w:tcBorders>
            <w:noWrap w:val="0"/>
            <w:vAlign w:val="center"/>
          </w:tcPr>
          <w:p w14:paraId="3841B31F">
            <w:pPr>
              <w:widowControl/>
              <w:spacing w:before="100" w:beforeAutospacing="1" w:after="100" w:afterAutospacing="1" w:line="376" w:lineRule="atLeast"/>
              <w:jc w:val="center"/>
              <w:rPr>
                <w:kern w:val="0"/>
                <w:szCs w:val="21"/>
              </w:rPr>
            </w:pPr>
            <w:r>
              <w:rPr>
                <w:rFonts w:hint="eastAsia"/>
                <w:kern w:val="0"/>
                <w:szCs w:val="21"/>
              </w:rPr>
              <w:t>品目</w:t>
            </w:r>
          </w:p>
        </w:tc>
        <w:tc>
          <w:tcPr>
            <w:tcW w:w="1088" w:type="dxa"/>
            <w:tcBorders>
              <w:top w:val="single" w:color="auto" w:sz="12" w:space="0"/>
              <w:left w:val="nil"/>
              <w:bottom w:val="single" w:color="auto" w:sz="8" w:space="0"/>
              <w:right w:val="single" w:color="auto" w:sz="4" w:space="0"/>
            </w:tcBorders>
            <w:noWrap w:val="0"/>
            <w:tcMar>
              <w:top w:w="0" w:type="dxa"/>
              <w:left w:w="57" w:type="dxa"/>
              <w:bottom w:w="0" w:type="dxa"/>
              <w:right w:w="57" w:type="dxa"/>
            </w:tcMar>
            <w:vAlign w:val="center"/>
          </w:tcPr>
          <w:p w14:paraId="1843D44D">
            <w:pPr>
              <w:widowControl/>
              <w:spacing w:before="100" w:beforeAutospacing="1" w:after="100" w:afterAutospacing="1" w:line="376" w:lineRule="atLeast"/>
              <w:jc w:val="center"/>
              <w:rPr>
                <w:kern w:val="0"/>
                <w:szCs w:val="21"/>
              </w:rPr>
            </w:pPr>
            <w:r>
              <w:rPr>
                <w:rFonts w:hint="eastAsia"/>
                <w:kern w:val="0"/>
                <w:szCs w:val="21"/>
              </w:rPr>
              <w:t>品牌</w:t>
            </w:r>
          </w:p>
        </w:tc>
        <w:tc>
          <w:tcPr>
            <w:tcW w:w="1409" w:type="dxa"/>
            <w:tcBorders>
              <w:top w:val="single" w:color="auto" w:sz="12" w:space="0"/>
              <w:left w:val="single" w:color="auto" w:sz="4" w:space="0"/>
              <w:bottom w:val="single" w:color="auto" w:sz="8" w:space="0"/>
              <w:right w:val="single" w:color="auto" w:sz="8" w:space="0"/>
            </w:tcBorders>
            <w:noWrap w:val="0"/>
            <w:vAlign w:val="center"/>
          </w:tcPr>
          <w:p w14:paraId="7C4F7836">
            <w:pPr>
              <w:widowControl/>
              <w:spacing w:before="100" w:beforeAutospacing="1" w:after="100" w:afterAutospacing="1" w:line="376" w:lineRule="atLeast"/>
              <w:jc w:val="center"/>
              <w:rPr>
                <w:kern w:val="0"/>
                <w:szCs w:val="21"/>
              </w:rPr>
            </w:pPr>
            <w:r>
              <w:rPr>
                <w:kern w:val="0"/>
                <w:szCs w:val="21"/>
              </w:rPr>
              <w:t>规格型号</w:t>
            </w:r>
          </w:p>
        </w:tc>
        <w:tc>
          <w:tcPr>
            <w:tcW w:w="1851"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294C048B">
            <w:pPr>
              <w:widowControl/>
              <w:spacing w:before="100" w:beforeAutospacing="1" w:after="100" w:afterAutospacing="1" w:line="376" w:lineRule="atLeast"/>
              <w:jc w:val="center"/>
              <w:rPr>
                <w:kern w:val="0"/>
                <w:szCs w:val="21"/>
              </w:rPr>
            </w:pPr>
            <w:r>
              <w:rPr>
                <w:rFonts w:ascii="Helvetica" w:hAnsi="Helvetica" w:cs="Helvetica"/>
                <w:color w:val="333333"/>
                <w:szCs w:val="21"/>
                <w:shd w:val="clear" w:color="auto" w:fill="FFFFFF"/>
              </w:rPr>
              <w:t>生产者（制造商）</w:t>
            </w:r>
          </w:p>
        </w:tc>
        <w:tc>
          <w:tcPr>
            <w:tcW w:w="1412" w:type="dxa"/>
            <w:tcBorders>
              <w:top w:val="single" w:color="auto" w:sz="12" w:space="0"/>
              <w:left w:val="nil"/>
              <w:bottom w:val="single" w:color="auto" w:sz="8" w:space="0"/>
              <w:right w:val="single" w:color="auto" w:sz="8" w:space="0"/>
            </w:tcBorders>
            <w:noWrap w:val="0"/>
            <w:tcMar>
              <w:top w:w="0" w:type="dxa"/>
              <w:left w:w="57" w:type="dxa"/>
              <w:bottom w:w="0" w:type="dxa"/>
              <w:right w:w="57" w:type="dxa"/>
            </w:tcMar>
            <w:vAlign w:val="center"/>
          </w:tcPr>
          <w:p w14:paraId="1787215C">
            <w:pPr>
              <w:widowControl/>
              <w:spacing w:before="100" w:beforeAutospacing="1" w:after="100" w:afterAutospacing="1" w:line="376" w:lineRule="atLeast"/>
              <w:jc w:val="center"/>
              <w:rPr>
                <w:kern w:val="0"/>
                <w:szCs w:val="21"/>
              </w:rPr>
            </w:pPr>
            <w:r>
              <w:rPr>
                <w:rFonts w:hint="eastAsia"/>
                <w:kern w:val="0"/>
                <w:szCs w:val="21"/>
              </w:rPr>
              <w:t>证书编号及证书到期日期</w:t>
            </w:r>
          </w:p>
        </w:tc>
        <w:tc>
          <w:tcPr>
            <w:tcW w:w="770" w:type="dxa"/>
            <w:tcBorders>
              <w:top w:val="single" w:color="auto" w:sz="12" w:space="0"/>
              <w:left w:val="nil"/>
              <w:bottom w:val="single" w:color="auto" w:sz="8" w:space="0"/>
              <w:right w:val="single" w:color="auto" w:sz="12" w:space="0"/>
            </w:tcBorders>
            <w:noWrap w:val="0"/>
            <w:tcMar>
              <w:top w:w="0" w:type="dxa"/>
              <w:left w:w="57" w:type="dxa"/>
              <w:bottom w:w="0" w:type="dxa"/>
              <w:right w:w="57" w:type="dxa"/>
            </w:tcMar>
            <w:vAlign w:val="center"/>
          </w:tcPr>
          <w:p w14:paraId="46342A55">
            <w:pPr>
              <w:widowControl/>
              <w:spacing w:before="100" w:beforeAutospacing="1" w:after="100" w:afterAutospacing="1" w:line="376" w:lineRule="atLeast"/>
              <w:jc w:val="center"/>
              <w:rPr>
                <w:kern w:val="0"/>
                <w:szCs w:val="21"/>
              </w:rPr>
            </w:pPr>
            <w:r>
              <w:rPr>
                <w:kern w:val="0"/>
                <w:szCs w:val="21"/>
              </w:rPr>
              <w:t>备注</w:t>
            </w:r>
          </w:p>
        </w:tc>
      </w:tr>
      <w:tr w14:paraId="522E2E2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33"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03DB58BB">
            <w:pPr>
              <w:widowControl/>
              <w:spacing w:before="100" w:beforeAutospacing="1" w:after="100" w:afterAutospacing="1" w:line="376" w:lineRule="atLeast"/>
              <w:jc w:val="center"/>
              <w:rPr>
                <w:kern w:val="0"/>
                <w:szCs w:val="21"/>
              </w:rPr>
            </w:pPr>
            <w:r>
              <w:rPr>
                <w:kern w:val="0"/>
                <w:szCs w:val="21"/>
              </w:rPr>
              <w:t>1</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97A66B2">
            <w:pPr>
              <w:widowControl/>
              <w:spacing w:before="100" w:beforeAutospacing="1" w:after="100" w:afterAutospacing="1" w:line="376" w:lineRule="atLeast"/>
              <w:jc w:val="center"/>
              <w:rPr>
                <w:kern w:val="0"/>
                <w:szCs w:val="21"/>
              </w:rPr>
            </w:pPr>
          </w:p>
        </w:tc>
        <w:tc>
          <w:tcPr>
            <w:tcW w:w="897" w:type="dxa"/>
            <w:tcBorders>
              <w:top w:val="nil"/>
              <w:left w:val="single" w:color="auto" w:sz="4" w:space="0"/>
              <w:bottom w:val="single" w:color="auto" w:sz="8" w:space="0"/>
              <w:right w:val="single" w:color="auto" w:sz="8" w:space="0"/>
            </w:tcBorders>
            <w:noWrap w:val="0"/>
            <w:vAlign w:val="center"/>
          </w:tcPr>
          <w:p w14:paraId="280ABEA6">
            <w:pPr>
              <w:widowControl/>
              <w:spacing w:before="100" w:beforeAutospacing="1" w:after="100" w:afterAutospacing="1" w:line="376" w:lineRule="atLeast"/>
              <w:jc w:val="center"/>
              <w:rPr>
                <w:kern w:val="0"/>
                <w:szCs w:val="21"/>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4DECDEC6">
            <w:pPr>
              <w:widowControl/>
              <w:spacing w:before="100" w:beforeAutospacing="1" w:after="100" w:afterAutospacing="1" w:line="376" w:lineRule="atLeast"/>
              <w:jc w:val="center"/>
              <w:rPr>
                <w:kern w:val="0"/>
                <w:szCs w:val="21"/>
              </w:rPr>
            </w:pPr>
          </w:p>
        </w:tc>
        <w:tc>
          <w:tcPr>
            <w:tcW w:w="1409" w:type="dxa"/>
            <w:tcBorders>
              <w:top w:val="nil"/>
              <w:left w:val="single" w:color="auto" w:sz="4" w:space="0"/>
              <w:bottom w:val="single" w:color="auto" w:sz="8" w:space="0"/>
              <w:right w:val="single" w:color="auto" w:sz="8" w:space="0"/>
            </w:tcBorders>
            <w:noWrap w:val="0"/>
            <w:vAlign w:val="center"/>
          </w:tcPr>
          <w:p w14:paraId="5C5B6106">
            <w:pPr>
              <w:widowControl/>
              <w:spacing w:before="100" w:beforeAutospacing="1" w:after="100" w:afterAutospacing="1" w:line="376" w:lineRule="atLeast"/>
              <w:jc w:val="center"/>
              <w:rPr>
                <w:kern w:val="0"/>
                <w:szCs w:val="21"/>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A671059">
            <w:pPr>
              <w:widowControl/>
              <w:spacing w:before="100" w:beforeAutospacing="1" w:after="100" w:afterAutospacing="1" w:line="376" w:lineRule="atLeast"/>
              <w:jc w:val="center"/>
              <w:rPr>
                <w:kern w:val="0"/>
                <w:szCs w:val="21"/>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BD40D24">
            <w:pPr>
              <w:widowControl/>
              <w:spacing w:before="100" w:beforeAutospacing="1" w:after="100" w:afterAutospacing="1" w:line="376" w:lineRule="atLeast"/>
              <w:jc w:val="center"/>
              <w:rPr>
                <w:kern w:val="0"/>
                <w:szCs w:val="21"/>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709FC20D">
            <w:pPr>
              <w:widowControl/>
              <w:spacing w:before="100" w:beforeAutospacing="1" w:after="100" w:afterAutospacing="1" w:line="376" w:lineRule="atLeast"/>
              <w:jc w:val="center"/>
              <w:rPr>
                <w:kern w:val="0"/>
                <w:szCs w:val="21"/>
              </w:rPr>
            </w:pPr>
          </w:p>
        </w:tc>
      </w:tr>
      <w:tr w14:paraId="2AEEEB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81"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2C3D0058">
            <w:pPr>
              <w:widowControl/>
              <w:spacing w:before="100" w:beforeAutospacing="1" w:after="100" w:afterAutospacing="1" w:line="376" w:lineRule="atLeast"/>
              <w:jc w:val="center"/>
              <w:rPr>
                <w:kern w:val="0"/>
                <w:szCs w:val="21"/>
              </w:rPr>
            </w:pPr>
            <w:r>
              <w:rPr>
                <w:kern w:val="0"/>
                <w:szCs w:val="21"/>
              </w:rPr>
              <w:t>2</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0C525EE">
            <w:pPr>
              <w:widowControl/>
              <w:spacing w:before="100" w:beforeAutospacing="1" w:after="100" w:afterAutospacing="1" w:line="376" w:lineRule="atLeast"/>
              <w:jc w:val="center"/>
              <w:rPr>
                <w:kern w:val="0"/>
                <w:szCs w:val="21"/>
              </w:rPr>
            </w:pPr>
          </w:p>
        </w:tc>
        <w:tc>
          <w:tcPr>
            <w:tcW w:w="897" w:type="dxa"/>
            <w:tcBorders>
              <w:top w:val="nil"/>
              <w:left w:val="single" w:color="auto" w:sz="4" w:space="0"/>
              <w:bottom w:val="single" w:color="auto" w:sz="8" w:space="0"/>
              <w:right w:val="single" w:color="auto" w:sz="8" w:space="0"/>
            </w:tcBorders>
            <w:noWrap w:val="0"/>
            <w:vAlign w:val="center"/>
          </w:tcPr>
          <w:p w14:paraId="5E78D8D4">
            <w:pPr>
              <w:widowControl/>
              <w:spacing w:before="100" w:beforeAutospacing="1" w:after="100" w:afterAutospacing="1" w:line="376" w:lineRule="atLeast"/>
              <w:jc w:val="center"/>
              <w:rPr>
                <w:kern w:val="0"/>
                <w:szCs w:val="21"/>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073FE278">
            <w:pPr>
              <w:widowControl/>
              <w:spacing w:before="100" w:beforeAutospacing="1" w:after="100" w:afterAutospacing="1" w:line="376" w:lineRule="atLeast"/>
              <w:jc w:val="center"/>
              <w:rPr>
                <w:kern w:val="0"/>
                <w:szCs w:val="21"/>
              </w:rPr>
            </w:pPr>
          </w:p>
        </w:tc>
        <w:tc>
          <w:tcPr>
            <w:tcW w:w="1409" w:type="dxa"/>
            <w:tcBorders>
              <w:top w:val="nil"/>
              <w:left w:val="single" w:color="auto" w:sz="4" w:space="0"/>
              <w:bottom w:val="single" w:color="auto" w:sz="8" w:space="0"/>
              <w:right w:val="single" w:color="auto" w:sz="8" w:space="0"/>
            </w:tcBorders>
            <w:noWrap w:val="0"/>
            <w:vAlign w:val="center"/>
          </w:tcPr>
          <w:p w14:paraId="1CF74511">
            <w:pPr>
              <w:widowControl/>
              <w:spacing w:before="100" w:beforeAutospacing="1" w:after="100" w:afterAutospacing="1" w:line="376" w:lineRule="atLeast"/>
              <w:jc w:val="center"/>
              <w:rPr>
                <w:kern w:val="0"/>
                <w:szCs w:val="21"/>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F52957">
            <w:pPr>
              <w:widowControl/>
              <w:spacing w:before="100" w:beforeAutospacing="1" w:after="100" w:afterAutospacing="1" w:line="376" w:lineRule="atLeast"/>
              <w:jc w:val="center"/>
              <w:rPr>
                <w:kern w:val="0"/>
                <w:szCs w:val="21"/>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505BA47">
            <w:pPr>
              <w:widowControl/>
              <w:spacing w:before="100" w:beforeAutospacing="1" w:after="100" w:afterAutospacing="1" w:line="376" w:lineRule="atLeast"/>
              <w:jc w:val="center"/>
              <w:rPr>
                <w:kern w:val="0"/>
                <w:szCs w:val="21"/>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41D76364">
            <w:pPr>
              <w:widowControl/>
              <w:spacing w:before="100" w:beforeAutospacing="1" w:after="100" w:afterAutospacing="1" w:line="376" w:lineRule="atLeast"/>
              <w:jc w:val="center"/>
              <w:rPr>
                <w:kern w:val="0"/>
                <w:szCs w:val="21"/>
              </w:rPr>
            </w:pPr>
          </w:p>
        </w:tc>
      </w:tr>
      <w:tr w14:paraId="7FF698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00" w:hRule="atLeast"/>
          <w:jc w:val="center"/>
        </w:trPr>
        <w:tc>
          <w:tcPr>
            <w:tcW w:w="767" w:type="dxa"/>
            <w:tcBorders>
              <w:top w:val="nil"/>
              <w:left w:val="single" w:color="auto" w:sz="12" w:space="0"/>
              <w:bottom w:val="single" w:color="auto" w:sz="8" w:space="0"/>
              <w:right w:val="single" w:color="auto" w:sz="8" w:space="0"/>
            </w:tcBorders>
            <w:noWrap w:val="0"/>
            <w:tcMar>
              <w:top w:w="0" w:type="dxa"/>
              <w:left w:w="57" w:type="dxa"/>
              <w:bottom w:w="0" w:type="dxa"/>
              <w:right w:w="57" w:type="dxa"/>
            </w:tcMar>
            <w:vAlign w:val="center"/>
          </w:tcPr>
          <w:p w14:paraId="370573C0">
            <w:pPr>
              <w:widowControl/>
              <w:spacing w:before="100" w:beforeAutospacing="1" w:after="100" w:afterAutospacing="1" w:line="376" w:lineRule="atLeast"/>
              <w:jc w:val="center"/>
              <w:rPr>
                <w:kern w:val="0"/>
                <w:szCs w:val="21"/>
              </w:rPr>
            </w:pPr>
            <w:r>
              <w:rPr>
                <w:kern w:val="0"/>
                <w:szCs w:val="21"/>
              </w:rPr>
              <w:t>……</w:t>
            </w:r>
          </w:p>
        </w:tc>
        <w:tc>
          <w:tcPr>
            <w:tcW w:w="1134"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586016CD">
            <w:pPr>
              <w:widowControl/>
              <w:spacing w:before="100" w:beforeAutospacing="1" w:after="100" w:afterAutospacing="1" w:line="376" w:lineRule="atLeast"/>
              <w:jc w:val="center"/>
              <w:rPr>
                <w:kern w:val="0"/>
                <w:szCs w:val="21"/>
              </w:rPr>
            </w:pPr>
          </w:p>
        </w:tc>
        <w:tc>
          <w:tcPr>
            <w:tcW w:w="897" w:type="dxa"/>
            <w:tcBorders>
              <w:top w:val="nil"/>
              <w:left w:val="single" w:color="auto" w:sz="4" w:space="0"/>
              <w:bottom w:val="single" w:color="auto" w:sz="8" w:space="0"/>
              <w:right w:val="single" w:color="auto" w:sz="8" w:space="0"/>
            </w:tcBorders>
            <w:noWrap w:val="0"/>
            <w:vAlign w:val="center"/>
          </w:tcPr>
          <w:p w14:paraId="489F3746">
            <w:pPr>
              <w:widowControl/>
              <w:spacing w:before="100" w:beforeAutospacing="1" w:after="100" w:afterAutospacing="1" w:line="376" w:lineRule="atLeast"/>
              <w:jc w:val="center"/>
              <w:rPr>
                <w:kern w:val="0"/>
                <w:szCs w:val="21"/>
              </w:rPr>
            </w:pPr>
          </w:p>
        </w:tc>
        <w:tc>
          <w:tcPr>
            <w:tcW w:w="1088" w:type="dxa"/>
            <w:tcBorders>
              <w:top w:val="nil"/>
              <w:left w:val="nil"/>
              <w:bottom w:val="single" w:color="auto" w:sz="8" w:space="0"/>
              <w:right w:val="single" w:color="auto" w:sz="4" w:space="0"/>
            </w:tcBorders>
            <w:noWrap w:val="0"/>
            <w:tcMar>
              <w:top w:w="0" w:type="dxa"/>
              <w:left w:w="57" w:type="dxa"/>
              <w:bottom w:w="0" w:type="dxa"/>
              <w:right w:w="57" w:type="dxa"/>
            </w:tcMar>
            <w:vAlign w:val="center"/>
          </w:tcPr>
          <w:p w14:paraId="195FEBF9">
            <w:pPr>
              <w:widowControl/>
              <w:spacing w:before="100" w:beforeAutospacing="1" w:after="100" w:afterAutospacing="1" w:line="376" w:lineRule="atLeast"/>
              <w:jc w:val="center"/>
              <w:rPr>
                <w:kern w:val="0"/>
                <w:szCs w:val="21"/>
              </w:rPr>
            </w:pPr>
          </w:p>
        </w:tc>
        <w:tc>
          <w:tcPr>
            <w:tcW w:w="1409" w:type="dxa"/>
            <w:tcBorders>
              <w:top w:val="nil"/>
              <w:left w:val="single" w:color="auto" w:sz="4" w:space="0"/>
              <w:bottom w:val="single" w:color="auto" w:sz="8" w:space="0"/>
              <w:right w:val="single" w:color="auto" w:sz="8" w:space="0"/>
            </w:tcBorders>
            <w:noWrap w:val="0"/>
            <w:vAlign w:val="center"/>
          </w:tcPr>
          <w:p w14:paraId="4BD08C80">
            <w:pPr>
              <w:widowControl/>
              <w:spacing w:before="100" w:beforeAutospacing="1" w:after="100" w:afterAutospacing="1" w:line="376" w:lineRule="atLeast"/>
              <w:jc w:val="center"/>
              <w:rPr>
                <w:kern w:val="0"/>
                <w:szCs w:val="21"/>
              </w:rPr>
            </w:pPr>
          </w:p>
        </w:tc>
        <w:tc>
          <w:tcPr>
            <w:tcW w:w="1851"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D48CF4">
            <w:pPr>
              <w:widowControl/>
              <w:spacing w:before="100" w:beforeAutospacing="1" w:after="100" w:afterAutospacing="1" w:line="376" w:lineRule="atLeast"/>
              <w:jc w:val="center"/>
              <w:rPr>
                <w:kern w:val="0"/>
                <w:szCs w:val="21"/>
              </w:rPr>
            </w:pPr>
          </w:p>
        </w:tc>
        <w:tc>
          <w:tcPr>
            <w:tcW w:w="1412"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CF35899">
            <w:pPr>
              <w:widowControl/>
              <w:spacing w:before="100" w:beforeAutospacing="1" w:after="100" w:afterAutospacing="1" w:line="376" w:lineRule="atLeast"/>
              <w:jc w:val="center"/>
              <w:rPr>
                <w:kern w:val="0"/>
                <w:szCs w:val="21"/>
              </w:rPr>
            </w:pPr>
          </w:p>
        </w:tc>
        <w:tc>
          <w:tcPr>
            <w:tcW w:w="770" w:type="dxa"/>
            <w:tcBorders>
              <w:top w:val="nil"/>
              <w:left w:val="nil"/>
              <w:bottom w:val="single" w:color="auto" w:sz="8" w:space="0"/>
              <w:right w:val="single" w:color="auto" w:sz="12" w:space="0"/>
            </w:tcBorders>
            <w:noWrap w:val="0"/>
            <w:tcMar>
              <w:top w:w="0" w:type="dxa"/>
              <w:left w:w="57" w:type="dxa"/>
              <w:bottom w:w="0" w:type="dxa"/>
              <w:right w:w="57" w:type="dxa"/>
            </w:tcMar>
            <w:vAlign w:val="center"/>
          </w:tcPr>
          <w:p w14:paraId="67F4590E">
            <w:pPr>
              <w:widowControl/>
              <w:spacing w:before="100" w:beforeAutospacing="1" w:after="100" w:afterAutospacing="1" w:line="376" w:lineRule="atLeast"/>
              <w:jc w:val="center"/>
              <w:rPr>
                <w:kern w:val="0"/>
                <w:szCs w:val="21"/>
              </w:rPr>
            </w:pPr>
          </w:p>
        </w:tc>
      </w:tr>
    </w:tbl>
    <w:p w14:paraId="0F9B5AB9">
      <w:pPr>
        <w:snapToGrid w:val="0"/>
        <w:spacing w:before="50" w:after="120" w:afterLines="50"/>
        <w:jc w:val="left"/>
        <w:rPr>
          <w:szCs w:val="21"/>
        </w:rPr>
      </w:pPr>
      <w:r>
        <w:rPr>
          <w:rFonts w:hint="eastAsia"/>
          <w:szCs w:val="21"/>
        </w:rPr>
        <w:t>注：类别填写节能或环境标志，品目填写编号及产品名称如A</w:t>
      </w:r>
      <w:r>
        <w:rPr>
          <w:szCs w:val="21"/>
        </w:rPr>
        <w:t>02010104</w:t>
      </w:r>
      <w:r>
        <w:rPr>
          <w:rFonts w:hint="eastAsia"/>
          <w:szCs w:val="21"/>
        </w:rPr>
        <w:t>台式计算机。</w:t>
      </w:r>
    </w:p>
    <w:p w14:paraId="6224C9C9">
      <w:pPr>
        <w:snapToGrid w:val="0"/>
        <w:spacing w:before="50" w:after="120" w:afterLines="50"/>
        <w:jc w:val="left"/>
        <w:rPr>
          <w:szCs w:val="21"/>
        </w:rPr>
      </w:pPr>
    </w:p>
    <w:p w14:paraId="3C61293E">
      <w:pPr>
        <w:widowControl/>
        <w:jc w:val="left"/>
        <w:rPr>
          <w:szCs w:val="21"/>
        </w:rPr>
      </w:pPr>
      <w:bookmarkStart w:id="160" w:name="_Hlk19050322"/>
      <w:r>
        <w:rPr>
          <w:szCs w:val="21"/>
        </w:rPr>
        <w:br w:type="page"/>
      </w:r>
    </w:p>
    <w:p w14:paraId="5DAE6C34">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0"/>
        <w:jc w:val="left"/>
        <w:textAlignment w:val="baseline"/>
        <w:rPr>
          <w:rFonts w:ascii="Calibri" w:hAnsi="Calibri" w:eastAsia="宋体" w:cs="Times New Roman"/>
          <w:kern w:val="0"/>
          <w:sz w:val="28"/>
          <w:szCs w:val="28"/>
          <w:lang w:val="en-US" w:eastAsia="zh-CN" w:bidi="ar"/>
        </w:rPr>
      </w:pPr>
      <w:r>
        <w:rPr>
          <w:rFonts w:hint="eastAsia"/>
          <w:szCs w:val="21"/>
          <w:lang w:val="en-US" w:eastAsia="zh-CN"/>
        </w:rPr>
        <w:t>5.2 如供应商提供的产品属于本国产品</w:t>
      </w:r>
      <w:r>
        <w:rPr>
          <w:rFonts w:hint="eastAsia"/>
          <w:szCs w:val="21"/>
        </w:rPr>
        <w:t>，按以下格式提供</w:t>
      </w:r>
      <w:r>
        <w:rPr>
          <w:rFonts w:hint="eastAsia"/>
          <w:szCs w:val="21"/>
          <w:lang w:val="en-US" w:eastAsia="zh-CN"/>
        </w:rPr>
        <w:t>关于符合本国产品标准的声明函</w:t>
      </w:r>
      <w:r>
        <w:rPr>
          <w:rFonts w:hint="eastAsia"/>
          <w:szCs w:val="21"/>
        </w:rPr>
        <w:t>。</w:t>
      </w:r>
    </w:p>
    <w:p w14:paraId="66FF0805">
      <w:pPr>
        <w:spacing w:line="360" w:lineRule="auto"/>
        <w:ind w:firstLine="3584" w:firstLineChars="1700"/>
        <w:rPr>
          <w:rFonts w:hint="eastAsia"/>
          <w:b/>
          <w:szCs w:val="21"/>
          <w:lang w:val="en-US" w:eastAsia="zh-CN"/>
        </w:rPr>
      </w:pPr>
    </w:p>
    <w:p w14:paraId="594A8CD8">
      <w:pPr>
        <w:spacing w:line="360" w:lineRule="auto"/>
        <w:ind w:firstLine="3584" w:firstLineChars="1700"/>
        <w:rPr>
          <w:rFonts w:hint="eastAsia"/>
          <w:b/>
          <w:szCs w:val="21"/>
          <w:lang w:val="en-US" w:eastAsia="zh-CN"/>
        </w:rPr>
      </w:pPr>
      <w:r>
        <w:rPr>
          <w:rFonts w:hint="eastAsia"/>
          <w:b/>
          <w:szCs w:val="21"/>
          <w:lang w:val="en-US" w:eastAsia="zh-CN"/>
        </w:rPr>
        <w:t>关于符合本国产品标准的声明函</w:t>
      </w:r>
    </w:p>
    <w:p w14:paraId="5F0BFF7F">
      <w:pPr>
        <w:spacing w:line="360" w:lineRule="auto"/>
        <w:ind w:firstLine="3584" w:firstLineChars="1700"/>
        <w:rPr>
          <w:rFonts w:hint="eastAsia"/>
          <w:b/>
          <w:szCs w:val="21"/>
          <w:lang w:val="en-US" w:eastAsia="zh-CN"/>
        </w:rPr>
      </w:pPr>
    </w:p>
    <w:p w14:paraId="3037E81F">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本公司（单位）郑重声明，根据《国务院办公厅关于在政府采购中实施本国产品标准及相关政策的通知》（国办发〔2025〕34号）的规定，本公司（单位）提供的以下产品属于本国产品。具体情况如下：</w:t>
      </w:r>
    </w:p>
    <w:p w14:paraId="0F629E88">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产品名称1）1，生产厂为（厂名）2，厂址为（生产厂址）。（产品名称1）的中国境内生产的组件成本占比≥（规定比例）3。（产品名称1）的（关键组件）4在中国境内生产。（产品名称1）的（关键工序）5在中国境内完成。</w:t>
      </w:r>
    </w:p>
    <w:p w14:paraId="3BB489E6">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产品名称2），生产厂为（厂名），厂址为（生产厂址）。（产品名称2）的中国境内生产的组件成本占比≥（规定比例）。（产品名称2）的（关键组件）在中国境内生产。（产品名称2）的（关键工序）在中国境内完成。</w:t>
      </w:r>
    </w:p>
    <w:p w14:paraId="5FC29288">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w:t>
      </w:r>
    </w:p>
    <w:p w14:paraId="42B07A80">
      <w:pPr>
        <w:spacing w:line="360" w:lineRule="auto"/>
        <w:ind w:firstLine="420" w:firstLineChars="200"/>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本公司（单位）对上述声明内容的真实性负责。如有虚假，愿承担相应法律责任。</w:t>
      </w:r>
    </w:p>
    <w:p w14:paraId="35C49BAE">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0"/>
        <w:jc w:val="lef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 </w:t>
      </w:r>
    </w:p>
    <w:p w14:paraId="3123647C">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0"/>
        <w:jc w:val="righ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供应商名称（盖章）：　        </w:t>
      </w:r>
    </w:p>
    <w:p w14:paraId="50B234DB">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0"/>
        <w:jc w:val="right"/>
        <w:textAlignment w:val="baseline"/>
        <w:rPr>
          <w:rFonts w:ascii="Calibri" w:hAnsi="Calibri" w:eastAsia="宋体" w:cs="Times New Roman"/>
          <w:kern w:val="0"/>
          <w:sz w:val="28"/>
          <w:szCs w:val="28"/>
          <w:lang w:val="en-US" w:eastAsia="zh-CN" w:bidi="ar"/>
        </w:rPr>
      </w:pPr>
      <w:r>
        <w:rPr>
          <w:rFonts w:hint="eastAsia" w:ascii="Times New Roman" w:hAnsi="Times New Roman" w:eastAsia="宋体" w:cs="Times New Roman"/>
          <w:kern w:val="2"/>
          <w:sz w:val="21"/>
          <w:szCs w:val="21"/>
          <w:lang w:val="en-US" w:eastAsia="zh-CN" w:bidi="ar-SA"/>
        </w:rPr>
        <w:t>日期：　     年　  月　  日  </w:t>
      </w:r>
      <w:r>
        <w:rPr>
          <w:rFonts w:hint="eastAsia" w:ascii="仿宋" w:hAnsi="仿宋" w:eastAsia="仿宋" w:cs="仿宋"/>
          <w:i w:val="0"/>
          <w:iCs w:val="0"/>
          <w:caps w:val="0"/>
          <w:color w:val="000000"/>
          <w:spacing w:val="0"/>
          <w:kern w:val="0"/>
          <w:sz w:val="28"/>
          <w:szCs w:val="28"/>
          <w:u w:val="none"/>
          <w:shd w:val="clear" w:fill="FFFFFF"/>
          <w:vertAlign w:val="baseline"/>
          <w:lang w:val="en-US" w:eastAsia="zh-CN" w:bidi="ar"/>
        </w:rPr>
        <w:t>       </w:t>
      </w:r>
    </w:p>
    <w:p w14:paraId="5B638928">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0"/>
        <w:jc w:val="left"/>
        <w:textAlignment w:val="baseline"/>
        <w:rPr>
          <w:rFonts w:ascii="Calibri" w:hAnsi="Calibri" w:eastAsia="宋体" w:cs="Times New Roman"/>
          <w:kern w:val="0"/>
          <w:sz w:val="28"/>
          <w:szCs w:val="28"/>
          <w:lang w:val="en-US" w:eastAsia="zh-CN" w:bidi="ar"/>
        </w:rPr>
      </w:pPr>
      <w:r>
        <w:rPr>
          <w:rFonts w:hint="eastAsia" w:ascii="仿宋" w:hAnsi="仿宋" w:eastAsia="仿宋" w:cs="仿宋"/>
          <w:i w:val="0"/>
          <w:iCs w:val="0"/>
          <w:caps w:val="0"/>
          <w:color w:val="000000"/>
          <w:spacing w:val="0"/>
          <w:kern w:val="0"/>
          <w:sz w:val="28"/>
          <w:szCs w:val="28"/>
          <w:u w:val="none"/>
          <w:shd w:val="clear" w:fill="FFFFFF"/>
          <w:vertAlign w:val="baseline"/>
          <w:lang w:val="en-US" w:eastAsia="zh-CN" w:bidi="ar"/>
        </w:rPr>
        <w:t>__________________</w:t>
      </w:r>
    </w:p>
    <w:p w14:paraId="40052B96">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420"/>
        <w:jc w:val="lef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1.产品如有型号，请在“产品名称”栏一并填写。</w:t>
      </w:r>
    </w:p>
    <w:p w14:paraId="4D2C0694">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420"/>
        <w:jc w:val="lef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2.生产厂名与厂址应与生产厂营业执照载明的相关信息保持一致。</w:t>
      </w:r>
    </w:p>
    <w:p w14:paraId="57F58A09">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420"/>
        <w:jc w:val="lef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3.该产品的中国境内生产的组件成本占比相关要求实施前，“规定比例”栏可不填，下同。</w:t>
      </w:r>
    </w:p>
    <w:p w14:paraId="5AEB85C0">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420"/>
        <w:jc w:val="left"/>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4.该产品的关键组件要求实施前，“关键组件”栏可不填，下同。</w:t>
      </w:r>
    </w:p>
    <w:p w14:paraId="1DBC61FE">
      <w:pPr>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30" w:afterAutospacing="0" w:line="560" w:lineRule="atLeast"/>
        <w:ind w:left="0" w:right="0" w:firstLine="420"/>
        <w:jc w:val="left"/>
        <w:textAlignment w:val="baseline"/>
        <w:rPr>
          <w:rFonts w:ascii="Calibri" w:hAnsi="Calibri" w:eastAsia="宋体" w:cs="Times New Roman"/>
          <w:kern w:val="0"/>
          <w:sz w:val="21"/>
          <w:szCs w:val="21"/>
          <w:lang w:val="en-US" w:eastAsia="zh-CN" w:bidi="ar"/>
        </w:rPr>
      </w:pPr>
      <w:r>
        <w:rPr>
          <w:rFonts w:hint="eastAsia" w:ascii="Times New Roman" w:hAnsi="Times New Roman" w:eastAsia="宋体" w:cs="Times New Roman"/>
          <w:kern w:val="2"/>
          <w:sz w:val="21"/>
          <w:szCs w:val="21"/>
          <w:lang w:val="en-US" w:eastAsia="zh-CN" w:bidi="ar-SA"/>
        </w:rPr>
        <w:t>5.该产品的关键工序要求实施前，“关键工序”栏可不填，下同</w:t>
      </w:r>
      <w:r>
        <w:rPr>
          <w:rFonts w:hint="eastAsia" w:ascii="仿宋" w:hAnsi="仿宋" w:eastAsia="仿宋" w:cs="仿宋"/>
          <w:i w:val="0"/>
          <w:iCs w:val="0"/>
          <w:caps w:val="0"/>
          <w:color w:val="000000"/>
          <w:spacing w:val="0"/>
          <w:kern w:val="0"/>
          <w:sz w:val="21"/>
          <w:szCs w:val="21"/>
          <w:u w:val="none"/>
          <w:shd w:val="clear" w:fill="FFFFFF"/>
          <w:vertAlign w:val="baseline"/>
          <w:lang w:val="en-US" w:eastAsia="zh-CN" w:bidi="ar"/>
        </w:rPr>
        <w:t>。</w:t>
      </w:r>
    </w:p>
    <w:p w14:paraId="7419FF0C">
      <w:pPr>
        <w:snapToGrid w:val="0"/>
        <w:spacing w:before="50" w:after="120" w:afterLines="50"/>
        <w:jc w:val="left"/>
        <w:rPr>
          <w:szCs w:val="21"/>
        </w:rPr>
        <w:sectPr>
          <w:headerReference r:id="rId15" w:type="default"/>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7419EDF2">
      <w:pPr>
        <w:pStyle w:val="22"/>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5.</w:t>
      </w:r>
      <w:r>
        <w:rPr>
          <w:rFonts w:hint="eastAsia" w:cs="Times New Roman"/>
          <w:kern w:val="2"/>
          <w:sz w:val="21"/>
          <w:szCs w:val="21"/>
          <w:lang w:val="en-US" w:eastAsia="zh-CN" w:bidi="ar-SA"/>
        </w:rPr>
        <w:t>3</w:t>
      </w:r>
      <w:r>
        <w:rPr>
          <w:rFonts w:hint="eastAsia" w:ascii="Times New Roman" w:hAnsi="Times New Roman" w:eastAsia="宋体" w:cs="Times New Roman"/>
          <w:kern w:val="2"/>
          <w:sz w:val="21"/>
          <w:szCs w:val="21"/>
          <w:lang w:val="en-US" w:eastAsia="zh-CN" w:bidi="ar-SA"/>
        </w:rPr>
        <w:t>关于符合本国产品标准</w:t>
      </w:r>
      <w:r>
        <w:rPr>
          <w:rFonts w:hint="eastAsia" w:cs="Times New Roman"/>
          <w:kern w:val="2"/>
          <w:sz w:val="21"/>
          <w:szCs w:val="21"/>
          <w:lang w:val="en-US" w:eastAsia="zh-CN" w:bidi="ar-SA"/>
        </w:rPr>
        <w:t>的</w:t>
      </w:r>
      <w:r>
        <w:rPr>
          <w:rFonts w:hint="eastAsia" w:ascii="Times New Roman" w:hAnsi="Times New Roman" w:eastAsia="宋体" w:cs="Times New Roman"/>
          <w:kern w:val="2"/>
          <w:sz w:val="21"/>
          <w:szCs w:val="21"/>
          <w:lang w:val="en-US" w:eastAsia="zh-CN" w:bidi="ar-SA"/>
        </w:rPr>
        <w:t>成本占比承诺函</w:t>
      </w:r>
      <w:r>
        <w:rPr>
          <w:rFonts w:hint="eastAsia" w:cs="Times New Roman"/>
          <w:kern w:val="2"/>
          <w:sz w:val="21"/>
          <w:szCs w:val="21"/>
          <w:lang w:val="en-US" w:eastAsia="zh-CN" w:bidi="ar-SA"/>
        </w:rPr>
        <w:t>（单一产品采购不填写此函，多产品采购项目或采购包如供应商所有产品均为本国产品且填写《关于符合本国产品标准的声明函》可不填写此函。格式内容仅供参考）</w:t>
      </w:r>
    </w:p>
    <w:p w14:paraId="021FE4D1">
      <w:pPr>
        <w:pStyle w:val="22"/>
        <w:rPr>
          <w:rFonts w:hint="eastAsia"/>
          <w:lang w:val="en-US" w:eastAsia="zh-CN"/>
        </w:rPr>
      </w:pPr>
    </w:p>
    <w:p w14:paraId="1BF86DF3">
      <w:pPr>
        <w:pStyle w:val="22"/>
        <w:jc w:val="center"/>
        <w:rPr>
          <w:rFonts w:hint="default" w:ascii="Times New Roman" w:hAnsi="Times New Roman" w:eastAsia="宋体" w:cs="Times New Roman"/>
          <w:b/>
          <w:kern w:val="2"/>
          <w:sz w:val="21"/>
          <w:szCs w:val="21"/>
          <w:lang w:val="en-US" w:eastAsia="zh-CN" w:bidi="ar-SA"/>
        </w:rPr>
      </w:pPr>
      <w:r>
        <w:rPr>
          <w:rFonts w:hint="default" w:ascii="Times New Roman" w:hAnsi="Times New Roman" w:eastAsia="宋体" w:cs="Times New Roman"/>
          <w:b/>
          <w:kern w:val="2"/>
          <w:sz w:val="21"/>
          <w:szCs w:val="21"/>
          <w:lang w:val="en-US" w:eastAsia="zh-CN" w:bidi="ar-SA"/>
        </w:rPr>
        <w:t>关于符合本国产品标准</w:t>
      </w:r>
      <w:r>
        <w:rPr>
          <w:rFonts w:hint="eastAsia" w:cs="Times New Roman"/>
          <w:b/>
          <w:kern w:val="2"/>
          <w:sz w:val="21"/>
          <w:szCs w:val="21"/>
          <w:lang w:val="en-US" w:eastAsia="zh-CN" w:bidi="ar-SA"/>
        </w:rPr>
        <w:t>的</w:t>
      </w:r>
      <w:r>
        <w:rPr>
          <w:rFonts w:hint="default" w:ascii="Times New Roman" w:hAnsi="Times New Roman" w:eastAsia="宋体" w:cs="Times New Roman"/>
          <w:b/>
          <w:kern w:val="2"/>
          <w:sz w:val="21"/>
          <w:szCs w:val="21"/>
          <w:lang w:val="en-US" w:eastAsia="zh-CN" w:bidi="ar-SA"/>
        </w:rPr>
        <w:t>成本占比承诺函</w:t>
      </w:r>
    </w:p>
    <w:p w14:paraId="2F9583F3">
      <w:pPr>
        <w:pStyle w:val="22"/>
        <w:rPr>
          <w:rFonts w:hint="default"/>
          <w:lang w:val="en-US" w:eastAsia="zh-CN"/>
        </w:rPr>
      </w:pPr>
    </w:p>
    <w:p w14:paraId="1B02CA98">
      <w:pPr>
        <w:pStyle w:val="22"/>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致：[采购人/采购代理机构名称]</w:t>
      </w:r>
    </w:p>
    <w:p w14:paraId="57CC7D7D">
      <w:pPr>
        <w:pStyle w:val="22"/>
        <w:rPr>
          <w:rFonts w:hint="default" w:ascii="Times New Roman" w:hAnsi="Times New Roman" w:eastAsia="宋体" w:cs="Times New Roman"/>
          <w:kern w:val="2"/>
          <w:sz w:val="21"/>
          <w:szCs w:val="21"/>
          <w:lang w:val="en-US" w:eastAsia="zh-CN" w:bidi="ar-SA"/>
        </w:rPr>
      </w:pPr>
    </w:p>
    <w:p w14:paraId="586402C1">
      <w:pPr>
        <w:pStyle w:val="22"/>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本单位就参与[项目名称、编号]项目，郑重承诺如下：</w:t>
      </w:r>
    </w:p>
    <w:p w14:paraId="4318DAA5">
      <w:pPr>
        <w:pStyle w:val="22"/>
        <w:rPr>
          <w:rFonts w:hint="default" w:ascii="Times New Roman" w:hAnsi="Times New Roman" w:eastAsia="宋体" w:cs="Times New Roman"/>
          <w:kern w:val="2"/>
          <w:sz w:val="21"/>
          <w:szCs w:val="21"/>
          <w:lang w:val="en-US" w:eastAsia="zh-CN" w:bidi="ar-SA"/>
        </w:rPr>
      </w:pPr>
    </w:p>
    <w:p w14:paraId="039F8D0B">
      <w:pPr>
        <w:pStyle w:val="22"/>
        <w:ind w:firstLine="420" w:firstLineChars="200"/>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本单位为该项目（或采购包）提供的符合本国产品标准的产品成本之和，占所提供全部产品成本之和的比例达到80%以上。本公司（单位）对上述承诺内容的真实性负责。如有虚假，愿承担相应法律责任。</w:t>
      </w:r>
    </w:p>
    <w:p w14:paraId="3B704340">
      <w:pPr>
        <w:pStyle w:val="22"/>
        <w:rPr>
          <w:rFonts w:hint="default" w:ascii="Times New Roman" w:hAnsi="Times New Roman" w:eastAsia="宋体" w:cs="Times New Roman"/>
          <w:kern w:val="2"/>
          <w:sz w:val="21"/>
          <w:szCs w:val="21"/>
          <w:lang w:val="en-US" w:eastAsia="zh-CN" w:bidi="ar-SA"/>
        </w:rPr>
      </w:pPr>
    </w:p>
    <w:p w14:paraId="58DC5B11">
      <w:pPr>
        <w:pStyle w:val="22"/>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 xml:space="preserve"> </w:t>
      </w:r>
    </w:p>
    <w:p w14:paraId="1D09A427">
      <w:pPr>
        <w:pStyle w:val="22"/>
        <w:rPr>
          <w:rFonts w:hint="default" w:ascii="Times New Roman" w:hAnsi="Times New Roman" w:eastAsia="宋体" w:cs="Times New Roman"/>
          <w:kern w:val="2"/>
          <w:sz w:val="21"/>
          <w:szCs w:val="21"/>
          <w:lang w:val="en-US" w:eastAsia="zh-CN" w:bidi="ar-SA"/>
        </w:rPr>
      </w:pPr>
    </w:p>
    <w:p w14:paraId="61925803">
      <w:pPr>
        <w:pStyle w:val="22"/>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 xml:space="preserve"> </w:t>
      </w:r>
    </w:p>
    <w:p w14:paraId="67B92C14">
      <w:pPr>
        <w:pStyle w:val="22"/>
        <w:rPr>
          <w:rFonts w:hint="default" w:ascii="Times New Roman" w:hAnsi="Times New Roman" w:eastAsia="宋体" w:cs="Times New Roman"/>
          <w:kern w:val="2"/>
          <w:sz w:val="21"/>
          <w:szCs w:val="21"/>
          <w:lang w:val="en-US" w:eastAsia="zh-CN" w:bidi="ar-SA"/>
        </w:rPr>
      </w:pPr>
    </w:p>
    <w:p w14:paraId="770AA358">
      <w:pPr>
        <w:pStyle w:val="22"/>
        <w:jc w:val="righ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供应商名称（盖章）：　        </w:t>
      </w:r>
    </w:p>
    <w:p w14:paraId="7F04756D">
      <w:pPr>
        <w:pStyle w:val="22"/>
        <w:jc w:val="right"/>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日期：　     年　  月　  日 </w:t>
      </w:r>
    </w:p>
    <w:p w14:paraId="05CE5EE1">
      <w:pPr>
        <w:pStyle w:val="22"/>
        <w:rPr>
          <w:rFonts w:hint="default"/>
          <w:lang w:val="en-US" w:eastAsia="zh-CN"/>
        </w:rPr>
      </w:pPr>
    </w:p>
    <w:p w14:paraId="7E5A29F2">
      <w:pPr>
        <w:pStyle w:val="22"/>
        <w:rPr>
          <w:rFonts w:hint="default"/>
          <w:lang w:val="en-US" w:eastAsia="zh-CN"/>
        </w:rPr>
      </w:pPr>
    </w:p>
    <w:p w14:paraId="25E93B0A">
      <w:pPr>
        <w:pStyle w:val="22"/>
        <w:rPr>
          <w:rFonts w:hint="default"/>
          <w:lang w:val="en-US" w:eastAsia="zh-CN"/>
        </w:rPr>
      </w:pPr>
    </w:p>
    <w:p w14:paraId="485AE7B4">
      <w:pPr>
        <w:pStyle w:val="22"/>
        <w:rPr>
          <w:rFonts w:hint="default"/>
          <w:lang w:val="en-US" w:eastAsia="zh-CN"/>
        </w:rPr>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40DB0B79">
      <w:pPr>
        <w:widowControl/>
        <w:snapToGrid/>
        <w:spacing w:before="0" w:after="0" w:afterLines="-2147483648"/>
        <w:jc w:val="left"/>
        <w:rPr>
          <w:szCs w:val="21"/>
        </w:rPr>
      </w:pPr>
      <w:bookmarkStart w:id="161" w:name="_Hlk93046716"/>
      <w:r>
        <w:rPr>
          <w:rFonts w:hint="eastAsia"/>
          <w:szCs w:val="21"/>
          <w:lang w:val="en-US" w:eastAsia="zh-CN"/>
        </w:rPr>
        <w:t>6</w:t>
      </w:r>
      <w:r>
        <w:rPr>
          <w:szCs w:val="21"/>
        </w:rPr>
        <w:t>.</w:t>
      </w:r>
      <w:r>
        <w:rPr>
          <w:rFonts w:hint="eastAsia"/>
        </w:rPr>
        <w:t xml:space="preserve"> </w:t>
      </w:r>
      <w:r>
        <w:rPr>
          <w:rFonts w:hint="eastAsia"/>
          <w:szCs w:val="21"/>
        </w:rPr>
        <w:t>无串标行为承诺函</w:t>
      </w:r>
    </w:p>
    <w:p w14:paraId="16D0213A">
      <w:pPr>
        <w:snapToGrid w:val="0"/>
        <w:spacing w:before="50" w:after="120" w:afterLines="50"/>
        <w:jc w:val="center"/>
        <w:rPr>
          <w:szCs w:val="21"/>
        </w:rPr>
      </w:pPr>
    </w:p>
    <w:p w14:paraId="72EB1508">
      <w:pPr>
        <w:snapToGrid w:val="0"/>
        <w:spacing w:before="50" w:after="120" w:afterLines="50"/>
        <w:jc w:val="center"/>
        <w:rPr>
          <w:szCs w:val="21"/>
        </w:rPr>
      </w:pPr>
      <w:r>
        <w:rPr>
          <w:rFonts w:hint="eastAsia"/>
          <w:szCs w:val="21"/>
        </w:rPr>
        <w:t>投标人参加本项目无围标串标行为的承诺函</w:t>
      </w:r>
    </w:p>
    <w:p w14:paraId="6AB6B555">
      <w:pPr>
        <w:snapToGrid w:val="0"/>
        <w:spacing w:before="50" w:after="120" w:afterLines="50"/>
        <w:jc w:val="left"/>
        <w:rPr>
          <w:szCs w:val="21"/>
        </w:rPr>
      </w:pPr>
    </w:p>
    <w:p w14:paraId="2E403E2A">
      <w:pPr>
        <w:snapToGrid w:val="0"/>
        <w:spacing w:before="50" w:after="120" w:afterLines="50"/>
        <w:jc w:val="left"/>
        <w:rPr>
          <w:szCs w:val="21"/>
        </w:rPr>
      </w:pPr>
      <w:r>
        <w:rPr>
          <w:rFonts w:hint="eastAsia"/>
          <w:szCs w:val="21"/>
        </w:rPr>
        <w:t>一、我方承诺无下列相互串通投标的情形：</w:t>
      </w:r>
    </w:p>
    <w:p w14:paraId="3D0A0A29">
      <w:pPr>
        <w:snapToGrid w:val="0"/>
        <w:spacing w:before="50" w:after="120" w:afterLines="50"/>
        <w:jc w:val="left"/>
        <w:rPr>
          <w:szCs w:val="21"/>
        </w:rPr>
      </w:pPr>
      <w:r>
        <w:rPr>
          <w:rFonts w:hint="eastAsia"/>
          <w:szCs w:val="21"/>
        </w:rPr>
        <w:t>1.不同投标人的投标文件由同一单位或者个人编制；或者不同投标人报名的IP地址一致的；</w:t>
      </w:r>
    </w:p>
    <w:p w14:paraId="1EFB662E">
      <w:pPr>
        <w:snapToGrid w:val="0"/>
        <w:spacing w:before="50" w:after="120" w:afterLines="50"/>
        <w:jc w:val="left"/>
        <w:rPr>
          <w:szCs w:val="21"/>
        </w:rPr>
      </w:pPr>
      <w:r>
        <w:rPr>
          <w:rFonts w:hint="eastAsia"/>
          <w:szCs w:val="21"/>
        </w:rPr>
        <w:t>2.不同投标人委托同一单位或者个人办理投标事宜；</w:t>
      </w:r>
    </w:p>
    <w:p w14:paraId="2ED4696B">
      <w:pPr>
        <w:snapToGrid w:val="0"/>
        <w:spacing w:before="50" w:after="120" w:afterLines="50"/>
        <w:jc w:val="left"/>
        <w:rPr>
          <w:szCs w:val="21"/>
        </w:rPr>
      </w:pPr>
      <w:r>
        <w:rPr>
          <w:rFonts w:hint="eastAsia"/>
          <w:szCs w:val="21"/>
        </w:rPr>
        <w:t>3.不同的投标人的投标文件载明的项目管理员为同一个人；</w:t>
      </w:r>
    </w:p>
    <w:p w14:paraId="610B733F">
      <w:pPr>
        <w:snapToGrid w:val="0"/>
        <w:spacing w:before="50" w:after="120" w:afterLines="50"/>
        <w:jc w:val="left"/>
        <w:rPr>
          <w:szCs w:val="21"/>
        </w:rPr>
      </w:pPr>
      <w:r>
        <w:rPr>
          <w:rFonts w:hint="eastAsia"/>
          <w:szCs w:val="21"/>
        </w:rPr>
        <w:t>4.不同投标人的投标文件异常一致或者投标报价呈规律性差异；</w:t>
      </w:r>
    </w:p>
    <w:p w14:paraId="1F1D9918">
      <w:pPr>
        <w:snapToGrid w:val="0"/>
        <w:spacing w:before="50" w:after="120" w:afterLines="50"/>
        <w:jc w:val="left"/>
        <w:rPr>
          <w:szCs w:val="21"/>
        </w:rPr>
      </w:pPr>
      <w:r>
        <w:rPr>
          <w:rFonts w:hint="eastAsia"/>
          <w:szCs w:val="21"/>
        </w:rPr>
        <w:t>5.不同投标人的投标文件相互混装；</w:t>
      </w:r>
    </w:p>
    <w:p w14:paraId="4FC2B82E">
      <w:pPr>
        <w:snapToGrid w:val="0"/>
        <w:spacing w:before="50" w:after="120" w:afterLines="50"/>
        <w:jc w:val="left"/>
        <w:rPr>
          <w:szCs w:val="21"/>
        </w:rPr>
      </w:pPr>
      <w:r>
        <w:rPr>
          <w:rFonts w:hint="eastAsia"/>
          <w:szCs w:val="21"/>
        </w:rPr>
        <w:t>6.不同投标人的投标保证金从同一单位或者个人账户转出。</w:t>
      </w:r>
    </w:p>
    <w:p w14:paraId="0E2C03FD">
      <w:pPr>
        <w:snapToGrid w:val="0"/>
        <w:spacing w:before="50" w:after="120" w:afterLines="50"/>
        <w:jc w:val="left"/>
        <w:rPr>
          <w:szCs w:val="21"/>
        </w:rPr>
      </w:pPr>
      <w:r>
        <w:rPr>
          <w:rFonts w:hint="eastAsia"/>
          <w:szCs w:val="21"/>
        </w:rPr>
        <w:t>二、我方承诺无下列恶意串通的情形：</w:t>
      </w:r>
    </w:p>
    <w:p w14:paraId="1E76B1DB">
      <w:pPr>
        <w:snapToGrid w:val="0"/>
        <w:spacing w:before="50" w:after="120" w:afterLines="50"/>
        <w:jc w:val="left"/>
        <w:rPr>
          <w:szCs w:val="21"/>
        </w:rPr>
      </w:pPr>
      <w:r>
        <w:rPr>
          <w:rFonts w:hint="eastAsia"/>
          <w:szCs w:val="21"/>
        </w:rPr>
        <w:t>1.投标人直接或者间接从采购人或者采购代理机构处获得其他投标人的相关信息并修改其投标文件或者投标文件；</w:t>
      </w:r>
    </w:p>
    <w:p w14:paraId="5ECAEC5F">
      <w:pPr>
        <w:snapToGrid w:val="0"/>
        <w:spacing w:before="50" w:after="120" w:afterLines="50"/>
        <w:jc w:val="left"/>
        <w:rPr>
          <w:szCs w:val="21"/>
        </w:rPr>
      </w:pPr>
      <w:r>
        <w:rPr>
          <w:rFonts w:hint="eastAsia"/>
          <w:szCs w:val="21"/>
        </w:rPr>
        <w:t>2.投标人按照采购人或者采购代理机构的授意撤换、修改投标文件或者投标文件；</w:t>
      </w:r>
    </w:p>
    <w:p w14:paraId="7EEC7CCB">
      <w:pPr>
        <w:snapToGrid w:val="0"/>
        <w:spacing w:before="50" w:after="120" w:afterLines="50"/>
        <w:jc w:val="left"/>
        <w:rPr>
          <w:szCs w:val="21"/>
        </w:rPr>
      </w:pPr>
      <w:r>
        <w:rPr>
          <w:rFonts w:hint="eastAsia"/>
          <w:szCs w:val="21"/>
        </w:rPr>
        <w:t>3.投标人之间协商报价、技术方案等投标文件或者投标文件的实质性内容；</w:t>
      </w:r>
    </w:p>
    <w:p w14:paraId="60BB31E7">
      <w:pPr>
        <w:snapToGrid w:val="0"/>
        <w:spacing w:before="50" w:after="120" w:afterLines="50"/>
        <w:jc w:val="left"/>
        <w:rPr>
          <w:szCs w:val="21"/>
        </w:rPr>
      </w:pPr>
      <w:r>
        <w:rPr>
          <w:rFonts w:hint="eastAsia"/>
          <w:szCs w:val="21"/>
        </w:rPr>
        <w:t>4.属于同一集团、协会、商会等组织成员的投标人按照该组织要求协同参加政府采购活动；</w:t>
      </w:r>
    </w:p>
    <w:p w14:paraId="5D8E6359">
      <w:pPr>
        <w:snapToGrid w:val="0"/>
        <w:spacing w:before="50" w:after="120" w:afterLines="50"/>
        <w:jc w:val="left"/>
        <w:rPr>
          <w:szCs w:val="21"/>
        </w:rPr>
      </w:pPr>
      <w:r>
        <w:rPr>
          <w:rFonts w:hint="eastAsia"/>
          <w:szCs w:val="21"/>
        </w:rPr>
        <w:t>5.投标人之间事先约定一致抬高或者压低投标报价，或者在招标项目中事先约定轮流以高价位或者低价位中标，或者事先约定由某一特定投标人中标，然后再参加投标；</w:t>
      </w:r>
    </w:p>
    <w:p w14:paraId="4182AC7A">
      <w:pPr>
        <w:snapToGrid w:val="0"/>
        <w:spacing w:before="50" w:after="120" w:afterLines="50"/>
        <w:jc w:val="left"/>
        <w:rPr>
          <w:szCs w:val="21"/>
        </w:rPr>
      </w:pPr>
      <w:r>
        <w:rPr>
          <w:rFonts w:hint="eastAsia"/>
          <w:szCs w:val="21"/>
        </w:rPr>
        <w:t>6.投标人之间商定部分投标人放弃参加政府采购活动或者放弃中标；</w:t>
      </w:r>
    </w:p>
    <w:p w14:paraId="6459999D">
      <w:pPr>
        <w:snapToGrid w:val="0"/>
        <w:spacing w:before="50" w:after="120" w:afterLines="50"/>
        <w:jc w:val="left"/>
        <w:rPr>
          <w:szCs w:val="21"/>
        </w:rPr>
      </w:pPr>
      <w:r>
        <w:rPr>
          <w:rFonts w:hint="eastAsia"/>
          <w:szCs w:val="21"/>
        </w:rPr>
        <w:t>7.投标人与采购人或者采购代理机构之间、投标人相互之间，为谋求特定投标人中标或者排斥其他投标人的其他串通行为。</w:t>
      </w:r>
    </w:p>
    <w:p w14:paraId="31451B14">
      <w:pPr>
        <w:snapToGrid w:val="0"/>
        <w:spacing w:before="50" w:after="120" w:afterLines="50"/>
        <w:jc w:val="left"/>
        <w:rPr>
          <w:szCs w:val="21"/>
        </w:rPr>
      </w:pPr>
      <w:r>
        <w:rPr>
          <w:rFonts w:hint="eastAsia"/>
          <w:szCs w:val="21"/>
        </w:rPr>
        <w:t>以上情形一经核查属实，我方愿意承担一切后果，并不再寻求任何旨在减轻或者免除法律责任的辩解。</w:t>
      </w:r>
    </w:p>
    <w:p w14:paraId="3672E7AC">
      <w:pPr>
        <w:snapToGrid w:val="0"/>
        <w:spacing w:before="50" w:after="120" w:afterLines="50"/>
        <w:jc w:val="center"/>
        <w:rPr>
          <w:szCs w:val="21"/>
        </w:rPr>
      </w:pPr>
      <w:r>
        <w:rPr>
          <w:rFonts w:hint="eastAsia"/>
          <w:szCs w:val="21"/>
        </w:rPr>
        <w:t xml:space="preserve"> </w:t>
      </w:r>
      <w:r>
        <w:rPr>
          <w:szCs w:val="21"/>
        </w:rPr>
        <w:t xml:space="preserve"> </w:t>
      </w:r>
    </w:p>
    <w:p w14:paraId="0005BE11">
      <w:pPr>
        <w:snapToGrid w:val="0"/>
        <w:spacing w:before="50" w:after="120" w:afterLines="50"/>
        <w:jc w:val="center"/>
        <w:rPr>
          <w:szCs w:val="21"/>
        </w:rPr>
      </w:pPr>
    </w:p>
    <w:p w14:paraId="23CBE42F">
      <w:pPr>
        <w:snapToGrid w:val="0"/>
        <w:spacing w:before="50" w:after="120" w:afterLines="50"/>
        <w:jc w:val="center"/>
        <w:rPr>
          <w:szCs w:val="21"/>
        </w:rPr>
      </w:pPr>
    </w:p>
    <w:p w14:paraId="5F6B9973">
      <w:pPr>
        <w:snapToGrid w:val="0"/>
        <w:spacing w:before="50" w:after="120" w:afterLines="50"/>
        <w:jc w:val="center"/>
        <w:rPr>
          <w:szCs w:val="21"/>
        </w:rPr>
      </w:pPr>
      <w:r>
        <w:rPr>
          <w:szCs w:val="21"/>
        </w:rPr>
        <w:t>供应商</w:t>
      </w:r>
      <w:r>
        <w:rPr>
          <w:rFonts w:hint="eastAsia"/>
          <w:szCs w:val="21"/>
        </w:rPr>
        <w:t>名称(电子签章</w:t>
      </w:r>
      <w:r>
        <w:rPr>
          <w:szCs w:val="21"/>
        </w:rPr>
        <w:t>)</w:t>
      </w:r>
      <w:r>
        <w:rPr>
          <w:rFonts w:hint="eastAsia"/>
          <w:szCs w:val="21"/>
        </w:rPr>
        <w:t>：</w:t>
      </w:r>
    </w:p>
    <w:p w14:paraId="1116A42A">
      <w:pPr>
        <w:snapToGrid w:val="0"/>
        <w:spacing w:before="50" w:after="120" w:afterLines="50"/>
        <w:jc w:val="center"/>
        <w:rPr>
          <w:szCs w:val="21"/>
        </w:rPr>
      </w:pPr>
      <w:r>
        <w:rPr>
          <w:rFonts w:hint="eastAsia"/>
          <w:szCs w:val="21"/>
        </w:rPr>
        <w:t>日期：  年  月   日</w:t>
      </w:r>
    </w:p>
    <w:bookmarkEnd w:id="160"/>
    <w:p w14:paraId="70CC0401">
      <w:pPr>
        <w:snapToGrid w:val="0"/>
        <w:spacing w:before="50" w:after="120" w:afterLines="50"/>
        <w:jc w:val="left"/>
        <w:rPr>
          <w:szCs w:val="21"/>
        </w:rPr>
      </w:pPr>
      <w:r>
        <w:rPr>
          <w:szCs w:val="21"/>
        </w:rPr>
        <w:br w:type="page"/>
      </w:r>
      <w:bookmarkEnd w:id="161"/>
      <w:r>
        <w:rPr>
          <w:rFonts w:hint="eastAsia"/>
          <w:szCs w:val="21"/>
          <w:lang w:val="en-US" w:eastAsia="zh-CN"/>
        </w:rPr>
        <w:t>7</w:t>
      </w:r>
      <w:r>
        <w:rPr>
          <w:szCs w:val="21"/>
        </w:rPr>
        <w:t>.代理服务费承诺书</w:t>
      </w:r>
    </w:p>
    <w:p w14:paraId="602A278B">
      <w:pPr>
        <w:spacing w:line="360" w:lineRule="exact"/>
        <w:rPr>
          <w:szCs w:val="21"/>
        </w:rPr>
      </w:pPr>
      <w:r>
        <w:rPr>
          <w:szCs w:val="21"/>
        </w:rPr>
        <w:t>致：广西机电设备招标有限公司</w:t>
      </w:r>
    </w:p>
    <w:p w14:paraId="20625289">
      <w:pPr>
        <w:spacing w:line="360" w:lineRule="exact"/>
        <w:ind w:firstLine="420" w:firstLineChars="200"/>
        <w:rPr>
          <w:szCs w:val="21"/>
        </w:rPr>
      </w:pPr>
      <w:r>
        <w:rPr>
          <w:szCs w:val="21"/>
        </w:rPr>
        <w:t>我单位参加了贵方组织的招标项目编号为</w:t>
      </w:r>
      <w:r>
        <w:rPr>
          <w:b/>
          <w:szCs w:val="21"/>
        </w:rPr>
        <w:t>（</w:t>
      </w:r>
      <w:r>
        <w:rPr>
          <w:szCs w:val="21"/>
          <w:u w:val="single"/>
        </w:rPr>
        <w:t xml:space="preserve">                    )</w:t>
      </w:r>
      <w:r>
        <w:rPr>
          <w:szCs w:val="21"/>
        </w:rPr>
        <w:t>的投标，并递交了投标保证金</w:t>
      </w:r>
      <w:bookmarkStart w:id="162" w:name="_Hlk19050352"/>
      <w:r>
        <w:rPr>
          <w:szCs w:val="21"/>
        </w:rPr>
        <w:t>（</w:t>
      </w:r>
      <w:r>
        <w:rPr>
          <w:kern w:val="0"/>
          <w:szCs w:val="21"/>
        </w:rPr>
        <w:t>¥</w:t>
      </w:r>
      <w:r>
        <w:rPr>
          <w:szCs w:val="21"/>
          <w:u w:val="single"/>
        </w:rPr>
        <w:t xml:space="preserve">       </w:t>
      </w:r>
      <w:r>
        <w:rPr>
          <w:szCs w:val="21"/>
        </w:rPr>
        <w:t>）</w:t>
      </w:r>
      <w:bookmarkEnd w:id="162"/>
      <w:r>
        <w:rPr>
          <w:szCs w:val="21"/>
        </w:rPr>
        <w:t>，在此我方说明如下：</w:t>
      </w:r>
    </w:p>
    <w:p w14:paraId="6FECCC93">
      <w:pPr>
        <w:spacing w:line="360" w:lineRule="exact"/>
        <w:ind w:firstLine="420" w:firstLineChars="200"/>
        <w:rPr>
          <w:szCs w:val="21"/>
        </w:rPr>
      </w:pPr>
      <w:bookmarkStart w:id="163" w:name="_Hlk19050395"/>
      <w:r>
        <w:rPr>
          <w:szCs w:val="21"/>
        </w:rPr>
        <w:t>1．我方承诺，若我单位中标，保证在领取中标通知书之前，按本项目招标文件的规定标准向贵单位支付代理服务费。如我单位未按规定缴纳代理服务费，贵方可</w:t>
      </w:r>
      <w:r>
        <w:rPr>
          <w:rFonts w:hint="eastAsia"/>
          <w:szCs w:val="21"/>
        </w:rPr>
        <w:t>不退还</w:t>
      </w:r>
      <w:r>
        <w:rPr>
          <w:szCs w:val="21"/>
        </w:rPr>
        <w:t>我单位提交的投标保证金</w:t>
      </w:r>
      <w:r>
        <w:rPr>
          <w:rFonts w:hint="eastAsia"/>
          <w:szCs w:val="21"/>
        </w:rPr>
        <w:t>，并从中</w:t>
      </w:r>
      <w:r>
        <w:rPr>
          <w:szCs w:val="21"/>
        </w:rPr>
        <w:t>扣除</w:t>
      </w:r>
      <w:r>
        <w:rPr>
          <w:rFonts w:hint="eastAsia"/>
          <w:szCs w:val="21"/>
        </w:rPr>
        <w:t>代理服务费</w:t>
      </w:r>
      <w:r>
        <w:rPr>
          <w:szCs w:val="21"/>
        </w:rPr>
        <w:t>，余款按下列账户退回。</w:t>
      </w:r>
    </w:p>
    <w:bookmarkEnd w:id="163"/>
    <w:p w14:paraId="067566B0">
      <w:pPr>
        <w:spacing w:line="360" w:lineRule="exact"/>
        <w:ind w:firstLine="420" w:firstLineChars="200"/>
        <w:rPr>
          <w:szCs w:val="21"/>
        </w:rPr>
      </w:pPr>
      <w:bookmarkStart w:id="164" w:name="_Hlk19050518"/>
      <w:r>
        <w:rPr>
          <w:szCs w:val="21"/>
        </w:rPr>
        <w:t>我公司选择第</w:t>
      </w:r>
      <w:r>
        <w:rPr>
          <w:szCs w:val="21"/>
          <w:u w:val="single"/>
        </w:rPr>
        <w:t xml:space="preserve">     </w:t>
      </w:r>
      <w:r>
        <w:rPr>
          <w:szCs w:val="21"/>
        </w:rPr>
        <w:t>种方式缴纳代理服务费。</w:t>
      </w:r>
    </w:p>
    <w:p w14:paraId="184F688A">
      <w:pPr>
        <w:spacing w:line="360" w:lineRule="exact"/>
        <w:ind w:firstLine="420" w:firstLineChars="200"/>
        <w:rPr>
          <w:szCs w:val="21"/>
        </w:rPr>
      </w:pPr>
      <w:r>
        <w:rPr>
          <w:szCs w:val="21"/>
        </w:rPr>
        <w:t>第一种方式：一次性足额缴纳代理服务费。</w:t>
      </w:r>
    </w:p>
    <w:p w14:paraId="3D1B1CC6">
      <w:pPr>
        <w:spacing w:line="360" w:lineRule="exact"/>
        <w:ind w:firstLine="420" w:firstLineChars="200"/>
        <w:rPr>
          <w:szCs w:val="21"/>
        </w:rPr>
      </w:pPr>
      <w:r>
        <w:rPr>
          <w:szCs w:val="21"/>
        </w:rPr>
        <w:t>第二种方式：从投标保证金中抵扣代理服务费，不足部分补交。</w:t>
      </w:r>
    </w:p>
    <w:bookmarkEnd w:id="164"/>
    <w:p w14:paraId="27E2B108">
      <w:pPr>
        <w:spacing w:line="360" w:lineRule="exact"/>
        <w:ind w:firstLine="420" w:firstLineChars="200"/>
        <w:rPr>
          <w:szCs w:val="21"/>
        </w:rPr>
      </w:pPr>
      <w:r>
        <w:rPr>
          <w:szCs w:val="21"/>
        </w:rPr>
        <w:t>2．如我单位投标保证金无法原路返回，请按下表账户信息无息退还。</w:t>
      </w:r>
    </w:p>
    <w:tbl>
      <w:tblPr>
        <w:tblStyle w:val="5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33"/>
        <w:gridCol w:w="5431"/>
      </w:tblGrid>
      <w:tr w14:paraId="0C1B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3C3E1936">
            <w:pPr>
              <w:spacing w:line="360" w:lineRule="exact"/>
              <w:jc w:val="center"/>
              <w:rPr>
                <w:szCs w:val="21"/>
              </w:rPr>
            </w:pPr>
            <w:r>
              <w:rPr>
                <w:szCs w:val="21"/>
              </w:rPr>
              <w:t>收款户名</w:t>
            </w:r>
          </w:p>
        </w:tc>
        <w:tc>
          <w:tcPr>
            <w:tcW w:w="5431" w:type="dxa"/>
            <w:noWrap w:val="0"/>
            <w:vAlign w:val="center"/>
          </w:tcPr>
          <w:p w14:paraId="26E69275">
            <w:pPr>
              <w:spacing w:line="360" w:lineRule="exact"/>
              <w:jc w:val="center"/>
              <w:rPr>
                <w:szCs w:val="21"/>
              </w:rPr>
            </w:pPr>
          </w:p>
        </w:tc>
      </w:tr>
      <w:tr w14:paraId="70A6B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076F0211">
            <w:pPr>
              <w:spacing w:line="360" w:lineRule="exact"/>
              <w:jc w:val="center"/>
              <w:rPr>
                <w:szCs w:val="21"/>
              </w:rPr>
            </w:pPr>
            <w:r>
              <w:rPr>
                <w:szCs w:val="21"/>
              </w:rPr>
              <w:t>账    号</w:t>
            </w:r>
          </w:p>
        </w:tc>
        <w:tc>
          <w:tcPr>
            <w:tcW w:w="5431" w:type="dxa"/>
            <w:noWrap w:val="0"/>
            <w:vAlign w:val="center"/>
          </w:tcPr>
          <w:p w14:paraId="54E8710D">
            <w:pPr>
              <w:spacing w:line="360" w:lineRule="exact"/>
              <w:jc w:val="center"/>
              <w:rPr>
                <w:szCs w:val="21"/>
              </w:rPr>
            </w:pPr>
          </w:p>
        </w:tc>
      </w:tr>
      <w:tr w14:paraId="5B60E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06E63FBA">
            <w:pPr>
              <w:spacing w:line="360" w:lineRule="exact"/>
              <w:jc w:val="center"/>
              <w:rPr>
                <w:szCs w:val="21"/>
              </w:rPr>
            </w:pPr>
            <w:r>
              <w:rPr>
                <w:szCs w:val="21"/>
              </w:rPr>
              <w:t>开户银行</w:t>
            </w:r>
          </w:p>
        </w:tc>
        <w:tc>
          <w:tcPr>
            <w:tcW w:w="5431" w:type="dxa"/>
            <w:noWrap w:val="0"/>
            <w:vAlign w:val="center"/>
          </w:tcPr>
          <w:p w14:paraId="398F7643">
            <w:pPr>
              <w:spacing w:line="360" w:lineRule="exact"/>
              <w:jc w:val="center"/>
              <w:rPr>
                <w:szCs w:val="21"/>
              </w:rPr>
            </w:pPr>
          </w:p>
        </w:tc>
      </w:tr>
      <w:tr w14:paraId="504B7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2" w:hRule="atLeast"/>
          <w:jc w:val="center"/>
        </w:trPr>
        <w:tc>
          <w:tcPr>
            <w:tcW w:w="3533" w:type="dxa"/>
            <w:noWrap w:val="0"/>
            <w:vAlign w:val="center"/>
          </w:tcPr>
          <w:p w14:paraId="1BD91F94">
            <w:pPr>
              <w:spacing w:line="360" w:lineRule="exact"/>
              <w:jc w:val="center"/>
              <w:rPr>
                <w:szCs w:val="21"/>
              </w:rPr>
            </w:pPr>
            <w:r>
              <w:rPr>
                <w:szCs w:val="21"/>
              </w:rPr>
              <w:t>银行行号</w:t>
            </w:r>
          </w:p>
        </w:tc>
        <w:tc>
          <w:tcPr>
            <w:tcW w:w="5431" w:type="dxa"/>
            <w:noWrap w:val="0"/>
            <w:vAlign w:val="center"/>
          </w:tcPr>
          <w:p w14:paraId="3F56A766">
            <w:pPr>
              <w:spacing w:line="360" w:lineRule="exact"/>
              <w:jc w:val="center"/>
              <w:rPr>
                <w:szCs w:val="21"/>
              </w:rPr>
            </w:pPr>
          </w:p>
        </w:tc>
      </w:tr>
    </w:tbl>
    <w:p w14:paraId="25615E95">
      <w:pPr>
        <w:spacing w:line="360" w:lineRule="exact"/>
        <w:ind w:firstLine="420" w:firstLineChars="200"/>
        <w:rPr>
          <w:szCs w:val="21"/>
        </w:rPr>
      </w:pPr>
      <w:r>
        <w:rPr>
          <w:szCs w:val="21"/>
        </w:rPr>
        <w:t>3．如果我单位未遵守有关招标文件关于投标保证金的规定，贵方可以没收我单位投标保证金。</w:t>
      </w:r>
    </w:p>
    <w:p w14:paraId="623872AD">
      <w:pPr>
        <w:spacing w:line="360" w:lineRule="exact"/>
        <w:ind w:firstLine="420" w:firstLineChars="200"/>
        <w:rPr>
          <w:szCs w:val="21"/>
        </w:rPr>
      </w:pPr>
      <w:r>
        <w:rPr>
          <w:szCs w:val="21"/>
        </w:rPr>
        <w:t>4. 我单位选择第</w:t>
      </w:r>
      <w:r>
        <w:rPr>
          <w:szCs w:val="21"/>
          <w:u w:val="single"/>
        </w:rPr>
        <w:t xml:space="preserve">     </w:t>
      </w:r>
      <w:r>
        <w:rPr>
          <w:szCs w:val="21"/>
        </w:rPr>
        <w:t>种方式作为代理服务费开票类型：</w:t>
      </w:r>
    </w:p>
    <w:p w14:paraId="705D1DF7">
      <w:pPr>
        <w:spacing w:line="360" w:lineRule="exact"/>
        <w:ind w:firstLine="420" w:firstLineChars="200"/>
        <w:rPr>
          <w:szCs w:val="21"/>
        </w:rPr>
      </w:pPr>
      <w:r>
        <w:rPr>
          <w:szCs w:val="21"/>
        </w:rPr>
        <w:t>第一种方式：开具收据。</w:t>
      </w:r>
    </w:p>
    <w:p w14:paraId="4476CA33">
      <w:pPr>
        <w:spacing w:line="360" w:lineRule="exact"/>
        <w:ind w:firstLine="420" w:firstLineChars="200"/>
        <w:rPr>
          <w:szCs w:val="21"/>
        </w:rPr>
      </w:pPr>
      <w:r>
        <w:rPr>
          <w:szCs w:val="21"/>
        </w:rPr>
        <w:t>第二种方式：开具增值税普通发票。开票信息如下：1.公司名称</w:t>
      </w:r>
      <w:r>
        <w:rPr>
          <w:szCs w:val="21"/>
          <w:u w:val="single"/>
        </w:rPr>
        <w:t xml:space="preserve">                      </w:t>
      </w:r>
      <w:r>
        <w:rPr>
          <w:szCs w:val="21"/>
        </w:rPr>
        <w:t>；2.纳税人识别号</w:t>
      </w:r>
      <w:r>
        <w:rPr>
          <w:szCs w:val="21"/>
          <w:u w:val="single"/>
        </w:rPr>
        <w:t xml:space="preserve">                     </w:t>
      </w:r>
      <w:r>
        <w:rPr>
          <w:szCs w:val="21"/>
        </w:rPr>
        <w:t>；</w:t>
      </w:r>
    </w:p>
    <w:p w14:paraId="7E7ED028">
      <w:pPr>
        <w:spacing w:line="360" w:lineRule="exact"/>
        <w:ind w:firstLine="420" w:firstLineChars="200"/>
        <w:rPr>
          <w:szCs w:val="21"/>
        </w:rPr>
      </w:pPr>
      <w:r>
        <w:rPr>
          <w:szCs w:val="21"/>
        </w:rPr>
        <w:t>第三种方式：开具增值税专用发票，开票信息如下：1.公司名称</w:t>
      </w:r>
      <w:r>
        <w:rPr>
          <w:szCs w:val="21"/>
          <w:u w:val="single"/>
        </w:rPr>
        <w:t xml:space="preserve">                      </w:t>
      </w:r>
      <w:r>
        <w:rPr>
          <w:szCs w:val="21"/>
        </w:rPr>
        <w:t>；2.纳税人识别号</w:t>
      </w:r>
      <w:r>
        <w:rPr>
          <w:szCs w:val="21"/>
          <w:u w:val="single"/>
        </w:rPr>
        <w:t xml:space="preserve">                     </w:t>
      </w:r>
      <w:r>
        <w:rPr>
          <w:szCs w:val="21"/>
        </w:rPr>
        <w:t>；3.税局登记地址</w:t>
      </w:r>
      <w:r>
        <w:rPr>
          <w:szCs w:val="21"/>
          <w:u w:val="single"/>
        </w:rPr>
        <w:t xml:space="preserve">                     </w:t>
      </w:r>
      <w:r>
        <w:rPr>
          <w:szCs w:val="21"/>
        </w:rPr>
        <w:t>；4.税局登记电话</w:t>
      </w:r>
      <w:r>
        <w:rPr>
          <w:szCs w:val="21"/>
          <w:u w:val="single"/>
        </w:rPr>
        <w:t xml:space="preserve">             </w:t>
      </w:r>
      <w:r>
        <w:rPr>
          <w:szCs w:val="21"/>
        </w:rPr>
        <w:t>；5.开户银行</w:t>
      </w:r>
      <w:r>
        <w:rPr>
          <w:szCs w:val="21"/>
          <w:u w:val="single"/>
        </w:rPr>
        <w:t xml:space="preserve">                 </w:t>
      </w:r>
      <w:r>
        <w:rPr>
          <w:szCs w:val="21"/>
        </w:rPr>
        <w:t>；6.银行账户</w:t>
      </w:r>
      <w:r>
        <w:rPr>
          <w:szCs w:val="21"/>
          <w:u w:val="single"/>
        </w:rPr>
        <w:t xml:space="preserve">                         </w:t>
      </w:r>
      <w:r>
        <w:rPr>
          <w:szCs w:val="21"/>
        </w:rPr>
        <w:t>。</w:t>
      </w:r>
    </w:p>
    <w:p w14:paraId="2D376D23">
      <w:pPr>
        <w:spacing w:before="120" w:beforeLines="50" w:line="360" w:lineRule="auto"/>
        <w:jc w:val="left"/>
        <w:rPr>
          <w:szCs w:val="21"/>
        </w:rPr>
      </w:pPr>
    </w:p>
    <w:p w14:paraId="6D960083">
      <w:pPr>
        <w:spacing w:before="120" w:beforeLines="50" w:line="360" w:lineRule="auto"/>
        <w:jc w:val="left"/>
        <w:rPr>
          <w:szCs w:val="21"/>
          <w:u w:val="single"/>
        </w:rPr>
      </w:pPr>
      <w:r>
        <w:rPr>
          <w:szCs w:val="21"/>
        </w:rPr>
        <w:t>供应商</w:t>
      </w:r>
      <w:r>
        <w:rPr>
          <w:rFonts w:hint="eastAsia"/>
          <w:szCs w:val="21"/>
        </w:rPr>
        <w:t>名称(电子签章</w:t>
      </w:r>
      <w:r>
        <w:rPr>
          <w:szCs w:val="21"/>
        </w:rPr>
        <w:t>)：</w:t>
      </w:r>
      <w:r>
        <w:rPr>
          <w:szCs w:val="21"/>
          <w:u w:val="single"/>
        </w:rPr>
        <w:t xml:space="preserve">                              </w:t>
      </w:r>
    </w:p>
    <w:p w14:paraId="6FAA3193">
      <w:pPr>
        <w:spacing w:before="120" w:beforeLines="50" w:line="360" w:lineRule="auto"/>
        <w:jc w:val="left"/>
        <w:rPr>
          <w:szCs w:val="21"/>
        </w:rPr>
      </w:pPr>
      <w:r>
        <w:rPr>
          <w:szCs w:val="21"/>
        </w:rPr>
        <w:t>供应商地址：</w:t>
      </w:r>
      <w:r>
        <w:rPr>
          <w:szCs w:val="21"/>
          <w:u w:val="single"/>
        </w:rPr>
        <w:t xml:space="preserve">                                     </w:t>
      </w:r>
    </w:p>
    <w:p w14:paraId="4EC41A63">
      <w:pPr>
        <w:wordWrap w:val="0"/>
        <w:spacing w:before="120" w:beforeLines="50" w:line="360" w:lineRule="auto"/>
        <w:jc w:val="right"/>
        <w:rPr>
          <w:szCs w:val="21"/>
        </w:rPr>
      </w:pPr>
      <w:r>
        <w:rPr>
          <w:szCs w:val="21"/>
        </w:rPr>
        <w:t>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3CD1A2DC">
      <w:pPr>
        <w:spacing w:before="120" w:beforeLines="50" w:line="360" w:lineRule="auto"/>
        <w:jc w:val="left"/>
        <w:rPr>
          <w:szCs w:val="21"/>
        </w:rPr>
      </w:pPr>
      <w:r>
        <w:rPr>
          <w:szCs w:val="21"/>
        </w:rPr>
        <w:t>说明：</w:t>
      </w:r>
    </w:p>
    <w:p w14:paraId="659B1B0A">
      <w:pPr>
        <w:spacing w:line="340" w:lineRule="exact"/>
        <w:ind w:firstLine="420" w:firstLineChars="200"/>
        <w:rPr>
          <w:szCs w:val="21"/>
        </w:rPr>
      </w:pPr>
      <w:r>
        <w:rPr>
          <w:szCs w:val="21"/>
        </w:rPr>
        <w:t>（1）为保障资金安全，上述账户不能为私人账户。</w:t>
      </w:r>
    </w:p>
    <w:p w14:paraId="7DC86D6D">
      <w:pPr>
        <w:spacing w:line="340" w:lineRule="exact"/>
        <w:ind w:firstLine="420" w:firstLineChars="200"/>
        <w:rPr>
          <w:szCs w:val="21"/>
        </w:rPr>
      </w:pPr>
      <w:r>
        <w:rPr>
          <w:szCs w:val="21"/>
        </w:rPr>
        <w:t>（2）如因未按要求缴纳投标保证金，导致投标保证金无法退还或丢失等可能产生的一切后果由供应商自行负责。如需要，采购代理机构将按上述所填信息办理代理服务费发票事宜。如所填信息有误导致开票信息错误等可能产生的一切后果由供应商自行负责。</w:t>
      </w:r>
    </w:p>
    <w:p w14:paraId="7C742B13">
      <w:pPr>
        <w:spacing w:line="34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（3）如供应商未及时收到退回款项，请与广西机电设备招标有限公司财务部联系。广西机电设备招标有限公司财务部联系方式：联系人：吴茜；电话：0771-2821398；传真：0771-2843545。</w:t>
      </w:r>
    </w:p>
    <w:p w14:paraId="4D9AF5B9">
      <w:pPr>
        <w:widowControl/>
        <w:jc w:val="left"/>
      </w:pPr>
      <w:r>
        <w:br w:type="page"/>
      </w:r>
    </w:p>
    <w:p w14:paraId="47D69AB6">
      <w:pPr>
        <w:snapToGrid w:val="0"/>
        <w:spacing w:before="50" w:after="120" w:afterLines="50"/>
        <w:jc w:val="left"/>
        <w:rPr>
          <w:b/>
          <w:bCs/>
          <w:szCs w:val="21"/>
        </w:rPr>
      </w:pPr>
      <w:r>
        <w:rPr>
          <w:rFonts w:hint="eastAsia"/>
          <w:szCs w:val="21"/>
          <w:lang w:val="en-US" w:eastAsia="zh-CN"/>
        </w:rPr>
        <w:t>8</w:t>
      </w:r>
      <w:r>
        <w:rPr>
          <w:szCs w:val="21"/>
        </w:rPr>
        <w:t>．供应商认为需提供的其他材料（根据招标文件编写）</w:t>
      </w:r>
      <w:r>
        <w:rPr>
          <w:color w:val="4472C4"/>
        </w:rPr>
        <w:br w:type="page"/>
      </w:r>
    </w:p>
    <w:p w14:paraId="654C4331">
      <w:pPr>
        <w:tabs>
          <w:tab w:val="left" w:pos="327"/>
          <w:tab w:val="center" w:pos="4737"/>
        </w:tabs>
        <w:jc w:val="left"/>
        <w:rPr>
          <w:sz w:val="28"/>
          <w:szCs w:val="28"/>
        </w:rPr>
      </w:pPr>
      <w:r>
        <w:rPr>
          <w:rFonts w:hint="eastAsia"/>
          <w:sz w:val="28"/>
          <w:szCs w:val="28"/>
          <w:lang w:eastAsia="zh-CN"/>
        </w:rPr>
        <w:tab/>
      </w:r>
      <w:r>
        <w:rPr>
          <w:rFonts w:hint="eastAsia"/>
          <w:sz w:val="28"/>
          <w:szCs w:val="28"/>
          <w:lang w:eastAsia="zh-CN"/>
        </w:rPr>
        <w:tab/>
      </w:r>
      <w:r>
        <w:rPr>
          <w:sz w:val="28"/>
          <w:szCs w:val="28"/>
        </w:rPr>
        <w:t>第二部分 技术文件</w:t>
      </w:r>
    </w:p>
    <w:p w14:paraId="6588A58E">
      <w:pPr>
        <w:jc w:val="center"/>
      </w:pPr>
      <w:r>
        <w:t>（本</w:t>
      </w:r>
      <w:r>
        <w:rPr>
          <w:rFonts w:hint="eastAsia"/>
        </w:rPr>
        <w:t>技术</w:t>
      </w:r>
      <w:r>
        <w:t>文件供应商可自行编写，也可参照下述提纲编写）</w:t>
      </w:r>
    </w:p>
    <w:p w14:paraId="5DA5C672">
      <w:pPr>
        <w:snapToGrid w:val="0"/>
        <w:spacing w:before="50" w:after="120" w:afterLines="50"/>
        <w:jc w:val="left"/>
        <w:rPr>
          <w:szCs w:val="21"/>
        </w:rPr>
      </w:pPr>
    </w:p>
    <w:p w14:paraId="66D9B899">
      <w:pPr>
        <w:rPr>
          <w:color w:val="auto"/>
          <w:szCs w:val="21"/>
        </w:rPr>
      </w:pPr>
      <w:r>
        <w:rPr>
          <w:rFonts w:hint="eastAsia"/>
          <w:color w:val="auto"/>
          <w:szCs w:val="21"/>
        </w:rPr>
        <w:t>1</w:t>
      </w:r>
      <w:r>
        <w:rPr>
          <w:color w:val="auto"/>
          <w:szCs w:val="21"/>
        </w:rPr>
        <w:t>．</w:t>
      </w:r>
      <w:r>
        <w:rPr>
          <w:rFonts w:hint="eastAsia"/>
          <w:color w:val="auto"/>
          <w:szCs w:val="21"/>
        </w:rPr>
        <w:t>对</w:t>
      </w:r>
      <w:r>
        <w:rPr>
          <w:color w:val="auto"/>
          <w:szCs w:val="21"/>
        </w:rPr>
        <w:t>本项目第</w:t>
      </w:r>
      <w:r>
        <w:rPr>
          <w:rFonts w:hint="eastAsia"/>
          <w:color w:val="auto"/>
          <w:szCs w:val="21"/>
        </w:rPr>
        <w:t>二</w:t>
      </w:r>
      <w:r>
        <w:rPr>
          <w:color w:val="auto"/>
          <w:szCs w:val="21"/>
        </w:rPr>
        <w:t>章</w:t>
      </w:r>
      <w:r>
        <w:rPr>
          <w:rFonts w:hint="eastAsia"/>
          <w:color w:val="auto"/>
          <w:szCs w:val="21"/>
        </w:rPr>
        <w:t>《采购需求》技术</w:t>
      </w:r>
      <w:r>
        <w:rPr>
          <w:color w:val="auto"/>
          <w:szCs w:val="21"/>
        </w:rPr>
        <w:t>要求的</w:t>
      </w:r>
      <w:r>
        <w:rPr>
          <w:rFonts w:hint="eastAsia"/>
          <w:color w:val="auto"/>
          <w:szCs w:val="21"/>
        </w:rPr>
        <w:t>响应表</w:t>
      </w:r>
    </w:p>
    <w:p w14:paraId="7BE82661">
      <w:pPr>
        <w:rPr>
          <w:color w:val="auto"/>
          <w:szCs w:val="21"/>
        </w:rPr>
      </w:pPr>
    </w:p>
    <w:p w14:paraId="5062CB91">
      <w:pPr>
        <w:ind w:firstLine="420" w:firstLineChars="200"/>
        <w:rPr>
          <w:color w:val="auto"/>
          <w:szCs w:val="21"/>
        </w:rPr>
      </w:pPr>
    </w:p>
    <w:tbl>
      <w:tblPr>
        <w:tblStyle w:val="5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46"/>
        <w:gridCol w:w="3595"/>
        <w:gridCol w:w="3405"/>
        <w:gridCol w:w="1082"/>
      </w:tblGrid>
      <w:tr w14:paraId="6CA1E0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21394065">
            <w:pPr>
              <w:snapToGrid w:val="0"/>
              <w:spacing w:before="120" w:beforeLines="50"/>
              <w:jc w:val="center"/>
              <w:rPr>
                <w:color w:val="auto"/>
                <w:szCs w:val="21"/>
              </w:rPr>
            </w:pPr>
            <w:r>
              <w:rPr>
                <w:color w:val="auto"/>
                <w:szCs w:val="21"/>
              </w:rPr>
              <w:t>序号</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0EB04EC6">
            <w:pPr>
              <w:snapToGrid w:val="0"/>
              <w:spacing w:before="120" w:beforeLines="50"/>
              <w:jc w:val="center"/>
              <w:rPr>
                <w:color w:val="auto"/>
                <w:szCs w:val="21"/>
              </w:rPr>
            </w:pPr>
            <w:r>
              <w:rPr>
                <w:color w:val="auto"/>
                <w:szCs w:val="21"/>
              </w:rPr>
              <w:t>招标文件要求</w:t>
            </w:r>
          </w:p>
          <w:p w14:paraId="14BB86C7">
            <w:pPr>
              <w:snapToGrid w:val="0"/>
              <w:spacing w:before="120" w:beforeLines="50"/>
              <w:jc w:val="center"/>
              <w:rPr>
                <w:color w:val="auto"/>
                <w:szCs w:val="21"/>
              </w:rPr>
            </w:pPr>
            <w:r>
              <w:rPr>
                <w:color w:val="auto"/>
                <w:szCs w:val="21"/>
              </w:rPr>
              <w:t>（注明章节及条款号）</w:t>
            </w:r>
          </w:p>
        </w:tc>
        <w:tc>
          <w:tcPr>
            <w:tcW w:w="3405" w:type="dxa"/>
            <w:tcBorders>
              <w:top w:val="single" w:color="auto" w:sz="4" w:space="0"/>
              <w:left w:val="single" w:color="auto" w:sz="4" w:space="0"/>
              <w:bottom w:val="single" w:color="auto" w:sz="4" w:space="0"/>
              <w:right w:val="single" w:color="auto" w:sz="4" w:space="0"/>
            </w:tcBorders>
            <w:noWrap w:val="0"/>
            <w:vAlign w:val="center"/>
          </w:tcPr>
          <w:p w14:paraId="2CD27A77">
            <w:pPr>
              <w:snapToGrid w:val="0"/>
              <w:spacing w:before="120" w:beforeLines="50"/>
              <w:jc w:val="center"/>
              <w:rPr>
                <w:color w:val="auto"/>
                <w:szCs w:val="21"/>
              </w:rPr>
            </w:pPr>
            <w:r>
              <w:rPr>
                <w:color w:val="auto"/>
                <w:szCs w:val="21"/>
              </w:rPr>
              <w:t>投标文件响应内容</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7F7071EE">
            <w:pPr>
              <w:snapToGrid w:val="0"/>
              <w:spacing w:before="120" w:beforeLines="50"/>
              <w:jc w:val="center"/>
              <w:rPr>
                <w:color w:val="auto"/>
                <w:szCs w:val="21"/>
              </w:rPr>
            </w:pPr>
            <w:r>
              <w:rPr>
                <w:color w:val="auto"/>
              </w:rPr>
              <w:t>偏离</w:t>
            </w:r>
            <w:r>
              <w:rPr>
                <w:color w:val="auto"/>
                <w:szCs w:val="21"/>
              </w:rPr>
              <w:t>说明</w:t>
            </w:r>
          </w:p>
        </w:tc>
      </w:tr>
      <w:tr w14:paraId="00FDD3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76902815">
            <w:pPr>
              <w:snapToGrid w:val="0"/>
              <w:spacing w:before="120" w:beforeLines="50"/>
              <w:jc w:val="center"/>
              <w:rPr>
                <w:color w:val="auto"/>
                <w:szCs w:val="21"/>
              </w:rPr>
            </w:pPr>
          </w:p>
        </w:tc>
        <w:tc>
          <w:tcPr>
            <w:tcW w:w="3595" w:type="dxa"/>
            <w:tcBorders>
              <w:top w:val="single" w:color="auto" w:sz="4" w:space="0"/>
              <w:left w:val="single" w:color="auto" w:sz="4" w:space="0"/>
              <w:bottom w:val="single" w:color="auto" w:sz="4" w:space="0"/>
              <w:right w:val="single" w:color="auto" w:sz="4" w:space="0"/>
            </w:tcBorders>
            <w:noWrap w:val="0"/>
            <w:vAlign w:val="center"/>
          </w:tcPr>
          <w:p w14:paraId="092E10D5">
            <w:pPr>
              <w:snapToGrid w:val="0"/>
              <w:spacing w:before="120" w:beforeLines="50"/>
              <w:jc w:val="center"/>
              <w:rPr>
                <w:color w:val="auto"/>
                <w:szCs w:val="21"/>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60CDAAAE">
            <w:pPr>
              <w:snapToGrid w:val="0"/>
              <w:spacing w:before="120" w:beforeLines="50"/>
              <w:jc w:val="center"/>
              <w:rPr>
                <w:color w:val="auto"/>
                <w:szCs w:val="21"/>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3646775E">
            <w:pPr>
              <w:snapToGrid w:val="0"/>
              <w:spacing w:before="120" w:beforeLines="50"/>
              <w:jc w:val="center"/>
              <w:rPr>
                <w:color w:val="auto"/>
                <w:szCs w:val="21"/>
              </w:rPr>
            </w:pPr>
          </w:p>
        </w:tc>
      </w:tr>
      <w:tr w14:paraId="488EE7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3B617D6A">
            <w:pPr>
              <w:snapToGrid w:val="0"/>
              <w:spacing w:before="120" w:beforeLines="50"/>
              <w:jc w:val="center"/>
              <w:rPr>
                <w:color w:val="auto"/>
                <w:szCs w:val="21"/>
              </w:rPr>
            </w:pPr>
          </w:p>
        </w:tc>
        <w:tc>
          <w:tcPr>
            <w:tcW w:w="3595" w:type="dxa"/>
            <w:tcBorders>
              <w:top w:val="single" w:color="auto" w:sz="4" w:space="0"/>
              <w:left w:val="single" w:color="auto" w:sz="4" w:space="0"/>
              <w:bottom w:val="single" w:color="auto" w:sz="4" w:space="0"/>
              <w:right w:val="single" w:color="auto" w:sz="4" w:space="0"/>
            </w:tcBorders>
            <w:noWrap w:val="0"/>
            <w:vAlign w:val="center"/>
          </w:tcPr>
          <w:p w14:paraId="47143054">
            <w:pPr>
              <w:snapToGrid w:val="0"/>
              <w:spacing w:before="120" w:beforeLines="50"/>
              <w:jc w:val="center"/>
              <w:rPr>
                <w:color w:val="auto"/>
                <w:szCs w:val="21"/>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1A46E10A">
            <w:pPr>
              <w:snapToGrid w:val="0"/>
              <w:spacing w:before="120" w:beforeLines="50"/>
              <w:jc w:val="center"/>
              <w:rPr>
                <w:color w:val="auto"/>
                <w:szCs w:val="21"/>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1963E229">
            <w:pPr>
              <w:snapToGrid w:val="0"/>
              <w:spacing w:before="120" w:beforeLines="50"/>
              <w:jc w:val="center"/>
              <w:rPr>
                <w:color w:val="auto"/>
                <w:szCs w:val="21"/>
              </w:rPr>
            </w:pPr>
          </w:p>
        </w:tc>
      </w:tr>
      <w:tr w14:paraId="43C0EF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4451C700">
            <w:pPr>
              <w:snapToGrid w:val="0"/>
              <w:spacing w:before="120" w:beforeLines="50"/>
              <w:jc w:val="center"/>
              <w:rPr>
                <w:color w:val="auto"/>
                <w:szCs w:val="21"/>
              </w:rPr>
            </w:pPr>
          </w:p>
        </w:tc>
        <w:tc>
          <w:tcPr>
            <w:tcW w:w="3595" w:type="dxa"/>
            <w:tcBorders>
              <w:top w:val="single" w:color="auto" w:sz="4" w:space="0"/>
              <w:left w:val="single" w:color="auto" w:sz="4" w:space="0"/>
              <w:bottom w:val="single" w:color="auto" w:sz="4" w:space="0"/>
              <w:right w:val="single" w:color="auto" w:sz="4" w:space="0"/>
            </w:tcBorders>
            <w:noWrap w:val="0"/>
            <w:vAlign w:val="center"/>
          </w:tcPr>
          <w:p w14:paraId="281D3D55">
            <w:pPr>
              <w:snapToGrid w:val="0"/>
              <w:spacing w:before="120" w:beforeLines="50"/>
              <w:jc w:val="center"/>
              <w:rPr>
                <w:color w:val="auto"/>
                <w:szCs w:val="21"/>
              </w:rPr>
            </w:pPr>
          </w:p>
        </w:tc>
        <w:tc>
          <w:tcPr>
            <w:tcW w:w="3405" w:type="dxa"/>
            <w:tcBorders>
              <w:top w:val="single" w:color="auto" w:sz="4" w:space="0"/>
              <w:left w:val="single" w:color="auto" w:sz="4" w:space="0"/>
              <w:bottom w:val="single" w:color="auto" w:sz="4" w:space="0"/>
              <w:right w:val="single" w:color="auto" w:sz="4" w:space="0"/>
            </w:tcBorders>
            <w:noWrap w:val="0"/>
            <w:vAlign w:val="center"/>
          </w:tcPr>
          <w:p w14:paraId="30DDAFA9">
            <w:pPr>
              <w:snapToGrid w:val="0"/>
              <w:spacing w:before="120" w:beforeLines="50"/>
              <w:jc w:val="center"/>
              <w:rPr>
                <w:color w:val="auto"/>
                <w:szCs w:val="21"/>
              </w:rPr>
            </w:pPr>
          </w:p>
        </w:tc>
        <w:tc>
          <w:tcPr>
            <w:tcW w:w="1082" w:type="dxa"/>
            <w:tcBorders>
              <w:top w:val="single" w:color="auto" w:sz="4" w:space="0"/>
              <w:left w:val="single" w:color="auto" w:sz="4" w:space="0"/>
              <w:bottom w:val="single" w:color="auto" w:sz="4" w:space="0"/>
              <w:right w:val="single" w:color="auto" w:sz="4" w:space="0"/>
            </w:tcBorders>
            <w:noWrap w:val="0"/>
            <w:vAlign w:val="center"/>
          </w:tcPr>
          <w:p w14:paraId="1B6B1005">
            <w:pPr>
              <w:snapToGrid w:val="0"/>
              <w:spacing w:before="120" w:beforeLines="50"/>
              <w:jc w:val="center"/>
              <w:rPr>
                <w:color w:val="auto"/>
                <w:szCs w:val="21"/>
              </w:rPr>
            </w:pPr>
          </w:p>
        </w:tc>
      </w:tr>
      <w:tr w14:paraId="64D09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4" w:hRule="exact"/>
          <w:jc w:val="center"/>
        </w:trPr>
        <w:tc>
          <w:tcPr>
            <w:tcW w:w="746" w:type="dxa"/>
            <w:tcBorders>
              <w:top w:val="single" w:color="auto" w:sz="4" w:space="0"/>
              <w:left w:val="single" w:color="auto" w:sz="4" w:space="0"/>
              <w:bottom w:val="single" w:color="auto" w:sz="4" w:space="0"/>
              <w:right w:val="single" w:color="auto" w:sz="4" w:space="0"/>
            </w:tcBorders>
            <w:noWrap w:val="0"/>
            <w:vAlign w:val="center"/>
          </w:tcPr>
          <w:p w14:paraId="68BD6CC9">
            <w:pPr>
              <w:snapToGrid w:val="0"/>
              <w:spacing w:before="120" w:beforeLines="50"/>
              <w:jc w:val="center"/>
              <w:rPr>
                <w:color w:val="auto"/>
                <w:szCs w:val="21"/>
              </w:rPr>
            </w:pPr>
            <w:r>
              <w:rPr>
                <w:color w:val="auto"/>
                <w:szCs w:val="21"/>
              </w:rPr>
              <w:t>……</w:t>
            </w:r>
          </w:p>
        </w:tc>
        <w:tc>
          <w:tcPr>
            <w:tcW w:w="3595" w:type="dxa"/>
            <w:tcBorders>
              <w:top w:val="single" w:color="auto" w:sz="4" w:space="0"/>
              <w:left w:val="single" w:color="auto" w:sz="4" w:space="0"/>
              <w:bottom w:val="single" w:color="auto" w:sz="4" w:space="0"/>
              <w:right w:val="single" w:color="auto" w:sz="4" w:space="0"/>
            </w:tcBorders>
            <w:noWrap w:val="0"/>
            <w:vAlign w:val="center"/>
          </w:tcPr>
          <w:p w14:paraId="6FEFC115">
            <w:pPr>
              <w:snapToGrid w:val="0"/>
              <w:spacing w:before="120" w:beforeLines="50"/>
              <w:jc w:val="center"/>
              <w:rPr>
                <w:color w:val="auto"/>
                <w:szCs w:val="21"/>
              </w:rPr>
            </w:pPr>
            <w:r>
              <w:rPr>
                <w:color w:val="auto"/>
                <w:szCs w:val="21"/>
              </w:rPr>
              <w:t>……</w:t>
            </w:r>
          </w:p>
        </w:tc>
        <w:tc>
          <w:tcPr>
            <w:tcW w:w="3405" w:type="dxa"/>
            <w:tcBorders>
              <w:top w:val="single" w:color="auto" w:sz="4" w:space="0"/>
              <w:left w:val="single" w:color="auto" w:sz="4" w:space="0"/>
              <w:bottom w:val="single" w:color="auto" w:sz="4" w:space="0"/>
              <w:right w:val="single" w:color="auto" w:sz="4" w:space="0"/>
            </w:tcBorders>
            <w:noWrap w:val="0"/>
            <w:vAlign w:val="center"/>
          </w:tcPr>
          <w:p w14:paraId="5A40A6C8">
            <w:pPr>
              <w:snapToGrid w:val="0"/>
              <w:spacing w:before="120" w:beforeLines="50"/>
              <w:jc w:val="center"/>
              <w:rPr>
                <w:color w:val="auto"/>
                <w:szCs w:val="21"/>
              </w:rPr>
            </w:pPr>
            <w:r>
              <w:rPr>
                <w:color w:val="auto"/>
                <w:szCs w:val="21"/>
              </w:rPr>
              <w:t>……</w:t>
            </w:r>
          </w:p>
        </w:tc>
        <w:tc>
          <w:tcPr>
            <w:tcW w:w="1082" w:type="dxa"/>
            <w:tcBorders>
              <w:top w:val="single" w:color="auto" w:sz="4" w:space="0"/>
              <w:left w:val="single" w:color="auto" w:sz="4" w:space="0"/>
              <w:bottom w:val="single" w:color="auto" w:sz="4" w:space="0"/>
              <w:right w:val="single" w:color="auto" w:sz="4" w:space="0"/>
            </w:tcBorders>
            <w:noWrap w:val="0"/>
            <w:vAlign w:val="center"/>
          </w:tcPr>
          <w:p w14:paraId="269E6B5B">
            <w:pPr>
              <w:snapToGrid w:val="0"/>
              <w:spacing w:before="120" w:beforeLines="50"/>
              <w:jc w:val="center"/>
              <w:rPr>
                <w:color w:val="auto"/>
                <w:szCs w:val="21"/>
              </w:rPr>
            </w:pPr>
            <w:r>
              <w:rPr>
                <w:color w:val="auto"/>
                <w:szCs w:val="21"/>
              </w:rPr>
              <w:t>……</w:t>
            </w:r>
          </w:p>
        </w:tc>
      </w:tr>
    </w:tbl>
    <w:p w14:paraId="5E02BF0B">
      <w:pPr>
        <w:rPr>
          <w:color w:val="auto"/>
          <w:szCs w:val="21"/>
        </w:rPr>
      </w:pPr>
    </w:p>
    <w:p w14:paraId="3625C022">
      <w:pPr>
        <w:pStyle w:val="28"/>
        <w:tabs>
          <w:tab w:val="left" w:pos="2127"/>
        </w:tabs>
        <w:spacing w:line="340" w:lineRule="exact"/>
        <w:ind w:firstLine="420" w:firstLineChars="200"/>
        <w:jc w:val="left"/>
        <w:rPr>
          <w:rFonts w:ascii="Times New Roman" w:hAnsi="Times New Roman" w:cs="Times New Roman"/>
          <w:color w:val="auto"/>
        </w:rPr>
      </w:pPr>
      <w:bookmarkStart w:id="165" w:name="_Hlk88990482"/>
      <w:r>
        <w:rPr>
          <w:color w:val="auto"/>
        </w:rPr>
        <w:t>注：（1）</w:t>
      </w:r>
      <w:r>
        <w:rPr>
          <w:rFonts w:ascii="Times New Roman" w:hAnsi="Times New Roman" w:cs="Times New Roman"/>
          <w:color w:val="auto"/>
        </w:rPr>
        <w:t>本表应对招标文件</w:t>
      </w:r>
      <w:r>
        <w:rPr>
          <w:color w:val="auto"/>
        </w:rPr>
        <w:t>第</w:t>
      </w:r>
      <w:r>
        <w:rPr>
          <w:rFonts w:hint="eastAsia"/>
          <w:color w:val="auto"/>
        </w:rPr>
        <w:t>二</w:t>
      </w:r>
      <w:r>
        <w:rPr>
          <w:color w:val="auto"/>
        </w:rPr>
        <w:t>章</w:t>
      </w:r>
      <w:r>
        <w:rPr>
          <w:rFonts w:hint="eastAsia"/>
          <w:color w:val="auto"/>
        </w:rPr>
        <w:t>《采购需求》</w:t>
      </w:r>
      <w:r>
        <w:rPr>
          <w:rFonts w:ascii="Times New Roman" w:hAnsi="Times New Roman" w:cs="Times New Roman"/>
          <w:color w:val="auto"/>
        </w:rPr>
        <w:t>中所列</w:t>
      </w:r>
      <w:r>
        <w:rPr>
          <w:rFonts w:hint="eastAsia" w:ascii="Times New Roman" w:hAnsi="Times New Roman" w:cs="Times New Roman"/>
          <w:color w:val="auto"/>
        </w:rPr>
        <w:t>技术</w:t>
      </w:r>
      <w:r>
        <w:rPr>
          <w:rFonts w:ascii="Times New Roman" w:hAnsi="Times New Roman" w:cs="Times New Roman"/>
          <w:color w:val="auto"/>
        </w:rPr>
        <w:t>要求进行响应，并根据响应情况在“偏离说明”栏填写正偏离或负偏离及原因，完全符合的填写</w:t>
      </w:r>
      <w:r>
        <w:rPr>
          <w:rFonts w:hint="eastAsia" w:ascii="Times New Roman" w:hAnsi="Times New Roman" w:cs="Times New Roman"/>
          <w:color w:val="auto"/>
        </w:rPr>
        <w:t>“</w:t>
      </w:r>
      <w:r>
        <w:rPr>
          <w:rFonts w:ascii="Times New Roman" w:hAnsi="Times New Roman" w:cs="Times New Roman"/>
          <w:color w:val="auto"/>
        </w:rPr>
        <w:t>无偏离</w:t>
      </w:r>
      <w:r>
        <w:rPr>
          <w:rFonts w:hint="eastAsia" w:ascii="Times New Roman" w:hAnsi="Times New Roman" w:cs="Times New Roman"/>
          <w:color w:val="auto"/>
        </w:rPr>
        <w:t>”</w:t>
      </w:r>
      <w:r>
        <w:rPr>
          <w:rFonts w:ascii="Times New Roman" w:hAnsi="Times New Roman" w:cs="Times New Roman"/>
          <w:color w:val="auto"/>
        </w:rPr>
        <w:t>。</w:t>
      </w:r>
    </w:p>
    <w:p w14:paraId="5DDCD346">
      <w:pPr>
        <w:rPr>
          <w:color w:val="auto"/>
        </w:rPr>
      </w:pPr>
      <w:r>
        <w:rPr>
          <w:rFonts w:hint="eastAsia"/>
          <w:color w:val="auto"/>
        </w:rPr>
        <w:t>（2）</w:t>
      </w:r>
      <w:r>
        <w:rPr>
          <w:color w:val="auto"/>
        </w:rPr>
        <w:t>第</w:t>
      </w:r>
      <w:r>
        <w:rPr>
          <w:rFonts w:hint="eastAsia"/>
          <w:color w:val="auto"/>
        </w:rPr>
        <w:t>二</w:t>
      </w:r>
      <w:r>
        <w:rPr>
          <w:color w:val="auto"/>
        </w:rPr>
        <w:t>章</w:t>
      </w:r>
      <w:r>
        <w:rPr>
          <w:rFonts w:hint="eastAsia"/>
          <w:color w:val="auto"/>
        </w:rPr>
        <w:t>《采购需求》中的总体要求无需响应。</w:t>
      </w:r>
    </w:p>
    <w:p w14:paraId="049FC7B7">
      <w:pPr>
        <w:rPr>
          <w:color w:val="auto"/>
        </w:rPr>
      </w:pPr>
      <w:r>
        <w:rPr>
          <w:rFonts w:hint="eastAsia"/>
          <w:color w:val="auto"/>
        </w:rPr>
        <w:t>（</w:t>
      </w:r>
      <w:r>
        <w:rPr>
          <w:color w:val="auto"/>
        </w:rPr>
        <w:t>3</w:t>
      </w:r>
      <w:r>
        <w:rPr>
          <w:rFonts w:hint="eastAsia"/>
          <w:color w:val="auto"/>
        </w:rPr>
        <w:t>）偏离认定说明详见评审方法及标准。</w:t>
      </w:r>
    </w:p>
    <w:p w14:paraId="228AA1F2">
      <w:pPr>
        <w:rPr>
          <w:color w:val="auto"/>
        </w:rPr>
      </w:pPr>
      <w:r>
        <w:rPr>
          <w:color w:val="auto"/>
        </w:rPr>
        <w:t>（4）本表可扩展。</w:t>
      </w:r>
    </w:p>
    <w:bookmarkEnd w:id="165"/>
    <w:p w14:paraId="164E2BA5">
      <w:pPr>
        <w:rPr>
          <w:color w:val="auto"/>
          <w:szCs w:val="21"/>
        </w:rPr>
      </w:pPr>
    </w:p>
    <w:p w14:paraId="305B9E21">
      <w:pPr>
        <w:rPr>
          <w:color w:val="auto"/>
          <w:spacing w:val="20"/>
          <w:szCs w:val="21"/>
          <w:u w:val="single"/>
        </w:rPr>
      </w:pPr>
      <w:bookmarkStart w:id="166" w:name="_Hlk88990507"/>
    </w:p>
    <w:p w14:paraId="20077C4E">
      <w:pPr>
        <w:rPr>
          <w:color w:val="auto"/>
          <w:szCs w:val="21"/>
        </w:rPr>
      </w:pPr>
      <w:r>
        <w:rPr>
          <w:color w:val="auto"/>
          <w:szCs w:val="21"/>
        </w:rPr>
        <w:t>供应商</w:t>
      </w:r>
      <w:r>
        <w:rPr>
          <w:rFonts w:hint="eastAsia"/>
          <w:color w:val="auto"/>
          <w:szCs w:val="21"/>
        </w:rPr>
        <w:t>名称(电子签章</w:t>
      </w:r>
      <w:r>
        <w:rPr>
          <w:color w:val="auto"/>
          <w:szCs w:val="21"/>
        </w:rPr>
        <w:t>)</w:t>
      </w:r>
      <w:bookmarkEnd w:id="166"/>
      <w:r>
        <w:rPr>
          <w:color w:val="auto"/>
          <w:spacing w:val="20"/>
          <w:szCs w:val="21"/>
        </w:rPr>
        <w:t>：</w:t>
      </w:r>
      <w:r>
        <w:rPr>
          <w:color w:val="auto"/>
          <w:spacing w:val="20"/>
          <w:szCs w:val="21"/>
          <w:u w:val="single"/>
        </w:rPr>
        <w:t xml:space="preserve">            </w:t>
      </w:r>
      <w:r>
        <w:rPr>
          <w:color w:val="auto"/>
          <w:spacing w:val="20"/>
          <w:szCs w:val="21"/>
        </w:rPr>
        <w:t xml:space="preserve">              日 期：</w:t>
      </w:r>
      <w:r>
        <w:rPr>
          <w:color w:val="auto"/>
          <w:spacing w:val="20"/>
          <w:szCs w:val="21"/>
          <w:u w:val="single"/>
        </w:rPr>
        <w:t xml:space="preserve">            </w:t>
      </w:r>
    </w:p>
    <w:p w14:paraId="7D2A6750">
      <w:pPr>
        <w:rPr>
          <w:color w:val="auto"/>
          <w:szCs w:val="21"/>
        </w:rPr>
      </w:pPr>
    </w:p>
    <w:p w14:paraId="0779AD1F">
      <w:pPr>
        <w:snapToGrid w:val="0"/>
        <w:spacing w:before="50" w:after="120" w:afterLines="50"/>
        <w:jc w:val="left"/>
        <w:rPr>
          <w:color w:val="auto"/>
          <w:szCs w:val="21"/>
        </w:rPr>
      </w:pPr>
      <w:r>
        <w:rPr>
          <w:color w:val="auto"/>
          <w:szCs w:val="21"/>
        </w:rPr>
        <w:t>2．</w:t>
      </w:r>
      <w:r>
        <w:rPr>
          <w:rFonts w:hint="eastAsia"/>
          <w:color w:val="auto"/>
          <w:szCs w:val="21"/>
        </w:rPr>
        <w:t>货物或产品</w:t>
      </w:r>
      <w:r>
        <w:rPr>
          <w:color w:val="auto"/>
          <w:szCs w:val="21"/>
        </w:rPr>
        <w:t>配置清单格式（如有</w:t>
      </w:r>
      <w:r>
        <w:rPr>
          <w:rFonts w:hint="eastAsia"/>
          <w:color w:val="auto"/>
          <w:szCs w:val="21"/>
        </w:rPr>
        <w:t>，</w:t>
      </w:r>
      <w:r>
        <w:rPr>
          <w:color w:val="auto"/>
          <w:szCs w:val="21"/>
        </w:rPr>
        <w:t>供应商自行编写）：</w:t>
      </w:r>
    </w:p>
    <w:tbl>
      <w:tblPr>
        <w:tblStyle w:val="5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4"/>
        <w:gridCol w:w="1681"/>
        <w:gridCol w:w="1174"/>
        <w:gridCol w:w="1163"/>
        <w:gridCol w:w="1596"/>
        <w:gridCol w:w="1695"/>
        <w:gridCol w:w="1080"/>
      </w:tblGrid>
      <w:tr w14:paraId="36F050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554" w:type="dxa"/>
            <w:tcBorders>
              <w:top w:val="single" w:color="auto" w:sz="4" w:space="0"/>
              <w:left w:val="single" w:color="auto" w:sz="4" w:space="0"/>
              <w:bottom w:val="single" w:color="auto" w:sz="4" w:space="0"/>
              <w:right w:val="single" w:color="auto" w:sz="4" w:space="0"/>
            </w:tcBorders>
            <w:noWrap w:val="0"/>
            <w:vAlign w:val="center"/>
          </w:tcPr>
          <w:p w14:paraId="6E2B0B79">
            <w:pPr>
              <w:snapToGrid w:val="0"/>
              <w:spacing w:before="50" w:after="50" w:line="440" w:lineRule="exact"/>
              <w:jc w:val="center"/>
              <w:rPr>
                <w:color w:val="auto"/>
                <w:szCs w:val="21"/>
              </w:rPr>
            </w:pPr>
            <w:r>
              <w:rPr>
                <w:color w:val="auto"/>
                <w:szCs w:val="21"/>
              </w:rPr>
              <w:t>序号</w:t>
            </w: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A91FD18">
            <w:pPr>
              <w:snapToGrid w:val="0"/>
              <w:spacing w:before="50" w:after="50" w:line="440" w:lineRule="exact"/>
              <w:jc w:val="center"/>
              <w:rPr>
                <w:color w:val="auto"/>
                <w:szCs w:val="21"/>
              </w:rPr>
            </w:pPr>
            <w:r>
              <w:rPr>
                <w:rFonts w:hint="eastAsia"/>
                <w:color w:val="auto"/>
                <w:szCs w:val="21"/>
              </w:rPr>
              <w:t>货物或产品</w:t>
            </w:r>
          </w:p>
          <w:p w14:paraId="0E88E717">
            <w:pPr>
              <w:snapToGrid w:val="0"/>
              <w:spacing w:before="50" w:after="50" w:line="440" w:lineRule="exact"/>
              <w:jc w:val="center"/>
              <w:rPr>
                <w:color w:val="auto"/>
                <w:szCs w:val="21"/>
              </w:rPr>
            </w:pPr>
            <w:r>
              <w:rPr>
                <w:color w:val="auto"/>
                <w:szCs w:val="21"/>
              </w:rPr>
              <w:t>名称</w:t>
            </w:r>
          </w:p>
        </w:tc>
        <w:tc>
          <w:tcPr>
            <w:tcW w:w="1174" w:type="dxa"/>
            <w:tcBorders>
              <w:top w:val="single" w:color="auto" w:sz="4" w:space="0"/>
              <w:left w:val="single" w:color="auto" w:sz="4" w:space="0"/>
              <w:bottom w:val="single" w:color="auto" w:sz="4" w:space="0"/>
              <w:right w:val="single" w:color="auto" w:sz="4" w:space="0"/>
            </w:tcBorders>
            <w:noWrap w:val="0"/>
            <w:vAlign w:val="center"/>
          </w:tcPr>
          <w:p w14:paraId="61647FE9">
            <w:pPr>
              <w:snapToGrid w:val="0"/>
              <w:spacing w:before="50" w:after="50" w:line="440" w:lineRule="exact"/>
              <w:jc w:val="center"/>
              <w:rPr>
                <w:color w:val="auto"/>
                <w:szCs w:val="21"/>
              </w:rPr>
            </w:pPr>
            <w:r>
              <w:rPr>
                <w:color w:val="auto"/>
                <w:szCs w:val="21"/>
              </w:rPr>
              <w:t>品牌或制造商</w:t>
            </w:r>
          </w:p>
        </w:tc>
        <w:tc>
          <w:tcPr>
            <w:tcW w:w="1163" w:type="dxa"/>
            <w:tcBorders>
              <w:top w:val="single" w:color="auto" w:sz="4" w:space="0"/>
              <w:left w:val="single" w:color="auto" w:sz="4" w:space="0"/>
              <w:bottom w:val="single" w:color="auto" w:sz="4" w:space="0"/>
              <w:right w:val="single" w:color="auto" w:sz="4" w:space="0"/>
            </w:tcBorders>
            <w:noWrap w:val="0"/>
            <w:vAlign w:val="center"/>
          </w:tcPr>
          <w:p w14:paraId="46560A84">
            <w:pPr>
              <w:snapToGrid w:val="0"/>
              <w:spacing w:before="50" w:after="50" w:line="440" w:lineRule="exact"/>
              <w:jc w:val="center"/>
              <w:rPr>
                <w:color w:val="auto"/>
                <w:szCs w:val="21"/>
              </w:rPr>
            </w:pPr>
            <w:r>
              <w:rPr>
                <w:color w:val="auto"/>
                <w:szCs w:val="21"/>
              </w:rPr>
              <w:t>规格型号</w:t>
            </w:r>
          </w:p>
        </w:tc>
        <w:tc>
          <w:tcPr>
            <w:tcW w:w="1596" w:type="dxa"/>
            <w:tcBorders>
              <w:top w:val="single" w:color="auto" w:sz="4" w:space="0"/>
              <w:left w:val="single" w:color="auto" w:sz="4" w:space="0"/>
              <w:bottom w:val="single" w:color="auto" w:sz="4" w:space="0"/>
              <w:right w:val="single" w:color="auto" w:sz="4" w:space="0"/>
            </w:tcBorders>
            <w:noWrap w:val="0"/>
            <w:vAlign w:val="center"/>
          </w:tcPr>
          <w:p w14:paraId="4780A34F">
            <w:pPr>
              <w:snapToGrid w:val="0"/>
              <w:spacing w:before="50" w:after="50" w:line="440" w:lineRule="exact"/>
              <w:jc w:val="center"/>
              <w:rPr>
                <w:color w:val="auto"/>
                <w:szCs w:val="21"/>
              </w:rPr>
            </w:pPr>
            <w:r>
              <w:rPr>
                <w:color w:val="auto"/>
                <w:szCs w:val="21"/>
              </w:rPr>
              <w:t>单位及数量</w:t>
            </w:r>
          </w:p>
        </w:tc>
        <w:tc>
          <w:tcPr>
            <w:tcW w:w="1695" w:type="dxa"/>
            <w:tcBorders>
              <w:top w:val="single" w:color="auto" w:sz="4" w:space="0"/>
              <w:left w:val="single" w:color="auto" w:sz="4" w:space="0"/>
              <w:bottom w:val="single" w:color="auto" w:sz="4" w:space="0"/>
              <w:right w:val="single" w:color="auto" w:sz="4" w:space="0"/>
            </w:tcBorders>
            <w:noWrap w:val="0"/>
            <w:vAlign w:val="center"/>
          </w:tcPr>
          <w:p w14:paraId="09EBE177">
            <w:pPr>
              <w:snapToGrid w:val="0"/>
              <w:spacing w:before="50" w:after="50" w:line="440" w:lineRule="exact"/>
              <w:jc w:val="center"/>
              <w:rPr>
                <w:color w:val="auto"/>
                <w:szCs w:val="21"/>
              </w:rPr>
            </w:pPr>
            <w:r>
              <w:rPr>
                <w:color w:val="auto"/>
                <w:szCs w:val="21"/>
              </w:rPr>
              <w:t>性能及指标</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95AD732">
            <w:pPr>
              <w:snapToGrid w:val="0"/>
              <w:spacing w:before="50" w:after="50" w:line="440" w:lineRule="exact"/>
              <w:jc w:val="center"/>
              <w:rPr>
                <w:color w:val="auto"/>
                <w:szCs w:val="21"/>
              </w:rPr>
            </w:pPr>
            <w:r>
              <w:rPr>
                <w:color w:val="auto"/>
                <w:szCs w:val="21"/>
              </w:rPr>
              <w:t>产地</w:t>
            </w:r>
          </w:p>
        </w:tc>
      </w:tr>
      <w:tr w14:paraId="25D8E6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554" w:type="dxa"/>
            <w:tcBorders>
              <w:top w:val="single" w:color="auto" w:sz="4" w:space="0"/>
              <w:left w:val="single" w:color="auto" w:sz="4" w:space="0"/>
              <w:bottom w:val="single" w:color="auto" w:sz="4" w:space="0"/>
              <w:right w:val="single" w:color="auto" w:sz="4" w:space="0"/>
            </w:tcBorders>
            <w:noWrap w:val="0"/>
            <w:vAlign w:val="center"/>
          </w:tcPr>
          <w:p w14:paraId="58006637">
            <w:pPr>
              <w:snapToGrid w:val="0"/>
              <w:spacing w:before="50" w:after="50" w:line="440" w:lineRule="exact"/>
              <w:jc w:val="center"/>
              <w:rPr>
                <w:color w:val="auto"/>
                <w:szCs w:val="21"/>
              </w:rPr>
            </w:pPr>
          </w:p>
        </w:tc>
        <w:tc>
          <w:tcPr>
            <w:tcW w:w="1681" w:type="dxa"/>
            <w:tcBorders>
              <w:top w:val="single" w:color="auto" w:sz="4" w:space="0"/>
              <w:left w:val="single" w:color="auto" w:sz="4" w:space="0"/>
              <w:bottom w:val="single" w:color="auto" w:sz="4" w:space="0"/>
              <w:right w:val="single" w:color="auto" w:sz="4" w:space="0"/>
            </w:tcBorders>
            <w:noWrap w:val="0"/>
            <w:vAlign w:val="center"/>
          </w:tcPr>
          <w:p w14:paraId="1AEBF81F">
            <w:pPr>
              <w:snapToGrid w:val="0"/>
              <w:spacing w:before="50" w:after="50" w:line="440" w:lineRule="exact"/>
              <w:rPr>
                <w:color w:val="auto"/>
                <w:szCs w:val="21"/>
              </w:rPr>
            </w:pPr>
          </w:p>
        </w:tc>
        <w:tc>
          <w:tcPr>
            <w:tcW w:w="1174" w:type="dxa"/>
            <w:tcBorders>
              <w:top w:val="single" w:color="auto" w:sz="4" w:space="0"/>
              <w:left w:val="single" w:color="auto" w:sz="4" w:space="0"/>
              <w:bottom w:val="single" w:color="auto" w:sz="4" w:space="0"/>
              <w:right w:val="single" w:color="auto" w:sz="4" w:space="0"/>
            </w:tcBorders>
            <w:noWrap w:val="0"/>
            <w:vAlign w:val="center"/>
          </w:tcPr>
          <w:p w14:paraId="70233A61">
            <w:pPr>
              <w:snapToGrid w:val="0"/>
              <w:spacing w:before="50" w:after="50" w:line="440" w:lineRule="exact"/>
              <w:jc w:val="center"/>
              <w:rPr>
                <w:color w:val="auto"/>
                <w:szCs w:val="21"/>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79EF5FA0">
            <w:pPr>
              <w:snapToGrid w:val="0"/>
              <w:spacing w:before="50" w:after="50" w:line="440" w:lineRule="exact"/>
              <w:jc w:val="center"/>
              <w:rPr>
                <w:color w:val="auto"/>
                <w:szCs w:val="21"/>
              </w:rPr>
            </w:pPr>
          </w:p>
        </w:tc>
        <w:tc>
          <w:tcPr>
            <w:tcW w:w="1596" w:type="dxa"/>
            <w:tcBorders>
              <w:top w:val="single" w:color="auto" w:sz="4" w:space="0"/>
              <w:left w:val="single" w:color="auto" w:sz="4" w:space="0"/>
              <w:bottom w:val="single" w:color="auto" w:sz="4" w:space="0"/>
              <w:right w:val="single" w:color="auto" w:sz="4" w:space="0"/>
            </w:tcBorders>
            <w:noWrap w:val="0"/>
            <w:vAlign w:val="center"/>
          </w:tcPr>
          <w:p w14:paraId="5911D897">
            <w:pPr>
              <w:snapToGrid w:val="0"/>
              <w:spacing w:before="50" w:after="50" w:line="440" w:lineRule="exact"/>
              <w:jc w:val="center"/>
              <w:rPr>
                <w:color w:val="auto"/>
                <w:szCs w:val="21"/>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34621D98">
            <w:pPr>
              <w:snapToGrid w:val="0"/>
              <w:spacing w:before="50" w:after="50" w:line="440" w:lineRule="exact"/>
              <w:jc w:val="center"/>
              <w:rPr>
                <w:color w:val="auto"/>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889A5A9">
            <w:pPr>
              <w:snapToGrid w:val="0"/>
              <w:spacing w:before="50" w:after="50" w:line="440" w:lineRule="exact"/>
              <w:jc w:val="center"/>
              <w:rPr>
                <w:color w:val="auto"/>
                <w:szCs w:val="21"/>
              </w:rPr>
            </w:pPr>
          </w:p>
        </w:tc>
      </w:tr>
      <w:tr w14:paraId="5F8D00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8" w:hRule="atLeast"/>
          <w:jc w:val="center"/>
        </w:trPr>
        <w:tc>
          <w:tcPr>
            <w:tcW w:w="554" w:type="dxa"/>
            <w:tcBorders>
              <w:top w:val="single" w:color="auto" w:sz="4" w:space="0"/>
              <w:left w:val="single" w:color="auto" w:sz="4" w:space="0"/>
              <w:bottom w:val="single" w:color="auto" w:sz="4" w:space="0"/>
              <w:right w:val="single" w:color="auto" w:sz="4" w:space="0"/>
            </w:tcBorders>
            <w:noWrap w:val="0"/>
            <w:vAlign w:val="center"/>
          </w:tcPr>
          <w:p w14:paraId="3906D6B3">
            <w:pPr>
              <w:snapToGrid w:val="0"/>
              <w:spacing w:before="50" w:after="50" w:line="440" w:lineRule="exact"/>
              <w:jc w:val="center"/>
              <w:rPr>
                <w:color w:val="auto"/>
                <w:szCs w:val="21"/>
              </w:rPr>
            </w:pPr>
          </w:p>
        </w:tc>
        <w:tc>
          <w:tcPr>
            <w:tcW w:w="1681" w:type="dxa"/>
            <w:tcBorders>
              <w:top w:val="single" w:color="auto" w:sz="4" w:space="0"/>
              <w:left w:val="single" w:color="auto" w:sz="4" w:space="0"/>
              <w:bottom w:val="single" w:color="auto" w:sz="4" w:space="0"/>
              <w:right w:val="single" w:color="auto" w:sz="4" w:space="0"/>
            </w:tcBorders>
            <w:noWrap w:val="0"/>
            <w:vAlign w:val="center"/>
          </w:tcPr>
          <w:p w14:paraId="47207C99">
            <w:pPr>
              <w:snapToGrid w:val="0"/>
              <w:spacing w:before="50" w:after="50" w:line="440" w:lineRule="exact"/>
              <w:jc w:val="center"/>
              <w:rPr>
                <w:color w:val="auto"/>
                <w:szCs w:val="21"/>
              </w:rPr>
            </w:pPr>
          </w:p>
        </w:tc>
        <w:tc>
          <w:tcPr>
            <w:tcW w:w="1174" w:type="dxa"/>
            <w:tcBorders>
              <w:top w:val="single" w:color="auto" w:sz="4" w:space="0"/>
              <w:left w:val="single" w:color="auto" w:sz="4" w:space="0"/>
              <w:bottom w:val="single" w:color="auto" w:sz="4" w:space="0"/>
              <w:right w:val="single" w:color="auto" w:sz="4" w:space="0"/>
            </w:tcBorders>
            <w:noWrap w:val="0"/>
            <w:vAlign w:val="center"/>
          </w:tcPr>
          <w:p w14:paraId="359E21BB">
            <w:pPr>
              <w:snapToGrid w:val="0"/>
              <w:spacing w:before="50" w:after="50" w:line="440" w:lineRule="exact"/>
              <w:jc w:val="center"/>
              <w:rPr>
                <w:color w:val="auto"/>
                <w:szCs w:val="21"/>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2E5FD8B7">
            <w:pPr>
              <w:snapToGrid w:val="0"/>
              <w:spacing w:before="50" w:after="50" w:line="440" w:lineRule="exact"/>
              <w:jc w:val="center"/>
              <w:rPr>
                <w:color w:val="auto"/>
                <w:szCs w:val="21"/>
              </w:rPr>
            </w:pPr>
          </w:p>
        </w:tc>
        <w:tc>
          <w:tcPr>
            <w:tcW w:w="1596" w:type="dxa"/>
            <w:tcBorders>
              <w:top w:val="single" w:color="auto" w:sz="4" w:space="0"/>
              <w:left w:val="single" w:color="auto" w:sz="4" w:space="0"/>
              <w:bottom w:val="single" w:color="auto" w:sz="4" w:space="0"/>
              <w:right w:val="single" w:color="auto" w:sz="4" w:space="0"/>
            </w:tcBorders>
            <w:noWrap w:val="0"/>
            <w:vAlign w:val="center"/>
          </w:tcPr>
          <w:p w14:paraId="1081131E">
            <w:pPr>
              <w:snapToGrid w:val="0"/>
              <w:spacing w:before="50" w:after="50" w:line="440" w:lineRule="exact"/>
              <w:jc w:val="center"/>
              <w:rPr>
                <w:color w:val="auto"/>
                <w:szCs w:val="21"/>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27D7BEA3">
            <w:pPr>
              <w:snapToGrid w:val="0"/>
              <w:spacing w:before="50" w:after="50" w:line="440" w:lineRule="exact"/>
              <w:jc w:val="center"/>
              <w:rPr>
                <w:color w:val="auto"/>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6424D2A">
            <w:pPr>
              <w:snapToGrid w:val="0"/>
              <w:spacing w:before="50" w:after="50" w:line="440" w:lineRule="exact"/>
              <w:jc w:val="center"/>
              <w:rPr>
                <w:color w:val="auto"/>
                <w:szCs w:val="21"/>
              </w:rPr>
            </w:pPr>
          </w:p>
        </w:tc>
      </w:tr>
      <w:tr w14:paraId="49A231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9" w:hRule="atLeast"/>
          <w:jc w:val="center"/>
        </w:trPr>
        <w:tc>
          <w:tcPr>
            <w:tcW w:w="554" w:type="dxa"/>
            <w:tcBorders>
              <w:top w:val="single" w:color="auto" w:sz="4" w:space="0"/>
              <w:left w:val="single" w:color="auto" w:sz="4" w:space="0"/>
              <w:bottom w:val="single" w:color="auto" w:sz="4" w:space="0"/>
              <w:right w:val="single" w:color="auto" w:sz="4" w:space="0"/>
            </w:tcBorders>
            <w:noWrap w:val="0"/>
            <w:vAlign w:val="center"/>
          </w:tcPr>
          <w:p w14:paraId="5D65A174">
            <w:pPr>
              <w:snapToGrid w:val="0"/>
              <w:spacing w:before="50" w:after="50" w:line="440" w:lineRule="exact"/>
              <w:jc w:val="center"/>
              <w:rPr>
                <w:color w:val="auto"/>
                <w:szCs w:val="21"/>
              </w:rPr>
            </w:pPr>
          </w:p>
        </w:tc>
        <w:tc>
          <w:tcPr>
            <w:tcW w:w="1681" w:type="dxa"/>
            <w:tcBorders>
              <w:top w:val="single" w:color="auto" w:sz="4" w:space="0"/>
              <w:left w:val="single" w:color="auto" w:sz="4" w:space="0"/>
              <w:bottom w:val="single" w:color="auto" w:sz="4" w:space="0"/>
              <w:right w:val="single" w:color="auto" w:sz="4" w:space="0"/>
            </w:tcBorders>
            <w:noWrap w:val="0"/>
            <w:vAlign w:val="center"/>
          </w:tcPr>
          <w:p w14:paraId="719924F2">
            <w:pPr>
              <w:snapToGrid w:val="0"/>
              <w:spacing w:before="50" w:after="50" w:line="440" w:lineRule="exact"/>
              <w:jc w:val="center"/>
              <w:rPr>
                <w:color w:val="auto"/>
                <w:szCs w:val="21"/>
              </w:rPr>
            </w:pPr>
          </w:p>
        </w:tc>
        <w:tc>
          <w:tcPr>
            <w:tcW w:w="1174" w:type="dxa"/>
            <w:tcBorders>
              <w:top w:val="single" w:color="auto" w:sz="4" w:space="0"/>
              <w:left w:val="single" w:color="auto" w:sz="4" w:space="0"/>
              <w:bottom w:val="single" w:color="auto" w:sz="4" w:space="0"/>
              <w:right w:val="single" w:color="auto" w:sz="4" w:space="0"/>
            </w:tcBorders>
            <w:noWrap w:val="0"/>
            <w:vAlign w:val="center"/>
          </w:tcPr>
          <w:p w14:paraId="4F727DC5">
            <w:pPr>
              <w:snapToGrid w:val="0"/>
              <w:spacing w:before="50" w:after="50" w:line="440" w:lineRule="exact"/>
              <w:jc w:val="center"/>
              <w:rPr>
                <w:color w:val="auto"/>
                <w:szCs w:val="21"/>
              </w:rPr>
            </w:pPr>
          </w:p>
        </w:tc>
        <w:tc>
          <w:tcPr>
            <w:tcW w:w="1163" w:type="dxa"/>
            <w:tcBorders>
              <w:top w:val="single" w:color="auto" w:sz="4" w:space="0"/>
              <w:left w:val="single" w:color="auto" w:sz="4" w:space="0"/>
              <w:bottom w:val="single" w:color="auto" w:sz="4" w:space="0"/>
              <w:right w:val="single" w:color="auto" w:sz="4" w:space="0"/>
            </w:tcBorders>
            <w:noWrap w:val="0"/>
            <w:vAlign w:val="center"/>
          </w:tcPr>
          <w:p w14:paraId="1B515530">
            <w:pPr>
              <w:snapToGrid w:val="0"/>
              <w:spacing w:before="50" w:after="50" w:line="440" w:lineRule="exact"/>
              <w:jc w:val="center"/>
              <w:rPr>
                <w:color w:val="auto"/>
                <w:szCs w:val="21"/>
              </w:rPr>
            </w:pPr>
          </w:p>
        </w:tc>
        <w:tc>
          <w:tcPr>
            <w:tcW w:w="1596" w:type="dxa"/>
            <w:tcBorders>
              <w:top w:val="single" w:color="auto" w:sz="4" w:space="0"/>
              <w:left w:val="single" w:color="auto" w:sz="4" w:space="0"/>
              <w:bottom w:val="single" w:color="auto" w:sz="4" w:space="0"/>
              <w:right w:val="single" w:color="auto" w:sz="4" w:space="0"/>
            </w:tcBorders>
            <w:noWrap w:val="0"/>
            <w:vAlign w:val="center"/>
          </w:tcPr>
          <w:p w14:paraId="3052FE16">
            <w:pPr>
              <w:snapToGrid w:val="0"/>
              <w:spacing w:before="50" w:after="50" w:line="440" w:lineRule="exact"/>
              <w:jc w:val="center"/>
              <w:rPr>
                <w:color w:val="auto"/>
                <w:szCs w:val="21"/>
              </w:rPr>
            </w:pPr>
          </w:p>
        </w:tc>
        <w:tc>
          <w:tcPr>
            <w:tcW w:w="1695" w:type="dxa"/>
            <w:tcBorders>
              <w:top w:val="single" w:color="auto" w:sz="4" w:space="0"/>
              <w:left w:val="single" w:color="auto" w:sz="4" w:space="0"/>
              <w:bottom w:val="single" w:color="auto" w:sz="4" w:space="0"/>
              <w:right w:val="single" w:color="auto" w:sz="4" w:space="0"/>
            </w:tcBorders>
            <w:noWrap w:val="0"/>
            <w:vAlign w:val="center"/>
          </w:tcPr>
          <w:p w14:paraId="25E43877">
            <w:pPr>
              <w:snapToGrid w:val="0"/>
              <w:spacing w:before="50" w:after="50" w:line="440" w:lineRule="exact"/>
              <w:jc w:val="center"/>
              <w:rPr>
                <w:color w:val="auto"/>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D971AA3">
            <w:pPr>
              <w:snapToGrid w:val="0"/>
              <w:spacing w:before="50" w:after="50" w:line="440" w:lineRule="exact"/>
              <w:jc w:val="center"/>
              <w:rPr>
                <w:color w:val="auto"/>
                <w:szCs w:val="21"/>
              </w:rPr>
            </w:pPr>
          </w:p>
        </w:tc>
      </w:tr>
    </w:tbl>
    <w:p w14:paraId="23307406">
      <w:pPr>
        <w:snapToGrid w:val="0"/>
        <w:spacing w:before="50" w:after="50" w:line="440" w:lineRule="exact"/>
        <w:rPr>
          <w:color w:val="auto"/>
          <w:szCs w:val="21"/>
        </w:rPr>
      </w:pPr>
      <w:r>
        <w:rPr>
          <w:color w:val="auto"/>
          <w:szCs w:val="21"/>
        </w:rPr>
        <w:t>供应商</w:t>
      </w:r>
      <w:r>
        <w:rPr>
          <w:rFonts w:hint="eastAsia"/>
          <w:color w:val="auto"/>
          <w:szCs w:val="21"/>
        </w:rPr>
        <w:t>名称(电子签章</w:t>
      </w:r>
      <w:r>
        <w:rPr>
          <w:color w:val="auto"/>
          <w:szCs w:val="21"/>
        </w:rPr>
        <w:t>)</w:t>
      </w:r>
      <w:r>
        <w:rPr>
          <w:color w:val="auto"/>
          <w:spacing w:val="20"/>
          <w:szCs w:val="21"/>
        </w:rPr>
        <w:t>：</w:t>
      </w:r>
      <w:r>
        <w:rPr>
          <w:color w:val="auto"/>
          <w:spacing w:val="20"/>
          <w:szCs w:val="21"/>
          <w:u w:val="single"/>
        </w:rPr>
        <w:t xml:space="preserve">            </w:t>
      </w:r>
      <w:r>
        <w:rPr>
          <w:color w:val="auto"/>
          <w:spacing w:val="20"/>
          <w:szCs w:val="21"/>
        </w:rPr>
        <w:t xml:space="preserve">              日  期：</w:t>
      </w:r>
      <w:r>
        <w:rPr>
          <w:color w:val="auto"/>
          <w:spacing w:val="20"/>
          <w:szCs w:val="21"/>
          <w:u w:val="single"/>
        </w:rPr>
        <w:t xml:space="preserve">          </w:t>
      </w:r>
    </w:p>
    <w:p w14:paraId="5B6F328C">
      <w:pPr>
        <w:rPr>
          <w:color w:val="auto"/>
          <w:szCs w:val="21"/>
        </w:rPr>
      </w:pPr>
    </w:p>
    <w:p w14:paraId="0580D1C5">
      <w:pPr>
        <w:rPr>
          <w:color w:val="auto"/>
          <w:szCs w:val="21"/>
        </w:rPr>
      </w:pPr>
      <w:bookmarkStart w:id="167" w:name="_Hlk19115689"/>
      <w:r>
        <w:rPr>
          <w:color w:val="auto"/>
          <w:szCs w:val="21"/>
        </w:rPr>
        <w:t>3．</w:t>
      </w:r>
      <w:r>
        <w:rPr>
          <w:rFonts w:hint="eastAsia"/>
          <w:color w:val="auto"/>
          <w:szCs w:val="21"/>
        </w:rPr>
        <w:t>投标货物或产品的质量保证说明</w:t>
      </w:r>
      <w:r>
        <w:rPr>
          <w:color w:val="auto"/>
          <w:szCs w:val="21"/>
        </w:rPr>
        <w:t>（如有</w:t>
      </w:r>
      <w:r>
        <w:rPr>
          <w:rFonts w:hint="eastAsia"/>
          <w:color w:val="auto"/>
          <w:szCs w:val="21"/>
        </w:rPr>
        <w:t>，</w:t>
      </w:r>
      <w:r>
        <w:rPr>
          <w:color w:val="auto"/>
          <w:szCs w:val="21"/>
        </w:rPr>
        <w:t>供应商自行编写）</w:t>
      </w:r>
    </w:p>
    <w:p w14:paraId="05707007">
      <w:pPr>
        <w:rPr>
          <w:color w:val="auto"/>
          <w:szCs w:val="21"/>
        </w:rPr>
      </w:pPr>
    </w:p>
    <w:p w14:paraId="6585F867">
      <w:pPr>
        <w:rPr>
          <w:color w:val="auto"/>
          <w:szCs w:val="21"/>
        </w:rPr>
      </w:pPr>
    </w:p>
    <w:p w14:paraId="23ECCDB6">
      <w:pPr>
        <w:jc w:val="left"/>
        <w:rPr>
          <w:color w:val="auto"/>
          <w:szCs w:val="21"/>
        </w:rPr>
      </w:pPr>
      <w:r>
        <w:rPr>
          <w:rFonts w:hint="eastAsia"/>
          <w:color w:val="auto"/>
          <w:szCs w:val="21"/>
        </w:rPr>
        <w:t>4</w:t>
      </w:r>
      <w:r>
        <w:rPr>
          <w:color w:val="auto"/>
          <w:szCs w:val="21"/>
        </w:rPr>
        <w:t>．质量保证期过后的优惠条件：供应商承诺给予采购人的各种优惠条件，包括</w:t>
      </w:r>
      <w:r>
        <w:rPr>
          <w:rFonts w:hint="eastAsia"/>
          <w:color w:val="auto"/>
          <w:szCs w:val="21"/>
        </w:rPr>
        <w:t>货物或产品的</w:t>
      </w:r>
      <w:r>
        <w:rPr>
          <w:color w:val="auto"/>
          <w:szCs w:val="21"/>
        </w:rPr>
        <w:t>售后服务、备品备件、专用耗材等方面的优惠条件（如有</w:t>
      </w:r>
      <w:r>
        <w:rPr>
          <w:rFonts w:hint="eastAsia"/>
          <w:color w:val="auto"/>
          <w:szCs w:val="21"/>
        </w:rPr>
        <w:t>，</w:t>
      </w:r>
      <w:r>
        <w:rPr>
          <w:color w:val="auto"/>
          <w:szCs w:val="21"/>
        </w:rPr>
        <w:t>供应商自行编写）。</w:t>
      </w:r>
    </w:p>
    <w:p w14:paraId="7EE51E61">
      <w:pPr>
        <w:jc w:val="center"/>
        <w:rPr>
          <w:color w:val="auto"/>
          <w:szCs w:val="21"/>
        </w:rPr>
      </w:pPr>
      <w:r>
        <w:rPr>
          <w:color w:val="auto"/>
          <w:szCs w:val="21"/>
        </w:rPr>
        <w:t>常用的、容易损坏的备品备件及易损件的优惠价格清单</w:t>
      </w:r>
    </w:p>
    <w:tbl>
      <w:tblPr>
        <w:tblStyle w:val="53"/>
        <w:tblW w:w="8972"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850"/>
        <w:gridCol w:w="3124"/>
        <w:gridCol w:w="2276"/>
        <w:gridCol w:w="1639"/>
        <w:gridCol w:w="1083"/>
      </w:tblGrid>
      <w:tr w14:paraId="587934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12" w:hRule="atLeast"/>
        </w:trPr>
        <w:tc>
          <w:tcPr>
            <w:tcW w:w="850"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1B89F0BA">
            <w:pPr>
              <w:rPr>
                <w:color w:val="auto"/>
                <w:szCs w:val="21"/>
              </w:rPr>
            </w:pPr>
            <w:r>
              <w:rPr>
                <w:color w:val="auto"/>
                <w:szCs w:val="21"/>
              </w:rPr>
              <w:t>序号</w:t>
            </w:r>
          </w:p>
        </w:tc>
        <w:tc>
          <w:tcPr>
            <w:tcW w:w="3124" w:type="dxa"/>
            <w:tcBorders>
              <w:top w:val="single" w:color="auto" w:sz="4" w:space="0"/>
              <w:left w:val="single" w:color="auto" w:sz="4" w:space="0"/>
              <w:bottom w:val="single" w:color="auto" w:sz="2" w:space="0"/>
              <w:right w:val="single" w:color="auto" w:sz="4" w:space="0"/>
            </w:tcBorders>
            <w:noWrap w:val="0"/>
            <w:vAlign w:val="center"/>
          </w:tcPr>
          <w:p w14:paraId="561466B7">
            <w:pPr>
              <w:snapToGrid w:val="0"/>
              <w:spacing w:before="50" w:after="50" w:line="440" w:lineRule="exact"/>
              <w:jc w:val="center"/>
              <w:rPr>
                <w:color w:val="auto"/>
                <w:szCs w:val="21"/>
              </w:rPr>
            </w:pPr>
            <w:r>
              <w:rPr>
                <w:color w:val="auto"/>
                <w:szCs w:val="21"/>
              </w:rPr>
              <w:t>备品备件、专用耗材名称</w:t>
            </w:r>
          </w:p>
        </w:tc>
        <w:tc>
          <w:tcPr>
            <w:tcW w:w="2276" w:type="dxa"/>
            <w:tcBorders>
              <w:top w:val="single" w:color="auto" w:sz="4" w:space="0"/>
              <w:left w:val="single" w:color="auto" w:sz="4" w:space="0"/>
              <w:bottom w:val="single" w:color="auto" w:sz="2" w:space="0"/>
              <w:right w:val="single" w:color="auto" w:sz="4" w:space="0"/>
            </w:tcBorders>
            <w:noWrap w:val="0"/>
            <w:vAlign w:val="center"/>
          </w:tcPr>
          <w:p w14:paraId="6D51C763">
            <w:pPr>
              <w:jc w:val="center"/>
              <w:rPr>
                <w:color w:val="auto"/>
                <w:szCs w:val="21"/>
              </w:rPr>
            </w:pPr>
            <w:r>
              <w:rPr>
                <w:color w:val="auto"/>
                <w:szCs w:val="21"/>
              </w:rPr>
              <w:t>适用于</w:t>
            </w:r>
            <w:r>
              <w:rPr>
                <w:rFonts w:hint="eastAsia"/>
                <w:color w:val="auto"/>
                <w:szCs w:val="21"/>
              </w:rPr>
              <w:t>何种投标货物（产品）名称及规格型号</w:t>
            </w:r>
          </w:p>
        </w:tc>
        <w:tc>
          <w:tcPr>
            <w:tcW w:w="1639" w:type="dxa"/>
            <w:tcBorders>
              <w:top w:val="single" w:color="auto" w:sz="4" w:space="0"/>
              <w:left w:val="single" w:color="auto" w:sz="4" w:space="0"/>
              <w:bottom w:val="single" w:color="auto" w:sz="2" w:space="0"/>
              <w:right w:val="single" w:color="auto" w:sz="4" w:space="0"/>
            </w:tcBorders>
            <w:noWrap w:val="0"/>
            <w:vAlign w:val="center"/>
          </w:tcPr>
          <w:p w14:paraId="3F492B45">
            <w:pPr>
              <w:jc w:val="center"/>
              <w:rPr>
                <w:color w:val="auto"/>
                <w:szCs w:val="21"/>
              </w:rPr>
            </w:pPr>
            <w:r>
              <w:rPr>
                <w:color w:val="auto"/>
                <w:szCs w:val="21"/>
              </w:rPr>
              <w:t>优惠内容</w:t>
            </w:r>
          </w:p>
        </w:tc>
        <w:tc>
          <w:tcPr>
            <w:tcW w:w="1083" w:type="dxa"/>
            <w:tcBorders>
              <w:top w:val="single" w:color="auto" w:sz="4" w:space="0"/>
              <w:left w:val="single" w:color="auto" w:sz="4" w:space="0"/>
              <w:bottom w:val="single" w:color="auto" w:sz="2" w:space="0"/>
              <w:right w:val="single" w:color="auto" w:sz="4" w:space="0"/>
            </w:tcBorders>
            <w:noWrap w:val="0"/>
            <w:tcMar>
              <w:top w:w="15" w:type="dxa"/>
              <w:left w:w="15" w:type="dxa"/>
              <w:bottom w:w="0" w:type="dxa"/>
              <w:right w:w="15" w:type="dxa"/>
            </w:tcMar>
            <w:vAlign w:val="center"/>
          </w:tcPr>
          <w:p w14:paraId="4853E0B0">
            <w:pPr>
              <w:jc w:val="center"/>
              <w:rPr>
                <w:color w:val="auto"/>
                <w:szCs w:val="21"/>
              </w:rPr>
            </w:pPr>
            <w:r>
              <w:rPr>
                <w:color w:val="auto"/>
                <w:szCs w:val="21"/>
              </w:rPr>
              <w:t>优惠单价</w:t>
            </w:r>
          </w:p>
        </w:tc>
      </w:tr>
      <w:tr w14:paraId="10EE5C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noWrap w:val="0"/>
            <w:tcMar>
              <w:top w:w="15" w:type="dxa"/>
              <w:left w:w="15" w:type="dxa"/>
              <w:bottom w:w="0" w:type="dxa"/>
              <w:right w:w="15" w:type="dxa"/>
            </w:tcMar>
            <w:vAlign w:val="center"/>
          </w:tcPr>
          <w:p w14:paraId="3FD421EA">
            <w:pPr>
              <w:jc w:val="center"/>
              <w:rPr>
                <w:color w:val="auto"/>
                <w:szCs w:val="21"/>
              </w:rPr>
            </w:pPr>
            <w:r>
              <w:rPr>
                <w:color w:val="auto"/>
                <w:szCs w:val="21"/>
              </w:rPr>
              <w:t>1</w:t>
            </w:r>
          </w:p>
        </w:tc>
        <w:tc>
          <w:tcPr>
            <w:tcW w:w="3124" w:type="dxa"/>
            <w:tcBorders>
              <w:top w:val="single" w:color="auto" w:sz="2" w:space="0"/>
              <w:left w:val="single" w:color="auto" w:sz="2" w:space="0"/>
              <w:bottom w:val="single" w:color="auto" w:sz="6" w:space="0"/>
              <w:right w:val="single" w:color="auto" w:sz="4" w:space="0"/>
            </w:tcBorders>
            <w:noWrap w:val="0"/>
            <w:vAlign w:val="center"/>
          </w:tcPr>
          <w:p w14:paraId="584ABC83">
            <w:pPr>
              <w:rPr>
                <w:color w:val="auto"/>
                <w:szCs w:val="21"/>
              </w:rPr>
            </w:pPr>
          </w:p>
        </w:tc>
        <w:tc>
          <w:tcPr>
            <w:tcW w:w="2276" w:type="dxa"/>
            <w:tcBorders>
              <w:top w:val="single" w:color="auto" w:sz="2" w:space="0"/>
              <w:left w:val="single" w:color="auto" w:sz="4" w:space="0"/>
              <w:bottom w:val="single" w:color="auto" w:sz="6" w:space="0"/>
              <w:right w:val="single" w:color="auto" w:sz="6" w:space="0"/>
            </w:tcBorders>
            <w:noWrap w:val="0"/>
            <w:vAlign w:val="center"/>
          </w:tcPr>
          <w:p w14:paraId="49BBDD2D">
            <w:pPr>
              <w:rPr>
                <w:color w:val="auto"/>
                <w:szCs w:val="21"/>
              </w:rPr>
            </w:pPr>
          </w:p>
        </w:tc>
        <w:tc>
          <w:tcPr>
            <w:tcW w:w="1639" w:type="dxa"/>
            <w:tcBorders>
              <w:top w:val="single" w:color="auto" w:sz="2" w:space="0"/>
              <w:left w:val="single" w:color="auto" w:sz="6" w:space="0"/>
              <w:bottom w:val="single" w:color="auto" w:sz="6" w:space="0"/>
              <w:right w:val="single" w:color="auto" w:sz="6" w:space="0"/>
            </w:tcBorders>
            <w:noWrap w:val="0"/>
            <w:vAlign w:val="top"/>
          </w:tcPr>
          <w:p w14:paraId="06E6DD08">
            <w:pPr>
              <w:rPr>
                <w:color w:val="auto"/>
                <w:szCs w:val="21"/>
              </w:rPr>
            </w:pPr>
          </w:p>
        </w:tc>
        <w:tc>
          <w:tcPr>
            <w:tcW w:w="1083" w:type="dxa"/>
            <w:tcBorders>
              <w:top w:val="single" w:color="auto" w:sz="2" w:space="0"/>
              <w:left w:val="single" w:color="auto" w:sz="6" w:space="0"/>
              <w:bottom w:val="single" w:color="auto" w:sz="6" w:space="0"/>
              <w:right w:val="single" w:color="auto" w:sz="6" w:space="0"/>
            </w:tcBorders>
            <w:noWrap w:val="0"/>
            <w:tcMar>
              <w:top w:w="15" w:type="dxa"/>
              <w:left w:w="15" w:type="dxa"/>
              <w:bottom w:w="0" w:type="dxa"/>
              <w:right w:w="15" w:type="dxa"/>
            </w:tcMar>
            <w:vAlign w:val="center"/>
          </w:tcPr>
          <w:p w14:paraId="0CBA6802">
            <w:pPr>
              <w:rPr>
                <w:color w:val="auto"/>
                <w:szCs w:val="21"/>
              </w:rPr>
            </w:pPr>
          </w:p>
        </w:tc>
      </w:tr>
      <w:tr w14:paraId="216099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noWrap w:val="0"/>
            <w:tcMar>
              <w:top w:w="15" w:type="dxa"/>
              <w:left w:w="15" w:type="dxa"/>
              <w:bottom w:w="0" w:type="dxa"/>
              <w:right w:w="15" w:type="dxa"/>
            </w:tcMar>
            <w:vAlign w:val="center"/>
          </w:tcPr>
          <w:p w14:paraId="5B06F041">
            <w:pPr>
              <w:jc w:val="center"/>
              <w:rPr>
                <w:color w:val="auto"/>
                <w:szCs w:val="21"/>
              </w:rPr>
            </w:pPr>
            <w:r>
              <w:rPr>
                <w:color w:val="auto"/>
                <w:szCs w:val="21"/>
              </w:rPr>
              <w:t>2</w:t>
            </w:r>
          </w:p>
        </w:tc>
        <w:tc>
          <w:tcPr>
            <w:tcW w:w="3124" w:type="dxa"/>
            <w:tcBorders>
              <w:top w:val="single" w:color="auto" w:sz="6" w:space="0"/>
              <w:left w:val="single" w:color="auto" w:sz="2" w:space="0"/>
              <w:bottom w:val="single" w:color="auto" w:sz="6" w:space="0"/>
              <w:right w:val="single" w:color="auto" w:sz="4" w:space="0"/>
            </w:tcBorders>
            <w:noWrap w:val="0"/>
            <w:vAlign w:val="center"/>
          </w:tcPr>
          <w:p w14:paraId="002B9A47">
            <w:pPr>
              <w:rPr>
                <w:color w:val="auto"/>
                <w:szCs w:val="21"/>
              </w:rPr>
            </w:pPr>
          </w:p>
        </w:tc>
        <w:tc>
          <w:tcPr>
            <w:tcW w:w="2276" w:type="dxa"/>
            <w:tcBorders>
              <w:top w:val="single" w:color="auto" w:sz="6" w:space="0"/>
              <w:left w:val="single" w:color="auto" w:sz="4" w:space="0"/>
              <w:bottom w:val="single" w:color="auto" w:sz="6" w:space="0"/>
              <w:right w:val="single" w:color="auto" w:sz="6" w:space="0"/>
            </w:tcBorders>
            <w:noWrap w:val="0"/>
            <w:vAlign w:val="center"/>
          </w:tcPr>
          <w:p w14:paraId="28911103">
            <w:pPr>
              <w:rPr>
                <w:color w:val="auto"/>
                <w:szCs w:val="21"/>
              </w:rPr>
            </w:pPr>
          </w:p>
        </w:tc>
        <w:tc>
          <w:tcPr>
            <w:tcW w:w="1639" w:type="dxa"/>
            <w:tcBorders>
              <w:top w:val="single" w:color="auto" w:sz="6" w:space="0"/>
              <w:left w:val="single" w:color="auto" w:sz="6" w:space="0"/>
              <w:bottom w:val="single" w:color="auto" w:sz="6" w:space="0"/>
              <w:right w:val="single" w:color="auto" w:sz="6" w:space="0"/>
            </w:tcBorders>
            <w:noWrap w:val="0"/>
            <w:vAlign w:val="top"/>
          </w:tcPr>
          <w:p w14:paraId="60E49ED6">
            <w:pPr>
              <w:rPr>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tcMar>
              <w:top w:w="15" w:type="dxa"/>
              <w:left w:w="15" w:type="dxa"/>
              <w:bottom w:w="0" w:type="dxa"/>
              <w:right w:w="15" w:type="dxa"/>
            </w:tcMar>
            <w:vAlign w:val="center"/>
          </w:tcPr>
          <w:p w14:paraId="6B963E39">
            <w:pPr>
              <w:rPr>
                <w:color w:val="auto"/>
                <w:szCs w:val="21"/>
              </w:rPr>
            </w:pPr>
          </w:p>
        </w:tc>
      </w:tr>
      <w:tr w14:paraId="3462F0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290" w:hRule="atLeast"/>
        </w:trPr>
        <w:tc>
          <w:tcPr>
            <w:tcW w:w="850" w:type="dxa"/>
            <w:tcBorders>
              <w:top w:val="single" w:color="auto" w:sz="4" w:space="0"/>
              <w:left w:val="single" w:color="auto" w:sz="4" w:space="0"/>
              <w:bottom w:val="single" w:color="auto" w:sz="4" w:space="0"/>
              <w:right w:val="single" w:color="auto" w:sz="2" w:space="0"/>
            </w:tcBorders>
            <w:noWrap w:val="0"/>
            <w:tcMar>
              <w:top w:w="15" w:type="dxa"/>
              <w:left w:w="15" w:type="dxa"/>
              <w:bottom w:w="0" w:type="dxa"/>
              <w:right w:w="15" w:type="dxa"/>
            </w:tcMar>
            <w:vAlign w:val="center"/>
          </w:tcPr>
          <w:p w14:paraId="5728387A">
            <w:pPr>
              <w:jc w:val="center"/>
              <w:rPr>
                <w:color w:val="auto"/>
                <w:szCs w:val="21"/>
              </w:rPr>
            </w:pPr>
            <w:r>
              <w:rPr>
                <w:color w:val="auto"/>
                <w:szCs w:val="21"/>
              </w:rPr>
              <w:t>3</w:t>
            </w:r>
          </w:p>
        </w:tc>
        <w:tc>
          <w:tcPr>
            <w:tcW w:w="3124" w:type="dxa"/>
            <w:tcBorders>
              <w:top w:val="single" w:color="auto" w:sz="6" w:space="0"/>
              <w:left w:val="single" w:color="auto" w:sz="2" w:space="0"/>
              <w:bottom w:val="single" w:color="auto" w:sz="6" w:space="0"/>
              <w:right w:val="single" w:color="auto" w:sz="4" w:space="0"/>
            </w:tcBorders>
            <w:noWrap w:val="0"/>
            <w:vAlign w:val="center"/>
          </w:tcPr>
          <w:p w14:paraId="32336684">
            <w:pPr>
              <w:rPr>
                <w:color w:val="auto"/>
                <w:szCs w:val="21"/>
              </w:rPr>
            </w:pPr>
          </w:p>
        </w:tc>
        <w:tc>
          <w:tcPr>
            <w:tcW w:w="2276" w:type="dxa"/>
            <w:tcBorders>
              <w:top w:val="single" w:color="auto" w:sz="6" w:space="0"/>
              <w:left w:val="single" w:color="auto" w:sz="4" w:space="0"/>
              <w:bottom w:val="single" w:color="auto" w:sz="6" w:space="0"/>
              <w:right w:val="single" w:color="auto" w:sz="6" w:space="0"/>
            </w:tcBorders>
            <w:noWrap w:val="0"/>
            <w:vAlign w:val="center"/>
          </w:tcPr>
          <w:p w14:paraId="4971B09B">
            <w:pPr>
              <w:rPr>
                <w:color w:val="auto"/>
                <w:szCs w:val="21"/>
              </w:rPr>
            </w:pPr>
          </w:p>
        </w:tc>
        <w:tc>
          <w:tcPr>
            <w:tcW w:w="1639" w:type="dxa"/>
            <w:tcBorders>
              <w:top w:val="single" w:color="auto" w:sz="6" w:space="0"/>
              <w:left w:val="single" w:color="auto" w:sz="6" w:space="0"/>
              <w:bottom w:val="single" w:color="auto" w:sz="6" w:space="0"/>
              <w:right w:val="single" w:color="auto" w:sz="6" w:space="0"/>
            </w:tcBorders>
            <w:noWrap w:val="0"/>
            <w:vAlign w:val="top"/>
          </w:tcPr>
          <w:p w14:paraId="45779C9F">
            <w:pPr>
              <w:rPr>
                <w:color w:val="auto"/>
                <w:szCs w:val="21"/>
              </w:rPr>
            </w:pPr>
          </w:p>
        </w:tc>
        <w:tc>
          <w:tcPr>
            <w:tcW w:w="1083" w:type="dxa"/>
            <w:tcBorders>
              <w:top w:val="single" w:color="auto" w:sz="6" w:space="0"/>
              <w:left w:val="single" w:color="auto" w:sz="6" w:space="0"/>
              <w:bottom w:val="single" w:color="auto" w:sz="6" w:space="0"/>
              <w:right w:val="single" w:color="auto" w:sz="6" w:space="0"/>
            </w:tcBorders>
            <w:noWrap w:val="0"/>
            <w:tcMar>
              <w:top w:w="15" w:type="dxa"/>
              <w:left w:w="15" w:type="dxa"/>
              <w:bottom w:w="0" w:type="dxa"/>
              <w:right w:w="15" w:type="dxa"/>
            </w:tcMar>
            <w:vAlign w:val="center"/>
          </w:tcPr>
          <w:p w14:paraId="71CABF5B">
            <w:pPr>
              <w:rPr>
                <w:color w:val="auto"/>
                <w:szCs w:val="21"/>
              </w:rPr>
            </w:pPr>
          </w:p>
        </w:tc>
      </w:tr>
    </w:tbl>
    <w:p w14:paraId="56C37E6B">
      <w:pPr>
        <w:rPr>
          <w:color w:val="auto"/>
          <w:szCs w:val="21"/>
        </w:rPr>
      </w:pPr>
    </w:p>
    <w:p w14:paraId="7EA6014B">
      <w:pPr>
        <w:rPr>
          <w:color w:val="auto"/>
          <w:szCs w:val="21"/>
        </w:rPr>
      </w:pPr>
      <w:r>
        <w:rPr>
          <w:color w:val="auto"/>
          <w:szCs w:val="21"/>
        </w:rPr>
        <w:t>供应商</w:t>
      </w:r>
      <w:r>
        <w:rPr>
          <w:rFonts w:hint="eastAsia"/>
          <w:color w:val="auto"/>
          <w:szCs w:val="21"/>
        </w:rPr>
        <w:t>名称(电子签章</w:t>
      </w:r>
      <w:r>
        <w:rPr>
          <w:color w:val="auto"/>
          <w:szCs w:val="21"/>
        </w:rPr>
        <w:t>)</w:t>
      </w:r>
      <w:r>
        <w:rPr>
          <w:color w:val="auto"/>
          <w:spacing w:val="20"/>
          <w:szCs w:val="21"/>
        </w:rPr>
        <w:t>：</w:t>
      </w:r>
      <w:r>
        <w:rPr>
          <w:color w:val="auto"/>
          <w:spacing w:val="20"/>
          <w:szCs w:val="21"/>
          <w:u w:val="single"/>
        </w:rPr>
        <w:t xml:space="preserve">            </w:t>
      </w:r>
      <w:r>
        <w:rPr>
          <w:color w:val="auto"/>
          <w:spacing w:val="20"/>
          <w:szCs w:val="21"/>
        </w:rPr>
        <w:t xml:space="preserve">            日 期：</w:t>
      </w:r>
      <w:r>
        <w:rPr>
          <w:color w:val="auto"/>
          <w:spacing w:val="20"/>
          <w:szCs w:val="21"/>
          <w:u w:val="single"/>
        </w:rPr>
        <w:t xml:space="preserve">            </w:t>
      </w:r>
    </w:p>
    <w:bookmarkEnd w:id="167"/>
    <w:p w14:paraId="4C112710">
      <w:pPr>
        <w:rPr>
          <w:color w:val="auto"/>
          <w:szCs w:val="21"/>
        </w:rPr>
      </w:pPr>
    </w:p>
    <w:p w14:paraId="0992CE7E">
      <w:pPr>
        <w:rPr>
          <w:color w:val="auto"/>
          <w:szCs w:val="21"/>
        </w:rPr>
      </w:pPr>
    </w:p>
    <w:p w14:paraId="4952C15E">
      <w:pPr>
        <w:rPr>
          <w:color w:val="auto"/>
          <w:szCs w:val="21"/>
        </w:rPr>
      </w:pPr>
    </w:p>
    <w:p w14:paraId="094F5C2F">
      <w:pPr>
        <w:snapToGrid w:val="0"/>
        <w:spacing w:before="50" w:after="120" w:afterLines="50"/>
        <w:jc w:val="left"/>
        <w:rPr>
          <w:color w:val="auto"/>
          <w:szCs w:val="21"/>
        </w:rPr>
      </w:pPr>
      <w:r>
        <w:rPr>
          <w:rFonts w:hint="eastAsia"/>
          <w:color w:val="auto"/>
          <w:szCs w:val="21"/>
        </w:rPr>
        <w:t>5</w:t>
      </w:r>
      <w:r>
        <w:rPr>
          <w:color w:val="auto"/>
          <w:szCs w:val="21"/>
        </w:rPr>
        <w:t>．产品出厂标准、质量检测报告（如有</w:t>
      </w:r>
      <w:r>
        <w:rPr>
          <w:rFonts w:hint="eastAsia"/>
          <w:color w:val="auto"/>
          <w:szCs w:val="21"/>
        </w:rPr>
        <w:t>，</w:t>
      </w:r>
      <w:r>
        <w:rPr>
          <w:color w:val="auto"/>
          <w:szCs w:val="21"/>
        </w:rPr>
        <w:t>供应商自行编写）。</w:t>
      </w:r>
    </w:p>
    <w:p w14:paraId="1CF6B541">
      <w:pPr>
        <w:rPr>
          <w:color w:val="auto"/>
          <w:szCs w:val="21"/>
        </w:rPr>
      </w:pPr>
    </w:p>
    <w:p w14:paraId="1CC17770">
      <w:pPr>
        <w:rPr>
          <w:color w:val="auto"/>
          <w:szCs w:val="21"/>
        </w:rPr>
      </w:pPr>
    </w:p>
    <w:p w14:paraId="25CADA4C">
      <w:pPr>
        <w:rPr>
          <w:color w:val="auto"/>
          <w:szCs w:val="21"/>
        </w:rPr>
      </w:pPr>
    </w:p>
    <w:p w14:paraId="0290BBF9">
      <w:pPr>
        <w:snapToGrid w:val="0"/>
        <w:spacing w:before="50" w:after="120" w:afterLines="50"/>
        <w:jc w:val="left"/>
        <w:rPr>
          <w:color w:val="auto"/>
          <w:szCs w:val="21"/>
        </w:rPr>
      </w:pPr>
      <w:r>
        <w:rPr>
          <w:rFonts w:hint="eastAsia"/>
          <w:color w:val="auto"/>
          <w:szCs w:val="21"/>
        </w:rPr>
        <w:t>6</w:t>
      </w:r>
      <w:r>
        <w:rPr>
          <w:color w:val="auto"/>
          <w:szCs w:val="21"/>
        </w:rPr>
        <w:t>．原厂出厂配置表及原厂中文使用说明书（如有</w:t>
      </w:r>
      <w:r>
        <w:rPr>
          <w:rFonts w:hint="eastAsia"/>
          <w:color w:val="auto"/>
          <w:szCs w:val="21"/>
        </w:rPr>
        <w:t>，</w:t>
      </w:r>
      <w:r>
        <w:rPr>
          <w:color w:val="auto"/>
          <w:szCs w:val="21"/>
        </w:rPr>
        <w:t>供应商自行编写）。</w:t>
      </w:r>
    </w:p>
    <w:p w14:paraId="2EDE1A08">
      <w:pPr>
        <w:rPr>
          <w:color w:val="auto"/>
          <w:szCs w:val="21"/>
        </w:rPr>
      </w:pPr>
    </w:p>
    <w:p w14:paraId="56D3E30E">
      <w:pPr>
        <w:rPr>
          <w:color w:val="auto"/>
          <w:szCs w:val="21"/>
        </w:rPr>
      </w:pPr>
    </w:p>
    <w:p w14:paraId="12145E53">
      <w:pPr>
        <w:rPr>
          <w:color w:val="auto"/>
          <w:szCs w:val="21"/>
        </w:rPr>
      </w:pPr>
    </w:p>
    <w:p w14:paraId="1C91E4D5">
      <w:pPr>
        <w:rPr>
          <w:color w:val="auto"/>
          <w:szCs w:val="21"/>
        </w:rPr>
      </w:pPr>
      <w:r>
        <w:rPr>
          <w:rFonts w:hint="eastAsia"/>
          <w:color w:val="auto"/>
          <w:szCs w:val="21"/>
        </w:rPr>
        <w:t>7</w:t>
      </w:r>
      <w:r>
        <w:rPr>
          <w:color w:val="auto"/>
          <w:szCs w:val="21"/>
        </w:rPr>
        <w:t>．供应商建议的安装、调试、验收方法或方案（如有</w:t>
      </w:r>
      <w:r>
        <w:rPr>
          <w:rFonts w:hint="eastAsia"/>
          <w:color w:val="auto"/>
          <w:szCs w:val="21"/>
        </w:rPr>
        <w:t>，</w:t>
      </w:r>
      <w:r>
        <w:rPr>
          <w:color w:val="auto"/>
          <w:szCs w:val="21"/>
        </w:rPr>
        <w:t>供应商自行编写）。</w:t>
      </w:r>
    </w:p>
    <w:p w14:paraId="6525B04A">
      <w:pPr>
        <w:rPr>
          <w:color w:val="auto"/>
          <w:szCs w:val="21"/>
        </w:rPr>
      </w:pPr>
    </w:p>
    <w:p w14:paraId="7591977C">
      <w:pPr>
        <w:rPr>
          <w:color w:val="auto"/>
          <w:szCs w:val="21"/>
        </w:rPr>
      </w:pPr>
    </w:p>
    <w:p w14:paraId="5A704DED">
      <w:pPr>
        <w:rPr>
          <w:color w:val="auto"/>
          <w:szCs w:val="21"/>
        </w:rPr>
      </w:pPr>
    </w:p>
    <w:p w14:paraId="61D93534">
      <w:pPr>
        <w:rPr>
          <w:color w:val="auto"/>
          <w:szCs w:val="21"/>
        </w:rPr>
      </w:pPr>
      <w:r>
        <w:rPr>
          <w:rFonts w:hint="eastAsia"/>
          <w:color w:val="auto"/>
          <w:szCs w:val="21"/>
        </w:rPr>
        <w:t>8</w:t>
      </w:r>
      <w:r>
        <w:rPr>
          <w:color w:val="auto"/>
          <w:szCs w:val="21"/>
        </w:rPr>
        <w:t>．项目实施人员一览表（如有</w:t>
      </w:r>
      <w:r>
        <w:rPr>
          <w:rFonts w:hint="eastAsia"/>
          <w:color w:val="auto"/>
          <w:szCs w:val="21"/>
        </w:rPr>
        <w:t>，</w:t>
      </w:r>
      <w:r>
        <w:rPr>
          <w:color w:val="auto"/>
          <w:szCs w:val="21"/>
        </w:rPr>
        <w:t>供应商自行编写）。</w:t>
      </w:r>
    </w:p>
    <w:p w14:paraId="41670690">
      <w:pPr>
        <w:rPr>
          <w:color w:val="auto"/>
          <w:szCs w:val="21"/>
        </w:rPr>
      </w:pPr>
    </w:p>
    <w:p w14:paraId="6F3C902E">
      <w:pPr>
        <w:snapToGrid w:val="0"/>
        <w:spacing w:before="120" w:beforeLines="50" w:after="50" w:line="400" w:lineRule="exact"/>
        <w:jc w:val="center"/>
        <w:rPr>
          <w:b/>
          <w:color w:val="auto"/>
          <w:szCs w:val="21"/>
        </w:rPr>
      </w:pPr>
      <w:r>
        <w:rPr>
          <w:b/>
          <w:color w:val="auto"/>
          <w:szCs w:val="21"/>
        </w:rPr>
        <w:t>项目实施人员（主要从业人员及其技术资格）一览表</w:t>
      </w:r>
    </w:p>
    <w:p w14:paraId="24BF883C">
      <w:pPr>
        <w:snapToGrid w:val="0"/>
        <w:spacing w:before="120" w:beforeLines="50" w:after="50" w:line="400" w:lineRule="exact"/>
        <w:rPr>
          <w:color w:val="auto"/>
          <w:szCs w:val="21"/>
        </w:rPr>
      </w:pPr>
    </w:p>
    <w:tbl>
      <w:tblPr>
        <w:tblStyle w:val="53"/>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31"/>
        <w:gridCol w:w="1260"/>
        <w:gridCol w:w="1440"/>
        <w:gridCol w:w="1516"/>
        <w:gridCol w:w="1620"/>
        <w:gridCol w:w="1980"/>
      </w:tblGrid>
      <w:tr w14:paraId="06C3D0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center"/>
          </w:tcPr>
          <w:p w14:paraId="0C458948">
            <w:pPr>
              <w:snapToGrid w:val="0"/>
              <w:spacing w:before="120" w:beforeLines="50" w:after="50"/>
              <w:jc w:val="center"/>
              <w:rPr>
                <w:color w:val="auto"/>
                <w:szCs w:val="21"/>
              </w:rPr>
            </w:pPr>
            <w:r>
              <w:rPr>
                <w:color w:val="auto"/>
                <w:szCs w:val="21"/>
              </w:rPr>
              <w:t>姓名</w:t>
            </w:r>
          </w:p>
        </w:tc>
        <w:tc>
          <w:tcPr>
            <w:tcW w:w="1260" w:type="dxa"/>
            <w:tcBorders>
              <w:top w:val="single" w:color="auto" w:sz="4" w:space="0"/>
              <w:left w:val="single" w:color="auto" w:sz="4" w:space="0"/>
              <w:bottom w:val="single" w:color="auto" w:sz="4" w:space="0"/>
              <w:right w:val="single" w:color="auto" w:sz="4" w:space="0"/>
            </w:tcBorders>
            <w:noWrap w:val="0"/>
            <w:vAlign w:val="center"/>
          </w:tcPr>
          <w:p w14:paraId="318EB02E">
            <w:pPr>
              <w:snapToGrid w:val="0"/>
              <w:spacing w:before="120" w:beforeLines="50" w:after="50"/>
              <w:jc w:val="center"/>
              <w:rPr>
                <w:color w:val="auto"/>
                <w:szCs w:val="21"/>
              </w:rPr>
            </w:pPr>
            <w:r>
              <w:rPr>
                <w:color w:val="auto"/>
                <w:szCs w:val="21"/>
              </w:rPr>
              <w:t>职务</w:t>
            </w: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7DBD82C">
            <w:pPr>
              <w:snapToGrid w:val="0"/>
              <w:spacing w:before="120" w:beforeLines="50" w:after="50"/>
              <w:jc w:val="center"/>
              <w:rPr>
                <w:color w:val="auto"/>
                <w:szCs w:val="21"/>
              </w:rPr>
            </w:pPr>
            <w:r>
              <w:rPr>
                <w:color w:val="auto"/>
                <w:szCs w:val="21"/>
              </w:rPr>
              <w:t>专业技术资格</w:t>
            </w:r>
          </w:p>
        </w:tc>
        <w:tc>
          <w:tcPr>
            <w:tcW w:w="1516" w:type="dxa"/>
            <w:tcBorders>
              <w:top w:val="single" w:color="auto" w:sz="4" w:space="0"/>
              <w:left w:val="single" w:color="auto" w:sz="4" w:space="0"/>
              <w:bottom w:val="single" w:color="auto" w:sz="4" w:space="0"/>
              <w:right w:val="single" w:color="auto" w:sz="4" w:space="0"/>
            </w:tcBorders>
            <w:noWrap w:val="0"/>
            <w:vAlign w:val="center"/>
          </w:tcPr>
          <w:p w14:paraId="35BEDC8D">
            <w:pPr>
              <w:snapToGrid w:val="0"/>
              <w:spacing w:before="120" w:beforeLines="50" w:after="50"/>
              <w:jc w:val="center"/>
              <w:rPr>
                <w:color w:val="auto"/>
                <w:szCs w:val="21"/>
              </w:rPr>
            </w:pPr>
            <w:r>
              <w:rPr>
                <w:color w:val="auto"/>
                <w:szCs w:val="21"/>
              </w:rPr>
              <w:t>证书编号</w:t>
            </w:r>
          </w:p>
        </w:tc>
        <w:tc>
          <w:tcPr>
            <w:tcW w:w="1620" w:type="dxa"/>
            <w:tcBorders>
              <w:top w:val="single" w:color="auto" w:sz="4" w:space="0"/>
              <w:left w:val="single" w:color="auto" w:sz="4" w:space="0"/>
              <w:bottom w:val="single" w:color="auto" w:sz="4" w:space="0"/>
              <w:right w:val="single" w:color="auto" w:sz="4" w:space="0"/>
            </w:tcBorders>
            <w:noWrap w:val="0"/>
            <w:vAlign w:val="center"/>
          </w:tcPr>
          <w:p w14:paraId="3B7D30AA">
            <w:pPr>
              <w:snapToGrid w:val="0"/>
              <w:spacing w:before="120" w:beforeLines="50" w:after="50"/>
              <w:jc w:val="center"/>
              <w:rPr>
                <w:bCs/>
                <w:color w:val="auto"/>
                <w:szCs w:val="21"/>
              </w:rPr>
            </w:pPr>
            <w:r>
              <w:rPr>
                <w:bCs/>
                <w:color w:val="auto"/>
                <w:szCs w:val="21"/>
              </w:rPr>
              <w:t>参加本单位工作时间</w:t>
            </w:r>
          </w:p>
        </w:tc>
        <w:tc>
          <w:tcPr>
            <w:tcW w:w="1980" w:type="dxa"/>
            <w:tcBorders>
              <w:top w:val="single" w:color="auto" w:sz="4" w:space="0"/>
              <w:left w:val="single" w:color="auto" w:sz="4" w:space="0"/>
              <w:bottom w:val="single" w:color="auto" w:sz="4" w:space="0"/>
              <w:right w:val="single" w:color="auto" w:sz="4" w:space="0"/>
            </w:tcBorders>
            <w:noWrap w:val="0"/>
            <w:vAlign w:val="center"/>
          </w:tcPr>
          <w:p w14:paraId="37A6AE79">
            <w:pPr>
              <w:snapToGrid w:val="0"/>
              <w:spacing w:before="120" w:beforeLines="50" w:after="50"/>
              <w:jc w:val="center"/>
              <w:rPr>
                <w:bCs/>
                <w:color w:val="auto"/>
                <w:szCs w:val="21"/>
              </w:rPr>
            </w:pPr>
            <w:r>
              <w:rPr>
                <w:bCs/>
                <w:color w:val="auto"/>
                <w:szCs w:val="21"/>
              </w:rPr>
              <w:t>劳动合同编号</w:t>
            </w:r>
          </w:p>
        </w:tc>
      </w:tr>
      <w:tr w14:paraId="5A5C8F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top"/>
          </w:tcPr>
          <w:p w14:paraId="18411CC3">
            <w:pPr>
              <w:snapToGrid w:val="0"/>
              <w:spacing w:before="120" w:beforeLines="50" w:after="50"/>
              <w:rPr>
                <w:color w:val="auto"/>
                <w:szCs w:val="21"/>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15FCFEA2">
            <w:pPr>
              <w:snapToGrid w:val="0"/>
              <w:spacing w:before="120" w:beforeLines="50" w:after="50"/>
              <w:rPr>
                <w:color w:val="auto"/>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03FCD912">
            <w:pPr>
              <w:snapToGrid w:val="0"/>
              <w:spacing w:before="120" w:beforeLines="50" w:after="50"/>
              <w:rPr>
                <w:color w:val="auto"/>
                <w:szCs w:val="21"/>
              </w:rPr>
            </w:pPr>
          </w:p>
        </w:tc>
        <w:tc>
          <w:tcPr>
            <w:tcW w:w="1516" w:type="dxa"/>
            <w:tcBorders>
              <w:top w:val="single" w:color="auto" w:sz="4" w:space="0"/>
              <w:left w:val="single" w:color="auto" w:sz="4" w:space="0"/>
              <w:bottom w:val="single" w:color="auto" w:sz="4" w:space="0"/>
              <w:right w:val="single" w:color="auto" w:sz="4" w:space="0"/>
            </w:tcBorders>
            <w:noWrap w:val="0"/>
            <w:vAlign w:val="top"/>
          </w:tcPr>
          <w:p w14:paraId="354EBEA6">
            <w:pPr>
              <w:snapToGrid w:val="0"/>
              <w:spacing w:before="120" w:beforeLines="50" w:after="50"/>
              <w:rPr>
                <w:color w:val="auto"/>
                <w:szCs w:val="21"/>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599EACE3">
            <w:pPr>
              <w:snapToGrid w:val="0"/>
              <w:spacing w:before="120" w:beforeLines="50" w:after="50"/>
              <w:rPr>
                <w:color w:val="auto"/>
                <w:szCs w:val="21"/>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5C8130FD">
            <w:pPr>
              <w:snapToGrid w:val="0"/>
              <w:spacing w:before="120" w:beforeLines="50" w:after="50"/>
              <w:rPr>
                <w:color w:val="auto"/>
                <w:szCs w:val="21"/>
              </w:rPr>
            </w:pPr>
          </w:p>
        </w:tc>
      </w:tr>
      <w:tr w14:paraId="7CE5F0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top"/>
          </w:tcPr>
          <w:p w14:paraId="407AB541">
            <w:pPr>
              <w:snapToGrid w:val="0"/>
              <w:spacing w:before="120" w:beforeLines="50" w:after="50"/>
              <w:rPr>
                <w:color w:val="auto"/>
                <w:szCs w:val="21"/>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B430A50">
            <w:pPr>
              <w:snapToGrid w:val="0"/>
              <w:spacing w:before="120" w:beforeLines="50" w:after="50"/>
              <w:rPr>
                <w:color w:val="auto"/>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46E461F3">
            <w:pPr>
              <w:snapToGrid w:val="0"/>
              <w:spacing w:before="120" w:beforeLines="50" w:after="50"/>
              <w:rPr>
                <w:color w:val="auto"/>
                <w:szCs w:val="21"/>
              </w:rPr>
            </w:pPr>
          </w:p>
        </w:tc>
        <w:tc>
          <w:tcPr>
            <w:tcW w:w="1516" w:type="dxa"/>
            <w:tcBorders>
              <w:top w:val="single" w:color="auto" w:sz="4" w:space="0"/>
              <w:left w:val="single" w:color="auto" w:sz="4" w:space="0"/>
              <w:bottom w:val="single" w:color="auto" w:sz="4" w:space="0"/>
              <w:right w:val="single" w:color="auto" w:sz="4" w:space="0"/>
            </w:tcBorders>
            <w:noWrap w:val="0"/>
            <w:vAlign w:val="top"/>
          </w:tcPr>
          <w:p w14:paraId="21EE75E2">
            <w:pPr>
              <w:snapToGrid w:val="0"/>
              <w:spacing w:before="120" w:beforeLines="50" w:after="50"/>
              <w:rPr>
                <w:color w:val="auto"/>
                <w:szCs w:val="21"/>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21CC0CB4">
            <w:pPr>
              <w:snapToGrid w:val="0"/>
              <w:spacing w:before="120" w:beforeLines="50" w:after="50"/>
              <w:rPr>
                <w:color w:val="auto"/>
                <w:szCs w:val="21"/>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58B6A62E">
            <w:pPr>
              <w:snapToGrid w:val="0"/>
              <w:spacing w:before="120" w:beforeLines="50" w:after="50"/>
              <w:rPr>
                <w:color w:val="auto"/>
                <w:szCs w:val="21"/>
              </w:rPr>
            </w:pPr>
          </w:p>
        </w:tc>
      </w:tr>
      <w:tr w14:paraId="27C98B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331" w:type="dxa"/>
            <w:tcBorders>
              <w:top w:val="single" w:color="auto" w:sz="4" w:space="0"/>
              <w:left w:val="single" w:color="auto" w:sz="4" w:space="0"/>
              <w:bottom w:val="single" w:color="auto" w:sz="4" w:space="0"/>
              <w:right w:val="single" w:color="auto" w:sz="4" w:space="0"/>
            </w:tcBorders>
            <w:noWrap w:val="0"/>
            <w:vAlign w:val="top"/>
          </w:tcPr>
          <w:p w14:paraId="25E7E16B">
            <w:pPr>
              <w:snapToGrid w:val="0"/>
              <w:spacing w:before="120" w:beforeLines="50" w:after="50"/>
              <w:rPr>
                <w:color w:val="auto"/>
                <w:szCs w:val="21"/>
              </w:rPr>
            </w:pPr>
          </w:p>
        </w:tc>
        <w:tc>
          <w:tcPr>
            <w:tcW w:w="1260" w:type="dxa"/>
            <w:tcBorders>
              <w:top w:val="single" w:color="auto" w:sz="4" w:space="0"/>
              <w:left w:val="single" w:color="auto" w:sz="4" w:space="0"/>
              <w:bottom w:val="single" w:color="auto" w:sz="4" w:space="0"/>
              <w:right w:val="single" w:color="auto" w:sz="4" w:space="0"/>
            </w:tcBorders>
            <w:noWrap w:val="0"/>
            <w:vAlign w:val="top"/>
          </w:tcPr>
          <w:p w14:paraId="7BC2E804">
            <w:pPr>
              <w:snapToGrid w:val="0"/>
              <w:spacing w:before="120" w:beforeLines="50" w:after="50"/>
              <w:rPr>
                <w:color w:val="auto"/>
                <w:szCs w:val="21"/>
              </w:rPr>
            </w:pPr>
          </w:p>
        </w:tc>
        <w:tc>
          <w:tcPr>
            <w:tcW w:w="1440" w:type="dxa"/>
            <w:tcBorders>
              <w:top w:val="single" w:color="auto" w:sz="4" w:space="0"/>
              <w:left w:val="single" w:color="auto" w:sz="4" w:space="0"/>
              <w:bottom w:val="single" w:color="auto" w:sz="4" w:space="0"/>
              <w:right w:val="single" w:color="auto" w:sz="4" w:space="0"/>
            </w:tcBorders>
            <w:noWrap w:val="0"/>
            <w:vAlign w:val="top"/>
          </w:tcPr>
          <w:p w14:paraId="5C1674EC">
            <w:pPr>
              <w:pStyle w:val="31"/>
              <w:snapToGrid w:val="0"/>
              <w:spacing w:before="120" w:beforeLines="50" w:after="50"/>
              <w:ind w:left="5670" w:hanging="420"/>
              <w:rPr>
                <w:rFonts w:ascii="Times New Roman" w:hAnsi="Times New Roman"/>
                <w:color w:val="auto"/>
              </w:rPr>
            </w:pPr>
          </w:p>
        </w:tc>
        <w:tc>
          <w:tcPr>
            <w:tcW w:w="1516" w:type="dxa"/>
            <w:tcBorders>
              <w:top w:val="single" w:color="auto" w:sz="4" w:space="0"/>
              <w:left w:val="single" w:color="auto" w:sz="4" w:space="0"/>
              <w:bottom w:val="single" w:color="auto" w:sz="4" w:space="0"/>
              <w:right w:val="single" w:color="auto" w:sz="4" w:space="0"/>
            </w:tcBorders>
            <w:noWrap w:val="0"/>
            <w:vAlign w:val="top"/>
          </w:tcPr>
          <w:p w14:paraId="46C5C2BF">
            <w:pPr>
              <w:snapToGrid w:val="0"/>
              <w:spacing w:before="120" w:beforeLines="50" w:after="50"/>
              <w:rPr>
                <w:color w:val="auto"/>
                <w:szCs w:val="21"/>
              </w:rPr>
            </w:pPr>
          </w:p>
        </w:tc>
        <w:tc>
          <w:tcPr>
            <w:tcW w:w="1620" w:type="dxa"/>
            <w:tcBorders>
              <w:top w:val="single" w:color="auto" w:sz="4" w:space="0"/>
              <w:left w:val="single" w:color="auto" w:sz="4" w:space="0"/>
              <w:bottom w:val="single" w:color="auto" w:sz="4" w:space="0"/>
              <w:right w:val="single" w:color="auto" w:sz="4" w:space="0"/>
            </w:tcBorders>
            <w:noWrap w:val="0"/>
            <w:vAlign w:val="top"/>
          </w:tcPr>
          <w:p w14:paraId="17398266">
            <w:pPr>
              <w:snapToGrid w:val="0"/>
              <w:spacing w:before="120" w:beforeLines="50" w:after="50"/>
              <w:rPr>
                <w:color w:val="auto"/>
                <w:szCs w:val="21"/>
              </w:rPr>
            </w:pPr>
          </w:p>
        </w:tc>
        <w:tc>
          <w:tcPr>
            <w:tcW w:w="1980" w:type="dxa"/>
            <w:tcBorders>
              <w:top w:val="single" w:color="auto" w:sz="4" w:space="0"/>
              <w:left w:val="single" w:color="auto" w:sz="4" w:space="0"/>
              <w:bottom w:val="single" w:color="auto" w:sz="4" w:space="0"/>
              <w:right w:val="single" w:color="auto" w:sz="4" w:space="0"/>
            </w:tcBorders>
            <w:noWrap w:val="0"/>
            <w:vAlign w:val="top"/>
          </w:tcPr>
          <w:p w14:paraId="0939E021">
            <w:pPr>
              <w:snapToGrid w:val="0"/>
              <w:spacing w:before="120" w:beforeLines="50" w:after="50"/>
              <w:rPr>
                <w:color w:val="auto"/>
                <w:szCs w:val="21"/>
              </w:rPr>
            </w:pPr>
          </w:p>
        </w:tc>
      </w:tr>
    </w:tbl>
    <w:p w14:paraId="675C836A">
      <w:pPr>
        <w:snapToGrid w:val="0"/>
        <w:spacing w:before="50" w:after="120" w:afterLines="50" w:line="440" w:lineRule="exact"/>
        <w:jc w:val="left"/>
        <w:rPr>
          <w:color w:val="auto"/>
          <w:szCs w:val="21"/>
        </w:rPr>
      </w:pPr>
      <w:r>
        <w:rPr>
          <w:color w:val="auto"/>
          <w:szCs w:val="21"/>
        </w:rPr>
        <w:t>注：在填写时，如本表格不适合投标单位的实际情况，可根据本表格式自行填写。</w:t>
      </w:r>
    </w:p>
    <w:p w14:paraId="5BFE6E6A">
      <w:pPr>
        <w:rPr>
          <w:color w:val="auto"/>
          <w:spacing w:val="20"/>
          <w:szCs w:val="21"/>
          <w:u w:val="single"/>
        </w:rPr>
      </w:pPr>
      <w:r>
        <w:rPr>
          <w:color w:val="auto"/>
          <w:szCs w:val="21"/>
        </w:rPr>
        <w:t>供应商</w:t>
      </w:r>
      <w:r>
        <w:rPr>
          <w:rFonts w:hint="eastAsia"/>
          <w:color w:val="auto"/>
          <w:szCs w:val="21"/>
        </w:rPr>
        <w:t>名称(电子签章</w:t>
      </w:r>
      <w:r>
        <w:rPr>
          <w:color w:val="auto"/>
          <w:szCs w:val="21"/>
        </w:rPr>
        <w:t>)</w:t>
      </w:r>
      <w:r>
        <w:rPr>
          <w:color w:val="auto"/>
          <w:spacing w:val="20"/>
          <w:szCs w:val="21"/>
        </w:rPr>
        <w:t>：</w:t>
      </w:r>
      <w:r>
        <w:rPr>
          <w:color w:val="auto"/>
          <w:spacing w:val="20"/>
          <w:szCs w:val="21"/>
          <w:u w:val="single"/>
        </w:rPr>
        <w:t xml:space="preserve">            </w:t>
      </w:r>
      <w:r>
        <w:rPr>
          <w:color w:val="auto"/>
          <w:spacing w:val="20"/>
          <w:szCs w:val="21"/>
        </w:rPr>
        <w:t xml:space="preserve">             日  期：</w:t>
      </w:r>
      <w:r>
        <w:rPr>
          <w:color w:val="auto"/>
          <w:spacing w:val="20"/>
          <w:szCs w:val="21"/>
          <w:u w:val="single"/>
        </w:rPr>
        <w:t xml:space="preserve">        </w:t>
      </w:r>
    </w:p>
    <w:p w14:paraId="30F64414">
      <w:pPr>
        <w:rPr>
          <w:color w:val="auto"/>
          <w:szCs w:val="21"/>
        </w:rPr>
      </w:pPr>
    </w:p>
    <w:p w14:paraId="45BFBD1E">
      <w:pPr>
        <w:rPr>
          <w:color w:val="auto"/>
          <w:szCs w:val="21"/>
        </w:rPr>
      </w:pPr>
    </w:p>
    <w:p w14:paraId="1F748B6C">
      <w:pPr>
        <w:rPr>
          <w:color w:val="auto"/>
          <w:szCs w:val="21"/>
        </w:rPr>
      </w:pPr>
      <w:r>
        <w:rPr>
          <w:color w:val="auto"/>
          <w:szCs w:val="21"/>
        </w:rPr>
        <w:t>9．技术服务、技术培训、售后服务的内容和措施（如有</w:t>
      </w:r>
      <w:r>
        <w:rPr>
          <w:rFonts w:hint="eastAsia"/>
          <w:color w:val="auto"/>
          <w:szCs w:val="21"/>
        </w:rPr>
        <w:t>，</w:t>
      </w:r>
      <w:r>
        <w:rPr>
          <w:color w:val="auto"/>
          <w:szCs w:val="21"/>
        </w:rPr>
        <w:t>供应商自行编写）。</w:t>
      </w:r>
    </w:p>
    <w:p w14:paraId="53E7A2E2">
      <w:pPr>
        <w:rPr>
          <w:color w:val="auto"/>
          <w:szCs w:val="21"/>
        </w:rPr>
      </w:pPr>
    </w:p>
    <w:p w14:paraId="22A47CD2">
      <w:pPr>
        <w:rPr>
          <w:color w:val="auto"/>
          <w:szCs w:val="21"/>
        </w:rPr>
      </w:pPr>
    </w:p>
    <w:p w14:paraId="65273F4B">
      <w:pPr>
        <w:rPr>
          <w:color w:val="auto"/>
          <w:szCs w:val="21"/>
        </w:rPr>
      </w:pPr>
      <w:r>
        <w:rPr>
          <w:color w:val="auto"/>
          <w:szCs w:val="21"/>
        </w:rPr>
        <w:t>10．供应商对本项目的合理化建议和改进措施（如有</w:t>
      </w:r>
      <w:r>
        <w:rPr>
          <w:rFonts w:hint="eastAsia"/>
          <w:color w:val="auto"/>
          <w:szCs w:val="21"/>
        </w:rPr>
        <w:t>，</w:t>
      </w:r>
      <w:r>
        <w:rPr>
          <w:color w:val="auto"/>
          <w:szCs w:val="21"/>
        </w:rPr>
        <w:t>供应商自行编写）。</w:t>
      </w:r>
    </w:p>
    <w:p w14:paraId="1DA7BEE8">
      <w:pPr>
        <w:rPr>
          <w:color w:val="auto"/>
          <w:szCs w:val="21"/>
        </w:rPr>
      </w:pPr>
    </w:p>
    <w:p w14:paraId="268072BF">
      <w:pPr>
        <w:rPr>
          <w:color w:val="auto"/>
          <w:szCs w:val="21"/>
        </w:rPr>
      </w:pPr>
    </w:p>
    <w:p w14:paraId="428FC297">
      <w:pPr>
        <w:rPr>
          <w:color w:val="auto"/>
          <w:szCs w:val="21"/>
        </w:rPr>
      </w:pPr>
      <w:r>
        <w:rPr>
          <w:color w:val="auto"/>
          <w:szCs w:val="21"/>
        </w:rPr>
        <w:t>11．供应商需要说明的其他文件和说明（如有</w:t>
      </w:r>
      <w:r>
        <w:rPr>
          <w:rFonts w:hint="eastAsia"/>
          <w:color w:val="auto"/>
          <w:szCs w:val="21"/>
        </w:rPr>
        <w:t>，</w:t>
      </w:r>
      <w:r>
        <w:rPr>
          <w:color w:val="auto"/>
          <w:szCs w:val="21"/>
        </w:rPr>
        <w:t>供应商自行编写）。</w:t>
      </w:r>
    </w:p>
    <w:p w14:paraId="59DA486F">
      <w:pPr>
        <w:jc w:val="center"/>
        <w:rPr>
          <w:b/>
          <w:bCs/>
          <w:color w:val="auto"/>
          <w:szCs w:val="21"/>
        </w:rPr>
      </w:pPr>
      <w:r>
        <w:rPr>
          <w:b/>
          <w:color w:val="auto"/>
          <w:szCs w:val="21"/>
        </w:rPr>
        <w:br w:type="page"/>
      </w:r>
    </w:p>
    <w:p w14:paraId="7877D296">
      <w:pPr>
        <w:snapToGrid w:val="0"/>
        <w:spacing w:before="120" w:beforeLines="50" w:after="50" w:line="440" w:lineRule="exact"/>
        <w:jc w:val="left"/>
        <w:outlineLvl w:val="1"/>
        <w:rPr>
          <w:bCs/>
          <w:sz w:val="24"/>
        </w:rPr>
      </w:pPr>
      <w:r>
        <w:rPr>
          <w:bCs/>
          <w:sz w:val="24"/>
        </w:rPr>
        <w:t>3．投标文件封面参考格式</w:t>
      </w:r>
      <w:r>
        <w:rPr>
          <w:rFonts w:hint="eastAsia"/>
          <w:bCs/>
          <w:sz w:val="24"/>
        </w:rPr>
        <w:t>（报价文件）</w:t>
      </w:r>
      <w:r>
        <w:rPr>
          <w:bCs/>
          <w:sz w:val="24"/>
        </w:rPr>
        <w:t xml:space="preserve">： </w:t>
      </w:r>
    </w:p>
    <w:p w14:paraId="0E32C579">
      <w:pPr>
        <w:snapToGrid w:val="0"/>
        <w:spacing w:before="50" w:after="120" w:afterLines="50" w:line="400" w:lineRule="exact"/>
        <w:jc w:val="left"/>
        <w:rPr>
          <w:bCs/>
          <w:sz w:val="24"/>
        </w:rPr>
      </w:pPr>
    </w:p>
    <w:p w14:paraId="6274370D">
      <w:pPr>
        <w:snapToGrid w:val="0"/>
        <w:spacing w:before="120" w:beforeLines="50" w:after="50" w:line="360" w:lineRule="exact"/>
        <w:rPr>
          <w:sz w:val="24"/>
        </w:rPr>
      </w:pPr>
    </w:p>
    <w:p w14:paraId="7E40AD69">
      <w:pPr>
        <w:snapToGrid w:val="0"/>
        <w:spacing w:before="120" w:beforeLines="50" w:after="50" w:line="360" w:lineRule="exact"/>
        <w:jc w:val="center"/>
        <w:rPr>
          <w:bCs/>
          <w:color w:val="FF0000"/>
          <w:sz w:val="24"/>
        </w:rPr>
      </w:pPr>
    </w:p>
    <w:p w14:paraId="21AEA7E9">
      <w:pPr>
        <w:snapToGrid w:val="0"/>
        <w:spacing w:before="120" w:beforeLines="50" w:after="50" w:line="360" w:lineRule="exact"/>
        <w:jc w:val="center"/>
        <w:rPr>
          <w:b/>
          <w:bCs/>
          <w:sz w:val="44"/>
          <w:szCs w:val="44"/>
        </w:rPr>
      </w:pPr>
      <w:r>
        <w:rPr>
          <w:rFonts w:hint="eastAsia"/>
          <w:b/>
          <w:bCs/>
          <w:sz w:val="44"/>
          <w:szCs w:val="44"/>
        </w:rPr>
        <w:t>电子</w:t>
      </w:r>
      <w:r>
        <w:rPr>
          <w:b/>
          <w:bCs/>
          <w:sz w:val="44"/>
          <w:szCs w:val="44"/>
        </w:rPr>
        <w:t>投标文件</w:t>
      </w:r>
    </w:p>
    <w:p w14:paraId="377A3F0A">
      <w:pPr>
        <w:snapToGrid w:val="0"/>
        <w:spacing w:before="120" w:beforeLines="50" w:after="50" w:line="360" w:lineRule="exact"/>
        <w:jc w:val="center"/>
        <w:rPr>
          <w:b/>
          <w:bCs/>
          <w:sz w:val="44"/>
          <w:szCs w:val="44"/>
        </w:rPr>
      </w:pPr>
    </w:p>
    <w:p w14:paraId="6531066A">
      <w:pPr>
        <w:snapToGrid w:val="0"/>
        <w:spacing w:before="120" w:beforeLines="50" w:after="50" w:line="360" w:lineRule="exact"/>
        <w:jc w:val="center"/>
        <w:rPr>
          <w:b/>
          <w:bCs/>
          <w:sz w:val="44"/>
          <w:szCs w:val="44"/>
        </w:rPr>
      </w:pPr>
    </w:p>
    <w:p w14:paraId="1EB41E1A">
      <w:pPr>
        <w:snapToGrid w:val="0"/>
        <w:spacing w:before="120" w:beforeLines="50" w:after="50" w:line="360" w:lineRule="exact"/>
        <w:jc w:val="center"/>
        <w:rPr>
          <w:b/>
          <w:bCs/>
          <w:sz w:val="44"/>
          <w:szCs w:val="44"/>
        </w:rPr>
      </w:pPr>
      <w:r>
        <w:rPr>
          <w:rFonts w:hint="eastAsia"/>
          <w:b/>
          <w:bCs/>
          <w:sz w:val="44"/>
          <w:szCs w:val="44"/>
        </w:rPr>
        <w:t>报价</w:t>
      </w:r>
      <w:r>
        <w:rPr>
          <w:b/>
          <w:bCs/>
          <w:sz w:val="44"/>
          <w:szCs w:val="44"/>
        </w:rPr>
        <w:t>文件</w:t>
      </w:r>
    </w:p>
    <w:p w14:paraId="18C0384A">
      <w:pPr>
        <w:snapToGrid w:val="0"/>
        <w:spacing w:before="120" w:beforeLines="50" w:after="50" w:line="360" w:lineRule="exact"/>
        <w:rPr>
          <w:bCs/>
          <w:sz w:val="24"/>
        </w:rPr>
      </w:pPr>
    </w:p>
    <w:p w14:paraId="47BDE2D7">
      <w:pPr>
        <w:snapToGrid w:val="0"/>
        <w:spacing w:before="120" w:beforeLines="50" w:after="50" w:line="360" w:lineRule="exact"/>
        <w:rPr>
          <w:bCs/>
          <w:sz w:val="24"/>
        </w:rPr>
      </w:pPr>
    </w:p>
    <w:p w14:paraId="2349A9B5">
      <w:pPr>
        <w:snapToGrid w:val="0"/>
        <w:spacing w:before="120" w:beforeLines="50" w:after="50" w:line="360" w:lineRule="exact"/>
        <w:rPr>
          <w:bCs/>
          <w:sz w:val="24"/>
        </w:rPr>
      </w:pPr>
    </w:p>
    <w:p w14:paraId="40EB51F2">
      <w:pPr>
        <w:snapToGrid w:val="0"/>
        <w:spacing w:before="120" w:beforeLines="50" w:after="50" w:line="360" w:lineRule="exact"/>
        <w:ind w:firstLine="720" w:firstLineChars="300"/>
        <w:rPr>
          <w:bCs/>
          <w:sz w:val="24"/>
        </w:rPr>
      </w:pPr>
      <w:r>
        <w:rPr>
          <w:bCs/>
          <w:sz w:val="24"/>
        </w:rPr>
        <w:t xml:space="preserve">项目名称： </w:t>
      </w:r>
    </w:p>
    <w:p w14:paraId="5F5DBF4C">
      <w:pPr>
        <w:snapToGrid w:val="0"/>
        <w:spacing w:before="120" w:beforeLines="50" w:after="50" w:line="360" w:lineRule="exact"/>
        <w:ind w:firstLine="720" w:firstLineChars="300"/>
        <w:rPr>
          <w:bCs/>
          <w:sz w:val="24"/>
        </w:rPr>
      </w:pPr>
      <w:r>
        <w:rPr>
          <w:bCs/>
          <w:sz w:val="24"/>
        </w:rPr>
        <w:t>项目编号：</w:t>
      </w:r>
    </w:p>
    <w:p w14:paraId="794CA8D3">
      <w:pPr>
        <w:snapToGrid w:val="0"/>
        <w:spacing w:before="120" w:beforeLines="50" w:after="50" w:line="360" w:lineRule="exact"/>
        <w:ind w:firstLine="720" w:firstLineChars="300"/>
        <w:rPr>
          <w:bCs/>
          <w:sz w:val="24"/>
        </w:rPr>
      </w:pPr>
      <w:r>
        <w:rPr>
          <w:bCs/>
          <w:sz w:val="24"/>
        </w:rPr>
        <w:t>分标号：（若无</w:t>
      </w:r>
      <w:r>
        <w:rPr>
          <w:rFonts w:hint="eastAsia"/>
          <w:bCs/>
          <w:sz w:val="24"/>
        </w:rPr>
        <w:t>留空或写</w:t>
      </w:r>
      <w:r>
        <w:rPr>
          <w:bCs/>
          <w:sz w:val="24"/>
        </w:rPr>
        <w:t>“/”）</w:t>
      </w:r>
    </w:p>
    <w:p w14:paraId="0AE07C66">
      <w:pPr>
        <w:snapToGrid w:val="0"/>
        <w:spacing w:before="120" w:beforeLines="50" w:after="50" w:line="360" w:lineRule="exact"/>
        <w:ind w:firstLine="720" w:firstLineChars="300"/>
        <w:rPr>
          <w:bCs/>
          <w:sz w:val="24"/>
        </w:rPr>
      </w:pPr>
      <w:r>
        <w:rPr>
          <w:bCs/>
          <w:sz w:val="24"/>
        </w:rPr>
        <w:t>供应商名称：</w:t>
      </w:r>
    </w:p>
    <w:p w14:paraId="4CBB40AD">
      <w:pPr>
        <w:snapToGrid w:val="0"/>
        <w:spacing w:before="120" w:beforeLines="50" w:after="50" w:line="360" w:lineRule="exact"/>
        <w:ind w:firstLine="720" w:firstLineChars="300"/>
        <w:rPr>
          <w:bCs/>
          <w:sz w:val="24"/>
        </w:rPr>
      </w:pPr>
      <w:r>
        <w:rPr>
          <w:bCs/>
          <w:sz w:val="24"/>
        </w:rPr>
        <w:t>供应商地址：</w:t>
      </w:r>
    </w:p>
    <w:p w14:paraId="53C183DB">
      <w:pPr>
        <w:snapToGrid w:val="0"/>
        <w:spacing w:before="120" w:beforeLines="50" w:after="50" w:line="360" w:lineRule="exact"/>
        <w:ind w:firstLine="720" w:firstLineChars="300"/>
        <w:rPr>
          <w:bCs/>
          <w:sz w:val="24"/>
        </w:rPr>
      </w:pPr>
    </w:p>
    <w:p w14:paraId="75597DD0">
      <w:pPr>
        <w:pStyle w:val="10"/>
        <w:snapToGrid w:val="0"/>
        <w:spacing w:before="50" w:after="50" w:line="360" w:lineRule="exact"/>
        <w:ind w:firstLine="960" w:firstLineChars="400"/>
        <w:rPr>
          <w:bCs/>
          <w:sz w:val="24"/>
          <w:szCs w:val="24"/>
        </w:rPr>
      </w:pPr>
    </w:p>
    <w:p w14:paraId="19D4C994">
      <w:pPr>
        <w:snapToGrid w:val="0"/>
        <w:spacing w:before="120" w:beforeLines="50" w:after="50" w:line="360" w:lineRule="exact"/>
        <w:jc w:val="center"/>
        <w:rPr>
          <w:sz w:val="24"/>
        </w:rPr>
      </w:pPr>
      <w:r>
        <w:rPr>
          <w:sz w:val="24"/>
        </w:rPr>
        <w:t xml:space="preserve">                        年  月  日</w:t>
      </w:r>
    </w:p>
    <w:p w14:paraId="68BAC2E6">
      <w:r>
        <w:br w:type="page"/>
      </w:r>
    </w:p>
    <w:p w14:paraId="76615236">
      <w:pPr>
        <w:widowControl/>
        <w:jc w:val="left"/>
        <w:rPr>
          <w:b/>
          <w:bCs/>
          <w:szCs w:val="21"/>
        </w:rPr>
      </w:pPr>
    </w:p>
    <w:p w14:paraId="5FF8A996">
      <w:pPr>
        <w:jc w:val="center"/>
        <w:rPr>
          <w:b/>
          <w:bCs/>
          <w:szCs w:val="21"/>
        </w:rPr>
      </w:pPr>
    </w:p>
    <w:p w14:paraId="45996FD2">
      <w:pPr>
        <w:jc w:val="center"/>
        <w:rPr>
          <w:sz w:val="28"/>
          <w:szCs w:val="28"/>
        </w:rPr>
      </w:pPr>
      <w:r>
        <w:rPr>
          <w:sz w:val="28"/>
          <w:szCs w:val="28"/>
        </w:rPr>
        <w:t>第三部分 报价文件</w:t>
      </w:r>
    </w:p>
    <w:p w14:paraId="56194519">
      <w:pPr>
        <w:jc w:val="center"/>
        <w:rPr>
          <w:b/>
          <w:bCs/>
          <w:szCs w:val="21"/>
        </w:rPr>
      </w:pPr>
    </w:p>
    <w:p w14:paraId="0064AA99">
      <w:bookmarkStart w:id="168" w:name="_Hlk19115777"/>
      <w:r>
        <w:t>1．投标函格式：</w:t>
      </w:r>
    </w:p>
    <w:p w14:paraId="009B7710">
      <w:pPr>
        <w:jc w:val="center"/>
        <w:rPr>
          <w:b/>
          <w:szCs w:val="21"/>
        </w:rPr>
      </w:pPr>
    </w:p>
    <w:p w14:paraId="0AA25B9E">
      <w:pPr>
        <w:jc w:val="center"/>
        <w:rPr>
          <w:b/>
          <w:szCs w:val="21"/>
        </w:rPr>
      </w:pPr>
      <w:r>
        <w:rPr>
          <w:b/>
          <w:szCs w:val="21"/>
        </w:rPr>
        <w:t>投 标 函</w:t>
      </w:r>
    </w:p>
    <w:p w14:paraId="343A6EEE">
      <w:pPr>
        <w:rPr>
          <w:b/>
          <w:i w:val="0"/>
          <w:iCs w:val="0"/>
          <w:szCs w:val="21"/>
        </w:rPr>
      </w:pPr>
    </w:p>
    <w:p w14:paraId="45F2B2DF">
      <w:pPr>
        <w:spacing w:line="360" w:lineRule="auto"/>
        <w:rPr>
          <w:i w:val="0"/>
          <w:iCs w:val="0"/>
          <w:szCs w:val="21"/>
        </w:rPr>
      </w:pPr>
      <w:r>
        <w:rPr>
          <w:i w:val="0"/>
          <w:iCs w:val="0"/>
          <w:szCs w:val="21"/>
        </w:rPr>
        <w:t>致：</w:t>
      </w:r>
      <w:bookmarkStart w:id="169" w:name="_Hlk19051378"/>
      <w:r>
        <w:rPr>
          <w:i w:val="0"/>
          <w:iCs w:val="0"/>
          <w:szCs w:val="21"/>
        </w:rPr>
        <w:t>_</w:t>
      </w:r>
      <w:r>
        <w:rPr>
          <w:i w:val="0"/>
          <w:iCs w:val="0"/>
          <w:szCs w:val="21"/>
          <w:u w:val="single"/>
        </w:rPr>
        <w:t>（采购</w:t>
      </w:r>
      <w:r>
        <w:rPr>
          <w:rFonts w:hint="eastAsia"/>
          <w:i w:val="0"/>
          <w:iCs w:val="0"/>
          <w:szCs w:val="21"/>
          <w:u w:val="single"/>
        </w:rPr>
        <w:t>人</w:t>
      </w:r>
      <w:r>
        <w:rPr>
          <w:i w:val="0"/>
          <w:iCs w:val="0"/>
          <w:szCs w:val="21"/>
          <w:u w:val="single"/>
        </w:rPr>
        <w:t>名称）</w:t>
      </w:r>
      <w:r>
        <w:rPr>
          <w:i w:val="0"/>
          <w:iCs w:val="0"/>
          <w:szCs w:val="21"/>
        </w:rPr>
        <w:t>_</w:t>
      </w:r>
      <w:bookmarkEnd w:id="169"/>
      <w:r>
        <w:rPr>
          <w:i w:val="0"/>
          <w:iCs w:val="0"/>
          <w:szCs w:val="21"/>
        </w:rPr>
        <w:t>：</w:t>
      </w:r>
    </w:p>
    <w:p w14:paraId="557BC2C8">
      <w:pPr>
        <w:spacing w:line="360" w:lineRule="auto"/>
        <w:ind w:firstLine="420" w:firstLineChars="200"/>
        <w:rPr>
          <w:i w:val="0"/>
          <w:iCs w:val="0"/>
          <w:szCs w:val="21"/>
        </w:rPr>
      </w:pPr>
      <w:r>
        <w:rPr>
          <w:i w:val="0"/>
          <w:iCs w:val="0"/>
          <w:szCs w:val="21"/>
        </w:rPr>
        <w:t>我方已仔细研究了</w:t>
      </w:r>
      <w:bookmarkStart w:id="170" w:name="_Hlk19051388"/>
      <w:r>
        <w:rPr>
          <w:rFonts w:hint="eastAsia"/>
          <w:i w:val="0"/>
          <w:iCs w:val="0"/>
          <w:szCs w:val="21"/>
          <w:u w:val="single"/>
        </w:rPr>
        <w:t>（项目名称）</w:t>
      </w:r>
      <w:bookmarkEnd w:id="170"/>
      <w:r>
        <w:rPr>
          <w:i w:val="0"/>
          <w:iCs w:val="0"/>
          <w:szCs w:val="21"/>
        </w:rPr>
        <w:t>的招标文件的全部内容。签字代表</w:t>
      </w:r>
      <w:bookmarkStart w:id="171" w:name="_Hlk19051393"/>
      <w:r>
        <w:rPr>
          <w:rFonts w:hint="eastAsia"/>
          <w:i w:val="0"/>
          <w:iCs w:val="0"/>
          <w:szCs w:val="21"/>
          <w:u w:val="single"/>
        </w:rPr>
        <w:t>（授权代表姓名）</w:t>
      </w:r>
      <w:bookmarkEnd w:id="171"/>
      <w:r>
        <w:rPr>
          <w:i w:val="0"/>
          <w:iCs w:val="0"/>
          <w:szCs w:val="21"/>
        </w:rPr>
        <w:t>经正式授权并代表供应商_</w:t>
      </w:r>
      <w:bookmarkStart w:id="172" w:name="_Hlk19051402"/>
      <w:r>
        <w:rPr>
          <w:i w:val="0"/>
          <w:iCs w:val="0"/>
          <w:szCs w:val="21"/>
          <w:u w:val="single"/>
        </w:rPr>
        <w:t>（供应商名称）</w:t>
      </w:r>
      <w:bookmarkEnd w:id="172"/>
      <w:r>
        <w:rPr>
          <w:i w:val="0"/>
          <w:iCs w:val="0"/>
          <w:szCs w:val="21"/>
        </w:rPr>
        <w:t>提交投标文件</w:t>
      </w:r>
      <w:r>
        <w:rPr>
          <w:rFonts w:hint="eastAsia"/>
          <w:i w:val="0"/>
          <w:iCs w:val="0"/>
          <w:szCs w:val="21"/>
        </w:rPr>
        <w:t>。</w:t>
      </w:r>
    </w:p>
    <w:p w14:paraId="074FA8EF">
      <w:pPr>
        <w:spacing w:line="360" w:lineRule="auto"/>
        <w:ind w:firstLine="420" w:firstLineChars="200"/>
        <w:rPr>
          <w:i w:val="0"/>
          <w:iCs w:val="0"/>
          <w:szCs w:val="21"/>
        </w:rPr>
      </w:pPr>
      <w:r>
        <w:rPr>
          <w:i w:val="0"/>
          <w:iCs w:val="0"/>
          <w:szCs w:val="21"/>
        </w:rPr>
        <w:t>据此函，签字代表宣布同意如下：</w:t>
      </w:r>
    </w:p>
    <w:p w14:paraId="39A48F6F">
      <w:pPr>
        <w:spacing w:line="360" w:lineRule="auto"/>
        <w:rPr>
          <w:i w:val="0"/>
          <w:iCs w:val="0"/>
          <w:szCs w:val="21"/>
        </w:rPr>
      </w:pPr>
      <w:r>
        <w:rPr>
          <w:i w:val="0"/>
          <w:iCs w:val="0"/>
          <w:szCs w:val="21"/>
        </w:rPr>
        <w:t>（1）</w:t>
      </w:r>
      <w:r>
        <w:rPr>
          <w:rFonts w:hint="eastAsia"/>
          <w:i w:val="0"/>
          <w:iCs w:val="0"/>
          <w:szCs w:val="21"/>
        </w:rPr>
        <w:t>我方</w:t>
      </w:r>
      <w:r>
        <w:rPr>
          <w:i w:val="0"/>
          <w:iCs w:val="0"/>
          <w:szCs w:val="21"/>
        </w:rPr>
        <w:t>已详细审查全部“招标文件”，包括修改文件（如有的话）以及全部参考资料和有关附件，已经了解我方对于招标文件、采购过程、采购结果有依法进行询问、质疑、投诉的权利及相关渠道和要求。</w:t>
      </w:r>
    </w:p>
    <w:p w14:paraId="7C811CCF">
      <w:pPr>
        <w:spacing w:line="360" w:lineRule="auto"/>
        <w:rPr>
          <w:szCs w:val="21"/>
        </w:rPr>
      </w:pPr>
      <w:r>
        <w:rPr>
          <w:i w:val="0"/>
          <w:iCs w:val="0"/>
          <w:szCs w:val="21"/>
        </w:rPr>
        <w:t>（2）</w:t>
      </w:r>
      <w:r>
        <w:rPr>
          <w:rFonts w:hint="eastAsia"/>
          <w:i w:val="0"/>
          <w:iCs w:val="0"/>
          <w:szCs w:val="21"/>
        </w:rPr>
        <w:t>我方</w:t>
      </w:r>
      <w:r>
        <w:rPr>
          <w:i w:val="0"/>
          <w:iCs w:val="0"/>
          <w:szCs w:val="21"/>
        </w:rPr>
        <w:t>在投标之前已经与贵方进行了充分的沟通，完全</w:t>
      </w:r>
      <w:r>
        <w:rPr>
          <w:szCs w:val="21"/>
        </w:rPr>
        <w:t>理解并接受招标文件的各项规定和要求，对招标文件的合理性、合法性不再有异议。</w:t>
      </w:r>
    </w:p>
    <w:p w14:paraId="05E6EF93">
      <w:pPr>
        <w:spacing w:line="360" w:lineRule="auto"/>
        <w:rPr>
          <w:szCs w:val="21"/>
        </w:rPr>
      </w:pPr>
      <w:r>
        <w:rPr>
          <w:szCs w:val="21"/>
        </w:rPr>
        <w:t>（3）</w:t>
      </w:r>
      <w:r>
        <w:rPr>
          <w:rFonts w:hint="eastAsia"/>
          <w:szCs w:val="21"/>
        </w:rPr>
        <w:t>我方承诺本投标有效期为第三章投标人须知规定的期限。</w:t>
      </w:r>
    </w:p>
    <w:p w14:paraId="03EB4524">
      <w:pPr>
        <w:spacing w:line="360" w:lineRule="auto"/>
        <w:rPr>
          <w:szCs w:val="21"/>
        </w:rPr>
      </w:pPr>
      <w:r>
        <w:rPr>
          <w:szCs w:val="21"/>
        </w:rPr>
        <w:t>（4）如中标，本投标文件至本项目合同履行完毕止均保持有效，</w:t>
      </w:r>
      <w:r>
        <w:rPr>
          <w:rFonts w:hint="eastAsia"/>
          <w:szCs w:val="21"/>
        </w:rPr>
        <w:t>我方</w:t>
      </w:r>
      <w:r>
        <w:rPr>
          <w:szCs w:val="21"/>
        </w:rPr>
        <w:t>将按“招标文件”及政府采购法律、法规的规定履行合同责任和义务</w:t>
      </w:r>
      <w:r>
        <w:rPr>
          <w:rFonts w:hint="eastAsia"/>
          <w:szCs w:val="21"/>
        </w:rPr>
        <w:t>，并承诺</w:t>
      </w:r>
      <w:r>
        <w:rPr>
          <w:szCs w:val="21"/>
        </w:rPr>
        <w:t>不分包及转包他人。</w:t>
      </w:r>
    </w:p>
    <w:p w14:paraId="6C71D1FA">
      <w:pPr>
        <w:spacing w:line="360" w:lineRule="auto"/>
        <w:rPr>
          <w:szCs w:val="21"/>
        </w:rPr>
      </w:pPr>
      <w:r>
        <w:rPr>
          <w:szCs w:val="21"/>
        </w:rPr>
        <w:t>（5）</w:t>
      </w:r>
      <w:r>
        <w:rPr>
          <w:rFonts w:hint="eastAsia"/>
          <w:szCs w:val="21"/>
        </w:rPr>
        <w:t>我方</w:t>
      </w:r>
      <w:r>
        <w:rPr>
          <w:szCs w:val="21"/>
        </w:rPr>
        <w:t>同意按照贵方要求提供与投标有关的一切数据或资料。</w:t>
      </w:r>
    </w:p>
    <w:p w14:paraId="3A76D7B2">
      <w:pPr>
        <w:spacing w:line="360" w:lineRule="auto"/>
        <w:rPr>
          <w:szCs w:val="21"/>
        </w:rPr>
      </w:pPr>
      <w:r>
        <w:rPr>
          <w:szCs w:val="21"/>
        </w:rPr>
        <w:t>（6）与本项目有关的一切正式往来信函请寄：</w:t>
      </w:r>
    </w:p>
    <w:p w14:paraId="2BEAB71C">
      <w:pPr>
        <w:spacing w:line="360" w:lineRule="auto"/>
        <w:rPr>
          <w:szCs w:val="21"/>
        </w:rPr>
      </w:pPr>
      <w:r>
        <w:rPr>
          <w:szCs w:val="21"/>
        </w:rPr>
        <w:t>地址：</w:t>
      </w:r>
      <w:r>
        <w:rPr>
          <w:szCs w:val="21"/>
          <w:u w:val="single"/>
        </w:rPr>
        <w:t xml:space="preserve">                      </w:t>
      </w:r>
      <w:r>
        <w:rPr>
          <w:szCs w:val="21"/>
        </w:rPr>
        <w:t>邮编：</w:t>
      </w:r>
      <w:r>
        <w:rPr>
          <w:szCs w:val="21"/>
          <w:u w:val="single"/>
        </w:rPr>
        <w:t xml:space="preserve">         </w:t>
      </w:r>
      <w:r>
        <w:rPr>
          <w:szCs w:val="21"/>
        </w:rPr>
        <w:t xml:space="preserve">  电话：</w:t>
      </w:r>
      <w:r>
        <w:rPr>
          <w:szCs w:val="21"/>
          <w:u w:val="single"/>
        </w:rPr>
        <w:t xml:space="preserve">            </w:t>
      </w:r>
    </w:p>
    <w:p w14:paraId="7B1A9AA7">
      <w:pPr>
        <w:spacing w:line="360" w:lineRule="auto"/>
        <w:rPr>
          <w:szCs w:val="21"/>
        </w:rPr>
      </w:pPr>
      <w:r>
        <w:rPr>
          <w:szCs w:val="21"/>
        </w:rPr>
        <w:t>传真：</w:t>
      </w:r>
      <w:r>
        <w:rPr>
          <w:szCs w:val="21"/>
          <w:u w:val="single"/>
        </w:rPr>
        <w:t xml:space="preserve">           </w:t>
      </w:r>
      <w:r>
        <w:rPr>
          <w:szCs w:val="21"/>
        </w:rPr>
        <w:t xml:space="preserve">  </w:t>
      </w:r>
    </w:p>
    <w:p w14:paraId="7C5EA712">
      <w:pPr>
        <w:spacing w:line="360" w:lineRule="auto"/>
        <w:rPr>
          <w:szCs w:val="21"/>
        </w:rPr>
      </w:pPr>
      <w:r>
        <w:rPr>
          <w:szCs w:val="21"/>
        </w:rPr>
        <w:t>供应商代表姓名</w:t>
      </w:r>
      <w:r>
        <w:rPr>
          <w:szCs w:val="21"/>
          <w:u w:val="single"/>
        </w:rPr>
        <w:t xml:space="preserve">         </w:t>
      </w:r>
      <w:r>
        <w:rPr>
          <w:szCs w:val="21"/>
        </w:rPr>
        <w:t xml:space="preserve">  职务：</w:t>
      </w:r>
      <w:r>
        <w:rPr>
          <w:szCs w:val="21"/>
          <w:u w:val="single"/>
        </w:rPr>
        <w:t xml:space="preserve">         </w:t>
      </w:r>
      <w:r>
        <w:rPr>
          <w:szCs w:val="21"/>
        </w:rPr>
        <w:t xml:space="preserve">    </w:t>
      </w:r>
      <w:r>
        <w:rPr>
          <w:rFonts w:hint="eastAsia"/>
          <w:szCs w:val="21"/>
        </w:rPr>
        <w:t>邮箱：</w:t>
      </w:r>
      <w:r>
        <w:rPr>
          <w:rFonts w:hint="eastAsia"/>
          <w:szCs w:val="21"/>
          <w:u w:val="single"/>
        </w:rPr>
        <w:t xml:space="preserve"> </w:t>
      </w:r>
      <w:r>
        <w:rPr>
          <w:szCs w:val="21"/>
          <w:u w:val="single"/>
        </w:rPr>
        <w:t xml:space="preserve">             </w:t>
      </w:r>
      <w:r>
        <w:rPr>
          <w:szCs w:val="21"/>
        </w:rPr>
        <w:t xml:space="preserve"> </w:t>
      </w:r>
    </w:p>
    <w:bookmarkEnd w:id="168"/>
    <w:p w14:paraId="17077F31">
      <w:pPr>
        <w:spacing w:line="360" w:lineRule="auto"/>
        <w:rPr>
          <w:szCs w:val="21"/>
        </w:rPr>
      </w:pPr>
    </w:p>
    <w:p w14:paraId="66CE40B8">
      <w:pPr>
        <w:spacing w:line="360" w:lineRule="auto"/>
        <w:rPr>
          <w:szCs w:val="21"/>
        </w:rPr>
      </w:pPr>
    </w:p>
    <w:p w14:paraId="519EEA21">
      <w:pPr>
        <w:spacing w:line="360" w:lineRule="auto"/>
        <w:rPr>
          <w:szCs w:val="21"/>
          <w:u w:val="single"/>
        </w:rPr>
      </w:pPr>
      <w:r>
        <w:rPr>
          <w:szCs w:val="21"/>
        </w:rPr>
        <w:t>供应商</w:t>
      </w:r>
      <w:r>
        <w:rPr>
          <w:rFonts w:hint="eastAsia"/>
          <w:szCs w:val="21"/>
        </w:rPr>
        <w:t>名称(电子签章</w:t>
      </w:r>
      <w:r>
        <w:rPr>
          <w:szCs w:val="21"/>
        </w:rPr>
        <w:t>)：</w:t>
      </w:r>
      <w:r>
        <w:rPr>
          <w:szCs w:val="21"/>
          <w:u w:val="single"/>
        </w:rPr>
        <w:t xml:space="preserve">                  </w:t>
      </w:r>
      <w:r>
        <w:rPr>
          <w:szCs w:val="21"/>
        </w:rPr>
        <w:t xml:space="preserve">        </w:t>
      </w:r>
    </w:p>
    <w:p w14:paraId="074231A3">
      <w:pPr>
        <w:spacing w:line="360" w:lineRule="auto"/>
        <w:rPr>
          <w:szCs w:val="21"/>
        </w:rPr>
      </w:pPr>
    </w:p>
    <w:p w14:paraId="575B263D">
      <w:pPr>
        <w:spacing w:line="360" w:lineRule="auto"/>
        <w:rPr>
          <w:szCs w:val="21"/>
        </w:rPr>
      </w:pPr>
      <w:r>
        <w:rPr>
          <w:szCs w:val="21"/>
        </w:rPr>
        <w:t>日期：</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日</w:t>
      </w:r>
    </w:p>
    <w:p w14:paraId="53C75D01">
      <w:r>
        <w:rPr>
          <w:b/>
          <w:szCs w:val="21"/>
        </w:rPr>
        <w:br w:type="page"/>
      </w:r>
      <w:r>
        <w:rPr>
          <w:rFonts w:hint="eastAsia"/>
          <w:b/>
          <w:szCs w:val="21"/>
          <w:lang w:val="en-US" w:eastAsia="zh-CN"/>
        </w:rPr>
        <w:t>2.</w:t>
      </w:r>
      <w:r>
        <w:t>投标报价明细表格式：</w:t>
      </w:r>
    </w:p>
    <w:p w14:paraId="16766DD6">
      <w:pPr>
        <w:jc w:val="center"/>
        <w:rPr>
          <w:b/>
          <w:szCs w:val="21"/>
        </w:rPr>
      </w:pPr>
      <w:r>
        <w:rPr>
          <w:b/>
          <w:szCs w:val="21"/>
        </w:rPr>
        <w:t>投标报价明细表</w:t>
      </w:r>
    </w:p>
    <w:p w14:paraId="518B8776">
      <w:pPr>
        <w:ind w:firstLine="2415" w:firstLineChars="1150"/>
        <w:rPr>
          <w:szCs w:val="21"/>
        </w:rPr>
      </w:pPr>
      <w:r>
        <w:rPr>
          <w:szCs w:val="21"/>
        </w:rPr>
        <w:t xml:space="preserve">                                    金额单位：人民币（元）</w:t>
      </w:r>
    </w:p>
    <w:tbl>
      <w:tblPr>
        <w:tblStyle w:val="53"/>
        <w:tblW w:w="877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64"/>
        <w:gridCol w:w="1086"/>
        <w:gridCol w:w="1080"/>
        <w:gridCol w:w="1268"/>
        <w:gridCol w:w="1599"/>
        <w:gridCol w:w="1118"/>
        <w:gridCol w:w="1259"/>
      </w:tblGrid>
      <w:tr w14:paraId="5F313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1364" w:type="dxa"/>
            <w:tcBorders>
              <w:top w:val="single" w:color="auto" w:sz="4" w:space="0"/>
              <w:left w:val="single" w:color="auto" w:sz="4" w:space="0"/>
              <w:bottom w:val="single" w:color="auto" w:sz="4" w:space="0"/>
              <w:right w:val="single" w:color="auto" w:sz="4" w:space="0"/>
            </w:tcBorders>
            <w:noWrap w:val="0"/>
            <w:vAlign w:val="center"/>
          </w:tcPr>
          <w:p w14:paraId="3C417A66">
            <w:pPr>
              <w:jc w:val="center"/>
              <w:rPr>
                <w:color w:val="auto"/>
                <w:spacing w:val="20"/>
                <w:szCs w:val="21"/>
              </w:rPr>
            </w:pPr>
            <w:r>
              <w:rPr>
                <w:color w:val="auto"/>
                <w:szCs w:val="21"/>
              </w:rPr>
              <w:t>序号</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67F2B023">
            <w:pPr>
              <w:jc w:val="center"/>
              <w:rPr>
                <w:color w:val="auto"/>
                <w:szCs w:val="21"/>
              </w:rPr>
            </w:pPr>
            <w:r>
              <w:rPr>
                <w:color w:val="auto"/>
                <w:szCs w:val="21"/>
              </w:rPr>
              <w:t>产品或服务名称</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D68EE04">
            <w:pPr>
              <w:jc w:val="center"/>
              <w:rPr>
                <w:color w:val="auto"/>
                <w:szCs w:val="21"/>
              </w:rPr>
            </w:pPr>
            <w:r>
              <w:rPr>
                <w:color w:val="auto"/>
                <w:szCs w:val="21"/>
              </w:rPr>
              <w:t>制造商或服务商</w:t>
            </w:r>
          </w:p>
        </w:tc>
        <w:tc>
          <w:tcPr>
            <w:tcW w:w="1268" w:type="dxa"/>
            <w:tcBorders>
              <w:top w:val="single" w:color="auto" w:sz="4" w:space="0"/>
              <w:left w:val="single" w:color="auto" w:sz="4" w:space="0"/>
              <w:bottom w:val="single" w:color="auto" w:sz="4" w:space="0"/>
              <w:right w:val="single" w:color="auto" w:sz="4" w:space="0"/>
            </w:tcBorders>
            <w:noWrap w:val="0"/>
            <w:vAlign w:val="center"/>
          </w:tcPr>
          <w:p w14:paraId="643AEEC2">
            <w:pPr>
              <w:jc w:val="center"/>
              <w:rPr>
                <w:color w:val="auto"/>
                <w:szCs w:val="21"/>
              </w:rPr>
            </w:pPr>
            <w:r>
              <w:rPr>
                <w:color w:val="auto"/>
                <w:szCs w:val="21"/>
              </w:rPr>
              <w:t>规格型号</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4F6061B3">
            <w:pPr>
              <w:jc w:val="center"/>
              <w:rPr>
                <w:color w:val="auto"/>
                <w:szCs w:val="21"/>
              </w:rPr>
            </w:pPr>
            <w:r>
              <w:rPr>
                <w:color w:val="auto"/>
                <w:szCs w:val="21"/>
              </w:rPr>
              <w:t>单位及数量</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6D041BD5">
            <w:pPr>
              <w:jc w:val="center"/>
              <w:rPr>
                <w:rFonts w:hint="default" w:eastAsia="宋体"/>
                <w:color w:val="auto"/>
                <w:szCs w:val="21"/>
                <w:lang w:val="en-US" w:eastAsia="zh-CN"/>
              </w:rPr>
            </w:pPr>
            <w:r>
              <w:rPr>
                <w:color w:val="auto"/>
                <w:szCs w:val="21"/>
              </w:rPr>
              <w:t>单价</w:t>
            </w:r>
            <w:r>
              <w:rPr>
                <w:rFonts w:hint="eastAsia"/>
                <w:color w:val="auto"/>
                <w:szCs w:val="21"/>
                <w:lang w:eastAsia="zh-CN"/>
              </w:rPr>
              <w:t>（</w:t>
            </w:r>
            <w:r>
              <w:rPr>
                <w:rFonts w:hint="eastAsia"/>
                <w:color w:val="auto"/>
                <w:szCs w:val="21"/>
                <w:lang w:val="en-US" w:eastAsia="zh-CN"/>
              </w:rPr>
              <w:t>元/kg）</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2D031DD7">
            <w:pPr>
              <w:jc w:val="center"/>
              <w:rPr>
                <w:rFonts w:hint="default" w:eastAsia="宋体"/>
                <w:color w:val="auto"/>
                <w:szCs w:val="21"/>
                <w:lang w:val="en-US" w:eastAsia="zh-CN"/>
              </w:rPr>
            </w:pPr>
            <w:r>
              <w:rPr>
                <w:rFonts w:hint="eastAsia"/>
                <w:color w:val="auto"/>
                <w:szCs w:val="21"/>
                <w:lang w:val="en-US" w:eastAsia="zh-CN"/>
              </w:rPr>
              <w:t>总价</w:t>
            </w:r>
            <w:r>
              <w:rPr>
                <w:rFonts w:hint="eastAsia"/>
                <w:color w:val="auto"/>
                <w:szCs w:val="21"/>
                <w:lang w:eastAsia="zh-CN"/>
              </w:rPr>
              <w:t>（</w:t>
            </w:r>
            <w:r>
              <w:rPr>
                <w:rFonts w:hint="eastAsia"/>
                <w:color w:val="auto"/>
                <w:szCs w:val="21"/>
                <w:lang w:val="en-US" w:eastAsia="zh-CN"/>
              </w:rPr>
              <w:t>元）</w:t>
            </w:r>
          </w:p>
        </w:tc>
      </w:tr>
      <w:tr w14:paraId="352BB1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1364" w:type="dxa"/>
            <w:tcBorders>
              <w:top w:val="single" w:color="auto" w:sz="4" w:space="0"/>
              <w:left w:val="single" w:color="auto" w:sz="4" w:space="0"/>
              <w:bottom w:val="single" w:color="auto" w:sz="4" w:space="0"/>
              <w:right w:val="single" w:color="auto" w:sz="4" w:space="0"/>
            </w:tcBorders>
            <w:noWrap w:val="0"/>
            <w:vAlign w:val="center"/>
          </w:tcPr>
          <w:p w14:paraId="4E1250D2">
            <w:pPr>
              <w:jc w:val="center"/>
              <w:rPr>
                <w:rFonts w:hint="eastAsia" w:ascii="宋体" w:hAnsi="宋体" w:eastAsia="宋体" w:cs="宋体"/>
                <w:color w:val="auto"/>
                <w:spacing w:val="20"/>
                <w:szCs w:val="21"/>
                <w:lang w:val="en-US" w:eastAsia="zh-CN"/>
              </w:rPr>
            </w:pPr>
            <w:r>
              <w:rPr>
                <w:rFonts w:hint="eastAsia" w:ascii="宋体" w:hAnsi="宋体" w:eastAsia="宋体" w:cs="宋体"/>
                <w:color w:val="auto"/>
                <w:spacing w:val="20"/>
                <w:szCs w:val="21"/>
                <w:lang w:val="en-US" w:eastAsia="zh-CN"/>
              </w:rPr>
              <w:t>1</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6F6EB97C">
            <w:pPr>
              <w:jc w:val="center"/>
              <w:rPr>
                <w:rFonts w:hint="eastAsia" w:ascii="宋体" w:hAnsi="宋体" w:eastAsia="宋体" w:cs="宋体"/>
                <w:color w:val="auto"/>
                <w:spacing w:val="20"/>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05D31B8">
            <w:pPr>
              <w:jc w:val="center"/>
              <w:rPr>
                <w:rFonts w:hint="eastAsia" w:ascii="宋体" w:hAnsi="宋体" w:eastAsia="宋体" w:cs="宋体"/>
                <w:color w:val="auto"/>
                <w:spacing w:val="20"/>
                <w:szCs w:val="21"/>
              </w:rPr>
            </w:pPr>
          </w:p>
        </w:tc>
        <w:tc>
          <w:tcPr>
            <w:tcW w:w="1268" w:type="dxa"/>
            <w:tcBorders>
              <w:top w:val="single" w:color="auto" w:sz="4" w:space="0"/>
              <w:left w:val="single" w:color="auto" w:sz="4" w:space="0"/>
              <w:bottom w:val="single" w:color="auto" w:sz="4" w:space="0"/>
              <w:right w:val="single" w:color="auto" w:sz="4" w:space="0"/>
            </w:tcBorders>
            <w:noWrap w:val="0"/>
            <w:vAlign w:val="center"/>
          </w:tcPr>
          <w:p w14:paraId="2155028E">
            <w:pPr>
              <w:jc w:val="center"/>
              <w:rPr>
                <w:rFonts w:hint="eastAsia" w:ascii="宋体" w:hAnsi="宋体" w:eastAsia="宋体" w:cs="宋体"/>
                <w:color w:val="auto"/>
                <w:spacing w:val="20"/>
                <w:szCs w:val="21"/>
              </w:rPr>
            </w:pPr>
            <w:r>
              <w:rPr>
                <w:rFonts w:hint="eastAsia" w:ascii="宋体" w:hAnsi="宋体" w:eastAsia="宋体" w:cs="宋体"/>
                <w:color w:val="auto"/>
                <w:szCs w:val="21"/>
                <w:highlight w:val="none"/>
              </w:rPr>
              <w:t>47°±1</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42CC8BD7">
            <w:pPr>
              <w:jc w:val="center"/>
              <w:rPr>
                <w:rFonts w:hint="eastAsia" w:ascii="宋体" w:hAnsi="宋体" w:eastAsia="宋体" w:cs="宋体"/>
                <w:color w:val="auto"/>
                <w:spacing w:val="20"/>
                <w:szCs w:val="21"/>
              </w:rPr>
            </w:pPr>
            <w:r>
              <w:rPr>
                <w:rFonts w:hint="eastAsia" w:ascii="宋体" w:hAnsi="宋体" w:eastAsia="宋体" w:cs="宋体"/>
                <w:color w:val="auto"/>
                <w:szCs w:val="21"/>
                <w:highlight w:val="none"/>
              </w:rPr>
              <w:t>约</w:t>
            </w:r>
            <w:r>
              <w:rPr>
                <w:rFonts w:hint="eastAsia" w:ascii="宋体" w:hAnsi="宋体" w:eastAsia="宋体" w:cs="宋体"/>
                <w:color w:val="auto"/>
                <w:szCs w:val="21"/>
                <w:highlight w:val="none"/>
                <w:lang w:val="en-US" w:eastAsia="zh-CN"/>
              </w:rPr>
              <w:t>2</w:t>
            </w:r>
            <w:r>
              <w:rPr>
                <w:rFonts w:hint="eastAsia" w:ascii="宋体" w:hAnsi="宋体" w:eastAsia="宋体" w:cs="宋体"/>
                <w:color w:val="auto"/>
                <w:szCs w:val="21"/>
                <w:highlight w:val="none"/>
              </w:rPr>
              <w:t>00000kg</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2DC86E67">
            <w:pPr>
              <w:jc w:val="center"/>
              <w:rPr>
                <w:rFonts w:hint="eastAsia" w:ascii="宋体" w:hAnsi="宋体" w:eastAsia="宋体" w:cs="宋体"/>
                <w:color w:val="auto"/>
                <w:spacing w:val="20"/>
                <w:szCs w:val="21"/>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14:paraId="549B3CE8">
            <w:pPr>
              <w:jc w:val="center"/>
              <w:rPr>
                <w:rFonts w:hint="eastAsia" w:ascii="宋体" w:hAnsi="宋体" w:eastAsia="宋体" w:cs="宋体"/>
                <w:color w:val="auto"/>
                <w:spacing w:val="20"/>
                <w:szCs w:val="21"/>
              </w:rPr>
            </w:pPr>
          </w:p>
        </w:tc>
      </w:tr>
      <w:tr w14:paraId="24552C9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1364" w:type="dxa"/>
            <w:tcBorders>
              <w:top w:val="single" w:color="auto" w:sz="4" w:space="0"/>
              <w:left w:val="single" w:color="auto" w:sz="4" w:space="0"/>
              <w:bottom w:val="single" w:color="auto" w:sz="4" w:space="0"/>
              <w:right w:val="single" w:color="auto" w:sz="4" w:space="0"/>
            </w:tcBorders>
            <w:noWrap w:val="0"/>
            <w:vAlign w:val="center"/>
          </w:tcPr>
          <w:p w14:paraId="43DD3159">
            <w:pPr>
              <w:jc w:val="center"/>
              <w:rPr>
                <w:rFonts w:hint="eastAsia" w:ascii="宋体" w:hAnsi="宋体" w:eastAsia="宋体" w:cs="宋体"/>
                <w:color w:val="auto"/>
                <w:spacing w:val="20"/>
                <w:szCs w:val="21"/>
                <w:lang w:val="en-US" w:eastAsia="zh-CN"/>
              </w:rPr>
            </w:pPr>
            <w:r>
              <w:rPr>
                <w:rFonts w:hint="eastAsia" w:ascii="宋体" w:hAnsi="宋体" w:eastAsia="宋体" w:cs="宋体"/>
                <w:color w:val="auto"/>
                <w:spacing w:val="20"/>
                <w:szCs w:val="21"/>
                <w:lang w:val="en-US" w:eastAsia="zh-CN"/>
              </w:rPr>
              <w:t>2</w:t>
            </w:r>
          </w:p>
        </w:tc>
        <w:tc>
          <w:tcPr>
            <w:tcW w:w="1086" w:type="dxa"/>
            <w:tcBorders>
              <w:top w:val="single" w:color="auto" w:sz="4" w:space="0"/>
              <w:left w:val="single" w:color="auto" w:sz="4" w:space="0"/>
              <w:bottom w:val="single" w:color="auto" w:sz="4" w:space="0"/>
              <w:right w:val="single" w:color="auto" w:sz="4" w:space="0"/>
            </w:tcBorders>
            <w:noWrap w:val="0"/>
            <w:vAlign w:val="center"/>
          </w:tcPr>
          <w:p w14:paraId="7994BACF">
            <w:pPr>
              <w:jc w:val="center"/>
              <w:rPr>
                <w:rFonts w:hint="eastAsia" w:ascii="宋体" w:hAnsi="宋体" w:eastAsia="宋体" w:cs="宋体"/>
                <w:color w:val="auto"/>
                <w:spacing w:val="20"/>
                <w:szCs w:val="21"/>
                <w:lang w:val="en-US" w:eastAsia="zh-CN"/>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2AF00BD">
            <w:pPr>
              <w:jc w:val="center"/>
              <w:rPr>
                <w:rFonts w:hint="eastAsia" w:ascii="宋体" w:hAnsi="宋体" w:eastAsia="宋体" w:cs="宋体"/>
                <w:color w:val="auto"/>
                <w:spacing w:val="20"/>
                <w:szCs w:val="21"/>
                <w:lang w:val="en-US" w:eastAsia="zh-CN"/>
              </w:rPr>
            </w:pPr>
          </w:p>
        </w:tc>
        <w:tc>
          <w:tcPr>
            <w:tcW w:w="1268" w:type="dxa"/>
            <w:tcBorders>
              <w:top w:val="single" w:color="auto" w:sz="4" w:space="0"/>
              <w:left w:val="single" w:color="auto" w:sz="4" w:space="0"/>
              <w:bottom w:val="single" w:color="auto" w:sz="4" w:space="0"/>
              <w:right w:val="single" w:color="auto" w:sz="4" w:space="0"/>
            </w:tcBorders>
            <w:noWrap w:val="0"/>
            <w:vAlign w:val="center"/>
          </w:tcPr>
          <w:p w14:paraId="607AD862">
            <w:pPr>
              <w:jc w:val="center"/>
              <w:rPr>
                <w:rFonts w:hint="eastAsia" w:ascii="宋体" w:hAnsi="宋体" w:eastAsia="宋体" w:cs="宋体"/>
                <w:color w:val="auto"/>
                <w:spacing w:val="20"/>
                <w:szCs w:val="21"/>
              </w:rPr>
            </w:pPr>
            <w:r>
              <w:rPr>
                <w:rFonts w:hint="eastAsia" w:ascii="宋体" w:hAnsi="宋体" w:eastAsia="宋体" w:cs="宋体"/>
                <w:color w:val="auto"/>
                <w:szCs w:val="21"/>
                <w:highlight w:val="none"/>
              </w:rPr>
              <w:t>36°±1</w:t>
            </w:r>
          </w:p>
        </w:tc>
        <w:tc>
          <w:tcPr>
            <w:tcW w:w="1599" w:type="dxa"/>
            <w:tcBorders>
              <w:top w:val="single" w:color="auto" w:sz="4" w:space="0"/>
              <w:left w:val="single" w:color="auto" w:sz="4" w:space="0"/>
              <w:bottom w:val="single" w:color="auto" w:sz="4" w:space="0"/>
              <w:right w:val="single" w:color="auto" w:sz="4" w:space="0"/>
            </w:tcBorders>
            <w:noWrap w:val="0"/>
            <w:vAlign w:val="center"/>
          </w:tcPr>
          <w:p w14:paraId="2A4AA35D">
            <w:pPr>
              <w:jc w:val="center"/>
              <w:rPr>
                <w:rFonts w:hint="eastAsia" w:ascii="宋体" w:hAnsi="宋体" w:eastAsia="宋体" w:cs="宋体"/>
                <w:color w:val="auto"/>
                <w:spacing w:val="20"/>
                <w:szCs w:val="21"/>
              </w:rPr>
            </w:pPr>
            <w:r>
              <w:rPr>
                <w:rFonts w:hint="eastAsia" w:ascii="宋体" w:hAnsi="宋体" w:eastAsia="宋体" w:cs="宋体"/>
                <w:color w:val="auto"/>
                <w:szCs w:val="21"/>
                <w:highlight w:val="none"/>
              </w:rPr>
              <w:t>约</w:t>
            </w:r>
            <w:r>
              <w:rPr>
                <w:rFonts w:hint="eastAsia" w:ascii="宋体" w:hAnsi="宋体" w:eastAsia="宋体" w:cs="宋体"/>
                <w:color w:val="auto"/>
                <w:szCs w:val="21"/>
                <w:highlight w:val="none"/>
                <w:lang w:val="en-US" w:eastAsia="zh-CN"/>
              </w:rPr>
              <w:t>5000</w:t>
            </w:r>
            <w:r>
              <w:rPr>
                <w:rFonts w:hint="eastAsia" w:ascii="宋体" w:hAnsi="宋体" w:eastAsia="宋体" w:cs="宋体"/>
                <w:color w:val="auto"/>
                <w:szCs w:val="21"/>
                <w:highlight w:val="none"/>
              </w:rPr>
              <w:t>kg</w:t>
            </w:r>
          </w:p>
        </w:tc>
        <w:tc>
          <w:tcPr>
            <w:tcW w:w="1118" w:type="dxa"/>
            <w:tcBorders>
              <w:top w:val="single" w:color="auto" w:sz="4" w:space="0"/>
              <w:left w:val="single" w:color="auto" w:sz="4" w:space="0"/>
              <w:bottom w:val="single" w:color="auto" w:sz="4" w:space="0"/>
              <w:right w:val="single" w:color="auto" w:sz="4" w:space="0"/>
            </w:tcBorders>
            <w:noWrap w:val="0"/>
            <w:vAlign w:val="center"/>
          </w:tcPr>
          <w:p w14:paraId="18A69751">
            <w:pPr>
              <w:jc w:val="center"/>
              <w:rPr>
                <w:rFonts w:hint="eastAsia" w:ascii="宋体" w:hAnsi="宋体" w:eastAsia="宋体" w:cs="宋体"/>
                <w:color w:val="auto"/>
                <w:spacing w:val="20"/>
                <w:szCs w:val="21"/>
              </w:rPr>
            </w:pPr>
          </w:p>
        </w:tc>
        <w:tc>
          <w:tcPr>
            <w:tcW w:w="1259" w:type="dxa"/>
            <w:tcBorders>
              <w:top w:val="single" w:color="auto" w:sz="4" w:space="0"/>
              <w:left w:val="single" w:color="auto" w:sz="4" w:space="0"/>
              <w:bottom w:val="single" w:color="auto" w:sz="4" w:space="0"/>
              <w:right w:val="single" w:color="auto" w:sz="4" w:space="0"/>
            </w:tcBorders>
            <w:noWrap w:val="0"/>
            <w:vAlign w:val="center"/>
          </w:tcPr>
          <w:p w14:paraId="4AFECF0C">
            <w:pPr>
              <w:jc w:val="center"/>
              <w:rPr>
                <w:rFonts w:hint="eastAsia" w:ascii="宋体" w:hAnsi="宋体" w:eastAsia="宋体" w:cs="宋体"/>
                <w:color w:val="auto"/>
                <w:spacing w:val="20"/>
                <w:szCs w:val="21"/>
              </w:rPr>
            </w:pPr>
          </w:p>
        </w:tc>
      </w:tr>
      <w:tr w14:paraId="354D3F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exact"/>
          <w:jc w:val="center"/>
        </w:trPr>
        <w:tc>
          <w:tcPr>
            <w:tcW w:w="1364" w:type="dxa"/>
            <w:tcBorders>
              <w:top w:val="single" w:color="auto" w:sz="4" w:space="0"/>
              <w:left w:val="single" w:color="auto" w:sz="4" w:space="0"/>
              <w:bottom w:val="single" w:color="auto" w:sz="4" w:space="0"/>
              <w:right w:val="single" w:color="auto" w:sz="4" w:space="0"/>
            </w:tcBorders>
            <w:noWrap w:val="0"/>
            <w:vAlign w:val="center"/>
          </w:tcPr>
          <w:p w14:paraId="232B5D7D">
            <w:pPr>
              <w:jc w:val="center"/>
              <w:rPr>
                <w:rFonts w:hint="default" w:ascii="宋体" w:hAnsi="宋体" w:eastAsia="宋体" w:cs="宋体"/>
                <w:color w:val="auto"/>
                <w:spacing w:val="20"/>
                <w:szCs w:val="21"/>
                <w:highlight w:val="none"/>
                <w:lang w:val="en-US" w:eastAsia="zh-CN"/>
              </w:rPr>
            </w:pPr>
            <w:r>
              <w:rPr>
                <w:rFonts w:hint="eastAsia" w:ascii="宋体" w:hAnsi="宋体" w:eastAsia="宋体" w:cs="宋体"/>
                <w:color w:val="auto"/>
                <w:spacing w:val="20"/>
                <w:szCs w:val="21"/>
                <w:highlight w:val="none"/>
                <w:lang w:val="en-US" w:eastAsia="zh-CN"/>
              </w:rPr>
              <w:t>合计金额</w:t>
            </w:r>
          </w:p>
        </w:tc>
        <w:tc>
          <w:tcPr>
            <w:tcW w:w="7410" w:type="dxa"/>
            <w:gridSpan w:val="6"/>
            <w:tcBorders>
              <w:top w:val="single" w:color="auto" w:sz="4" w:space="0"/>
              <w:left w:val="single" w:color="auto" w:sz="4" w:space="0"/>
              <w:bottom w:val="single" w:color="auto" w:sz="4" w:space="0"/>
              <w:right w:val="single" w:color="auto" w:sz="4" w:space="0"/>
            </w:tcBorders>
            <w:noWrap w:val="0"/>
            <w:vAlign w:val="center"/>
          </w:tcPr>
          <w:p w14:paraId="6EB3945C">
            <w:pPr>
              <w:jc w:val="left"/>
              <w:rPr>
                <w:rFonts w:hint="eastAsia" w:ascii="宋体" w:hAnsi="宋体" w:eastAsia="宋体" w:cs="宋体"/>
                <w:color w:val="auto"/>
                <w:spacing w:val="20"/>
                <w:szCs w:val="21"/>
                <w:highlight w:val="none"/>
              </w:rPr>
            </w:pPr>
          </w:p>
        </w:tc>
      </w:tr>
    </w:tbl>
    <w:p w14:paraId="6B31D085">
      <w:pPr>
        <w:rPr>
          <w:spacing w:val="20"/>
          <w:szCs w:val="21"/>
          <w:highlight w:val="none"/>
          <w:u w:val="single"/>
        </w:rPr>
      </w:pPr>
    </w:p>
    <w:p w14:paraId="72C9E2AC">
      <w:pPr>
        <w:pStyle w:val="20"/>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szCs w:val="21"/>
          <w:highlight w:val="none"/>
          <w:lang w:val="en-US" w:eastAsia="zh-CN"/>
        </w:rPr>
      </w:pPr>
    </w:p>
    <w:p w14:paraId="14E83B9D">
      <w:pPr>
        <w:pStyle w:val="20"/>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b/>
          <w:bCs/>
          <w:szCs w:val="21"/>
          <w:highlight w:val="none"/>
          <w:lang w:val="en-US" w:eastAsia="zh-CN"/>
        </w:rPr>
        <w:t>备注：投标人必须以1、规格型号为</w:t>
      </w:r>
      <w:r>
        <w:rPr>
          <w:rFonts w:hint="eastAsia" w:ascii="Times New Roman" w:hAnsi="Times New Roman" w:eastAsia="宋体" w:cs="Times New Roman"/>
          <w:b/>
          <w:bCs/>
          <w:szCs w:val="21"/>
          <w:highlight w:val="none"/>
        </w:rPr>
        <w:t xml:space="preserve">47 ° ± 1 </w:t>
      </w:r>
      <w:r>
        <w:rPr>
          <w:rFonts w:hint="eastAsia" w:ascii="Times New Roman" w:hAnsi="Times New Roman" w:eastAsia="宋体" w:cs="Times New Roman"/>
          <w:b/>
          <w:bCs/>
          <w:szCs w:val="21"/>
          <w:highlight w:val="none"/>
          <w:lang w:val="en-US" w:eastAsia="zh-CN"/>
        </w:rPr>
        <w:t>的</w:t>
      </w:r>
      <w:r>
        <w:rPr>
          <w:rFonts w:hint="eastAsia" w:ascii="Times New Roman" w:hAnsi="Times New Roman" w:eastAsia="宋体" w:cs="Times New Roman"/>
          <w:b/>
          <w:bCs/>
          <w:szCs w:val="21"/>
          <w:highlight w:val="none"/>
        </w:rPr>
        <w:t>米酒</w:t>
      </w:r>
      <w:r>
        <w:rPr>
          <w:rFonts w:hint="eastAsia" w:ascii="Times New Roman" w:hAnsi="Times New Roman" w:eastAsia="宋体" w:cs="Times New Roman"/>
          <w:b/>
          <w:bCs/>
          <w:szCs w:val="21"/>
          <w:highlight w:val="none"/>
          <w:lang w:eastAsia="zh-CN"/>
        </w:rPr>
        <w:t>：</w:t>
      </w:r>
      <w:r>
        <w:rPr>
          <w:rFonts w:hint="eastAsia" w:ascii="Times New Roman" w:hAnsi="Times New Roman" w:eastAsia="宋体" w:cs="Times New Roman"/>
          <w:b/>
          <w:bCs/>
          <w:szCs w:val="21"/>
          <w:highlight w:val="none"/>
        </w:rPr>
        <w:t>数量</w:t>
      </w:r>
      <w:r>
        <w:rPr>
          <w:rFonts w:hint="eastAsia" w:ascii="Times New Roman" w:hAnsi="Times New Roman" w:eastAsia="宋体" w:cs="Times New Roman"/>
          <w:b/>
          <w:bCs/>
          <w:szCs w:val="21"/>
          <w:highlight w:val="none"/>
          <w:lang w:val="en-US" w:eastAsia="zh-CN"/>
        </w:rPr>
        <w:t>2</w:t>
      </w:r>
      <w:r>
        <w:rPr>
          <w:rFonts w:hint="eastAsia" w:ascii="Times New Roman" w:hAnsi="Times New Roman" w:eastAsia="宋体" w:cs="Times New Roman"/>
          <w:b/>
          <w:bCs/>
          <w:szCs w:val="21"/>
          <w:highlight w:val="none"/>
        </w:rPr>
        <w:t>00000kg</w:t>
      </w:r>
      <w:r>
        <w:rPr>
          <w:rFonts w:hint="eastAsia" w:ascii="Times New Roman" w:hAnsi="Times New Roman" w:eastAsia="宋体" w:cs="Times New Roman"/>
          <w:b/>
          <w:bCs/>
          <w:szCs w:val="21"/>
          <w:highlight w:val="none"/>
          <w:lang w:eastAsia="zh-CN"/>
        </w:rPr>
        <w:t>；</w:t>
      </w:r>
      <w:r>
        <w:rPr>
          <w:rFonts w:hint="eastAsia" w:ascii="Times New Roman" w:hAnsi="Times New Roman" w:eastAsia="宋体" w:cs="Times New Roman"/>
          <w:b/>
          <w:bCs/>
          <w:szCs w:val="21"/>
          <w:highlight w:val="none"/>
          <w:lang w:val="en-US" w:eastAsia="zh-CN"/>
        </w:rPr>
        <w:t>2、规格型号为</w:t>
      </w:r>
      <w:r>
        <w:rPr>
          <w:rFonts w:hint="eastAsia" w:ascii="Times New Roman" w:hAnsi="Times New Roman" w:eastAsia="宋体" w:cs="Times New Roman"/>
          <w:b/>
          <w:bCs/>
          <w:szCs w:val="21"/>
          <w:highlight w:val="none"/>
        </w:rPr>
        <w:t>36°±1</w:t>
      </w:r>
      <w:r>
        <w:rPr>
          <w:rFonts w:hint="eastAsia" w:ascii="Times New Roman" w:hAnsi="Times New Roman" w:eastAsia="宋体" w:cs="Times New Roman"/>
          <w:b/>
          <w:bCs/>
          <w:szCs w:val="21"/>
          <w:highlight w:val="none"/>
          <w:lang w:val="en-US" w:eastAsia="zh-CN"/>
        </w:rPr>
        <w:t>的</w:t>
      </w:r>
      <w:r>
        <w:rPr>
          <w:rFonts w:hint="eastAsia" w:ascii="Times New Roman" w:hAnsi="Times New Roman" w:eastAsia="宋体" w:cs="Times New Roman"/>
          <w:b/>
          <w:bCs/>
          <w:szCs w:val="21"/>
          <w:highlight w:val="none"/>
        </w:rPr>
        <w:t>米酒</w:t>
      </w:r>
      <w:r>
        <w:rPr>
          <w:rFonts w:hint="eastAsia" w:ascii="Times New Roman" w:hAnsi="Times New Roman" w:eastAsia="宋体" w:cs="Times New Roman"/>
          <w:b/>
          <w:bCs/>
          <w:szCs w:val="21"/>
          <w:highlight w:val="none"/>
          <w:lang w:eastAsia="zh-CN"/>
        </w:rPr>
        <w:t>：</w:t>
      </w:r>
      <w:r>
        <w:rPr>
          <w:rFonts w:hint="eastAsia" w:ascii="Times New Roman" w:hAnsi="Times New Roman" w:eastAsia="宋体" w:cs="Times New Roman"/>
          <w:b/>
          <w:bCs/>
          <w:szCs w:val="21"/>
          <w:highlight w:val="none"/>
        </w:rPr>
        <w:t>数量：</w:t>
      </w:r>
      <w:r>
        <w:rPr>
          <w:rFonts w:hint="eastAsia" w:ascii="Times New Roman" w:hAnsi="Times New Roman" w:eastAsia="宋体" w:cs="Times New Roman"/>
          <w:b/>
          <w:bCs/>
          <w:szCs w:val="21"/>
          <w:highlight w:val="none"/>
          <w:lang w:val="en-US" w:eastAsia="zh-CN"/>
        </w:rPr>
        <w:t>5000</w:t>
      </w:r>
      <w:r>
        <w:rPr>
          <w:rFonts w:hint="eastAsia" w:ascii="Times New Roman" w:hAnsi="Times New Roman" w:eastAsia="宋体" w:cs="Times New Roman"/>
          <w:b/>
          <w:bCs/>
          <w:szCs w:val="21"/>
          <w:highlight w:val="none"/>
        </w:rPr>
        <w:t>kg</w:t>
      </w:r>
      <w:r>
        <w:rPr>
          <w:rFonts w:hint="eastAsia" w:ascii="Times New Roman" w:hAnsi="Times New Roman" w:eastAsia="宋体" w:cs="Times New Roman"/>
          <w:b/>
          <w:bCs/>
          <w:szCs w:val="21"/>
          <w:highlight w:val="none"/>
          <w:lang w:val="en-US" w:eastAsia="zh-CN"/>
        </w:rPr>
        <w:t>作为单价报价的基准数量。两种产品的合计金额不得超过</w:t>
      </w:r>
      <w:r>
        <w:rPr>
          <w:rFonts w:hint="eastAsia" w:ascii="Times New Roman" w:hAnsi="Times New Roman" w:eastAsia="宋体" w:cs="Times New Roman"/>
          <w:b/>
          <w:bCs/>
          <w:szCs w:val="21"/>
          <w:highlight w:val="none"/>
        </w:rPr>
        <w:t xml:space="preserve">最高限价： </w:t>
      </w:r>
      <w:r>
        <w:rPr>
          <w:rFonts w:hint="eastAsia" w:ascii="Times New Roman" w:hAnsi="Times New Roman" w:eastAsia="宋体" w:cs="Times New Roman"/>
          <w:b/>
          <w:bCs/>
          <w:szCs w:val="21"/>
          <w:highlight w:val="none"/>
          <w:lang w:val="en-US" w:eastAsia="zh-CN"/>
        </w:rPr>
        <w:t>3000000元，否则投标被拒绝。中标结算的数量以实际需求为准，中标价格为单价</w:t>
      </w:r>
      <w:r>
        <w:rPr>
          <w:rFonts w:hint="eastAsia"/>
          <w:b/>
          <w:bCs/>
          <w:color w:val="auto"/>
          <w:szCs w:val="21"/>
          <w:highlight w:val="none"/>
          <w:lang w:eastAsia="zh-CN"/>
        </w:rPr>
        <w:t>（</w:t>
      </w:r>
      <w:r>
        <w:rPr>
          <w:rFonts w:hint="eastAsia"/>
          <w:b/>
          <w:bCs/>
          <w:color w:val="auto"/>
          <w:szCs w:val="21"/>
          <w:highlight w:val="none"/>
          <w:lang w:val="en-US" w:eastAsia="zh-CN"/>
        </w:rPr>
        <w:t>元/kg）。</w:t>
      </w:r>
    </w:p>
    <w:p w14:paraId="0F296399">
      <w:pPr>
        <w:pStyle w:val="20"/>
        <w:rPr>
          <w:szCs w:val="21"/>
          <w:highlight w:val="none"/>
        </w:rPr>
      </w:pPr>
      <w:bookmarkStart w:id="173" w:name="_Hlk88990717"/>
    </w:p>
    <w:p w14:paraId="703D69EB">
      <w:pPr>
        <w:pStyle w:val="20"/>
        <w:rPr>
          <w:szCs w:val="21"/>
          <w:highlight w:val="none"/>
        </w:rPr>
      </w:pPr>
    </w:p>
    <w:p w14:paraId="28C6784A">
      <w:pPr>
        <w:pStyle w:val="20"/>
        <w:rPr>
          <w:szCs w:val="21"/>
          <w:highlight w:val="none"/>
        </w:rPr>
      </w:pPr>
    </w:p>
    <w:p w14:paraId="0F126450">
      <w:pPr>
        <w:pStyle w:val="20"/>
        <w:rPr>
          <w:highlight w:val="none"/>
        </w:rPr>
      </w:pPr>
      <w:r>
        <w:rPr>
          <w:szCs w:val="21"/>
          <w:highlight w:val="none"/>
        </w:rPr>
        <w:t>注：</w:t>
      </w:r>
      <w:r>
        <w:rPr>
          <w:rFonts w:hint="eastAsia"/>
          <w:szCs w:val="21"/>
          <w:highlight w:val="none"/>
        </w:rPr>
        <w:t>本表如</w:t>
      </w:r>
      <w:r>
        <w:rPr>
          <w:rFonts w:hint="eastAsia"/>
          <w:highlight w:val="none"/>
        </w:rPr>
        <w:t>与</w:t>
      </w:r>
      <w:r>
        <w:rPr>
          <w:rFonts w:hint="eastAsia"/>
          <w:szCs w:val="21"/>
          <w:highlight w:val="none"/>
        </w:rPr>
        <w:t>广西政府采购云平台</w:t>
      </w:r>
      <w:r>
        <w:rPr>
          <w:rFonts w:hint="eastAsia"/>
          <w:highlight w:val="none"/>
        </w:rPr>
        <w:t>不一致的，以</w:t>
      </w:r>
      <w:r>
        <w:rPr>
          <w:rFonts w:hint="eastAsia"/>
          <w:szCs w:val="21"/>
          <w:highlight w:val="none"/>
        </w:rPr>
        <w:t>广西政府采购云平台</w:t>
      </w:r>
      <w:r>
        <w:rPr>
          <w:rFonts w:hint="eastAsia"/>
          <w:highlight w:val="none"/>
        </w:rPr>
        <w:t>为准。</w:t>
      </w:r>
    </w:p>
    <w:p w14:paraId="3A72FC75">
      <w:pPr>
        <w:jc w:val="left"/>
        <w:rPr>
          <w:szCs w:val="21"/>
          <w:highlight w:val="none"/>
        </w:rPr>
      </w:pPr>
    </w:p>
    <w:p w14:paraId="75960C4E">
      <w:pPr>
        <w:spacing w:line="360" w:lineRule="auto"/>
        <w:rPr>
          <w:spacing w:val="20"/>
          <w:szCs w:val="21"/>
          <w:highlight w:val="none"/>
        </w:rPr>
      </w:pPr>
    </w:p>
    <w:p w14:paraId="59AFDAAC">
      <w:pPr>
        <w:spacing w:line="360" w:lineRule="auto"/>
        <w:rPr>
          <w:szCs w:val="21"/>
        </w:rPr>
      </w:pPr>
      <w:r>
        <w:rPr>
          <w:szCs w:val="21"/>
          <w:highlight w:val="none"/>
        </w:rPr>
        <w:t>供应商名称（</w:t>
      </w:r>
      <w:r>
        <w:rPr>
          <w:rFonts w:hint="eastAsia"/>
          <w:szCs w:val="21"/>
          <w:highlight w:val="none"/>
        </w:rPr>
        <w:t>电子签章</w:t>
      </w:r>
      <w:r>
        <w:rPr>
          <w:szCs w:val="21"/>
          <w:highlight w:val="none"/>
        </w:rPr>
        <w:t>）：</w:t>
      </w:r>
      <w:r>
        <w:rPr>
          <w:szCs w:val="21"/>
          <w:highlight w:val="none"/>
          <w:u w:val="single"/>
        </w:rPr>
        <w:t xml:space="preserve">                       </w:t>
      </w:r>
      <w:r>
        <w:rPr>
          <w:szCs w:val="21"/>
          <w:u w:val="single"/>
        </w:rPr>
        <w:t xml:space="preserve">   </w:t>
      </w:r>
    </w:p>
    <w:p w14:paraId="70C5EE12">
      <w:pPr>
        <w:spacing w:line="360" w:lineRule="auto"/>
        <w:rPr>
          <w:spacing w:val="20"/>
          <w:szCs w:val="21"/>
          <w:u w:val="single"/>
        </w:rPr>
      </w:pPr>
      <w:r>
        <w:rPr>
          <w:szCs w:val="21"/>
        </w:rPr>
        <w:t>日  期</w:t>
      </w:r>
      <w:r>
        <w:rPr>
          <w:rFonts w:hint="eastAsia"/>
          <w:szCs w:val="21"/>
          <w:lang w:eastAsia="zh-CN"/>
        </w:rPr>
        <w:t>：</w:t>
      </w:r>
      <w:r>
        <w:rPr>
          <w:szCs w:val="21"/>
          <w:u w:val="single"/>
        </w:rPr>
        <w:t xml:space="preserve">         </w:t>
      </w:r>
      <w:r>
        <w:rPr>
          <w:szCs w:val="21"/>
        </w:rPr>
        <w:t>年</w:t>
      </w:r>
      <w:r>
        <w:rPr>
          <w:szCs w:val="21"/>
          <w:u w:val="single"/>
        </w:rPr>
        <w:t xml:space="preserve">   </w:t>
      </w:r>
      <w:r>
        <w:rPr>
          <w:szCs w:val="21"/>
        </w:rPr>
        <w:t>月</w:t>
      </w:r>
      <w:r>
        <w:rPr>
          <w:szCs w:val="21"/>
          <w:u w:val="single"/>
        </w:rPr>
        <w:t xml:space="preserve">   </w:t>
      </w:r>
      <w:r>
        <w:rPr>
          <w:szCs w:val="21"/>
        </w:rPr>
        <w:t xml:space="preserve">日 </w:t>
      </w:r>
    </w:p>
    <w:bookmarkEnd w:id="173"/>
    <w:p w14:paraId="2128B702">
      <w:pPr>
        <w:snapToGrid w:val="0"/>
        <w:spacing w:before="50" w:after="120" w:afterLines="50"/>
        <w:jc w:val="left"/>
        <w:rPr>
          <w:szCs w:val="21"/>
        </w:rPr>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p>
    <w:p w14:paraId="052B5B6E">
      <w:pPr>
        <w:spacing w:line="360" w:lineRule="auto"/>
        <w:jc w:val="left"/>
        <w:rPr>
          <w:szCs w:val="21"/>
        </w:rPr>
      </w:pPr>
      <w:bookmarkStart w:id="174" w:name="_Hlk19115862"/>
      <w:r>
        <w:rPr>
          <w:szCs w:val="21"/>
        </w:rPr>
        <w:t>3．过低报价合理性的说明。（如有）</w:t>
      </w:r>
    </w:p>
    <w:p w14:paraId="11EB573B">
      <w:pPr>
        <w:spacing w:line="360" w:lineRule="auto"/>
        <w:ind w:firstLine="420" w:firstLineChars="200"/>
        <w:rPr>
          <w:rFonts w:hint="eastAsia"/>
          <w:szCs w:val="21"/>
        </w:rPr>
      </w:pPr>
      <w:r>
        <w:rPr>
          <w:szCs w:val="21"/>
        </w:rPr>
        <w:t>评审委员会认为的报价</w:t>
      </w:r>
      <w:r>
        <w:rPr>
          <w:rFonts w:hint="eastAsia"/>
          <w:szCs w:val="21"/>
          <w:lang w:val="en-US" w:eastAsia="zh-CN"/>
        </w:rPr>
        <w:t>存在异常低价问题的情形</w:t>
      </w:r>
      <w:r>
        <w:rPr>
          <w:szCs w:val="21"/>
        </w:rPr>
        <w:t>，供应商将被要求以书面方式提供</w:t>
      </w:r>
      <w:r>
        <w:rPr>
          <w:rFonts w:hint="eastAsia"/>
          <w:szCs w:val="21"/>
          <w:lang w:val="en-US" w:eastAsia="zh-CN"/>
        </w:rPr>
        <w:t>项目具体成本测算等与报价合理性相关的书面说明及必要的证明材料</w:t>
      </w:r>
      <w:r>
        <w:rPr>
          <w:szCs w:val="21"/>
        </w:rPr>
        <w:t>。为避免在评审现场因未能及时提供说明而导致被评审委员会作为无效投标，供应商</w:t>
      </w:r>
      <w:r>
        <w:rPr>
          <w:rFonts w:hint="eastAsia"/>
        </w:rPr>
        <w:t>自行决定是否</w:t>
      </w:r>
      <w:r>
        <w:rPr>
          <w:kern w:val="1"/>
          <w:szCs w:val="21"/>
        </w:rPr>
        <w:t>直接在</w:t>
      </w:r>
      <w:r>
        <w:rPr>
          <w:szCs w:val="21"/>
        </w:rPr>
        <w:t>此处</w:t>
      </w:r>
      <w:r>
        <w:rPr>
          <w:rFonts w:hint="eastAsia"/>
          <w:szCs w:val="21"/>
        </w:rPr>
        <w:t>进行陈述</w:t>
      </w:r>
      <w:r>
        <w:rPr>
          <w:szCs w:val="21"/>
        </w:rPr>
        <w:t>。格式自拟。</w:t>
      </w:r>
      <w:r>
        <w:rPr>
          <w:rFonts w:hint="eastAsia"/>
          <w:szCs w:val="21"/>
        </w:rPr>
        <w:t>（</w:t>
      </w:r>
      <w:r>
        <w:rPr>
          <w:rFonts w:hint="eastAsia"/>
          <w:kern w:val="1"/>
          <w:szCs w:val="21"/>
        </w:rPr>
        <w:t>具体要求详见第四章评审方法及标准“过低报价合理性的审查”</w:t>
      </w:r>
      <w:r>
        <w:rPr>
          <w:rFonts w:hint="eastAsia"/>
          <w:szCs w:val="21"/>
        </w:rPr>
        <w:t>）</w:t>
      </w:r>
    </w:p>
    <w:p w14:paraId="59C44341">
      <w:pPr>
        <w:pStyle w:val="175"/>
        <w:jc w:val="center"/>
        <w:rPr>
          <w:b/>
          <w:bCs/>
        </w:rPr>
      </w:pPr>
      <w:bookmarkStart w:id="175" w:name="_Hlk211331823"/>
    </w:p>
    <w:p w14:paraId="783E9B9E">
      <w:pPr>
        <w:pStyle w:val="175"/>
        <w:jc w:val="center"/>
      </w:pPr>
      <w:r>
        <w:rPr>
          <w:rFonts w:hint="eastAsia"/>
          <w:b/>
          <w:bCs/>
          <w:lang w:val="en-US" w:eastAsia="zh-CN"/>
        </w:rPr>
        <w:t>产品成本测算表（参考格式）</w:t>
      </w:r>
    </w:p>
    <w:p w14:paraId="2DB889C3">
      <w:pPr>
        <w:spacing w:line="360" w:lineRule="auto"/>
      </w:pPr>
    </w:p>
    <w:bookmarkEnd w:id="175"/>
    <w:tbl>
      <w:tblPr>
        <w:tblStyle w:val="53"/>
        <w:tblW w:w="452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26"/>
        <w:gridCol w:w="348"/>
        <w:gridCol w:w="660"/>
        <w:gridCol w:w="490"/>
        <w:gridCol w:w="830"/>
        <w:gridCol w:w="1202"/>
        <w:gridCol w:w="972"/>
        <w:gridCol w:w="887"/>
        <w:gridCol w:w="1052"/>
        <w:gridCol w:w="780"/>
        <w:gridCol w:w="1019"/>
      </w:tblGrid>
      <w:tr w14:paraId="643B52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8" w:hRule="atLeast"/>
          <w:jc w:val="center"/>
        </w:trPr>
        <w:tc>
          <w:tcPr>
            <w:tcW w:w="245" w:type="pct"/>
            <w:shd w:val="clear" w:color="C3BD96" w:themeColor="background2" w:themeShade="BF" w:fill="auto"/>
            <w:vAlign w:val="center"/>
          </w:tcPr>
          <w:p w14:paraId="3E050D07">
            <w:pPr>
              <w:ind w:left="-105" w:leftChars="-50" w:right="-105" w:rightChars="-50"/>
              <w:jc w:val="center"/>
              <w:rPr>
                <w:rFonts w:cs="宋体"/>
                <w:b/>
              </w:rPr>
            </w:pPr>
            <w:r>
              <w:rPr>
                <w:rFonts w:hint="eastAsia" w:cs="仿宋_GB2312"/>
                <w:b/>
                <w:szCs w:val="24"/>
              </w:rPr>
              <w:t>序号</w:t>
            </w:r>
          </w:p>
        </w:tc>
        <w:tc>
          <w:tcPr>
            <w:tcW w:w="201" w:type="pct"/>
            <w:shd w:val="clear" w:color="C3BD96" w:themeColor="background2" w:themeShade="BF" w:fill="auto"/>
            <w:vAlign w:val="center"/>
          </w:tcPr>
          <w:p w14:paraId="41F004A5">
            <w:pPr>
              <w:spacing w:line="360" w:lineRule="auto"/>
              <w:ind w:left="-48" w:leftChars="-23" w:right="-65" w:rightChars="-31"/>
              <w:jc w:val="center"/>
              <w:rPr>
                <w:rFonts w:cs="宋体"/>
                <w:b/>
              </w:rPr>
            </w:pPr>
            <w:r>
              <w:rPr>
                <w:rFonts w:hint="eastAsia" w:cs="宋体"/>
                <w:b/>
              </w:rPr>
              <w:t>名称</w:t>
            </w:r>
          </w:p>
        </w:tc>
        <w:tc>
          <w:tcPr>
            <w:tcW w:w="380" w:type="pct"/>
            <w:shd w:val="clear" w:color="C3BD96" w:themeColor="background2" w:themeShade="BF" w:fill="auto"/>
            <w:vAlign w:val="center"/>
          </w:tcPr>
          <w:p w14:paraId="56B5E2B5">
            <w:pPr>
              <w:spacing w:line="360" w:lineRule="auto"/>
              <w:ind w:left="-48" w:leftChars="-23" w:right="-65" w:rightChars="-31"/>
              <w:jc w:val="center"/>
              <w:rPr>
                <w:rFonts w:cs="宋体"/>
                <w:b/>
              </w:rPr>
            </w:pPr>
            <w:r>
              <w:rPr>
                <w:rFonts w:hint="eastAsia"/>
                <w:b/>
              </w:rPr>
              <w:t>品牌规格型号</w:t>
            </w:r>
          </w:p>
        </w:tc>
        <w:tc>
          <w:tcPr>
            <w:tcW w:w="282" w:type="pct"/>
            <w:tcBorders>
              <w:left w:val="single" w:color="auto" w:sz="4" w:space="0"/>
            </w:tcBorders>
            <w:shd w:val="clear" w:color="C3BD96" w:themeColor="background2" w:themeShade="BF" w:fill="auto"/>
            <w:vAlign w:val="center"/>
          </w:tcPr>
          <w:p w14:paraId="68FAEDED">
            <w:pPr>
              <w:spacing w:line="360" w:lineRule="auto"/>
              <w:ind w:left="-48" w:leftChars="-23" w:right="-65" w:rightChars="-31"/>
              <w:jc w:val="center"/>
              <w:rPr>
                <w:rFonts w:cs="宋体"/>
                <w:b/>
              </w:rPr>
            </w:pPr>
            <w:r>
              <w:rPr>
                <w:rFonts w:hint="eastAsia" w:cs="宋体"/>
                <w:b/>
              </w:rPr>
              <w:t>单位</w:t>
            </w:r>
          </w:p>
        </w:tc>
        <w:tc>
          <w:tcPr>
            <w:tcW w:w="478" w:type="pct"/>
            <w:tcBorders>
              <w:right w:val="single" w:color="auto" w:sz="4" w:space="0"/>
            </w:tcBorders>
            <w:shd w:val="clear" w:color="C3BD96" w:themeColor="background2" w:themeShade="BF" w:fill="auto"/>
            <w:vAlign w:val="center"/>
          </w:tcPr>
          <w:p w14:paraId="4A7D5C6E">
            <w:pPr>
              <w:spacing w:line="360" w:lineRule="auto"/>
              <w:ind w:left="-48" w:leftChars="-23" w:right="-65" w:rightChars="-31"/>
              <w:jc w:val="center"/>
              <w:rPr>
                <w:rFonts w:cs="宋体"/>
                <w:b/>
              </w:rPr>
            </w:pPr>
            <w:r>
              <w:rPr>
                <w:rFonts w:hint="eastAsia" w:cs="宋体"/>
                <w:b/>
                <w:lang w:val="en-US" w:eastAsia="zh-CN"/>
              </w:rPr>
              <w:t>报价</w:t>
            </w:r>
            <w:r>
              <w:rPr>
                <w:rFonts w:hint="eastAsia" w:cs="宋体"/>
                <w:b/>
              </w:rPr>
              <w:t>单价（</w:t>
            </w:r>
            <w:r>
              <w:rPr>
                <w:rFonts w:cs="宋体"/>
                <w:b/>
              </w:rPr>
              <w:t>元）</w:t>
            </w:r>
          </w:p>
        </w:tc>
        <w:tc>
          <w:tcPr>
            <w:tcW w:w="692" w:type="pct"/>
            <w:shd w:val="clear" w:color="C3BD96" w:themeColor="background2" w:themeShade="BF" w:fill="auto"/>
            <w:vAlign w:val="center"/>
          </w:tcPr>
          <w:p w14:paraId="4810EFDE">
            <w:pPr>
              <w:spacing w:line="360" w:lineRule="auto"/>
              <w:ind w:left="-48" w:leftChars="-23" w:right="-65" w:rightChars="-31"/>
              <w:jc w:val="center"/>
              <w:rPr>
                <w:rFonts w:hint="default" w:eastAsia="宋体" w:cs="宋体"/>
                <w:b/>
                <w:lang w:val="en-US" w:eastAsia="zh-CN"/>
              </w:rPr>
            </w:pPr>
            <w:r>
              <w:rPr>
                <w:rFonts w:hint="eastAsia" w:cs="宋体"/>
                <w:b/>
                <w:lang w:val="en-US" w:eastAsia="zh-CN"/>
              </w:rPr>
              <w:t>成本项目</w:t>
            </w:r>
          </w:p>
          <w:p w14:paraId="5AD3EE4D">
            <w:pPr>
              <w:spacing w:line="360" w:lineRule="auto"/>
              <w:ind w:right="-65" w:rightChars="-31"/>
              <w:jc w:val="both"/>
              <w:rPr>
                <w:rFonts w:hint="default" w:cs="宋体"/>
                <w:b/>
                <w:lang w:val="en-US" w:eastAsia="zh-CN"/>
              </w:rPr>
            </w:pPr>
          </w:p>
        </w:tc>
        <w:tc>
          <w:tcPr>
            <w:tcW w:w="560" w:type="pct"/>
            <w:shd w:val="clear" w:color="C3BD96" w:themeColor="background2" w:themeShade="BF" w:fill="auto"/>
            <w:vAlign w:val="center"/>
          </w:tcPr>
          <w:p w14:paraId="09333A32">
            <w:pPr>
              <w:spacing w:line="360" w:lineRule="auto"/>
              <w:ind w:left="-48" w:leftChars="-23" w:right="-65" w:rightChars="-31"/>
              <w:jc w:val="center"/>
              <w:rPr>
                <w:rFonts w:hint="eastAsia" w:cs="宋体"/>
                <w:b/>
                <w:lang w:val="en-US" w:eastAsia="zh-CN"/>
              </w:rPr>
            </w:pPr>
            <w:r>
              <w:rPr>
                <w:rFonts w:hint="eastAsia" w:cs="宋体"/>
                <w:b/>
                <w:lang w:val="en-US" w:eastAsia="zh-CN"/>
              </w:rPr>
              <w:t>具体明细</w:t>
            </w:r>
          </w:p>
          <w:p w14:paraId="7EF200FF">
            <w:pPr>
              <w:spacing w:line="360" w:lineRule="auto"/>
              <w:ind w:left="-48" w:leftChars="-23" w:right="-65" w:rightChars="-31"/>
              <w:jc w:val="center"/>
              <w:rPr>
                <w:rFonts w:hint="eastAsia" w:cs="宋体"/>
                <w:b/>
                <w:lang w:val="en-US" w:eastAsia="zh-CN"/>
              </w:rPr>
            </w:pPr>
          </w:p>
        </w:tc>
        <w:tc>
          <w:tcPr>
            <w:tcW w:w="511" w:type="pct"/>
            <w:shd w:val="clear" w:color="C3BD96" w:themeColor="background2" w:themeShade="BF" w:fill="auto"/>
            <w:vAlign w:val="center"/>
          </w:tcPr>
          <w:p w14:paraId="68567C70">
            <w:pPr>
              <w:spacing w:line="360" w:lineRule="auto"/>
              <w:ind w:left="-48" w:leftChars="-23" w:right="-65" w:rightChars="-31"/>
              <w:jc w:val="center"/>
              <w:rPr>
                <w:rFonts w:hint="eastAsia" w:cs="宋体"/>
                <w:b/>
                <w:lang w:val="en-US" w:eastAsia="zh-CN"/>
              </w:rPr>
            </w:pPr>
            <w:r>
              <w:rPr>
                <w:rFonts w:hint="eastAsia" w:cs="宋体"/>
                <w:b/>
                <w:lang w:val="en-US" w:eastAsia="zh-CN"/>
              </w:rPr>
              <w:t>单位产品用量</w:t>
            </w:r>
          </w:p>
          <w:p w14:paraId="27DC558F">
            <w:pPr>
              <w:spacing w:line="360" w:lineRule="auto"/>
              <w:ind w:left="-48" w:leftChars="-23" w:right="-65" w:rightChars="-31"/>
              <w:jc w:val="center"/>
              <w:rPr>
                <w:rFonts w:hint="eastAsia" w:cs="宋体"/>
                <w:b/>
                <w:lang w:val="en-US" w:eastAsia="zh-CN"/>
              </w:rPr>
            </w:pPr>
          </w:p>
        </w:tc>
        <w:tc>
          <w:tcPr>
            <w:tcW w:w="606" w:type="pct"/>
            <w:shd w:val="clear" w:color="C3BD96" w:themeColor="background2" w:themeShade="BF" w:fill="auto"/>
            <w:vAlign w:val="center"/>
          </w:tcPr>
          <w:p w14:paraId="5FE0F8B4">
            <w:pPr>
              <w:spacing w:line="360" w:lineRule="auto"/>
              <w:ind w:left="-48" w:leftChars="-23" w:right="-65" w:rightChars="-31"/>
              <w:jc w:val="center"/>
              <w:rPr>
                <w:rFonts w:hint="eastAsia" w:cs="宋体"/>
                <w:b/>
                <w:lang w:val="en-US" w:eastAsia="zh-CN"/>
              </w:rPr>
            </w:pPr>
            <w:r>
              <w:rPr>
                <w:rFonts w:hint="eastAsia" w:cs="宋体"/>
                <w:b/>
                <w:lang w:val="en-US" w:eastAsia="zh-CN"/>
              </w:rPr>
              <w:t>单位成本（元）</w:t>
            </w:r>
          </w:p>
        </w:tc>
        <w:tc>
          <w:tcPr>
            <w:tcW w:w="449" w:type="pct"/>
            <w:tcBorders>
              <w:left w:val="single" w:color="auto" w:sz="4" w:space="0"/>
            </w:tcBorders>
            <w:shd w:val="clear" w:color="C3BD96" w:themeColor="background2" w:themeShade="BF" w:fill="auto"/>
            <w:vAlign w:val="center"/>
          </w:tcPr>
          <w:p w14:paraId="2A09A13B">
            <w:pPr>
              <w:spacing w:line="360" w:lineRule="auto"/>
              <w:ind w:left="-48" w:leftChars="-23" w:right="-65" w:rightChars="-31"/>
              <w:jc w:val="center"/>
              <w:rPr>
                <w:rFonts w:cs="宋体"/>
                <w:b/>
              </w:rPr>
            </w:pPr>
            <w:r>
              <w:rPr>
                <w:rFonts w:hint="eastAsia" w:cs="宋体"/>
                <w:b/>
              </w:rPr>
              <w:t>成本</w:t>
            </w:r>
            <w:r>
              <w:rPr>
                <w:rFonts w:cs="宋体"/>
                <w:b/>
              </w:rPr>
              <w:t>合计（元）</w:t>
            </w:r>
          </w:p>
        </w:tc>
        <w:tc>
          <w:tcPr>
            <w:tcW w:w="587" w:type="pct"/>
            <w:tcBorders>
              <w:left w:val="single" w:color="auto" w:sz="4" w:space="0"/>
            </w:tcBorders>
            <w:shd w:val="clear" w:color="C3BD96" w:themeColor="background2" w:themeShade="BF" w:fill="auto"/>
            <w:vAlign w:val="center"/>
          </w:tcPr>
          <w:p w14:paraId="4F7624BA">
            <w:pPr>
              <w:spacing w:line="360" w:lineRule="auto"/>
              <w:ind w:left="-48" w:leftChars="-23" w:right="-65" w:rightChars="-31"/>
              <w:jc w:val="center"/>
              <w:rPr>
                <w:rFonts w:hint="eastAsia" w:cs="宋体"/>
                <w:b/>
              </w:rPr>
            </w:pPr>
            <w:r>
              <w:rPr>
                <w:rFonts w:hint="eastAsia" w:cs="宋体"/>
                <w:b/>
                <w:lang w:val="en-US" w:eastAsia="zh-CN"/>
              </w:rPr>
              <w:t>备注（测算依据/证明材料）</w:t>
            </w:r>
          </w:p>
        </w:tc>
      </w:tr>
      <w:tr w14:paraId="137325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restart"/>
            <w:shd w:val="clear" w:color="auto" w:fill="auto"/>
            <w:vAlign w:val="center"/>
          </w:tcPr>
          <w:p w14:paraId="31899164">
            <w:pPr>
              <w:numPr>
                <w:ilvl w:val="0"/>
                <w:numId w:val="2"/>
              </w:numPr>
              <w:tabs>
                <w:tab w:val="left" w:pos="61"/>
              </w:tabs>
              <w:jc w:val="center"/>
            </w:pPr>
          </w:p>
        </w:tc>
        <w:tc>
          <w:tcPr>
            <w:tcW w:w="201" w:type="pct"/>
            <w:vMerge w:val="restart"/>
            <w:shd w:val="clear" w:color="auto" w:fill="auto"/>
            <w:vAlign w:val="center"/>
          </w:tcPr>
          <w:p w14:paraId="65B757C2">
            <w:pPr>
              <w:tabs>
                <w:tab w:val="left" w:pos="0"/>
                <w:tab w:val="left" w:pos="56"/>
              </w:tabs>
              <w:ind w:left="547" w:hanging="478" w:hangingChars="228"/>
              <w:jc w:val="center"/>
            </w:pPr>
          </w:p>
        </w:tc>
        <w:tc>
          <w:tcPr>
            <w:tcW w:w="380" w:type="pct"/>
            <w:vMerge w:val="restart"/>
            <w:shd w:val="clear" w:color="auto" w:fill="auto"/>
            <w:vAlign w:val="center"/>
          </w:tcPr>
          <w:p w14:paraId="58C050D9">
            <w:pPr>
              <w:spacing w:line="240" w:lineRule="atLeast"/>
              <w:ind w:left="-48" w:leftChars="-23" w:right="-65" w:rightChars="-31"/>
              <w:jc w:val="left"/>
              <w:rPr>
                <w:rFonts w:cs="宋体"/>
                <w:szCs w:val="24"/>
              </w:rPr>
            </w:pPr>
          </w:p>
        </w:tc>
        <w:tc>
          <w:tcPr>
            <w:tcW w:w="282" w:type="pct"/>
            <w:vMerge w:val="restart"/>
            <w:tcBorders>
              <w:left w:val="single" w:color="auto" w:sz="4" w:space="0"/>
            </w:tcBorders>
            <w:shd w:val="clear" w:color="auto" w:fill="auto"/>
            <w:vAlign w:val="center"/>
          </w:tcPr>
          <w:p w14:paraId="3B157FD4">
            <w:pPr>
              <w:spacing w:line="240" w:lineRule="atLeast"/>
              <w:ind w:left="-48" w:leftChars="-23" w:right="-65" w:rightChars="-31"/>
              <w:jc w:val="left"/>
              <w:rPr>
                <w:rFonts w:cs="宋体"/>
                <w:szCs w:val="24"/>
              </w:rPr>
            </w:pPr>
          </w:p>
        </w:tc>
        <w:tc>
          <w:tcPr>
            <w:tcW w:w="478" w:type="pct"/>
            <w:vMerge w:val="restart"/>
            <w:tcBorders>
              <w:left w:val="single" w:color="auto" w:sz="4" w:space="0"/>
              <w:right w:val="single" w:color="auto" w:sz="4" w:space="0"/>
            </w:tcBorders>
            <w:shd w:val="clear" w:color="auto" w:fill="auto"/>
            <w:vAlign w:val="center"/>
          </w:tcPr>
          <w:p w14:paraId="67F6C6EE">
            <w:pPr>
              <w:spacing w:line="240" w:lineRule="atLeast"/>
              <w:ind w:left="-48" w:leftChars="-23" w:right="-65" w:rightChars="-31"/>
              <w:jc w:val="left"/>
              <w:rPr>
                <w:rFonts w:cs="宋体"/>
                <w:szCs w:val="24"/>
              </w:rPr>
            </w:pPr>
          </w:p>
        </w:tc>
        <w:tc>
          <w:tcPr>
            <w:tcW w:w="692" w:type="pct"/>
            <w:vMerge w:val="restart"/>
            <w:tcBorders>
              <w:left w:val="single" w:color="auto" w:sz="4" w:space="0"/>
              <w:right w:val="single" w:color="auto" w:sz="4" w:space="0"/>
            </w:tcBorders>
            <w:vAlign w:val="center"/>
          </w:tcPr>
          <w:p w14:paraId="4F6F6858">
            <w:pPr>
              <w:spacing w:line="240" w:lineRule="atLeast"/>
              <w:ind w:left="-48" w:leftChars="-23" w:right="-65" w:rightChars="-31"/>
              <w:jc w:val="left"/>
              <w:rPr>
                <w:rFonts w:cs="宋体"/>
                <w:szCs w:val="24"/>
              </w:rPr>
            </w:pPr>
            <w:r>
              <w:rPr>
                <w:rFonts w:hint="eastAsia" w:cs="宋体"/>
                <w:szCs w:val="24"/>
              </w:rPr>
              <w:t>原材料成本</w:t>
            </w:r>
          </w:p>
        </w:tc>
        <w:tc>
          <w:tcPr>
            <w:tcW w:w="560" w:type="pct"/>
            <w:tcBorders>
              <w:left w:val="single" w:color="auto" w:sz="4" w:space="0"/>
            </w:tcBorders>
            <w:shd w:val="clear" w:color="auto" w:fill="auto"/>
            <w:vAlign w:val="center"/>
          </w:tcPr>
          <w:p w14:paraId="33003AD0">
            <w:pPr>
              <w:spacing w:line="240" w:lineRule="atLeast"/>
              <w:ind w:left="-48" w:leftChars="-23" w:right="-65" w:rightChars="-31"/>
              <w:jc w:val="left"/>
              <w:rPr>
                <w:rFonts w:cs="宋体"/>
                <w:szCs w:val="24"/>
              </w:rPr>
            </w:pPr>
            <w:r>
              <w:rPr>
                <w:rFonts w:cs="宋体"/>
                <w:szCs w:val="24"/>
                <w:lang w:val="en-US" w:eastAsia="zh-CN"/>
              </w:rPr>
              <w:t>原材料1</w:t>
            </w:r>
          </w:p>
        </w:tc>
        <w:tc>
          <w:tcPr>
            <w:tcW w:w="511" w:type="pct"/>
            <w:tcBorders>
              <w:left w:val="single" w:color="auto" w:sz="4" w:space="0"/>
            </w:tcBorders>
            <w:shd w:val="clear" w:color="auto" w:fill="auto"/>
            <w:vAlign w:val="center"/>
          </w:tcPr>
          <w:p w14:paraId="2A7EE56F">
            <w:pPr>
              <w:spacing w:line="240" w:lineRule="atLeast"/>
              <w:ind w:left="-48" w:leftChars="-23" w:right="-65" w:rightChars="-31"/>
              <w:jc w:val="left"/>
              <w:rPr>
                <w:rFonts w:cs="宋体"/>
                <w:szCs w:val="24"/>
              </w:rPr>
            </w:pPr>
          </w:p>
        </w:tc>
        <w:tc>
          <w:tcPr>
            <w:tcW w:w="606" w:type="pct"/>
            <w:tcBorders>
              <w:left w:val="single" w:color="auto" w:sz="4" w:space="0"/>
            </w:tcBorders>
            <w:shd w:val="clear" w:color="auto" w:fill="auto"/>
            <w:vAlign w:val="center"/>
          </w:tcPr>
          <w:p w14:paraId="00318077">
            <w:pPr>
              <w:spacing w:line="240" w:lineRule="atLeast"/>
              <w:ind w:left="-48" w:leftChars="-23" w:right="-65" w:rightChars="-31"/>
              <w:jc w:val="left"/>
              <w:rPr>
                <w:rFonts w:cs="宋体"/>
                <w:szCs w:val="24"/>
              </w:rPr>
            </w:pPr>
          </w:p>
        </w:tc>
        <w:tc>
          <w:tcPr>
            <w:tcW w:w="449" w:type="pct"/>
            <w:vMerge w:val="restart"/>
            <w:tcBorders>
              <w:left w:val="single" w:color="auto" w:sz="4" w:space="0"/>
            </w:tcBorders>
            <w:shd w:val="clear" w:color="auto" w:fill="auto"/>
            <w:vAlign w:val="center"/>
          </w:tcPr>
          <w:p w14:paraId="17873F2F">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71C7FD89">
            <w:pPr>
              <w:spacing w:line="240" w:lineRule="atLeast"/>
              <w:ind w:left="-48" w:leftChars="-23" w:right="-65" w:rightChars="-31"/>
              <w:jc w:val="left"/>
              <w:rPr>
                <w:rFonts w:cs="宋体"/>
                <w:szCs w:val="24"/>
              </w:rPr>
            </w:pPr>
          </w:p>
        </w:tc>
      </w:tr>
      <w:tr w14:paraId="700507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7DA847D1">
            <w:pPr>
              <w:numPr>
                <w:ilvl w:val="0"/>
                <w:numId w:val="2"/>
              </w:numPr>
              <w:tabs>
                <w:tab w:val="left" w:pos="61"/>
              </w:tabs>
              <w:jc w:val="center"/>
            </w:pPr>
          </w:p>
        </w:tc>
        <w:tc>
          <w:tcPr>
            <w:tcW w:w="201" w:type="pct"/>
            <w:vMerge w:val="continue"/>
            <w:shd w:val="clear" w:color="auto" w:fill="auto"/>
            <w:vAlign w:val="center"/>
          </w:tcPr>
          <w:p w14:paraId="462E3DFC">
            <w:pPr>
              <w:tabs>
                <w:tab w:val="left" w:pos="0"/>
                <w:tab w:val="left" w:pos="56"/>
              </w:tabs>
              <w:ind w:left="547" w:hanging="478" w:hangingChars="228"/>
              <w:jc w:val="center"/>
            </w:pPr>
          </w:p>
        </w:tc>
        <w:tc>
          <w:tcPr>
            <w:tcW w:w="380" w:type="pct"/>
            <w:vMerge w:val="continue"/>
            <w:shd w:val="clear" w:color="auto" w:fill="auto"/>
            <w:vAlign w:val="center"/>
          </w:tcPr>
          <w:p w14:paraId="2E160B9A">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38DF83C2">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731170B0">
            <w:pPr>
              <w:spacing w:line="240" w:lineRule="atLeast"/>
              <w:ind w:left="-48" w:leftChars="-23" w:right="-65" w:rightChars="-31"/>
              <w:jc w:val="left"/>
              <w:rPr>
                <w:rFonts w:cs="宋体"/>
                <w:szCs w:val="24"/>
              </w:rPr>
            </w:pPr>
          </w:p>
        </w:tc>
        <w:tc>
          <w:tcPr>
            <w:tcW w:w="692" w:type="pct"/>
            <w:vMerge w:val="continue"/>
            <w:tcBorders>
              <w:left w:val="single" w:color="auto" w:sz="4" w:space="0"/>
              <w:right w:val="single" w:color="auto" w:sz="4" w:space="0"/>
            </w:tcBorders>
            <w:vAlign w:val="center"/>
          </w:tcPr>
          <w:p w14:paraId="1F910922">
            <w:pPr>
              <w:spacing w:line="240" w:lineRule="atLeast"/>
              <w:ind w:left="-48" w:leftChars="-23" w:right="-65" w:rightChars="-31"/>
              <w:jc w:val="left"/>
              <w:rPr>
                <w:rFonts w:hint="eastAsia" w:cs="宋体"/>
                <w:szCs w:val="24"/>
              </w:rPr>
            </w:pPr>
          </w:p>
        </w:tc>
        <w:tc>
          <w:tcPr>
            <w:tcW w:w="560" w:type="pct"/>
            <w:tcBorders>
              <w:left w:val="single" w:color="auto" w:sz="4" w:space="0"/>
            </w:tcBorders>
            <w:shd w:val="clear" w:color="auto" w:fill="auto"/>
            <w:vAlign w:val="center"/>
          </w:tcPr>
          <w:p w14:paraId="26F1672B">
            <w:pPr>
              <w:spacing w:line="240" w:lineRule="atLeast"/>
              <w:ind w:left="-48" w:leftChars="-23" w:right="-65" w:rightChars="-31"/>
              <w:jc w:val="left"/>
              <w:rPr>
                <w:rFonts w:hint="default" w:eastAsia="宋体" w:cs="宋体"/>
                <w:szCs w:val="24"/>
                <w:lang w:val="en-US" w:eastAsia="zh-CN"/>
              </w:rPr>
            </w:pPr>
            <w:r>
              <w:rPr>
                <w:rFonts w:hint="eastAsia" w:cs="宋体"/>
                <w:szCs w:val="24"/>
                <w:lang w:val="en-US" w:eastAsia="zh-CN"/>
              </w:rPr>
              <w:t>...</w:t>
            </w:r>
          </w:p>
        </w:tc>
        <w:tc>
          <w:tcPr>
            <w:tcW w:w="511" w:type="pct"/>
            <w:tcBorders>
              <w:left w:val="single" w:color="auto" w:sz="4" w:space="0"/>
            </w:tcBorders>
            <w:shd w:val="clear" w:color="auto" w:fill="auto"/>
            <w:vAlign w:val="center"/>
          </w:tcPr>
          <w:p w14:paraId="539CD006">
            <w:pPr>
              <w:spacing w:line="240" w:lineRule="atLeast"/>
              <w:ind w:left="-48" w:leftChars="-23" w:right="-65" w:rightChars="-31"/>
              <w:jc w:val="left"/>
              <w:rPr>
                <w:rFonts w:cs="宋体"/>
                <w:szCs w:val="24"/>
              </w:rPr>
            </w:pPr>
          </w:p>
        </w:tc>
        <w:tc>
          <w:tcPr>
            <w:tcW w:w="606" w:type="pct"/>
            <w:tcBorders>
              <w:left w:val="single" w:color="auto" w:sz="4" w:space="0"/>
            </w:tcBorders>
            <w:shd w:val="clear" w:color="auto" w:fill="auto"/>
            <w:vAlign w:val="center"/>
          </w:tcPr>
          <w:p w14:paraId="0960E9F9">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4AF14547">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580CE386">
            <w:pPr>
              <w:spacing w:line="240" w:lineRule="atLeast"/>
              <w:ind w:left="-48" w:leftChars="-23" w:right="-65" w:rightChars="-31"/>
              <w:jc w:val="left"/>
              <w:rPr>
                <w:rFonts w:cs="宋体"/>
                <w:szCs w:val="24"/>
              </w:rPr>
            </w:pPr>
          </w:p>
        </w:tc>
      </w:tr>
      <w:tr w14:paraId="78B1BE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047A0B9B">
            <w:pPr>
              <w:tabs>
                <w:tab w:val="left" w:pos="61"/>
              </w:tabs>
              <w:jc w:val="center"/>
            </w:pPr>
          </w:p>
        </w:tc>
        <w:tc>
          <w:tcPr>
            <w:tcW w:w="201" w:type="pct"/>
            <w:vMerge w:val="continue"/>
            <w:shd w:val="clear" w:color="auto" w:fill="auto"/>
            <w:vAlign w:val="center"/>
          </w:tcPr>
          <w:p w14:paraId="5EEB1F4F">
            <w:pPr>
              <w:tabs>
                <w:tab w:val="left" w:pos="0"/>
                <w:tab w:val="left" w:pos="56"/>
              </w:tabs>
              <w:ind w:left="547" w:hanging="478" w:hangingChars="228"/>
              <w:jc w:val="center"/>
            </w:pPr>
          </w:p>
        </w:tc>
        <w:tc>
          <w:tcPr>
            <w:tcW w:w="380" w:type="pct"/>
            <w:vMerge w:val="continue"/>
            <w:shd w:val="clear" w:color="auto" w:fill="auto"/>
            <w:vAlign w:val="center"/>
          </w:tcPr>
          <w:p w14:paraId="185BAC6B">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5F37CA61">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28855F02">
            <w:pPr>
              <w:spacing w:line="240" w:lineRule="atLeast"/>
              <w:ind w:left="-48" w:leftChars="-23" w:right="-65" w:rightChars="-31"/>
              <w:jc w:val="left"/>
              <w:rPr>
                <w:rFonts w:cs="宋体"/>
                <w:szCs w:val="24"/>
              </w:rPr>
            </w:pPr>
          </w:p>
        </w:tc>
        <w:tc>
          <w:tcPr>
            <w:tcW w:w="692" w:type="pct"/>
            <w:vMerge w:val="restart"/>
            <w:tcBorders>
              <w:left w:val="single" w:color="auto" w:sz="4" w:space="0"/>
              <w:right w:val="single" w:color="auto" w:sz="4" w:space="0"/>
            </w:tcBorders>
            <w:vAlign w:val="center"/>
          </w:tcPr>
          <w:p w14:paraId="4FD27713">
            <w:pPr>
              <w:spacing w:line="240" w:lineRule="atLeast"/>
              <w:ind w:left="-48" w:leftChars="-23" w:right="-65" w:rightChars="-31"/>
              <w:jc w:val="left"/>
              <w:rPr>
                <w:rFonts w:cs="宋体"/>
                <w:szCs w:val="24"/>
              </w:rPr>
            </w:pPr>
            <w:r>
              <w:rPr>
                <w:rFonts w:hint="eastAsia" w:cs="宋体"/>
                <w:szCs w:val="24"/>
              </w:rPr>
              <w:t>人工成本</w:t>
            </w:r>
          </w:p>
        </w:tc>
        <w:tc>
          <w:tcPr>
            <w:tcW w:w="560" w:type="pct"/>
            <w:tcBorders>
              <w:left w:val="single" w:color="auto" w:sz="4" w:space="0"/>
            </w:tcBorders>
            <w:shd w:val="clear" w:color="auto" w:fill="auto"/>
            <w:vAlign w:val="center"/>
          </w:tcPr>
          <w:p w14:paraId="3880182C">
            <w:pPr>
              <w:spacing w:line="240" w:lineRule="atLeast"/>
              <w:ind w:left="-48" w:leftChars="-23" w:right="-65" w:rightChars="-31"/>
              <w:jc w:val="left"/>
              <w:rPr>
                <w:rFonts w:cs="宋体"/>
                <w:szCs w:val="24"/>
              </w:rPr>
            </w:pPr>
            <w:r>
              <w:rPr>
                <w:rFonts w:cs="宋体"/>
                <w:szCs w:val="24"/>
                <w:lang w:val="en-US" w:eastAsia="zh-CN"/>
              </w:rPr>
              <w:t>生产工人工资</w:t>
            </w:r>
          </w:p>
        </w:tc>
        <w:tc>
          <w:tcPr>
            <w:tcW w:w="511" w:type="pct"/>
            <w:tcBorders>
              <w:left w:val="single" w:color="auto" w:sz="4" w:space="0"/>
            </w:tcBorders>
            <w:shd w:val="clear" w:color="auto" w:fill="auto"/>
            <w:vAlign w:val="center"/>
          </w:tcPr>
          <w:p w14:paraId="3FC90750">
            <w:pPr>
              <w:spacing w:line="240" w:lineRule="atLeast"/>
              <w:ind w:left="-48" w:leftChars="-23" w:right="-65" w:rightChars="-31"/>
              <w:jc w:val="left"/>
              <w:rPr>
                <w:rFonts w:cs="宋体"/>
                <w:szCs w:val="24"/>
              </w:rPr>
            </w:pPr>
          </w:p>
        </w:tc>
        <w:tc>
          <w:tcPr>
            <w:tcW w:w="606" w:type="pct"/>
            <w:tcBorders>
              <w:left w:val="single" w:color="auto" w:sz="4" w:space="0"/>
            </w:tcBorders>
            <w:shd w:val="clear" w:color="auto" w:fill="auto"/>
            <w:vAlign w:val="center"/>
          </w:tcPr>
          <w:p w14:paraId="6A222EF7">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2CB39DE6">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55657EF1">
            <w:pPr>
              <w:spacing w:line="240" w:lineRule="atLeast"/>
              <w:ind w:left="-48" w:leftChars="-23" w:right="-65" w:rightChars="-31"/>
              <w:jc w:val="left"/>
              <w:rPr>
                <w:rFonts w:cs="宋体"/>
                <w:szCs w:val="24"/>
              </w:rPr>
            </w:pPr>
          </w:p>
        </w:tc>
      </w:tr>
      <w:tr w14:paraId="3DA39A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6C5D4CED">
            <w:pPr>
              <w:tabs>
                <w:tab w:val="left" w:pos="61"/>
              </w:tabs>
              <w:jc w:val="center"/>
            </w:pPr>
          </w:p>
        </w:tc>
        <w:tc>
          <w:tcPr>
            <w:tcW w:w="201" w:type="pct"/>
            <w:vMerge w:val="continue"/>
            <w:shd w:val="clear" w:color="auto" w:fill="auto"/>
            <w:vAlign w:val="center"/>
          </w:tcPr>
          <w:p w14:paraId="25F98AE1">
            <w:pPr>
              <w:tabs>
                <w:tab w:val="left" w:pos="0"/>
                <w:tab w:val="left" w:pos="56"/>
              </w:tabs>
              <w:ind w:left="547" w:hanging="478" w:hangingChars="228"/>
              <w:jc w:val="center"/>
            </w:pPr>
          </w:p>
        </w:tc>
        <w:tc>
          <w:tcPr>
            <w:tcW w:w="380" w:type="pct"/>
            <w:vMerge w:val="continue"/>
            <w:shd w:val="clear" w:color="auto" w:fill="auto"/>
            <w:vAlign w:val="center"/>
          </w:tcPr>
          <w:p w14:paraId="71F08945">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6A7BEF54">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6DE32178">
            <w:pPr>
              <w:spacing w:line="240" w:lineRule="atLeast"/>
              <w:ind w:left="-48" w:leftChars="-23" w:right="-65" w:rightChars="-31"/>
              <w:jc w:val="left"/>
              <w:rPr>
                <w:rFonts w:cs="宋体"/>
                <w:szCs w:val="24"/>
              </w:rPr>
            </w:pPr>
          </w:p>
        </w:tc>
        <w:tc>
          <w:tcPr>
            <w:tcW w:w="692" w:type="pct"/>
            <w:vMerge w:val="continue"/>
            <w:tcBorders>
              <w:left w:val="single" w:color="auto" w:sz="4" w:space="0"/>
              <w:right w:val="single" w:color="auto" w:sz="4" w:space="0"/>
            </w:tcBorders>
            <w:vAlign w:val="center"/>
          </w:tcPr>
          <w:p w14:paraId="74A0A741">
            <w:pPr>
              <w:spacing w:line="240" w:lineRule="atLeast"/>
              <w:ind w:left="-48" w:leftChars="-23" w:right="-65" w:rightChars="-31"/>
              <w:jc w:val="left"/>
              <w:rPr>
                <w:rFonts w:hint="eastAsia" w:cs="宋体"/>
                <w:szCs w:val="24"/>
              </w:rPr>
            </w:pPr>
          </w:p>
        </w:tc>
        <w:tc>
          <w:tcPr>
            <w:tcW w:w="560" w:type="pct"/>
            <w:tcBorders>
              <w:left w:val="single" w:color="auto" w:sz="4" w:space="0"/>
            </w:tcBorders>
            <w:shd w:val="clear" w:color="auto" w:fill="auto"/>
            <w:vAlign w:val="center"/>
          </w:tcPr>
          <w:p w14:paraId="7C7461BE">
            <w:pPr>
              <w:spacing w:line="240" w:lineRule="atLeast"/>
              <w:ind w:left="-48" w:leftChars="-23" w:right="-65" w:rightChars="-31"/>
              <w:jc w:val="left"/>
              <w:rPr>
                <w:rFonts w:hint="default" w:eastAsia="宋体" w:cs="宋体"/>
                <w:szCs w:val="24"/>
                <w:lang w:val="en-US" w:eastAsia="zh-CN"/>
              </w:rPr>
            </w:pPr>
            <w:r>
              <w:rPr>
                <w:rFonts w:hint="eastAsia" w:cs="宋体"/>
                <w:szCs w:val="24"/>
                <w:lang w:val="en-US" w:eastAsia="zh-CN"/>
              </w:rPr>
              <w:t>....</w:t>
            </w:r>
          </w:p>
        </w:tc>
        <w:tc>
          <w:tcPr>
            <w:tcW w:w="511" w:type="pct"/>
            <w:tcBorders>
              <w:left w:val="single" w:color="auto" w:sz="4" w:space="0"/>
            </w:tcBorders>
            <w:shd w:val="clear" w:color="auto" w:fill="auto"/>
            <w:vAlign w:val="center"/>
          </w:tcPr>
          <w:p w14:paraId="22BA3532">
            <w:pPr>
              <w:spacing w:line="240" w:lineRule="atLeast"/>
              <w:ind w:left="-48" w:leftChars="-23" w:right="-65" w:rightChars="-31"/>
              <w:jc w:val="left"/>
              <w:rPr>
                <w:rFonts w:cs="宋体"/>
                <w:szCs w:val="24"/>
              </w:rPr>
            </w:pPr>
          </w:p>
        </w:tc>
        <w:tc>
          <w:tcPr>
            <w:tcW w:w="606" w:type="pct"/>
            <w:tcBorders>
              <w:left w:val="single" w:color="auto" w:sz="4" w:space="0"/>
            </w:tcBorders>
            <w:shd w:val="clear" w:color="auto" w:fill="auto"/>
            <w:vAlign w:val="center"/>
          </w:tcPr>
          <w:p w14:paraId="7735E1B2">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261E1BF4">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421563FB">
            <w:pPr>
              <w:spacing w:line="240" w:lineRule="atLeast"/>
              <w:ind w:left="-48" w:leftChars="-23" w:right="-65" w:rightChars="-31"/>
              <w:jc w:val="left"/>
              <w:rPr>
                <w:rFonts w:cs="宋体"/>
                <w:szCs w:val="24"/>
              </w:rPr>
            </w:pPr>
          </w:p>
        </w:tc>
      </w:tr>
      <w:tr w14:paraId="25FAD3E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605F5DD7">
            <w:pPr>
              <w:tabs>
                <w:tab w:val="left" w:pos="61"/>
              </w:tabs>
              <w:jc w:val="center"/>
            </w:pPr>
          </w:p>
        </w:tc>
        <w:tc>
          <w:tcPr>
            <w:tcW w:w="201" w:type="pct"/>
            <w:vMerge w:val="continue"/>
            <w:shd w:val="clear" w:color="auto" w:fill="auto"/>
            <w:vAlign w:val="center"/>
          </w:tcPr>
          <w:p w14:paraId="49146DB7">
            <w:pPr>
              <w:tabs>
                <w:tab w:val="left" w:pos="0"/>
                <w:tab w:val="left" w:pos="56"/>
              </w:tabs>
              <w:ind w:left="547" w:hanging="478" w:hangingChars="228"/>
              <w:jc w:val="center"/>
            </w:pPr>
          </w:p>
        </w:tc>
        <w:tc>
          <w:tcPr>
            <w:tcW w:w="380" w:type="pct"/>
            <w:vMerge w:val="continue"/>
            <w:shd w:val="clear" w:color="auto" w:fill="auto"/>
            <w:vAlign w:val="center"/>
          </w:tcPr>
          <w:p w14:paraId="23B4217D">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5F08DA06">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75B959EE">
            <w:pPr>
              <w:spacing w:line="240" w:lineRule="atLeast"/>
              <w:ind w:left="-48" w:leftChars="-23" w:right="-65" w:rightChars="-31"/>
              <w:jc w:val="left"/>
              <w:rPr>
                <w:rFonts w:cs="宋体"/>
                <w:szCs w:val="24"/>
              </w:rPr>
            </w:pPr>
          </w:p>
        </w:tc>
        <w:tc>
          <w:tcPr>
            <w:tcW w:w="692" w:type="pct"/>
            <w:vMerge w:val="restart"/>
            <w:tcBorders>
              <w:left w:val="single" w:color="auto" w:sz="4" w:space="0"/>
              <w:right w:val="single" w:color="auto" w:sz="4" w:space="0"/>
            </w:tcBorders>
            <w:vAlign w:val="center"/>
          </w:tcPr>
          <w:p w14:paraId="6C2F56BC">
            <w:pPr>
              <w:spacing w:line="240" w:lineRule="atLeast"/>
              <w:ind w:left="-48" w:leftChars="-23" w:right="-65" w:rightChars="-31"/>
              <w:jc w:val="left"/>
              <w:rPr>
                <w:rFonts w:hint="eastAsia" w:cs="宋体"/>
                <w:szCs w:val="24"/>
              </w:rPr>
            </w:pPr>
            <w:r>
              <w:rPr>
                <w:rFonts w:hint="eastAsia" w:cs="宋体"/>
                <w:szCs w:val="24"/>
              </w:rPr>
              <w:t>制造费用</w:t>
            </w:r>
          </w:p>
        </w:tc>
        <w:tc>
          <w:tcPr>
            <w:tcW w:w="560" w:type="pct"/>
            <w:tcBorders>
              <w:left w:val="single" w:color="auto" w:sz="4" w:space="0"/>
            </w:tcBorders>
            <w:shd w:val="clear" w:color="auto" w:fill="auto"/>
            <w:vAlign w:val="center"/>
          </w:tcPr>
          <w:p w14:paraId="615956BA">
            <w:pPr>
              <w:spacing w:line="240" w:lineRule="atLeast"/>
              <w:ind w:left="-48" w:leftChars="-23" w:right="-65" w:rightChars="-31"/>
              <w:jc w:val="left"/>
              <w:rPr>
                <w:rFonts w:cs="宋体"/>
                <w:szCs w:val="24"/>
              </w:rPr>
            </w:pPr>
            <w:r>
              <w:rPr>
                <w:rFonts w:cs="宋体"/>
                <w:szCs w:val="24"/>
                <w:lang w:val="en-US" w:eastAsia="zh-CN"/>
              </w:rPr>
              <w:t>设备折旧费</w:t>
            </w:r>
          </w:p>
        </w:tc>
        <w:tc>
          <w:tcPr>
            <w:tcW w:w="511" w:type="pct"/>
            <w:tcBorders>
              <w:left w:val="single" w:color="auto" w:sz="4" w:space="0"/>
            </w:tcBorders>
            <w:shd w:val="clear" w:color="auto" w:fill="auto"/>
            <w:vAlign w:val="center"/>
          </w:tcPr>
          <w:p w14:paraId="03C89923">
            <w:pPr>
              <w:spacing w:line="240" w:lineRule="atLeast"/>
              <w:ind w:left="-48" w:leftChars="-23" w:right="-65" w:rightChars="-31"/>
              <w:jc w:val="left"/>
              <w:rPr>
                <w:rFonts w:hint="eastAsia" w:eastAsia="宋体" w:cs="宋体"/>
                <w:szCs w:val="24"/>
                <w:lang w:val="en-US" w:eastAsia="zh-CN"/>
              </w:rPr>
            </w:pPr>
          </w:p>
        </w:tc>
        <w:tc>
          <w:tcPr>
            <w:tcW w:w="606" w:type="pct"/>
            <w:tcBorders>
              <w:left w:val="single" w:color="auto" w:sz="4" w:space="0"/>
            </w:tcBorders>
            <w:shd w:val="clear" w:color="auto" w:fill="auto"/>
            <w:vAlign w:val="center"/>
          </w:tcPr>
          <w:p w14:paraId="38F9C2E1">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2D67D214">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412E883A">
            <w:pPr>
              <w:spacing w:line="240" w:lineRule="atLeast"/>
              <w:ind w:left="-48" w:leftChars="-23" w:right="-65" w:rightChars="-31"/>
              <w:jc w:val="left"/>
              <w:rPr>
                <w:rFonts w:cs="宋体"/>
                <w:szCs w:val="24"/>
              </w:rPr>
            </w:pPr>
          </w:p>
        </w:tc>
      </w:tr>
      <w:tr w14:paraId="67AFEB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76" w:hRule="atLeast"/>
          <w:jc w:val="center"/>
        </w:trPr>
        <w:tc>
          <w:tcPr>
            <w:tcW w:w="245" w:type="pct"/>
            <w:vMerge w:val="continue"/>
            <w:shd w:val="clear" w:color="auto" w:fill="auto"/>
            <w:vAlign w:val="center"/>
          </w:tcPr>
          <w:p w14:paraId="078DF2BD">
            <w:pPr>
              <w:tabs>
                <w:tab w:val="left" w:pos="61"/>
              </w:tabs>
              <w:jc w:val="center"/>
            </w:pPr>
          </w:p>
        </w:tc>
        <w:tc>
          <w:tcPr>
            <w:tcW w:w="201" w:type="pct"/>
            <w:vMerge w:val="continue"/>
            <w:shd w:val="clear" w:color="auto" w:fill="auto"/>
            <w:vAlign w:val="center"/>
          </w:tcPr>
          <w:p w14:paraId="1D439CE3">
            <w:pPr>
              <w:tabs>
                <w:tab w:val="left" w:pos="0"/>
                <w:tab w:val="left" w:pos="56"/>
              </w:tabs>
              <w:ind w:left="547" w:hanging="478" w:hangingChars="228"/>
              <w:jc w:val="center"/>
            </w:pPr>
          </w:p>
        </w:tc>
        <w:tc>
          <w:tcPr>
            <w:tcW w:w="380" w:type="pct"/>
            <w:vMerge w:val="continue"/>
            <w:shd w:val="clear" w:color="auto" w:fill="auto"/>
            <w:vAlign w:val="center"/>
          </w:tcPr>
          <w:p w14:paraId="71BFE9FA">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56D75B0E">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2FB42261">
            <w:pPr>
              <w:spacing w:line="240" w:lineRule="atLeast"/>
              <w:ind w:left="-48" w:leftChars="-23" w:right="-65" w:rightChars="-31"/>
              <w:jc w:val="left"/>
              <w:rPr>
                <w:rFonts w:cs="宋体"/>
                <w:szCs w:val="24"/>
              </w:rPr>
            </w:pPr>
          </w:p>
        </w:tc>
        <w:tc>
          <w:tcPr>
            <w:tcW w:w="692" w:type="pct"/>
            <w:vMerge w:val="continue"/>
            <w:tcBorders>
              <w:left w:val="single" w:color="auto" w:sz="4" w:space="0"/>
              <w:right w:val="single" w:color="auto" w:sz="4" w:space="0"/>
            </w:tcBorders>
            <w:vAlign w:val="center"/>
          </w:tcPr>
          <w:p w14:paraId="236288DA">
            <w:pPr>
              <w:spacing w:line="240" w:lineRule="atLeast"/>
              <w:ind w:left="-48" w:leftChars="-23" w:right="-65" w:rightChars="-31"/>
              <w:jc w:val="left"/>
              <w:rPr>
                <w:rFonts w:hint="eastAsia" w:cs="宋体"/>
                <w:szCs w:val="24"/>
              </w:rPr>
            </w:pPr>
          </w:p>
        </w:tc>
        <w:tc>
          <w:tcPr>
            <w:tcW w:w="560" w:type="pct"/>
            <w:tcBorders>
              <w:left w:val="single" w:color="auto" w:sz="4" w:space="0"/>
            </w:tcBorders>
            <w:shd w:val="clear" w:color="auto" w:fill="auto"/>
            <w:vAlign w:val="center"/>
          </w:tcPr>
          <w:p w14:paraId="53B24EE4">
            <w:pPr>
              <w:spacing w:line="240" w:lineRule="atLeast"/>
              <w:ind w:left="-48" w:leftChars="-23" w:right="-65" w:rightChars="-31"/>
              <w:jc w:val="left"/>
              <w:rPr>
                <w:rFonts w:hint="default" w:eastAsia="宋体" w:cs="宋体"/>
                <w:szCs w:val="24"/>
                <w:lang w:val="en-US" w:eastAsia="zh-CN"/>
              </w:rPr>
            </w:pPr>
            <w:r>
              <w:rPr>
                <w:rFonts w:hint="eastAsia" w:cs="宋体"/>
                <w:szCs w:val="24"/>
                <w:lang w:val="en-US" w:eastAsia="zh-CN"/>
              </w:rPr>
              <w:t>...</w:t>
            </w:r>
          </w:p>
        </w:tc>
        <w:tc>
          <w:tcPr>
            <w:tcW w:w="511" w:type="pct"/>
            <w:tcBorders>
              <w:left w:val="single" w:color="auto" w:sz="4" w:space="0"/>
            </w:tcBorders>
            <w:shd w:val="clear" w:color="auto" w:fill="auto"/>
            <w:vAlign w:val="center"/>
          </w:tcPr>
          <w:p w14:paraId="2C7EE97E">
            <w:pPr>
              <w:spacing w:line="240" w:lineRule="atLeast"/>
              <w:ind w:left="-48" w:leftChars="-23" w:right="-65" w:rightChars="-31"/>
              <w:jc w:val="left"/>
              <w:rPr>
                <w:rFonts w:hint="eastAsia" w:eastAsia="宋体" w:cs="宋体"/>
                <w:szCs w:val="24"/>
                <w:lang w:val="en-US" w:eastAsia="zh-CN"/>
              </w:rPr>
            </w:pPr>
          </w:p>
        </w:tc>
        <w:tc>
          <w:tcPr>
            <w:tcW w:w="606" w:type="pct"/>
            <w:tcBorders>
              <w:left w:val="single" w:color="auto" w:sz="4" w:space="0"/>
            </w:tcBorders>
            <w:shd w:val="clear" w:color="auto" w:fill="auto"/>
            <w:vAlign w:val="center"/>
          </w:tcPr>
          <w:p w14:paraId="7D55CCBC">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4A3183CF">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689037C1">
            <w:pPr>
              <w:spacing w:line="240" w:lineRule="atLeast"/>
              <w:ind w:left="-48" w:leftChars="-23" w:right="-65" w:rightChars="-31"/>
              <w:jc w:val="left"/>
              <w:rPr>
                <w:rFonts w:cs="宋体"/>
                <w:szCs w:val="24"/>
              </w:rPr>
            </w:pPr>
          </w:p>
        </w:tc>
      </w:tr>
      <w:tr w14:paraId="291B38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vMerge w:val="continue"/>
            <w:shd w:val="clear" w:color="auto" w:fill="auto"/>
            <w:vAlign w:val="center"/>
          </w:tcPr>
          <w:p w14:paraId="5818CE3A">
            <w:pPr>
              <w:tabs>
                <w:tab w:val="left" w:pos="61"/>
              </w:tabs>
              <w:jc w:val="center"/>
            </w:pPr>
          </w:p>
        </w:tc>
        <w:tc>
          <w:tcPr>
            <w:tcW w:w="201" w:type="pct"/>
            <w:vMerge w:val="continue"/>
            <w:shd w:val="clear" w:color="auto" w:fill="auto"/>
            <w:vAlign w:val="center"/>
          </w:tcPr>
          <w:p w14:paraId="5530FE59">
            <w:pPr>
              <w:tabs>
                <w:tab w:val="left" w:pos="0"/>
                <w:tab w:val="left" w:pos="56"/>
              </w:tabs>
              <w:ind w:left="547" w:hanging="478" w:hangingChars="228"/>
              <w:jc w:val="center"/>
            </w:pPr>
          </w:p>
        </w:tc>
        <w:tc>
          <w:tcPr>
            <w:tcW w:w="380" w:type="pct"/>
            <w:vMerge w:val="continue"/>
            <w:shd w:val="clear" w:color="auto" w:fill="auto"/>
            <w:vAlign w:val="center"/>
          </w:tcPr>
          <w:p w14:paraId="68A909D4">
            <w:pPr>
              <w:spacing w:line="240" w:lineRule="atLeast"/>
              <w:ind w:left="-48" w:leftChars="-23" w:right="-65" w:rightChars="-31"/>
              <w:jc w:val="left"/>
              <w:rPr>
                <w:rFonts w:cs="宋体"/>
                <w:szCs w:val="24"/>
              </w:rPr>
            </w:pPr>
          </w:p>
        </w:tc>
        <w:tc>
          <w:tcPr>
            <w:tcW w:w="282" w:type="pct"/>
            <w:vMerge w:val="continue"/>
            <w:tcBorders>
              <w:left w:val="single" w:color="auto" w:sz="4" w:space="0"/>
            </w:tcBorders>
            <w:shd w:val="clear" w:color="auto" w:fill="auto"/>
            <w:vAlign w:val="center"/>
          </w:tcPr>
          <w:p w14:paraId="3B997D96">
            <w:pPr>
              <w:spacing w:line="240" w:lineRule="atLeast"/>
              <w:ind w:left="-48" w:leftChars="-23" w:right="-65" w:rightChars="-31"/>
              <w:jc w:val="left"/>
              <w:rPr>
                <w:rFonts w:cs="宋体"/>
                <w:szCs w:val="24"/>
              </w:rPr>
            </w:pPr>
          </w:p>
        </w:tc>
        <w:tc>
          <w:tcPr>
            <w:tcW w:w="478" w:type="pct"/>
            <w:vMerge w:val="continue"/>
            <w:tcBorders>
              <w:left w:val="single" w:color="auto" w:sz="4" w:space="0"/>
              <w:right w:val="single" w:color="auto" w:sz="4" w:space="0"/>
            </w:tcBorders>
            <w:shd w:val="clear" w:color="auto" w:fill="auto"/>
            <w:vAlign w:val="center"/>
          </w:tcPr>
          <w:p w14:paraId="0915F4C3">
            <w:pPr>
              <w:spacing w:line="240" w:lineRule="atLeast"/>
              <w:ind w:left="-48" w:leftChars="-23" w:right="-65" w:rightChars="-31"/>
              <w:jc w:val="left"/>
              <w:rPr>
                <w:rFonts w:cs="宋体"/>
                <w:szCs w:val="24"/>
              </w:rPr>
            </w:pPr>
          </w:p>
        </w:tc>
        <w:tc>
          <w:tcPr>
            <w:tcW w:w="692" w:type="pct"/>
            <w:tcBorders>
              <w:left w:val="single" w:color="auto" w:sz="4" w:space="0"/>
              <w:right w:val="single" w:color="auto" w:sz="4" w:space="0"/>
            </w:tcBorders>
            <w:vAlign w:val="center"/>
          </w:tcPr>
          <w:p w14:paraId="55B3EF5C">
            <w:pPr>
              <w:spacing w:line="240" w:lineRule="atLeast"/>
              <w:ind w:left="-48" w:leftChars="-23" w:right="-65" w:rightChars="-31"/>
              <w:jc w:val="left"/>
              <w:rPr>
                <w:rFonts w:hint="default" w:eastAsia="宋体" w:cs="宋体"/>
                <w:szCs w:val="24"/>
                <w:lang w:val="en-US" w:eastAsia="zh-CN"/>
              </w:rPr>
            </w:pPr>
            <w:r>
              <w:rPr>
                <w:rFonts w:hint="eastAsia" w:cs="宋体"/>
                <w:szCs w:val="24"/>
                <w:lang w:val="en-US" w:eastAsia="zh-CN"/>
              </w:rPr>
              <w:t>其他成本</w:t>
            </w:r>
          </w:p>
        </w:tc>
        <w:tc>
          <w:tcPr>
            <w:tcW w:w="560" w:type="pct"/>
            <w:tcBorders>
              <w:left w:val="single" w:color="auto" w:sz="4" w:space="0"/>
            </w:tcBorders>
            <w:shd w:val="clear" w:color="auto" w:fill="auto"/>
            <w:vAlign w:val="center"/>
          </w:tcPr>
          <w:p w14:paraId="28AD62CC">
            <w:pPr>
              <w:spacing w:line="240" w:lineRule="atLeast"/>
              <w:ind w:left="-48" w:leftChars="-23" w:right="-65" w:rightChars="-31"/>
              <w:jc w:val="left"/>
              <w:rPr>
                <w:rFonts w:hint="eastAsia" w:eastAsia="宋体" w:cs="宋体"/>
                <w:szCs w:val="24"/>
                <w:lang w:val="en-US" w:eastAsia="zh-CN"/>
              </w:rPr>
            </w:pPr>
          </w:p>
        </w:tc>
        <w:tc>
          <w:tcPr>
            <w:tcW w:w="511" w:type="pct"/>
            <w:tcBorders>
              <w:left w:val="single" w:color="auto" w:sz="4" w:space="0"/>
            </w:tcBorders>
            <w:shd w:val="clear" w:color="auto" w:fill="auto"/>
            <w:vAlign w:val="center"/>
          </w:tcPr>
          <w:p w14:paraId="480F1EE7">
            <w:pPr>
              <w:spacing w:line="240" w:lineRule="atLeast"/>
              <w:ind w:left="-48" w:leftChars="-23" w:right="-65" w:rightChars="-31"/>
              <w:jc w:val="left"/>
              <w:rPr>
                <w:rFonts w:hint="eastAsia" w:eastAsia="宋体" w:cs="宋体"/>
                <w:szCs w:val="24"/>
                <w:lang w:val="en-US" w:eastAsia="zh-CN"/>
              </w:rPr>
            </w:pPr>
          </w:p>
        </w:tc>
        <w:tc>
          <w:tcPr>
            <w:tcW w:w="606" w:type="pct"/>
            <w:tcBorders>
              <w:left w:val="single" w:color="auto" w:sz="4" w:space="0"/>
            </w:tcBorders>
            <w:shd w:val="clear" w:color="auto" w:fill="auto"/>
            <w:vAlign w:val="center"/>
          </w:tcPr>
          <w:p w14:paraId="1DFF4C39">
            <w:pPr>
              <w:spacing w:line="240" w:lineRule="atLeast"/>
              <w:ind w:left="-48" w:leftChars="-23" w:right="-65" w:rightChars="-31"/>
              <w:jc w:val="left"/>
              <w:rPr>
                <w:rFonts w:cs="宋体"/>
                <w:szCs w:val="24"/>
              </w:rPr>
            </w:pPr>
          </w:p>
        </w:tc>
        <w:tc>
          <w:tcPr>
            <w:tcW w:w="449" w:type="pct"/>
            <w:vMerge w:val="continue"/>
            <w:tcBorders>
              <w:left w:val="single" w:color="auto" w:sz="4" w:space="0"/>
            </w:tcBorders>
            <w:shd w:val="clear" w:color="auto" w:fill="auto"/>
            <w:vAlign w:val="center"/>
          </w:tcPr>
          <w:p w14:paraId="593452B9">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1EA1D96E">
            <w:pPr>
              <w:spacing w:line="240" w:lineRule="atLeast"/>
              <w:ind w:left="-48" w:leftChars="-23" w:right="-65" w:rightChars="-31"/>
              <w:jc w:val="left"/>
              <w:rPr>
                <w:rFonts w:cs="宋体"/>
                <w:szCs w:val="24"/>
              </w:rPr>
            </w:pPr>
          </w:p>
        </w:tc>
      </w:tr>
      <w:tr w14:paraId="3AF8D6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6" w:hRule="atLeast"/>
          <w:jc w:val="center"/>
        </w:trPr>
        <w:tc>
          <w:tcPr>
            <w:tcW w:w="245" w:type="pct"/>
            <w:shd w:val="clear" w:color="auto" w:fill="auto"/>
            <w:vAlign w:val="center"/>
          </w:tcPr>
          <w:p w14:paraId="14707BF8">
            <w:pPr>
              <w:tabs>
                <w:tab w:val="left" w:pos="61"/>
              </w:tabs>
              <w:jc w:val="center"/>
              <w:rPr>
                <w:rFonts w:hint="eastAsia" w:eastAsia="宋体"/>
                <w:lang w:val="en-US" w:eastAsia="zh-CN"/>
              </w:rPr>
            </w:pPr>
            <w:r>
              <w:rPr>
                <w:rFonts w:hint="eastAsia"/>
                <w:lang w:val="en-US" w:eastAsia="zh-CN"/>
              </w:rPr>
              <w:t>2</w:t>
            </w:r>
          </w:p>
        </w:tc>
        <w:tc>
          <w:tcPr>
            <w:tcW w:w="201" w:type="pct"/>
            <w:shd w:val="clear" w:color="auto" w:fill="auto"/>
            <w:vAlign w:val="center"/>
          </w:tcPr>
          <w:p w14:paraId="2637B63F">
            <w:pPr>
              <w:tabs>
                <w:tab w:val="left" w:pos="0"/>
                <w:tab w:val="left" w:pos="56"/>
              </w:tabs>
              <w:ind w:left="547" w:hanging="478" w:hangingChars="228"/>
              <w:jc w:val="center"/>
            </w:pPr>
          </w:p>
        </w:tc>
        <w:tc>
          <w:tcPr>
            <w:tcW w:w="380" w:type="pct"/>
            <w:shd w:val="clear" w:color="auto" w:fill="auto"/>
            <w:vAlign w:val="center"/>
          </w:tcPr>
          <w:p w14:paraId="2118CF07">
            <w:pPr>
              <w:spacing w:line="240" w:lineRule="atLeast"/>
              <w:ind w:left="-48" w:leftChars="-23" w:right="-65" w:rightChars="-31"/>
              <w:jc w:val="left"/>
              <w:rPr>
                <w:rFonts w:cs="宋体"/>
                <w:szCs w:val="24"/>
              </w:rPr>
            </w:pPr>
          </w:p>
        </w:tc>
        <w:tc>
          <w:tcPr>
            <w:tcW w:w="282" w:type="pct"/>
            <w:tcBorders>
              <w:left w:val="single" w:color="auto" w:sz="4" w:space="0"/>
            </w:tcBorders>
            <w:shd w:val="clear" w:color="auto" w:fill="auto"/>
            <w:vAlign w:val="center"/>
          </w:tcPr>
          <w:p w14:paraId="1F00C114">
            <w:pPr>
              <w:spacing w:line="240" w:lineRule="atLeast"/>
              <w:ind w:left="-48" w:leftChars="-23" w:right="-65" w:rightChars="-31"/>
              <w:jc w:val="left"/>
              <w:rPr>
                <w:rFonts w:cs="宋体"/>
                <w:szCs w:val="24"/>
              </w:rPr>
            </w:pPr>
          </w:p>
        </w:tc>
        <w:tc>
          <w:tcPr>
            <w:tcW w:w="478" w:type="pct"/>
            <w:tcBorders>
              <w:left w:val="single" w:color="auto" w:sz="4" w:space="0"/>
              <w:right w:val="single" w:color="auto" w:sz="4" w:space="0"/>
            </w:tcBorders>
            <w:shd w:val="clear" w:color="auto" w:fill="auto"/>
            <w:vAlign w:val="center"/>
          </w:tcPr>
          <w:p w14:paraId="39DA2191">
            <w:pPr>
              <w:spacing w:line="240" w:lineRule="atLeast"/>
              <w:ind w:left="-48" w:leftChars="-23" w:right="-65" w:rightChars="-31"/>
              <w:jc w:val="left"/>
              <w:rPr>
                <w:rFonts w:cs="宋体"/>
                <w:szCs w:val="24"/>
              </w:rPr>
            </w:pPr>
          </w:p>
        </w:tc>
        <w:tc>
          <w:tcPr>
            <w:tcW w:w="692" w:type="pct"/>
            <w:tcBorders>
              <w:left w:val="single" w:color="auto" w:sz="4" w:space="0"/>
              <w:right w:val="single" w:color="auto" w:sz="4" w:space="0"/>
            </w:tcBorders>
          </w:tcPr>
          <w:p w14:paraId="65D21A97">
            <w:pPr>
              <w:spacing w:line="240" w:lineRule="atLeast"/>
              <w:ind w:left="-48" w:leftChars="-23" w:right="-65" w:rightChars="-31"/>
              <w:jc w:val="left"/>
              <w:rPr>
                <w:rFonts w:hint="eastAsia" w:cs="宋体"/>
                <w:szCs w:val="24"/>
              </w:rPr>
            </w:pPr>
          </w:p>
        </w:tc>
        <w:tc>
          <w:tcPr>
            <w:tcW w:w="560" w:type="pct"/>
            <w:tcBorders>
              <w:left w:val="single" w:color="auto" w:sz="4" w:space="0"/>
            </w:tcBorders>
            <w:shd w:val="clear" w:color="auto" w:fill="auto"/>
            <w:vAlign w:val="center"/>
          </w:tcPr>
          <w:p w14:paraId="488B511B">
            <w:pPr>
              <w:spacing w:line="240" w:lineRule="atLeast"/>
              <w:ind w:left="-48" w:leftChars="-23" w:right="-65" w:rightChars="-31"/>
              <w:jc w:val="left"/>
              <w:rPr>
                <w:rFonts w:cs="宋体"/>
                <w:szCs w:val="24"/>
              </w:rPr>
            </w:pPr>
          </w:p>
        </w:tc>
        <w:tc>
          <w:tcPr>
            <w:tcW w:w="511" w:type="pct"/>
            <w:tcBorders>
              <w:left w:val="single" w:color="auto" w:sz="4" w:space="0"/>
            </w:tcBorders>
            <w:shd w:val="clear" w:color="auto" w:fill="auto"/>
            <w:vAlign w:val="center"/>
          </w:tcPr>
          <w:p w14:paraId="630599EE">
            <w:pPr>
              <w:spacing w:line="240" w:lineRule="atLeast"/>
              <w:ind w:left="-48" w:leftChars="-23" w:right="-65" w:rightChars="-31"/>
              <w:jc w:val="left"/>
              <w:rPr>
                <w:rFonts w:cs="宋体"/>
                <w:szCs w:val="24"/>
              </w:rPr>
            </w:pPr>
          </w:p>
        </w:tc>
        <w:tc>
          <w:tcPr>
            <w:tcW w:w="606" w:type="pct"/>
            <w:tcBorders>
              <w:left w:val="single" w:color="auto" w:sz="4" w:space="0"/>
            </w:tcBorders>
            <w:shd w:val="clear" w:color="auto" w:fill="auto"/>
            <w:vAlign w:val="center"/>
          </w:tcPr>
          <w:p w14:paraId="2392663E">
            <w:pPr>
              <w:spacing w:line="240" w:lineRule="atLeast"/>
              <w:ind w:left="-48" w:leftChars="-23" w:right="-65" w:rightChars="-31"/>
              <w:jc w:val="left"/>
              <w:rPr>
                <w:rFonts w:cs="宋体"/>
                <w:szCs w:val="24"/>
              </w:rPr>
            </w:pPr>
          </w:p>
        </w:tc>
        <w:tc>
          <w:tcPr>
            <w:tcW w:w="449" w:type="pct"/>
            <w:tcBorders>
              <w:left w:val="single" w:color="auto" w:sz="4" w:space="0"/>
            </w:tcBorders>
            <w:shd w:val="clear" w:color="auto" w:fill="auto"/>
            <w:vAlign w:val="center"/>
          </w:tcPr>
          <w:p w14:paraId="729BB8DB">
            <w:pPr>
              <w:spacing w:line="240" w:lineRule="atLeast"/>
              <w:ind w:left="-48" w:leftChars="-23" w:right="-65" w:rightChars="-31"/>
              <w:jc w:val="left"/>
              <w:rPr>
                <w:rFonts w:cs="宋体"/>
                <w:szCs w:val="24"/>
              </w:rPr>
            </w:pPr>
          </w:p>
        </w:tc>
        <w:tc>
          <w:tcPr>
            <w:tcW w:w="587" w:type="pct"/>
            <w:tcBorders>
              <w:left w:val="single" w:color="auto" w:sz="4" w:space="0"/>
            </w:tcBorders>
            <w:shd w:val="clear" w:color="auto" w:fill="auto"/>
            <w:vAlign w:val="center"/>
          </w:tcPr>
          <w:p w14:paraId="24ACDC09">
            <w:pPr>
              <w:spacing w:line="240" w:lineRule="atLeast"/>
              <w:ind w:left="-48" w:leftChars="-23" w:right="-65" w:rightChars="-31"/>
              <w:jc w:val="left"/>
              <w:rPr>
                <w:rFonts w:cs="宋体"/>
                <w:szCs w:val="24"/>
              </w:rPr>
            </w:pPr>
          </w:p>
        </w:tc>
      </w:tr>
      <w:tr w14:paraId="645FD7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4" w:hRule="atLeast"/>
          <w:jc w:val="center"/>
        </w:trPr>
        <w:tc>
          <w:tcPr>
            <w:tcW w:w="245" w:type="pct"/>
            <w:tcBorders>
              <w:bottom w:val="single" w:color="auto" w:sz="4" w:space="0"/>
            </w:tcBorders>
            <w:shd w:val="clear" w:color="auto" w:fill="auto"/>
            <w:vAlign w:val="center"/>
          </w:tcPr>
          <w:p w14:paraId="563A9DFF">
            <w:pPr>
              <w:tabs>
                <w:tab w:val="left" w:pos="82"/>
              </w:tabs>
              <w:jc w:val="center"/>
            </w:pPr>
            <w:r>
              <w:rPr>
                <w:rFonts w:hint="eastAsia"/>
              </w:rPr>
              <w:t>…</w:t>
            </w:r>
          </w:p>
        </w:tc>
        <w:tc>
          <w:tcPr>
            <w:tcW w:w="201" w:type="pct"/>
            <w:tcBorders>
              <w:bottom w:val="single" w:color="auto" w:sz="4" w:space="0"/>
            </w:tcBorders>
            <w:shd w:val="clear" w:color="auto" w:fill="auto"/>
            <w:vAlign w:val="center"/>
          </w:tcPr>
          <w:p w14:paraId="5E924863">
            <w:pPr>
              <w:spacing w:line="240" w:lineRule="atLeast"/>
              <w:ind w:left="-48" w:leftChars="-23" w:right="-65" w:rightChars="-31"/>
              <w:jc w:val="left"/>
              <w:rPr>
                <w:rFonts w:cs="宋体"/>
                <w:szCs w:val="24"/>
              </w:rPr>
            </w:pPr>
          </w:p>
        </w:tc>
        <w:tc>
          <w:tcPr>
            <w:tcW w:w="380" w:type="pct"/>
            <w:tcBorders>
              <w:bottom w:val="single" w:color="auto" w:sz="4" w:space="0"/>
            </w:tcBorders>
            <w:shd w:val="clear" w:color="auto" w:fill="auto"/>
            <w:vAlign w:val="center"/>
          </w:tcPr>
          <w:p w14:paraId="7F8C583D">
            <w:pPr>
              <w:spacing w:line="240" w:lineRule="atLeast"/>
              <w:ind w:left="-48" w:leftChars="-23" w:right="-65" w:rightChars="-31"/>
              <w:jc w:val="left"/>
              <w:rPr>
                <w:rFonts w:cs="宋体"/>
                <w:szCs w:val="24"/>
              </w:rPr>
            </w:pPr>
          </w:p>
        </w:tc>
        <w:tc>
          <w:tcPr>
            <w:tcW w:w="282" w:type="pct"/>
            <w:tcBorders>
              <w:left w:val="single" w:color="auto" w:sz="4" w:space="0"/>
              <w:bottom w:val="single" w:color="auto" w:sz="4" w:space="0"/>
            </w:tcBorders>
            <w:shd w:val="clear" w:color="auto" w:fill="auto"/>
            <w:vAlign w:val="center"/>
          </w:tcPr>
          <w:p w14:paraId="4319768C">
            <w:pPr>
              <w:spacing w:line="240" w:lineRule="atLeast"/>
              <w:ind w:left="-48" w:leftChars="-23" w:right="-65" w:rightChars="-31"/>
              <w:jc w:val="left"/>
              <w:rPr>
                <w:rFonts w:cs="宋体"/>
                <w:szCs w:val="24"/>
              </w:rPr>
            </w:pPr>
          </w:p>
        </w:tc>
        <w:tc>
          <w:tcPr>
            <w:tcW w:w="478" w:type="pct"/>
            <w:tcBorders>
              <w:left w:val="single" w:color="auto" w:sz="4" w:space="0"/>
              <w:bottom w:val="single" w:color="auto" w:sz="4" w:space="0"/>
              <w:right w:val="single" w:color="auto" w:sz="4" w:space="0"/>
            </w:tcBorders>
            <w:shd w:val="clear" w:color="auto" w:fill="auto"/>
            <w:vAlign w:val="center"/>
          </w:tcPr>
          <w:p w14:paraId="33135464">
            <w:pPr>
              <w:spacing w:line="240" w:lineRule="atLeast"/>
              <w:ind w:left="-48" w:leftChars="-23" w:right="-65" w:rightChars="-31"/>
              <w:jc w:val="left"/>
              <w:rPr>
                <w:rFonts w:cs="宋体"/>
                <w:szCs w:val="24"/>
              </w:rPr>
            </w:pPr>
          </w:p>
        </w:tc>
        <w:tc>
          <w:tcPr>
            <w:tcW w:w="692" w:type="pct"/>
            <w:tcBorders>
              <w:left w:val="single" w:color="auto" w:sz="4" w:space="0"/>
              <w:bottom w:val="single" w:color="auto" w:sz="4" w:space="0"/>
              <w:right w:val="single" w:color="auto" w:sz="4" w:space="0"/>
            </w:tcBorders>
          </w:tcPr>
          <w:p w14:paraId="57E57687">
            <w:pPr>
              <w:spacing w:line="240" w:lineRule="atLeast"/>
              <w:ind w:left="-48" w:leftChars="-23" w:right="-65" w:rightChars="-31"/>
              <w:jc w:val="left"/>
              <w:rPr>
                <w:rFonts w:cs="宋体"/>
                <w:szCs w:val="24"/>
              </w:rPr>
            </w:pPr>
          </w:p>
        </w:tc>
        <w:tc>
          <w:tcPr>
            <w:tcW w:w="560" w:type="pct"/>
            <w:tcBorders>
              <w:left w:val="single" w:color="auto" w:sz="4" w:space="0"/>
              <w:bottom w:val="single" w:color="auto" w:sz="4" w:space="0"/>
            </w:tcBorders>
            <w:shd w:val="clear" w:color="auto" w:fill="auto"/>
            <w:vAlign w:val="center"/>
          </w:tcPr>
          <w:p w14:paraId="1B29C270">
            <w:pPr>
              <w:spacing w:line="240" w:lineRule="atLeast"/>
              <w:ind w:left="-48" w:leftChars="-23" w:right="-65" w:rightChars="-31"/>
              <w:jc w:val="left"/>
              <w:rPr>
                <w:rFonts w:cs="宋体"/>
                <w:szCs w:val="24"/>
              </w:rPr>
            </w:pPr>
          </w:p>
        </w:tc>
        <w:tc>
          <w:tcPr>
            <w:tcW w:w="511" w:type="pct"/>
            <w:tcBorders>
              <w:left w:val="single" w:color="auto" w:sz="4" w:space="0"/>
              <w:bottom w:val="single" w:color="auto" w:sz="4" w:space="0"/>
            </w:tcBorders>
            <w:shd w:val="clear" w:color="auto" w:fill="auto"/>
            <w:vAlign w:val="center"/>
          </w:tcPr>
          <w:p w14:paraId="4EC1DCA5">
            <w:pPr>
              <w:spacing w:line="240" w:lineRule="atLeast"/>
              <w:ind w:left="-48" w:leftChars="-23" w:right="-65" w:rightChars="-31"/>
              <w:jc w:val="left"/>
              <w:rPr>
                <w:rFonts w:cs="宋体"/>
                <w:szCs w:val="24"/>
              </w:rPr>
            </w:pPr>
          </w:p>
          <w:p w14:paraId="56BF2198"/>
        </w:tc>
        <w:tc>
          <w:tcPr>
            <w:tcW w:w="606" w:type="pct"/>
            <w:tcBorders>
              <w:left w:val="single" w:color="auto" w:sz="4" w:space="0"/>
              <w:bottom w:val="single" w:color="auto" w:sz="4" w:space="0"/>
            </w:tcBorders>
            <w:shd w:val="clear" w:color="auto" w:fill="auto"/>
            <w:vAlign w:val="center"/>
          </w:tcPr>
          <w:p w14:paraId="6DA7B2EB"/>
        </w:tc>
        <w:tc>
          <w:tcPr>
            <w:tcW w:w="449" w:type="pct"/>
            <w:tcBorders>
              <w:left w:val="single" w:color="auto" w:sz="4" w:space="0"/>
              <w:bottom w:val="single" w:color="auto" w:sz="4" w:space="0"/>
            </w:tcBorders>
            <w:shd w:val="clear" w:color="auto" w:fill="auto"/>
            <w:vAlign w:val="center"/>
          </w:tcPr>
          <w:p w14:paraId="0D352044">
            <w:pPr>
              <w:spacing w:line="240" w:lineRule="atLeast"/>
              <w:ind w:left="-48" w:leftChars="-23" w:right="-65" w:rightChars="-31"/>
              <w:jc w:val="left"/>
              <w:rPr>
                <w:rFonts w:cs="宋体"/>
                <w:szCs w:val="24"/>
              </w:rPr>
            </w:pPr>
          </w:p>
        </w:tc>
        <w:tc>
          <w:tcPr>
            <w:tcW w:w="587" w:type="pct"/>
            <w:tcBorders>
              <w:left w:val="single" w:color="auto" w:sz="4" w:space="0"/>
              <w:bottom w:val="single" w:color="auto" w:sz="4" w:space="0"/>
            </w:tcBorders>
            <w:shd w:val="clear" w:color="auto" w:fill="auto"/>
            <w:vAlign w:val="center"/>
          </w:tcPr>
          <w:p w14:paraId="2EBEC3BF">
            <w:pPr>
              <w:spacing w:line="240" w:lineRule="atLeast"/>
              <w:ind w:left="-48" w:leftChars="-23" w:right="-65" w:rightChars="-31"/>
              <w:jc w:val="left"/>
              <w:rPr>
                <w:rFonts w:cs="宋体"/>
                <w:szCs w:val="24"/>
              </w:rPr>
            </w:pPr>
          </w:p>
        </w:tc>
      </w:tr>
    </w:tbl>
    <w:p w14:paraId="474E7602">
      <w:pPr>
        <w:spacing w:line="360" w:lineRule="auto"/>
        <w:jc w:val="left"/>
        <w:rPr>
          <w:szCs w:val="21"/>
        </w:rPr>
      </w:pPr>
    </w:p>
    <w:p w14:paraId="752808A1">
      <w:pPr>
        <w:spacing w:line="360" w:lineRule="auto"/>
        <w:jc w:val="left"/>
        <w:rPr>
          <w:szCs w:val="21"/>
        </w:rPr>
      </w:pPr>
      <w:r>
        <w:rPr>
          <w:rFonts w:hint="eastAsia"/>
          <w:szCs w:val="21"/>
          <w:lang w:val="en-US" w:eastAsia="zh-CN"/>
        </w:rPr>
        <w:t>说明：项目具体成本测算等与报价合理性相关的书面说明及必要的证明材料，包括但不限于原材料成本、人工成本、制造费用等</w:t>
      </w:r>
    </w:p>
    <w:p w14:paraId="598510DD">
      <w:pPr>
        <w:spacing w:line="360" w:lineRule="auto"/>
        <w:ind w:firstLine="6090" w:firstLineChars="2900"/>
        <w:jc w:val="left"/>
        <w:rPr>
          <w:szCs w:val="21"/>
        </w:rPr>
      </w:pPr>
      <w:r>
        <w:rPr>
          <w:szCs w:val="21"/>
        </w:rPr>
        <w:t>供应商名称（</w:t>
      </w:r>
      <w:r>
        <w:rPr>
          <w:rFonts w:hint="eastAsia"/>
          <w:szCs w:val="21"/>
        </w:rPr>
        <w:t>电子签章</w:t>
      </w:r>
      <w:r>
        <w:rPr>
          <w:szCs w:val="21"/>
        </w:rPr>
        <w:t>）：</w:t>
      </w:r>
      <w:r>
        <w:rPr>
          <w:szCs w:val="21"/>
          <w:u w:val="single"/>
        </w:rPr>
        <w:t xml:space="preserve">                          </w:t>
      </w:r>
    </w:p>
    <w:p w14:paraId="334743E0">
      <w:pPr>
        <w:spacing w:line="360" w:lineRule="auto"/>
        <w:ind w:firstLine="6090" w:firstLineChars="2900"/>
        <w:jc w:val="left"/>
        <w:rPr>
          <w:szCs w:val="21"/>
        </w:rPr>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pPr>
      <w:r>
        <w:rPr>
          <w:szCs w:val="21"/>
        </w:rPr>
        <w:t>日  期</w:t>
      </w:r>
      <w:r>
        <w:rPr>
          <w:rFonts w:hint="eastAsia" w:eastAsia="宋体"/>
          <w:szCs w:val="21"/>
          <w:lang w:eastAsia="zh-CN"/>
        </w:rPr>
        <w:t>：</w:t>
      </w:r>
      <w:r>
        <w:rPr>
          <w:szCs w:val="21"/>
          <w:u w:val="single"/>
        </w:rPr>
        <w:t xml:space="preserve">         </w:t>
      </w:r>
      <w:r>
        <w:rPr>
          <w:szCs w:val="21"/>
        </w:rPr>
        <w:t>年</w:t>
      </w:r>
      <w:r>
        <w:rPr>
          <w:szCs w:val="21"/>
          <w:u w:val="single"/>
        </w:rPr>
        <w:t xml:space="preserve">   </w:t>
      </w:r>
      <w:r>
        <w:rPr>
          <w:szCs w:val="21"/>
        </w:rPr>
        <w:t>月</w:t>
      </w:r>
      <w:r>
        <w:rPr>
          <w:szCs w:val="21"/>
          <w:u w:val="single"/>
        </w:rPr>
        <w:t xml:space="preserve">   </w:t>
      </w:r>
    </w:p>
    <w:bookmarkEnd w:id="174"/>
    <w:p w14:paraId="70D8819B">
      <w:pPr>
        <w:widowControl/>
        <w:jc w:val="left"/>
        <w:outlineLvl w:val="1"/>
        <w:rPr>
          <w:szCs w:val="21"/>
        </w:rPr>
      </w:pPr>
      <w:bookmarkStart w:id="176" w:name="_Hlk88990880"/>
    </w:p>
    <w:p w14:paraId="0A21D426">
      <w:pPr>
        <w:widowControl/>
        <w:jc w:val="left"/>
        <w:outlineLvl w:val="1"/>
        <w:rPr>
          <w:szCs w:val="21"/>
        </w:rPr>
      </w:pPr>
      <w:r>
        <w:rPr>
          <w:rFonts w:hint="eastAsia"/>
          <w:szCs w:val="21"/>
          <w:lang w:val="en-US" w:eastAsia="zh-CN"/>
        </w:rPr>
        <w:t>4</w:t>
      </w:r>
      <w:r>
        <w:rPr>
          <w:rFonts w:hint="eastAsia"/>
          <w:szCs w:val="21"/>
        </w:rPr>
        <w:t>．开标一览表</w:t>
      </w:r>
    </w:p>
    <w:p w14:paraId="6E4CFAEB">
      <w:pPr>
        <w:widowControl/>
        <w:jc w:val="left"/>
        <w:rPr>
          <w:color w:val="4472C4"/>
          <w:szCs w:val="21"/>
        </w:rPr>
      </w:pPr>
    </w:p>
    <w:p w14:paraId="37AE0F2D">
      <w:pPr>
        <w:widowControl/>
        <w:jc w:val="left"/>
        <w:rPr>
          <w:color w:val="4472C4"/>
          <w:szCs w:val="21"/>
        </w:rPr>
      </w:pPr>
    </w:p>
    <w:p w14:paraId="3880E96A">
      <w:pPr>
        <w:widowControl/>
        <w:jc w:val="left"/>
        <w:rPr>
          <w:color w:val="4472C4"/>
          <w:szCs w:val="21"/>
        </w:rPr>
      </w:pPr>
    </w:p>
    <w:p w14:paraId="486EEAE2">
      <w:pPr>
        <w:rPr>
          <w:b/>
          <w:szCs w:val="21"/>
        </w:rPr>
      </w:pPr>
    </w:p>
    <w:p w14:paraId="5C860530">
      <w:pPr>
        <w:rPr>
          <w:b/>
          <w:szCs w:val="21"/>
        </w:rPr>
      </w:pPr>
    </w:p>
    <w:p w14:paraId="77D8EB09">
      <w:pPr>
        <w:rPr>
          <w:b/>
          <w:szCs w:val="21"/>
        </w:rPr>
      </w:pPr>
      <w:r>
        <w:rPr>
          <w:rFonts w:hint="eastAsia"/>
          <w:b/>
          <w:szCs w:val="21"/>
        </w:rPr>
        <w:t>格式详见</w:t>
      </w:r>
      <w:r>
        <w:rPr>
          <w:rFonts w:hint="eastAsia"/>
          <w:szCs w:val="21"/>
        </w:rPr>
        <w:t>广西政府采购云平台</w:t>
      </w:r>
      <w:r>
        <w:rPr>
          <w:rFonts w:hint="eastAsia"/>
          <w:b/>
          <w:szCs w:val="21"/>
        </w:rPr>
        <w:t>，且仅在</w:t>
      </w:r>
      <w:r>
        <w:rPr>
          <w:rFonts w:hint="eastAsia"/>
          <w:szCs w:val="21"/>
        </w:rPr>
        <w:t>广西政府采购云平台</w:t>
      </w:r>
      <w:r>
        <w:rPr>
          <w:rFonts w:hint="eastAsia"/>
          <w:b/>
          <w:szCs w:val="21"/>
        </w:rPr>
        <w:t>填写即可。</w:t>
      </w:r>
    </w:p>
    <w:bookmarkEnd w:id="176"/>
    <w:p w14:paraId="40F7433E">
      <w:pPr>
        <w:widowControl/>
        <w:jc w:val="left"/>
        <w:rPr>
          <w:color w:val="4472C4"/>
          <w:szCs w:val="21"/>
        </w:rPr>
      </w:pPr>
    </w:p>
    <w:sectPr>
      <w:pgSz w:w="11906" w:h="16838"/>
      <w:pgMar w:top="1418" w:right="1133" w:bottom="1246" w:left="1418"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A09DC">
    <w:pPr>
      <w:pStyle w:val="34"/>
      <w:jc w:val="center"/>
    </w:pPr>
    <w:r>
      <w:fldChar w:fldCharType="begin"/>
    </w:r>
    <w:r>
      <w:instrText xml:space="preserve">PAGE   \* MERGEFORMAT</w:instrText>
    </w:r>
    <w:r>
      <w:fldChar w:fldCharType="separate"/>
    </w:r>
    <w:r>
      <w:rPr>
        <w:lang w:val="zh-CN"/>
      </w:rPr>
      <w:t>35</w:t>
    </w:r>
    <w:r>
      <w:fldChar w:fldCharType="end"/>
    </w:r>
  </w:p>
  <w:p w14:paraId="626EA9E5">
    <w:pPr>
      <w:pStyle w:val="3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238A">
    <w:pPr>
      <w:pStyle w:val="34"/>
      <w:ind w:right="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BF9BF">
    <w:pPr>
      <w:pStyle w:val="34"/>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168BC">
    <w:pPr>
      <w:pStyle w:val="3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21EB8">
                          <w:pPr>
                            <w:pStyle w:val="34"/>
                            <w:jc w:val="center"/>
                          </w:pPr>
                          <w:r>
                            <w:fldChar w:fldCharType="begin"/>
                          </w:r>
                          <w:r>
                            <w:instrText xml:space="preserve">PAGE   \* MERGEFORMAT</w:instrText>
                          </w:r>
                          <w:r>
                            <w:fldChar w:fldCharType="separate"/>
                          </w:r>
                          <w:r>
                            <w:rPr>
                              <w:lang w:val="zh-CN"/>
                            </w:rP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D721EB8">
                    <w:pPr>
                      <w:pStyle w:val="34"/>
                      <w:jc w:val="center"/>
                    </w:pPr>
                    <w:r>
                      <w:fldChar w:fldCharType="begin"/>
                    </w:r>
                    <w:r>
                      <w:instrText xml:space="preserve">PAGE   \* MERGEFORMAT</w:instrText>
                    </w:r>
                    <w:r>
                      <w:fldChar w:fldCharType="separate"/>
                    </w:r>
                    <w:r>
                      <w:rPr>
                        <w:lang w:val="zh-CN"/>
                      </w:rPr>
                      <w:t>35</w:t>
                    </w:r>
                    <w:r>
                      <w:fldChar w:fldCharType="end"/>
                    </w:r>
                  </w:p>
                </w:txbxContent>
              </v:textbox>
            </v:shape>
          </w:pict>
        </mc:Fallback>
      </mc:AlternateContent>
    </w:r>
  </w:p>
  <w:p w14:paraId="03587212">
    <w:pPr>
      <w:pStyle w:val="3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0411E">
    <w:pPr>
      <w:pStyle w:val="34"/>
      <w:ind w:right="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0B2C15">
                          <w:pPr>
                            <w:pStyle w:val="3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A0B2C15">
                    <w:pPr>
                      <w:pStyle w:val="3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3E940">
    <w:pPr>
      <w:spacing w:line="226" w:lineRule="exact"/>
      <w:ind w:left="473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51156D">
                          <w:pPr>
                            <w:pStyle w:val="34"/>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51156D">
                    <w:pPr>
                      <w:pStyle w:val="34"/>
                    </w:pPr>
                    <w:r>
                      <w:fldChar w:fldCharType="begin"/>
                    </w:r>
                    <w:r>
                      <w:instrText xml:space="preserve"> PAGE  \* MERGEFORMAT </w:instrText>
                    </w:r>
                    <w:r>
                      <w:fldChar w:fldCharType="separate"/>
                    </w:r>
                    <w:r>
                      <w:t>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0CD10">
    <w:pPr>
      <w:pStyle w:val="35"/>
      <w:jc w:val="left"/>
    </w:pPr>
    <w:r>
      <w:rPr>
        <w:rFonts w:hint="eastAsia"/>
      </w:rPr>
      <w:t>广西机电设备招标有限公司招标文件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6BFD7">
    <w:pPr>
      <w:pStyle w:val="3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1E501">
    <w:pPr>
      <w:pStyle w:val="35"/>
      <w:jc w:val="left"/>
    </w:pPr>
    <w:r>
      <w:rPr>
        <w:rFonts w:hint="eastAsia"/>
      </w:rPr>
      <w:t xml:space="preserve">广西机电设备招标有限公司招标文件                                                               </w:t>
    </w:r>
  </w:p>
  <w:p w14:paraId="12C4BA08">
    <w:pPr>
      <w:pStyle w:val="3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ECD1">
    <w:pPr>
      <w:pStyle w:val="35"/>
      <w:jc w:val="left"/>
    </w:pPr>
    <w:r>
      <w:rPr>
        <w:rFonts w:hint="eastAsia"/>
      </w:rPr>
      <w:t xml:space="preserve">广西机电设备招标有限公司招标文件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6B119">
    <w:pPr>
      <w:pStyle w:val="35"/>
      <w:jc w:val="left"/>
    </w:pPr>
    <w:r>
      <w:rPr>
        <w:rFonts w:hint="eastAsia"/>
      </w:rPr>
      <w:t xml:space="preserve">广西机电设备招标有限公司招标文件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43867">
    <w:pPr>
      <w:pStyle w:val="35"/>
      <w:jc w:val="left"/>
    </w:pPr>
    <w:r>
      <w:rPr>
        <w:rFonts w:hint="eastAsia"/>
      </w:rPr>
      <w:t>广西机电设备招标有限公司招标文件                                                     评标方法及评标标准</w:t>
    </w:r>
  </w:p>
  <w:p w14:paraId="7A0E49AB">
    <w:pPr>
      <w:pStyle w:val="35"/>
      <w:pBdr>
        <w:bottom w:val="none" w:color="auto" w:sz="0" w:space="0"/>
      </w:pBdr>
      <w:jc w:val="lef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25A24">
    <w:pPr>
      <w:rPr>
        <w:sz w:val="18"/>
        <w:szCs w:val="18"/>
        <w:u w:val="single"/>
      </w:rPr>
    </w:pPr>
    <w:r>
      <w:rPr>
        <w:rFonts w:hint="eastAsia"/>
        <w:sz w:val="18"/>
        <w:szCs w:val="18"/>
        <w:u w:val="single"/>
      </w:rPr>
      <w:t xml:space="preserve">广西机电设备招标有限公司招标文件                                             </w:t>
    </w:r>
    <w:r>
      <w:rPr>
        <w:sz w:val="18"/>
        <w:szCs w:val="18"/>
        <w:u w:val="single"/>
      </w:rPr>
      <w:t xml:space="preserve">            </w:t>
    </w:r>
    <w:r>
      <w:rPr>
        <w:rFonts w:hint="eastAsia"/>
        <w:sz w:val="18"/>
        <w:szCs w:val="18"/>
        <w:u w:val="singl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3"/>
    <w:multiLevelType w:val="multilevel"/>
    <w:tmpl w:val="00000013"/>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3B026C45"/>
    <w:multiLevelType w:val="multilevel"/>
    <w:tmpl w:val="3B026C45"/>
    <w:lvl w:ilvl="0" w:tentative="0">
      <w:start w:val="1"/>
      <w:numFmt w:val="decimal"/>
      <w:lvlText w:val="%1"/>
      <w:lvlJc w:val="center"/>
      <w:pPr>
        <w:ind w:left="420" w:hanging="420"/>
      </w:pPr>
      <w:rPr>
        <w:rFonts w:hint="eastAsia"/>
        <w:b w:val="0"/>
        <w:i w:val="0"/>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isplayHorizontalDrawingGridEvery w:val="1"/>
  <w:displayVerticalDrawingGridEvery w:val="1"/>
  <w:noPunctuationKerning w:val="1"/>
  <w:characterSpacingControl w:val="doNotCompress"/>
  <w:compat>
    <w:doNotLeaveBackslashAlon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3B8"/>
    <w:rsid w:val="000003EF"/>
    <w:rsid w:val="00000653"/>
    <w:rsid w:val="000008B9"/>
    <w:rsid w:val="0000091B"/>
    <w:rsid w:val="00000ADC"/>
    <w:rsid w:val="00000D0A"/>
    <w:rsid w:val="00000D19"/>
    <w:rsid w:val="00000E1A"/>
    <w:rsid w:val="000011C3"/>
    <w:rsid w:val="00001B3E"/>
    <w:rsid w:val="00001B68"/>
    <w:rsid w:val="00001CD6"/>
    <w:rsid w:val="00001D8F"/>
    <w:rsid w:val="00001E6F"/>
    <w:rsid w:val="00001FB8"/>
    <w:rsid w:val="000020DA"/>
    <w:rsid w:val="00002AC8"/>
    <w:rsid w:val="00002DDA"/>
    <w:rsid w:val="00002F41"/>
    <w:rsid w:val="00003255"/>
    <w:rsid w:val="000033BC"/>
    <w:rsid w:val="00003428"/>
    <w:rsid w:val="00003544"/>
    <w:rsid w:val="00003C81"/>
    <w:rsid w:val="00003D02"/>
    <w:rsid w:val="00003DAE"/>
    <w:rsid w:val="00003DDF"/>
    <w:rsid w:val="0000436E"/>
    <w:rsid w:val="000046C2"/>
    <w:rsid w:val="000055C3"/>
    <w:rsid w:val="000056BC"/>
    <w:rsid w:val="000058D7"/>
    <w:rsid w:val="00005E55"/>
    <w:rsid w:val="0000644D"/>
    <w:rsid w:val="00006E2C"/>
    <w:rsid w:val="00007315"/>
    <w:rsid w:val="00007501"/>
    <w:rsid w:val="000079FF"/>
    <w:rsid w:val="00007B0D"/>
    <w:rsid w:val="00007F38"/>
    <w:rsid w:val="000102A9"/>
    <w:rsid w:val="00010339"/>
    <w:rsid w:val="000105C3"/>
    <w:rsid w:val="00011B70"/>
    <w:rsid w:val="00011D72"/>
    <w:rsid w:val="00011DE9"/>
    <w:rsid w:val="00012078"/>
    <w:rsid w:val="00012218"/>
    <w:rsid w:val="00012320"/>
    <w:rsid w:val="0001242C"/>
    <w:rsid w:val="00012447"/>
    <w:rsid w:val="000128AC"/>
    <w:rsid w:val="000129EA"/>
    <w:rsid w:val="00013034"/>
    <w:rsid w:val="00013166"/>
    <w:rsid w:val="00013350"/>
    <w:rsid w:val="0001338B"/>
    <w:rsid w:val="00013391"/>
    <w:rsid w:val="000136AF"/>
    <w:rsid w:val="00013748"/>
    <w:rsid w:val="00013AE8"/>
    <w:rsid w:val="00013D41"/>
    <w:rsid w:val="00013D8B"/>
    <w:rsid w:val="000143A3"/>
    <w:rsid w:val="000144F2"/>
    <w:rsid w:val="000145E3"/>
    <w:rsid w:val="00014CA6"/>
    <w:rsid w:val="00014DD6"/>
    <w:rsid w:val="0001532B"/>
    <w:rsid w:val="0001598C"/>
    <w:rsid w:val="00016007"/>
    <w:rsid w:val="000169F3"/>
    <w:rsid w:val="00016C31"/>
    <w:rsid w:val="00016CE3"/>
    <w:rsid w:val="00016D4C"/>
    <w:rsid w:val="0001710D"/>
    <w:rsid w:val="00017504"/>
    <w:rsid w:val="00017758"/>
    <w:rsid w:val="000178D7"/>
    <w:rsid w:val="00017900"/>
    <w:rsid w:val="00017C14"/>
    <w:rsid w:val="00017E50"/>
    <w:rsid w:val="00017F40"/>
    <w:rsid w:val="000204C7"/>
    <w:rsid w:val="0002053C"/>
    <w:rsid w:val="00020670"/>
    <w:rsid w:val="00020861"/>
    <w:rsid w:val="00020BB1"/>
    <w:rsid w:val="00020BF0"/>
    <w:rsid w:val="00020C0B"/>
    <w:rsid w:val="00020F60"/>
    <w:rsid w:val="00020FAF"/>
    <w:rsid w:val="000215B7"/>
    <w:rsid w:val="000217BF"/>
    <w:rsid w:val="00021C98"/>
    <w:rsid w:val="00021CCD"/>
    <w:rsid w:val="00021EE3"/>
    <w:rsid w:val="00022395"/>
    <w:rsid w:val="00022808"/>
    <w:rsid w:val="000228AB"/>
    <w:rsid w:val="00022C7D"/>
    <w:rsid w:val="00022E58"/>
    <w:rsid w:val="00022F2A"/>
    <w:rsid w:val="00022F8B"/>
    <w:rsid w:val="00022FB8"/>
    <w:rsid w:val="00023147"/>
    <w:rsid w:val="00023187"/>
    <w:rsid w:val="000233CA"/>
    <w:rsid w:val="00023436"/>
    <w:rsid w:val="0002351E"/>
    <w:rsid w:val="00023652"/>
    <w:rsid w:val="000236EE"/>
    <w:rsid w:val="00023731"/>
    <w:rsid w:val="00024633"/>
    <w:rsid w:val="0002469F"/>
    <w:rsid w:val="00024D61"/>
    <w:rsid w:val="0002535B"/>
    <w:rsid w:val="0002560A"/>
    <w:rsid w:val="00025B64"/>
    <w:rsid w:val="00025DA0"/>
    <w:rsid w:val="00026003"/>
    <w:rsid w:val="000262BC"/>
    <w:rsid w:val="0002696D"/>
    <w:rsid w:val="0002754D"/>
    <w:rsid w:val="00027666"/>
    <w:rsid w:val="000276B2"/>
    <w:rsid w:val="00027833"/>
    <w:rsid w:val="00027A1D"/>
    <w:rsid w:val="00027A46"/>
    <w:rsid w:val="00027AF3"/>
    <w:rsid w:val="00027C79"/>
    <w:rsid w:val="00030024"/>
    <w:rsid w:val="00030124"/>
    <w:rsid w:val="000302F0"/>
    <w:rsid w:val="000305FD"/>
    <w:rsid w:val="0003081E"/>
    <w:rsid w:val="0003084F"/>
    <w:rsid w:val="00030C2F"/>
    <w:rsid w:val="00031169"/>
    <w:rsid w:val="0003129D"/>
    <w:rsid w:val="00031692"/>
    <w:rsid w:val="00031757"/>
    <w:rsid w:val="00031B37"/>
    <w:rsid w:val="00031DDD"/>
    <w:rsid w:val="00031E69"/>
    <w:rsid w:val="00032686"/>
    <w:rsid w:val="0003274B"/>
    <w:rsid w:val="00032AD8"/>
    <w:rsid w:val="00032ADF"/>
    <w:rsid w:val="00032D8D"/>
    <w:rsid w:val="000331CC"/>
    <w:rsid w:val="0003322E"/>
    <w:rsid w:val="00033856"/>
    <w:rsid w:val="00033927"/>
    <w:rsid w:val="00034443"/>
    <w:rsid w:val="00034833"/>
    <w:rsid w:val="00034947"/>
    <w:rsid w:val="00034A89"/>
    <w:rsid w:val="000352BA"/>
    <w:rsid w:val="000357B7"/>
    <w:rsid w:val="00035840"/>
    <w:rsid w:val="00035844"/>
    <w:rsid w:val="00035A8D"/>
    <w:rsid w:val="00035C94"/>
    <w:rsid w:val="00035F2C"/>
    <w:rsid w:val="00035F8C"/>
    <w:rsid w:val="000360DB"/>
    <w:rsid w:val="00036107"/>
    <w:rsid w:val="0003613D"/>
    <w:rsid w:val="00036383"/>
    <w:rsid w:val="00036BAA"/>
    <w:rsid w:val="00036E33"/>
    <w:rsid w:val="00037101"/>
    <w:rsid w:val="00037C2D"/>
    <w:rsid w:val="00037C63"/>
    <w:rsid w:val="00037CE4"/>
    <w:rsid w:val="00037DB6"/>
    <w:rsid w:val="00037DD8"/>
    <w:rsid w:val="00037FD7"/>
    <w:rsid w:val="00040187"/>
    <w:rsid w:val="000401FD"/>
    <w:rsid w:val="0004079D"/>
    <w:rsid w:val="00040AC1"/>
    <w:rsid w:val="00040ED3"/>
    <w:rsid w:val="0004139C"/>
    <w:rsid w:val="000415E3"/>
    <w:rsid w:val="000418B1"/>
    <w:rsid w:val="00041C02"/>
    <w:rsid w:val="00042280"/>
    <w:rsid w:val="0004231D"/>
    <w:rsid w:val="000424AB"/>
    <w:rsid w:val="00042BF9"/>
    <w:rsid w:val="00042ED7"/>
    <w:rsid w:val="000431D3"/>
    <w:rsid w:val="00043295"/>
    <w:rsid w:val="0004377D"/>
    <w:rsid w:val="00043C71"/>
    <w:rsid w:val="00043FFA"/>
    <w:rsid w:val="00044236"/>
    <w:rsid w:val="00044578"/>
    <w:rsid w:val="00044990"/>
    <w:rsid w:val="00044A8C"/>
    <w:rsid w:val="00044AF1"/>
    <w:rsid w:val="00044D55"/>
    <w:rsid w:val="00045069"/>
    <w:rsid w:val="00045070"/>
    <w:rsid w:val="000450D9"/>
    <w:rsid w:val="000450F6"/>
    <w:rsid w:val="000451CD"/>
    <w:rsid w:val="000453FC"/>
    <w:rsid w:val="00045947"/>
    <w:rsid w:val="000459FB"/>
    <w:rsid w:val="000462A8"/>
    <w:rsid w:val="00046360"/>
    <w:rsid w:val="0004653D"/>
    <w:rsid w:val="000465AB"/>
    <w:rsid w:val="00046E59"/>
    <w:rsid w:val="000472E6"/>
    <w:rsid w:val="000479CD"/>
    <w:rsid w:val="000479FF"/>
    <w:rsid w:val="00047CF5"/>
    <w:rsid w:val="00047FDF"/>
    <w:rsid w:val="000500E6"/>
    <w:rsid w:val="000504FE"/>
    <w:rsid w:val="000513E2"/>
    <w:rsid w:val="00051C80"/>
    <w:rsid w:val="00051D87"/>
    <w:rsid w:val="00051F04"/>
    <w:rsid w:val="00052326"/>
    <w:rsid w:val="000529E7"/>
    <w:rsid w:val="00052DBE"/>
    <w:rsid w:val="00053175"/>
    <w:rsid w:val="000534EE"/>
    <w:rsid w:val="0005359C"/>
    <w:rsid w:val="00053628"/>
    <w:rsid w:val="0005387F"/>
    <w:rsid w:val="00053BFC"/>
    <w:rsid w:val="00053EED"/>
    <w:rsid w:val="0005428F"/>
    <w:rsid w:val="00054331"/>
    <w:rsid w:val="000544F4"/>
    <w:rsid w:val="000545D3"/>
    <w:rsid w:val="00054676"/>
    <w:rsid w:val="000547E4"/>
    <w:rsid w:val="00054870"/>
    <w:rsid w:val="00054AB0"/>
    <w:rsid w:val="00054ABD"/>
    <w:rsid w:val="00054CCC"/>
    <w:rsid w:val="00054D04"/>
    <w:rsid w:val="00054F7D"/>
    <w:rsid w:val="00055230"/>
    <w:rsid w:val="00055279"/>
    <w:rsid w:val="00055557"/>
    <w:rsid w:val="000555EA"/>
    <w:rsid w:val="00055945"/>
    <w:rsid w:val="00055A8A"/>
    <w:rsid w:val="00055AF4"/>
    <w:rsid w:val="00055E6D"/>
    <w:rsid w:val="00055FB0"/>
    <w:rsid w:val="0005625F"/>
    <w:rsid w:val="0005649E"/>
    <w:rsid w:val="0005682D"/>
    <w:rsid w:val="00056945"/>
    <w:rsid w:val="0005700C"/>
    <w:rsid w:val="00057393"/>
    <w:rsid w:val="00057988"/>
    <w:rsid w:val="00057E45"/>
    <w:rsid w:val="0006027F"/>
    <w:rsid w:val="00060523"/>
    <w:rsid w:val="000606B6"/>
    <w:rsid w:val="000609AC"/>
    <w:rsid w:val="0006122E"/>
    <w:rsid w:val="0006148A"/>
    <w:rsid w:val="000618AE"/>
    <w:rsid w:val="00062637"/>
    <w:rsid w:val="0006263C"/>
    <w:rsid w:val="00062653"/>
    <w:rsid w:val="00062949"/>
    <w:rsid w:val="000631AC"/>
    <w:rsid w:val="000631B7"/>
    <w:rsid w:val="000633DD"/>
    <w:rsid w:val="00063420"/>
    <w:rsid w:val="00063894"/>
    <w:rsid w:val="000639D4"/>
    <w:rsid w:val="00063B14"/>
    <w:rsid w:val="00063B29"/>
    <w:rsid w:val="0006408F"/>
    <w:rsid w:val="00064189"/>
    <w:rsid w:val="000642D1"/>
    <w:rsid w:val="000646CC"/>
    <w:rsid w:val="00064840"/>
    <w:rsid w:val="00064882"/>
    <w:rsid w:val="000648B7"/>
    <w:rsid w:val="00064A48"/>
    <w:rsid w:val="00064AEB"/>
    <w:rsid w:val="00064C80"/>
    <w:rsid w:val="00065429"/>
    <w:rsid w:val="00065587"/>
    <w:rsid w:val="000657C2"/>
    <w:rsid w:val="00065AB7"/>
    <w:rsid w:val="00065BFE"/>
    <w:rsid w:val="00065C40"/>
    <w:rsid w:val="00065D71"/>
    <w:rsid w:val="000666D4"/>
    <w:rsid w:val="000673D8"/>
    <w:rsid w:val="000673E7"/>
    <w:rsid w:val="00067DE7"/>
    <w:rsid w:val="00070106"/>
    <w:rsid w:val="0007014F"/>
    <w:rsid w:val="00070517"/>
    <w:rsid w:val="000706AC"/>
    <w:rsid w:val="00070950"/>
    <w:rsid w:val="000709D3"/>
    <w:rsid w:val="00070A7D"/>
    <w:rsid w:val="00070AAB"/>
    <w:rsid w:val="000712F8"/>
    <w:rsid w:val="00071A68"/>
    <w:rsid w:val="00071A6A"/>
    <w:rsid w:val="00071A8B"/>
    <w:rsid w:val="00071C95"/>
    <w:rsid w:val="0007240C"/>
    <w:rsid w:val="00072627"/>
    <w:rsid w:val="00072A95"/>
    <w:rsid w:val="00072AB4"/>
    <w:rsid w:val="00072CEC"/>
    <w:rsid w:val="0007368B"/>
    <w:rsid w:val="00073C3B"/>
    <w:rsid w:val="00074144"/>
    <w:rsid w:val="000744D4"/>
    <w:rsid w:val="000745E9"/>
    <w:rsid w:val="00074674"/>
    <w:rsid w:val="000747B7"/>
    <w:rsid w:val="00074923"/>
    <w:rsid w:val="00074EE8"/>
    <w:rsid w:val="00075092"/>
    <w:rsid w:val="000750EA"/>
    <w:rsid w:val="000750F3"/>
    <w:rsid w:val="0007539D"/>
    <w:rsid w:val="00075562"/>
    <w:rsid w:val="00075A8D"/>
    <w:rsid w:val="00076542"/>
    <w:rsid w:val="000770BC"/>
    <w:rsid w:val="00077359"/>
    <w:rsid w:val="000774F1"/>
    <w:rsid w:val="00077698"/>
    <w:rsid w:val="000777B1"/>
    <w:rsid w:val="00077891"/>
    <w:rsid w:val="0007797E"/>
    <w:rsid w:val="00077C1B"/>
    <w:rsid w:val="0008006B"/>
    <w:rsid w:val="0008017C"/>
    <w:rsid w:val="00080321"/>
    <w:rsid w:val="00080AA6"/>
    <w:rsid w:val="00080BE2"/>
    <w:rsid w:val="00080DA9"/>
    <w:rsid w:val="00080DF6"/>
    <w:rsid w:val="00081BF9"/>
    <w:rsid w:val="00081C1C"/>
    <w:rsid w:val="00081ECB"/>
    <w:rsid w:val="0008224F"/>
    <w:rsid w:val="000822F0"/>
    <w:rsid w:val="000824BD"/>
    <w:rsid w:val="00082611"/>
    <w:rsid w:val="00082617"/>
    <w:rsid w:val="0008264F"/>
    <w:rsid w:val="00082C85"/>
    <w:rsid w:val="0008304A"/>
    <w:rsid w:val="0008372E"/>
    <w:rsid w:val="00083A64"/>
    <w:rsid w:val="00083AC4"/>
    <w:rsid w:val="00083B97"/>
    <w:rsid w:val="000842B5"/>
    <w:rsid w:val="00085560"/>
    <w:rsid w:val="00085A86"/>
    <w:rsid w:val="00085E63"/>
    <w:rsid w:val="00086067"/>
    <w:rsid w:val="000866A9"/>
    <w:rsid w:val="00086975"/>
    <w:rsid w:val="00086EC2"/>
    <w:rsid w:val="000870C0"/>
    <w:rsid w:val="00087358"/>
    <w:rsid w:val="000873F5"/>
    <w:rsid w:val="000876C2"/>
    <w:rsid w:val="0008771A"/>
    <w:rsid w:val="00087736"/>
    <w:rsid w:val="00087B15"/>
    <w:rsid w:val="00087E2E"/>
    <w:rsid w:val="000900DF"/>
    <w:rsid w:val="00090193"/>
    <w:rsid w:val="0009021F"/>
    <w:rsid w:val="00090524"/>
    <w:rsid w:val="00090794"/>
    <w:rsid w:val="000907D1"/>
    <w:rsid w:val="00091332"/>
    <w:rsid w:val="0009134B"/>
    <w:rsid w:val="000919E1"/>
    <w:rsid w:val="00091AE8"/>
    <w:rsid w:val="00091D8D"/>
    <w:rsid w:val="00092F17"/>
    <w:rsid w:val="00093869"/>
    <w:rsid w:val="00093BC0"/>
    <w:rsid w:val="00093D1A"/>
    <w:rsid w:val="00093DF8"/>
    <w:rsid w:val="00093E53"/>
    <w:rsid w:val="000941F6"/>
    <w:rsid w:val="000942AF"/>
    <w:rsid w:val="0009454A"/>
    <w:rsid w:val="000945C5"/>
    <w:rsid w:val="00094ECF"/>
    <w:rsid w:val="00095092"/>
    <w:rsid w:val="000955B6"/>
    <w:rsid w:val="0009592E"/>
    <w:rsid w:val="00095AAF"/>
    <w:rsid w:val="00095B76"/>
    <w:rsid w:val="00095ECB"/>
    <w:rsid w:val="00096D28"/>
    <w:rsid w:val="0009715C"/>
    <w:rsid w:val="00097406"/>
    <w:rsid w:val="000975D5"/>
    <w:rsid w:val="00097D9D"/>
    <w:rsid w:val="00097F93"/>
    <w:rsid w:val="00097F98"/>
    <w:rsid w:val="00097FE0"/>
    <w:rsid w:val="000A062D"/>
    <w:rsid w:val="000A07F9"/>
    <w:rsid w:val="000A0A59"/>
    <w:rsid w:val="000A10DB"/>
    <w:rsid w:val="000A111D"/>
    <w:rsid w:val="000A117F"/>
    <w:rsid w:val="000A128A"/>
    <w:rsid w:val="000A147E"/>
    <w:rsid w:val="000A165F"/>
    <w:rsid w:val="000A21D0"/>
    <w:rsid w:val="000A262B"/>
    <w:rsid w:val="000A27A2"/>
    <w:rsid w:val="000A2960"/>
    <w:rsid w:val="000A2968"/>
    <w:rsid w:val="000A299E"/>
    <w:rsid w:val="000A2AE9"/>
    <w:rsid w:val="000A2C66"/>
    <w:rsid w:val="000A2D6D"/>
    <w:rsid w:val="000A2E12"/>
    <w:rsid w:val="000A2E97"/>
    <w:rsid w:val="000A32CC"/>
    <w:rsid w:val="000A3515"/>
    <w:rsid w:val="000A3518"/>
    <w:rsid w:val="000A3B53"/>
    <w:rsid w:val="000A4852"/>
    <w:rsid w:val="000A4ACE"/>
    <w:rsid w:val="000A4C12"/>
    <w:rsid w:val="000A509A"/>
    <w:rsid w:val="000A56E6"/>
    <w:rsid w:val="000A6C4D"/>
    <w:rsid w:val="000A6C54"/>
    <w:rsid w:val="000A6E22"/>
    <w:rsid w:val="000A6F1D"/>
    <w:rsid w:val="000A707B"/>
    <w:rsid w:val="000A70C7"/>
    <w:rsid w:val="000A7238"/>
    <w:rsid w:val="000A745D"/>
    <w:rsid w:val="000A78BB"/>
    <w:rsid w:val="000A791D"/>
    <w:rsid w:val="000A7931"/>
    <w:rsid w:val="000B034B"/>
    <w:rsid w:val="000B0720"/>
    <w:rsid w:val="000B08E4"/>
    <w:rsid w:val="000B09FE"/>
    <w:rsid w:val="000B0BB1"/>
    <w:rsid w:val="000B15EF"/>
    <w:rsid w:val="000B1F65"/>
    <w:rsid w:val="000B2185"/>
    <w:rsid w:val="000B23BA"/>
    <w:rsid w:val="000B2492"/>
    <w:rsid w:val="000B26D6"/>
    <w:rsid w:val="000B2D1E"/>
    <w:rsid w:val="000B316D"/>
    <w:rsid w:val="000B3194"/>
    <w:rsid w:val="000B3CFE"/>
    <w:rsid w:val="000B40B2"/>
    <w:rsid w:val="000B44CF"/>
    <w:rsid w:val="000B45B1"/>
    <w:rsid w:val="000B49F7"/>
    <w:rsid w:val="000B4EF3"/>
    <w:rsid w:val="000B51CB"/>
    <w:rsid w:val="000B554C"/>
    <w:rsid w:val="000B5D87"/>
    <w:rsid w:val="000B60C6"/>
    <w:rsid w:val="000B6115"/>
    <w:rsid w:val="000B68A5"/>
    <w:rsid w:val="000B6F18"/>
    <w:rsid w:val="000B70DB"/>
    <w:rsid w:val="000B71FC"/>
    <w:rsid w:val="000B76E7"/>
    <w:rsid w:val="000B797D"/>
    <w:rsid w:val="000B7AC2"/>
    <w:rsid w:val="000B7E6D"/>
    <w:rsid w:val="000B7F80"/>
    <w:rsid w:val="000C04DC"/>
    <w:rsid w:val="000C0869"/>
    <w:rsid w:val="000C099A"/>
    <w:rsid w:val="000C0A0F"/>
    <w:rsid w:val="000C1322"/>
    <w:rsid w:val="000C1825"/>
    <w:rsid w:val="000C1979"/>
    <w:rsid w:val="000C19D0"/>
    <w:rsid w:val="000C1DBB"/>
    <w:rsid w:val="000C20B5"/>
    <w:rsid w:val="000C2508"/>
    <w:rsid w:val="000C270D"/>
    <w:rsid w:val="000C2AE8"/>
    <w:rsid w:val="000C2B1E"/>
    <w:rsid w:val="000C2C63"/>
    <w:rsid w:val="000C350A"/>
    <w:rsid w:val="000C3518"/>
    <w:rsid w:val="000C3762"/>
    <w:rsid w:val="000C41CD"/>
    <w:rsid w:val="000C4988"/>
    <w:rsid w:val="000C501B"/>
    <w:rsid w:val="000C5167"/>
    <w:rsid w:val="000C57DD"/>
    <w:rsid w:val="000C59D1"/>
    <w:rsid w:val="000C5C88"/>
    <w:rsid w:val="000C5E1C"/>
    <w:rsid w:val="000C6176"/>
    <w:rsid w:val="000C61B8"/>
    <w:rsid w:val="000C620D"/>
    <w:rsid w:val="000C64D1"/>
    <w:rsid w:val="000C655F"/>
    <w:rsid w:val="000C669B"/>
    <w:rsid w:val="000C66AB"/>
    <w:rsid w:val="000C6872"/>
    <w:rsid w:val="000C6DEA"/>
    <w:rsid w:val="000C7045"/>
    <w:rsid w:val="000C718C"/>
    <w:rsid w:val="000C71D4"/>
    <w:rsid w:val="000C7563"/>
    <w:rsid w:val="000C757A"/>
    <w:rsid w:val="000C77C4"/>
    <w:rsid w:val="000C7D9F"/>
    <w:rsid w:val="000D074C"/>
    <w:rsid w:val="000D0C28"/>
    <w:rsid w:val="000D0F0F"/>
    <w:rsid w:val="000D0F2E"/>
    <w:rsid w:val="000D1788"/>
    <w:rsid w:val="000D17CF"/>
    <w:rsid w:val="000D1ACF"/>
    <w:rsid w:val="000D1C4F"/>
    <w:rsid w:val="000D1D6C"/>
    <w:rsid w:val="000D2D0F"/>
    <w:rsid w:val="000D31CB"/>
    <w:rsid w:val="000D3ACA"/>
    <w:rsid w:val="000D3DCE"/>
    <w:rsid w:val="000D3E1B"/>
    <w:rsid w:val="000D3FBF"/>
    <w:rsid w:val="000D4061"/>
    <w:rsid w:val="000D44A4"/>
    <w:rsid w:val="000D47EF"/>
    <w:rsid w:val="000D4860"/>
    <w:rsid w:val="000D48FB"/>
    <w:rsid w:val="000D4933"/>
    <w:rsid w:val="000D4B4F"/>
    <w:rsid w:val="000D4E0B"/>
    <w:rsid w:val="000D4EC1"/>
    <w:rsid w:val="000D55FD"/>
    <w:rsid w:val="000D562F"/>
    <w:rsid w:val="000D56C7"/>
    <w:rsid w:val="000D672C"/>
    <w:rsid w:val="000D68F4"/>
    <w:rsid w:val="000D6A04"/>
    <w:rsid w:val="000D6A61"/>
    <w:rsid w:val="000D6B49"/>
    <w:rsid w:val="000D6C78"/>
    <w:rsid w:val="000D74B9"/>
    <w:rsid w:val="000D77A9"/>
    <w:rsid w:val="000E01DF"/>
    <w:rsid w:val="000E071A"/>
    <w:rsid w:val="000E1094"/>
    <w:rsid w:val="000E129F"/>
    <w:rsid w:val="000E1838"/>
    <w:rsid w:val="000E18A1"/>
    <w:rsid w:val="000E19D1"/>
    <w:rsid w:val="000E1AC3"/>
    <w:rsid w:val="000E1C04"/>
    <w:rsid w:val="000E20DA"/>
    <w:rsid w:val="000E29CF"/>
    <w:rsid w:val="000E2AD1"/>
    <w:rsid w:val="000E2AD8"/>
    <w:rsid w:val="000E2C47"/>
    <w:rsid w:val="000E2F86"/>
    <w:rsid w:val="000E3D2F"/>
    <w:rsid w:val="000E42EF"/>
    <w:rsid w:val="000E4712"/>
    <w:rsid w:val="000E4723"/>
    <w:rsid w:val="000E4757"/>
    <w:rsid w:val="000E4A4B"/>
    <w:rsid w:val="000E4F47"/>
    <w:rsid w:val="000E508E"/>
    <w:rsid w:val="000E565C"/>
    <w:rsid w:val="000E575A"/>
    <w:rsid w:val="000E612C"/>
    <w:rsid w:val="000E6372"/>
    <w:rsid w:val="000E6C14"/>
    <w:rsid w:val="000E6D38"/>
    <w:rsid w:val="000E6D94"/>
    <w:rsid w:val="000E72E7"/>
    <w:rsid w:val="000E72F6"/>
    <w:rsid w:val="000E7533"/>
    <w:rsid w:val="000E75B3"/>
    <w:rsid w:val="000E75D1"/>
    <w:rsid w:val="000E7C51"/>
    <w:rsid w:val="000E7CC8"/>
    <w:rsid w:val="000F0524"/>
    <w:rsid w:val="000F0608"/>
    <w:rsid w:val="000F0D10"/>
    <w:rsid w:val="000F0DEF"/>
    <w:rsid w:val="000F0E1D"/>
    <w:rsid w:val="000F12E7"/>
    <w:rsid w:val="000F1617"/>
    <w:rsid w:val="000F18D8"/>
    <w:rsid w:val="000F1AF3"/>
    <w:rsid w:val="000F1B78"/>
    <w:rsid w:val="000F1F51"/>
    <w:rsid w:val="000F1FB0"/>
    <w:rsid w:val="000F2181"/>
    <w:rsid w:val="000F238F"/>
    <w:rsid w:val="000F24AC"/>
    <w:rsid w:val="000F253C"/>
    <w:rsid w:val="000F28A5"/>
    <w:rsid w:val="000F2943"/>
    <w:rsid w:val="000F2E97"/>
    <w:rsid w:val="000F2F22"/>
    <w:rsid w:val="000F2F60"/>
    <w:rsid w:val="000F3461"/>
    <w:rsid w:val="000F38FC"/>
    <w:rsid w:val="000F40BA"/>
    <w:rsid w:val="000F4486"/>
    <w:rsid w:val="000F4B3A"/>
    <w:rsid w:val="000F4B82"/>
    <w:rsid w:val="000F500A"/>
    <w:rsid w:val="000F506D"/>
    <w:rsid w:val="000F5331"/>
    <w:rsid w:val="000F55C9"/>
    <w:rsid w:val="000F5CAA"/>
    <w:rsid w:val="000F60C1"/>
    <w:rsid w:val="000F6242"/>
    <w:rsid w:val="000F666F"/>
    <w:rsid w:val="000F6CFE"/>
    <w:rsid w:val="000F6F32"/>
    <w:rsid w:val="000F70DA"/>
    <w:rsid w:val="000F75A8"/>
    <w:rsid w:val="000F76E0"/>
    <w:rsid w:val="000F77B5"/>
    <w:rsid w:val="000F78FB"/>
    <w:rsid w:val="000F79FD"/>
    <w:rsid w:val="00100331"/>
    <w:rsid w:val="00101255"/>
    <w:rsid w:val="001014D2"/>
    <w:rsid w:val="001014F7"/>
    <w:rsid w:val="001016BB"/>
    <w:rsid w:val="001018E0"/>
    <w:rsid w:val="00101989"/>
    <w:rsid w:val="00101A37"/>
    <w:rsid w:val="0010251A"/>
    <w:rsid w:val="00102768"/>
    <w:rsid w:val="00102BC3"/>
    <w:rsid w:val="00102EF2"/>
    <w:rsid w:val="00103458"/>
    <w:rsid w:val="001037BD"/>
    <w:rsid w:val="00103BA3"/>
    <w:rsid w:val="0010425A"/>
    <w:rsid w:val="001047CB"/>
    <w:rsid w:val="00104AFF"/>
    <w:rsid w:val="00104E14"/>
    <w:rsid w:val="0010520D"/>
    <w:rsid w:val="001053EE"/>
    <w:rsid w:val="00105629"/>
    <w:rsid w:val="0010574F"/>
    <w:rsid w:val="00105863"/>
    <w:rsid w:val="0010590B"/>
    <w:rsid w:val="00105996"/>
    <w:rsid w:val="001059FC"/>
    <w:rsid w:val="00105A06"/>
    <w:rsid w:val="00105CCB"/>
    <w:rsid w:val="00105F3E"/>
    <w:rsid w:val="00106050"/>
    <w:rsid w:val="00106171"/>
    <w:rsid w:val="001061C3"/>
    <w:rsid w:val="0010624A"/>
    <w:rsid w:val="001066F6"/>
    <w:rsid w:val="00106DC3"/>
    <w:rsid w:val="00107889"/>
    <w:rsid w:val="001078F4"/>
    <w:rsid w:val="001101C7"/>
    <w:rsid w:val="001105FF"/>
    <w:rsid w:val="00110638"/>
    <w:rsid w:val="00110744"/>
    <w:rsid w:val="00110797"/>
    <w:rsid w:val="00110BFA"/>
    <w:rsid w:val="00110E04"/>
    <w:rsid w:val="00111062"/>
    <w:rsid w:val="0011170E"/>
    <w:rsid w:val="00111849"/>
    <w:rsid w:val="00111A34"/>
    <w:rsid w:val="00111ECD"/>
    <w:rsid w:val="001121DD"/>
    <w:rsid w:val="00112340"/>
    <w:rsid w:val="00112D31"/>
    <w:rsid w:val="00112DBF"/>
    <w:rsid w:val="00113646"/>
    <w:rsid w:val="0011371D"/>
    <w:rsid w:val="001137BE"/>
    <w:rsid w:val="00113A1E"/>
    <w:rsid w:val="00113CD1"/>
    <w:rsid w:val="00113FAA"/>
    <w:rsid w:val="00114359"/>
    <w:rsid w:val="0011487E"/>
    <w:rsid w:val="0011492A"/>
    <w:rsid w:val="00115093"/>
    <w:rsid w:val="00115417"/>
    <w:rsid w:val="00115757"/>
    <w:rsid w:val="00115825"/>
    <w:rsid w:val="00115960"/>
    <w:rsid w:val="001161CA"/>
    <w:rsid w:val="00116258"/>
    <w:rsid w:val="00116494"/>
    <w:rsid w:val="00116529"/>
    <w:rsid w:val="001166D3"/>
    <w:rsid w:val="001167AE"/>
    <w:rsid w:val="001167C6"/>
    <w:rsid w:val="00116BE3"/>
    <w:rsid w:val="001170F8"/>
    <w:rsid w:val="00117A39"/>
    <w:rsid w:val="001202C5"/>
    <w:rsid w:val="0012077F"/>
    <w:rsid w:val="00120813"/>
    <w:rsid w:val="0012099E"/>
    <w:rsid w:val="00120CE3"/>
    <w:rsid w:val="00120E60"/>
    <w:rsid w:val="0012130E"/>
    <w:rsid w:val="001213B0"/>
    <w:rsid w:val="00121741"/>
    <w:rsid w:val="001217BA"/>
    <w:rsid w:val="00121832"/>
    <w:rsid w:val="00122050"/>
    <w:rsid w:val="00122232"/>
    <w:rsid w:val="0012235C"/>
    <w:rsid w:val="00122857"/>
    <w:rsid w:val="001229E1"/>
    <w:rsid w:val="00122A75"/>
    <w:rsid w:val="00122E8B"/>
    <w:rsid w:val="00123529"/>
    <w:rsid w:val="0012388E"/>
    <w:rsid w:val="00123DA5"/>
    <w:rsid w:val="00123E7A"/>
    <w:rsid w:val="001241D1"/>
    <w:rsid w:val="00124271"/>
    <w:rsid w:val="00124457"/>
    <w:rsid w:val="00124669"/>
    <w:rsid w:val="0012466D"/>
    <w:rsid w:val="00124985"/>
    <w:rsid w:val="00124DA6"/>
    <w:rsid w:val="00125609"/>
    <w:rsid w:val="001257A9"/>
    <w:rsid w:val="00125CB3"/>
    <w:rsid w:val="00125D8A"/>
    <w:rsid w:val="001260EE"/>
    <w:rsid w:val="00126655"/>
    <w:rsid w:val="00126707"/>
    <w:rsid w:val="0012679D"/>
    <w:rsid w:val="001269E0"/>
    <w:rsid w:val="00126A92"/>
    <w:rsid w:val="00126F2B"/>
    <w:rsid w:val="00126FC8"/>
    <w:rsid w:val="001270F4"/>
    <w:rsid w:val="001274D7"/>
    <w:rsid w:val="00127514"/>
    <w:rsid w:val="001279A3"/>
    <w:rsid w:val="00127B28"/>
    <w:rsid w:val="00127BB4"/>
    <w:rsid w:val="00130992"/>
    <w:rsid w:val="00130D0F"/>
    <w:rsid w:val="00130D23"/>
    <w:rsid w:val="001311C9"/>
    <w:rsid w:val="001312E1"/>
    <w:rsid w:val="00131335"/>
    <w:rsid w:val="00131627"/>
    <w:rsid w:val="001318CD"/>
    <w:rsid w:val="0013190A"/>
    <w:rsid w:val="00131955"/>
    <w:rsid w:val="00131C94"/>
    <w:rsid w:val="00131DE6"/>
    <w:rsid w:val="001321CA"/>
    <w:rsid w:val="001323E6"/>
    <w:rsid w:val="001326D3"/>
    <w:rsid w:val="001326DF"/>
    <w:rsid w:val="00132848"/>
    <w:rsid w:val="001329EC"/>
    <w:rsid w:val="00132A53"/>
    <w:rsid w:val="00132A5F"/>
    <w:rsid w:val="00132AD8"/>
    <w:rsid w:val="00132CCE"/>
    <w:rsid w:val="00133BBE"/>
    <w:rsid w:val="00133D01"/>
    <w:rsid w:val="001342A2"/>
    <w:rsid w:val="00134510"/>
    <w:rsid w:val="00134DD2"/>
    <w:rsid w:val="001358D6"/>
    <w:rsid w:val="00135FDA"/>
    <w:rsid w:val="00136073"/>
    <w:rsid w:val="00136198"/>
    <w:rsid w:val="001361F7"/>
    <w:rsid w:val="00136606"/>
    <w:rsid w:val="0013663C"/>
    <w:rsid w:val="001367BA"/>
    <w:rsid w:val="00136806"/>
    <w:rsid w:val="001369A6"/>
    <w:rsid w:val="00136BD6"/>
    <w:rsid w:val="00136BF1"/>
    <w:rsid w:val="00136DBC"/>
    <w:rsid w:val="00136F77"/>
    <w:rsid w:val="001370A8"/>
    <w:rsid w:val="00137507"/>
    <w:rsid w:val="00137856"/>
    <w:rsid w:val="00137966"/>
    <w:rsid w:val="00137B4E"/>
    <w:rsid w:val="00137BD3"/>
    <w:rsid w:val="00137BD8"/>
    <w:rsid w:val="00137CFE"/>
    <w:rsid w:val="00140291"/>
    <w:rsid w:val="00140866"/>
    <w:rsid w:val="00140D22"/>
    <w:rsid w:val="0014226B"/>
    <w:rsid w:val="0014229D"/>
    <w:rsid w:val="001422BC"/>
    <w:rsid w:val="001422D4"/>
    <w:rsid w:val="0014235F"/>
    <w:rsid w:val="0014236F"/>
    <w:rsid w:val="00142705"/>
    <w:rsid w:val="00142853"/>
    <w:rsid w:val="001428FA"/>
    <w:rsid w:val="00142A87"/>
    <w:rsid w:val="00142C3F"/>
    <w:rsid w:val="001433C6"/>
    <w:rsid w:val="00143A59"/>
    <w:rsid w:val="00143B30"/>
    <w:rsid w:val="00143B37"/>
    <w:rsid w:val="00143B9F"/>
    <w:rsid w:val="0014427F"/>
    <w:rsid w:val="001442C2"/>
    <w:rsid w:val="001449E1"/>
    <w:rsid w:val="00144D5F"/>
    <w:rsid w:val="00144DD9"/>
    <w:rsid w:val="001455BA"/>
    <w:rsid w:val="00145DDE"/>
    <w:rsid w:val="00145F78"/>
    <w:rsid w:val="0014621F"/>
    <w:rsid w:val="0014647C"/>
    <w:rsid w:val="00146907"/>
    <w:rsid w:val="00146E85"/>
    <w:rsid w:val="00147916"/>
    <w:rsid w:val="0014795D"/>
    <w:rsid w:val="001479AA"/>
    <w:rsid w:val="00147F00"/>
    <w:rsid w:val="00150146"/>
    <w:rsid w:val="001502FF"/>
    <w:rsid w:val="00150536"/>
    <w:rsid w:val="00150564"/>
    <w:rsid w:val="001506A7"/>
    <w:rsid w:val="0015087C"/>
    <w:rsid w:val="00150882"/>
    <w:rsid w:val="00150A4A"/>
    <w:rsid w:val="00150D1D"/>
    <w:rsid w:val="00150FCC"/>
    <w:rsid w:val="00150FFB"/>
    <w:rsid w:val="00151671"/>
    <w:rsid w:val="001518B5"/>
    <w:rsid w:val="00151BBA"/>
    <w:rsid w:val="00151BDE"/>
    <w:rsid w:val="00151DC1"/>
    <w:rsid w:val="0015252D"/>
    <w:rsid w:val="00152656"/>
    <w:rsid w:val="00152C00"/>
    <w:rsid w:val="00152C2B"/>
    <w:rsid w:val="00152E98"/>
    <w:rsid w:val="00153084"/>
    <w:rsid w:val="00153A54"/>
    <w:rsid w:val="00153B4B"/>
    <w:rsid w:val="00154072"/>
    <w:rsid w:val="00154264"/>
    <w:rsid w:val="00154304"/>
    <w:rsid w:val="00154493"/>
    <w:rsid w:val="001544EE"/>
    <w:rsid w:val="001546EA"/>
    <w:rsid w:val="0015477A"/>
    <w:rsid w:val="00154902"/>
    <w:rsid w:val="00154913"/>
    <w:rsid w:val="00154951"/>
    <w:rsid w:val="001549E4"/>
    <w:rsid w:val="00154BA6"/>
    <w:rsid w:val="00154F0A"/>
    <w:rsid w:val="001551DA"/>
    <w:rsid w:val="001552AE"/>
    <w:rsid w:val="001559DA"/>
    <w:rsid w:val="00156891"/>
    <w:rsid w:val="00156BA3"/>
    <w:rsid w:val="00157320"/>
    <w:rsid w:val="001579B9"/>
    <w:rsid w:val="001602EB"/>
    <w:rsid w:val="0016080B"/>
    <w:rsid w:val="00160853"/>
    <w:rsid w:val="00160D29"/>
    <w:rsid w:val="00160F65"/>
    <w:rsid w:val="001610EB"/>
    <w:rsid w:val="00161216"/>
    <w:rsid w:val="001614D4"/>
    <w:rsid w:val="00161BB8"/>
    <w:rsid w:val="00161C1F"/>
    <w:rsid w:val="00161C2F"/>
    <w:rsid w:val="00161F11"/>
    <w:rsid w:val="001620B6"/>
    <w:rsid w:val="001622BA"/>
    <w:rsid w:val="00162664"/>
    <w:rsid w:val="00162C60"/>
    <w:rsid w:val="00163194"/>
    <w:rsid w:val="00163499"/>
    <w:rsid w:val="001634CD"/>
    <w:rsid w:val="001638DF"/>
    <w:rsid w:val="001639B6"/>
    <w:rsid w:val="00163DB9"/>
    <w:rsid w:val="00163DD8"/>
    <w:rsid w:val="00163EC3"/>
    <w:rsid w:val="001643DB"/>
    <w:rsid w:val="00164F8F"/>
    <w:rsid w:val="00165130"/>
    <w:rsid w:val="0016529F"/>
    <w:rsid w:val="00165645"/>
    <w:rsid w:val="001658F5"/>
    <w:rsid w:val="00165C1E"/>
    <w:rsid w:val="00165F38"/>
    <w:rsid w:val="001661B8"/>
    <w:rsid w:val="00166237"/>
    <w:rsid w:val="00166385"/>
    <w:rsid w:val="0016644D"/>
    <w:rsid w:val="0016655F"/>
    <w:rsid w:val="00166656"/>
    <w:rsid w:val="001666AA"/>
    <w:rsid w:val="00166EE6"/>
    <w:rsid w:val="001672AF"/>
    <w:rsid w:val="00167454"/>
    <w:rsid w:val="00167460"/>
    <w:rsid w:val="00167517"/>
    <w:rsid w:val="0016764C"/>
    <w:rsid w:val="00170307"/>
    <w:rsid w:val="00170377"/>
    <w:rsid w:val="001706B2"/>
    <w:rsid w:val="00170A14"/>
    <w:rsid w:val="00170B33"/>
    <w:rsid w:val="00170B4C"/>
    <w:rsid w:val="00170F8B"/>
    <w:rsid w:val="00171014"/>
    <w:rsid w:val="0017112B"/>
    <w:rsid w:val="0017113C"/>
    <w:rsid w:val="00171185"/>
    <w:rsid w:val="00171C71"/>
    <w:rsid w:val="00172202"/>
    <w:rsid w:val="001726CF"/>
    <w:rsid w:val="00172A27"/>
    <w:rsid w:val="00172A39"/>
    <w:rsid w:val="00172BAF"/>
    <w:rsid w:val="00172D05"/>
    <w:rsid w:val="00172EC0"/>
    <w:rsid w:val="00173191"/>
    <w:rsid w:val="0017339D"/>
    <w:rsid w:val="00173686"/>
    <w:rsid w:val="001737FE"/>
    <w:rsid w:val="00173E1F"/>
    <w:rsid w:val="00173F0C"/>
    <w:rsid w:val="0017426E"/>
    <w:rsid w:val="00174691"/>
    <w:rsid w:val="00175014"/>
    <w:rsid w:val="001751EE"/>
    <w:rsid w:val="001753D1"/>
    <w:rsid w:val="00175B11"/>
    <w:rsid w:val="00175B5B"/>
    <w:rsid w:val="00175F46"/>
    <w:rsid w:val="00176AFA"/>
    <w:rsid w:val="00176B0A"/>
    <w:rsid w:val="00176C25"/>
    <w:rsid w:val="00176D15"/>
    <w:rsid w:val="00176E50"/>
    <w:rsid w:val="0017723E"/>
    <w:rsid w:val="001775DA"/>
    <w:rsid w:val="00177935"/>
    <w:rsid w:val="00177AD0"/>
    <w:rsid w:val="00177B95"/>
    <w:rsid w:val="00180510"/>
    <w:rsid w:val="001807EF"/>
    <w:rsid w:val="00180952"/>
    <w:rsid w:val="0018095E"/>
    <w:rsid w:val="00181019"/>
    <w:rsid w:val="001810ED"/>
    <w:rsid w:val="00181135"/>
    <w:rsid w:val="00181394"/>
    <w:rsid w:val="001813A3"/>
    <w:rsid w:val="001816A8"/>
    <w:rsid w:val="00181C0B"/>
    <w:rsid w:val="00181EF7"/>
    <w:rsid w:val="00181F74"/>
    <w:rsid w:val="001820BF"/>
    <w:rsid w:val="00182382"/>
    <w:rsid w:val="0018274C"/>
    <w:rsid w:val="00182DEB"/>
    <w:rsid w:val="00182DF8"/>
    <w:rsid w:val="00182F66"/>
    <w:rsid w:val="0018315F"/>
    <w:rsid w:val="00183672"/>
    <w:rsid w:val="00183DA3"/>
    <w:rsid w:val="0018495A"/>
    <w:rsid w:val="0018502B"/>
    <w:rsid w:val="0018578E"/>
    <w:rsid w:val="00185DC9"/>
    <w:rsid w:val="00186403"/>
    <w:rsid w:val="00186455"/>
    <w:rsid w:val="00186B76"/>
    <w:rsid w:val="00186C91"/>
    <w:rsid w:val="00186DC9"/>
    <w:rsid w:val="0018707E"/>
    <w:rsid w:val="001872C9"/>
    <w:rsid w:val="0018776D"/>
    <w:rsid w:val="00187892"/>
    <w:rsid w:val="00187DFB"/>
    <w:rsid w:val="00190463"/>
    <w:rsid w:val="00191435"/>
    <w:rsid w:val="00191C69"/>
    <w:rsid w:val="00191F33"/>
    <w:rsid w:val="00192213"/>
    <w:rsid w:val="001927A2"/>
    <w:rsid w:val="00192BD1"/>
    <w:rsid w:val="00192FED"/>
    <w:rsid w:val="00192FF5"/>
    <w:rsid w:val="0019302D"/>
    <w:rsid w:val="0019335B"/>
    <w:rsid w:val="001938DB"/>
    <w:rsid w:val="00193DB1"/>
    <w:rsid w:val="00193EBE"/>
    <w:rsid w:val="001940F4"/>
    <w:rsid w:val="0019423A"/>
    <w:rsid w:val="00194277"/>
    <w:rsid w:val="001945BB"/>
    <w:rsid w:val="0019473A"/>
    <w:rsid w:val="00194FA4"/>
    <w:rsid w:val="00195203"/>
    <w:rsid w:val="00195234"/>
    <w:rsid w:val="00195384"/>
    <w:rsid w:val="0019557A"/>
    <w:rsid w:val="00195648"/>
    <w:rsid w:val="001959DC"/>
    <w:rsid w:val="00195A29"/>
    <w:rsid w:val="00195F44"/>
    <w:rsid w:val="00195FB5"/>
    <w:rsid w:val="00195FC6"/>
    <w:rsid w:val="00196019"/>
    <w:rsid w:val="001963F9"/>
    <w:rsid w:val="00196B1D"/>
    <w:rsid w:val="00196C83"/>
    <w:rsid w:val="00196E92"/>
    <w:rsid w:val="001972D7"/>
    <w:rsid w:val="00197AAA"/>
    <w:rsid w:val="00197C3A"/>
    <w:rsid w:val="00197FDE"/>
    <w:rsid w:val="001A0298"/>
    <w:rsid w:val="001A03EA"/>
    <w:rsid w:val="001A0896"/>
    <w:rsid w:val="001A0BA5"/>
    <w:rsid w:val="001A0F1F"/>
    <w:rsid w:val="001A0F97"/>
    <w:rsid w:val="001A0FF1"/>
    <w:rsid w:val="001A11A2"/>
    <w:rsid w:val="001A172F"/>
    <w:rsid w:val="001A1D22"/>
    <w:rsid w:val="001A2185"/>
    <w:rsid w:val="001A2679"/>
    <w:rsid w:val="001A315B"/>
    <w:rsid w:val="001A334F"/>
    <w:rsid w:val="001A3856"/>
    <w:rsid w:val="001A3954"/>
    <w:rsid w:val="001A3F6D"/>
    <w:rsid w:val="001A4126"/>
    <w:rsid w:val="001A4C94"/>
    <w:rsid w:val="001A4D77"/>
    <w:rsid w:val="001A4F40"/>
    <w:rsid w:val="001A5233"/>
    <w:rsid w:val="001A564C"/>
    <w:rsid w:val="001A56FD"/>
    <w:rsid w:val="001A57C8"/>
    <w:rsid w:val="001A5923"/>
    <w:rsid w:val="001A5AAB"/>
    <w:rsid w:val="001A5DA1"/>
    <w:rsid w:val="001A66E5"/>
    <w:rsid w:val="001A6A4C"/>
    <w:rsid w:val="001A7328"/>
    <w:rsid w:val="001A775C"/>
    <w:rsid w:val="001A7CA4"/>
    <w:rsid w:val="001A7CBA"/>
    <w:rsid w:val="001B0DF5"/>
    <w:rsid w:val="001B16E6"/>
    <w:rsid w:val="001B1736"/>
    <w:rsid w:val="001B1AE6"/>
    <w:rsid w:val="001B1CC8"/>
    <w:rsid w:val="001B1F0B"/>
    <w:rsid w:val="001B201D"/>
    <w:rsid w:val="001B2576"/>
    <w:rsid w:val="001B2E4E"/>
    <w:rsid w:val="001B32D3"/>
    <w:rsid w:val="001B32E4"/>
    <w:rsid w:val="001B3778"/>
    <w:rsid w:val="001B3783"/>
    <w:rsid w:val="001B3CB6"/>
    <w:rsid w:val="001B3E30"/>
    <w:rsid w:val="001B43A2"/>
    <w:rsid w:val="001B4634"/>
    <w:rsid w:val="001B4D03"/>
    <w:rsid w:val="001B4ED3"/>
    <w:rsid w:val="001B5091"/>
    <w:rsid w:val="001B50CC"/>
    <w:rsid w:val="001B5355"/>
    <w:rsid w:val="001B5426"/>
    <w:rsid w:val="001B593D"/>
    <w:rsid w:val="001B5D57"/>
    <w:rsid w:val="001B5D62"/>
    <w:rsid w:val="001B6049"/>
    <w:rsid w:val="001B60D4"/>
    <w:rsid w:val="001B618E"/>
    <w:rsid w:val="001B6482"/>
    <w:rsid w:val="001B6B01"/>
    <w:rsid w:val="001B6F4A"/>
    <w:rsid w:val="001B7014"/>
    <w:rsid w:val="001B739D"/>
    <w:rsid w:val="001B7432"/>
    <w:rsid w:val="001B7474"/>
    <w:rsid w:val="001B7C32"/>
    <w:rsid w:val="001B7CBF"/>
    <w:rsid w:val="001B7E06"/>
    <w:rsid w:val="001C0476"/>
    <w:rsid w:val="001C0846"/>
    <w:rsid w:val="001C0FCB"/>
    <w:rsid w:val="001C12CB"/>
    <w:rsid w:val="001C148A"/>
    <w:rsid w:val="001C15DB"/>
    <w:rsid w:val="001C16C8"/>
    <w:rsid w:val="001C17AC"/>
    <w:rsid w:val="001C1814"/>
    <w:rsid w:val="001C1B36"/>
    <w:rsid w:val="001C1F01"/>
    <w:rsid w:val="001C2831"/>
    <w:rsid w:val="001C31AC"/>
    <w:rsid w:val="001C320C"/>
    <w:rsid w:val="001C32D4"/>
    <w:rsid w:val="001C3BCE"/>
    <w:rsid w:val="001C3D5E"/>
    <w:rsid w:val="001C3D80"/>
    <w:rsid w:val="001C4222"/>
    <w:rsid w:val="001C4361"/>
    <w:rsid w:val="001C4AA8"/>
    <w:rsid w:val="001C4C81"/>
    <w:rsid w:val="001C51A3"/>
    <w:rsid w:val="001C5358"/>
    <w:rsid w:val="001C56D1"/>
    <w:rsid w:val="001C5A59"/>
    <w:rsid w:val="001C5E59"/>
    <w:rsid w:val="001C606C"/>
    <w:rsid w:val="001C61E9"/>
    <w:rsid w:val="001C67E7"/>
    <w:rsid w:val="001C6F0D"/>
    <w:rsid w:val="001C7325"/>
    <w:rsid w:val="001C7702"/>
    <w:rsid w:val="001C7A8C"/>
    <w:rsid w:val="001C7DF6"/>
    <w:rsid w:val="001C7F79"/>
    <w:rsid w:val="001C7FBB"/>
    <w:rsid w:val="001D0774"/>
    <w:rsid w:val="001D0AF1"/>
    <w:rsid w:val="001D0B07"/>
    <w:rsid w:val="001D0D82"/>
    <w:rsid w:val="001D0F05"/>
    <w:rsid w:val="001D1136"/>
    <w:rsid w:val="001D13E6"/>
    <w:rsid w:val="001D151F"/>
    <w:rsid w:val="001D15D9"/>
    <w:rsid w:val="001D1912"/>
    <w:rsid w:val="001D1DD7"/>
    <w:rsid w:val="001D1EC2"/>
    <w:rsid w:val="001D215D"/>
    <w:rsid w:val="001D21CD"/>
    <w:rsid w:val="001D23EF"/>
    <w:rsid w:val="001D2608"/>
    <w:rsid w:val="001D273D"/>
    <w:rsid w:val="001D285A"/>
    <w:rsid w:val="001D2A03"/>
    <w:rsid w:val="001D2E8F"/>
    <w:rsid w:val="001D3534"/>
    <w:rsid w:val="001D3652"/>
    <w:rsid w:val="001D4607"/>
    <w:rsid w:val="001D49FD"/>
    <w:rsid w:val="001D4EB1"/>
    <w:rsid w:val="001D5354"/>
    <w:rsid w:val="001D537F"/>
    <w:rsid w:val="001D565B"/>
    <w:rsid w:val="001D592E"/>
    <w:rsid w:val="001D6B8D"/>
    <w:rsid w:val="001D6D80"/>
    <w:rsid w:val="001D723E"/>
    <w:rsid w:val="001D75E1"/>
    <w:rsid w:val="001D7681"/>
    <w:rsid w:val="001D7CDE"/>
    <w:rsid w:val="001E0531"/>
    <w:rsid w:val="001E131D"/>
    <w:rsid w:val="001E15B4"/>
    <w:rsid w:val="001E1FA3"/>
    <w:rsid w:val="001E21AC"/>
    <w:rsid w:val="001E24A4"/>
    <w:rsid w:val="001E2756"/>
    <w:rsid w:val="001E28CC"/>
    <w:rsid w:val="001E28E4"/>
    <w:rsid w:val="001E290A"/>
    <w:rsid w:val="001E2DA9"/>
    <w:rsid w:val="001E317A"/>
    <w:rsid w:val="001E31A6"/>
    <w:rsid w:val="001E321D"/>
    <w:rsid w:val="001E327A"/>
    <w:rsid w:val="001E3315"/>
    <w:rsid w:val="001E33D6"/>
    <w:rsid w:val="001E38B1"/>
    <w:rsid w:val="001E3A2B"/>
    <w:rsid w:val="001E4004"/>
    <w:rsid w:val="001E4100"/>
    <w:rsid w:val="001E478C"/>
    <w:rsid w:val="001E47D9"/>
    <w:rsid w:val="001E4C00"/>
    <w:rsid w:val="001E4D12"/>
    <w:rsid w:val="001E4D56"/>
    <w:rsid w:val="001E4DB4"/>
    <w:rsid w:val="001E532C"/>
    <w:rsid w:val="001E5559"/>
    <w:rsid w:val="001E5BBC"/>
    <w:rsid w:val="001E5F00"/>
    <w:rsid w:val="001E62C7"/>
    <w:rsid w:val="001E6542"/>
    <w:rsid w:val="001E6685"/>
    <w:rsid w:val="001E66CC"/>
    <w:rsid w:val="001E6976"/>
    <w:rsid w:val="001E69FA"/>
    <w:rsid w:val="001E72E0"/>
    <w:rsid w:val="001E7739"/>
    <w:rsid w:val="001E7AB5"/>
    <w:rsid w:val="001E7B04"/>
    <w:rsid w:val="001F0064"/>
    <w:rsid w:val="001F03DE"/>
    <w:rsid w:val="001F0D9E"/>
    <w:rsid w:val="001F16DF"/>
    <w:rsid w:val="001F193B"/>
    <w:rsid w:val="001F1960"/>
    <w:rsid w:val="001F1FBA"/>
    <w:rsid w:val="001F2022"/>
    <w:rsid w:val="001F2202"/>
    <w:rsid w:val="001F2C58"/>
    <w:rsid w:val="001F3066"/>
    <w:rsid w:val="001F327B"/>
    <w:rsid w:val="001F32DA"/>
    <w:rsid w:val="001F3DAE"/>
    <w:rsid w:val="001F4A98"/>
    <w:rsid w:val="001F4C8F"/>
    <w:rsid w:val="001F4F82"/>
    <w:rsid w:val="001F6159"/>
    <w:rsid w:val="001F6680"/>
    <w:rsid w:val="001F6947"/>
    <w:rsid w:val="001F6C51"/>
    <w:rsid w:val="001F6DC6"/>
    <w:rsid w:val="001F6FB6"/>
    <w:rsid w:val="001F736C"/>
    <w:rsid w:val="001F740D"/>
    <w:rsid w:val="001F7432"/>
    <w:rsid w:val="001F792F"/>
    <w:rsid w:val="001F7AC9"/>
    <w:rsid w:val="001F7B9E"/>
    <w:rsid w:val="001F7BE1"/>
    <w:rsid w:val="001F7C97"/>
    <w:rsid w:val="00200A84"/>
    <w:rsid w:val="00200A89"/>
    <w:rsid w:val="00200C40"/>
    <w:rsid w:val="00200D7D"/>
    <w:rsid w:val="00201213"/>
    <w:rsid w:val="00201229"/>
    <w:rsid w:val="002013AF"/>
    <w:rsid w:val="002014F7"/>
    <w:rsid w:val="0020175B"/>
    <w:rsid w:val="00201C9F"/>
    <w:rsid w:val="00202359"/>
    <w:rsid w:val="002023BE"/>
    <w:rsid w:val="0020248C"/>
    <w:rsid w:val="00202576"/>
    <w:rsid w:val="00202583"/>
    <w:rsid w:val="0020269C"/>
    <w:rsid w:val="00202B50"/>
    <w:rsid w:val="00202E5D"/>
    <w:rsid w:val="00202EF9"/>
    <w:rsid w:val="00203204"/>
    <w:rsid w:val="00203236"/>
    <w:rsid w:val="00203395"/>
    <w:rsid w:val="002036E8"/>
    <w:rsid w:val="00203939"/>
    <w:rsid w:val="00203B3F"/>
    <w:rsid w:val="002048AD"/>
    <w:rsid w:val="00204967"/>
    <w:rsid w:val="00204BB7"/>
    <w:rsid w:val="0020511F"/>
    <w:rsid w:val="002051F7"/>
    <w:rsid w:val="0020531C"/>
    <w:rsid w:val="00205693"/>
    <w:rsid w:val="002056B0"/>
    <w:rsid w:val="00205AD3"/>
    <w:rsid w:val="00205B53"/>
    <w:rsid w:val="00205E98"/>
    <w:rsid w:val="002066C1"/>
    <w:rsid w:val="002067D2"/>
    <w:rsid w:val="00206D59"/>
    <w:rsid w:val="00206DC8"/>
    <w:rsid w:val="00206EF3"/>
    <w:rsid w:val="00207026"/>
    <w:rsid w:val="0020708A"/>
    <w:rsid w:val="00207402"/>
    <w:rsid w:val="00207435"/>
    <w:rsid w:val="00207642"/>
    <w:rsid w:val="00207877"/>
    <w:rsid w:val="00207A53"/>
    <w:rsid w:val="00207AAC"/>
    <w:rsid w:val="00207F6A"/>
    <w:rsid w:val="00210191"/>
    <w:rsid w:val="00210256"/>
    <w:rsid w:val="00210394"/>
    <w:rsid w:val="0021051F"/>
    <w:rsid w:val="002105C8"/>
    <w:rsid w:val="0021076E"/>
    <w:rsid w:val="002107A4"/>
    <w:rsid w:val="002109BC"/>
    <w:rsid w:val="00211511"/>
    <w:rsid w:val="00211A77"/>
    <w:rsid w:val="00211D58"/>
    <w:rsid w:val="00211E23"/>
    <w:rsid w:val="00211F07"/>
    <w:rsid w:val="00211F79"/>
    <w:rsid w:val="0021206E"/>
    <w:rsid w:val="00212451"/>
    <w:rsid w:val="002127B9"/>
    <w:rsid w:val="00212B08"/>
    <w:rsid w:val="00212B38"/>
    <w:rsid w:val="00213289"/>
    <w:rsid w:val="002132ED"/>
    <w:rsid w:val="00213825"/>
    <w:rsid w:val="00213CEF"/>
    <w:rsid w:val="00214189"/>
    <w:rsid w:val="0021432D"/>
    <w:rsid w:val="002143B4"/>
    <w:rsid w:val="00214532"/>
    <w:rsid w:val="00214ADD"/>
    <w:rsid w:val="0021525B"/>
    <w:rsid w:val="002160AD"/>
    <w:rsid w:val="00216356"/>
    <w:rsid w:val="002164F1"/>
    <w:rsid w:val="00216A00"/>
    <w:rsid w:val="00216A50"/>
    <w:rsid w:val="00216B19"/>
    <w:rsid w:val="00216CCC"/>
    <w:rsid w:val="00216E16"/>
    <w:rsid w:val="002172B5"/>
    <w:rsid w:val="0021738B"/>
    <w:rsid w:val="00217EE6"/>
    <w:rsid w:val="00220082"/>
    <w:rsid w:val="002203BD"/>
    <w:rsid w:val="002203F3"/>
    <w:rsid w:val="00220517"/>
    <w:rsid w:val="00220776"/>
    <w:rsid w:val="0022116D"/>
    <w:rsid w:val="002216CC"/>
    <w:rsid w:val="00221ED0"/>
    <w:rsid w:val="002221C3"/>
    <w:rsid w:val="002222FA"/>
    <w:rsid w:val="0022241C"/>
    <w:rsid w:val="0022256B"/>
    <w:rsid w:val="0022299A"/>
    <w:rsid w:val="00222A0B"/>
    <w:rsid w:val="00222B91"/>
    <w:rsid w:val="00222D7D"/>
    <w:rsid w:val="00222DE4"/>
    <w:rsid w:val="002230FD"/>
    <w:rsid w:val="002232B3"/>
    <w:rsid w:val="00223664"/>
    <w:rsid w:val="0022401E"/>
    <w:rsid w:val="00224756"/>
    <w:rsid w:val="002247AB"/>
    <w:rsid w:val="00224878"/>
    <w:rsid w:val="0022514D"/>
    <w:rsid w:val="00225CEE"/>
    <w:rsid w:val="00225E3F"/>
    <w:rsid w:val="00226447"/>
    <w:rsid w:val="002266DB"/>
    <w:rsid w:val="00226894"/>
    <w:rsid w:val="002268B0"/>
    <w:rsid w:val="00226C0B"/>
    <w:rsid w:val="002272F5"/>
    <w:rsid w:val="00227577"/>
    <w:rsid w:val="002277E9"/>
    <w:rsid w:val="00230153"/>
    <w:rsid w:val="002302AF"/>
    <w:rsid w:val="002303A6"/>
    <w:rsid w:val="00230894"/>
    <w:rsid w:val="002308E9"/>
    <w:rsid w:val="00231060"/>
    <w:rsid w:val="0023146B"/>
    <w:rsid w:val="00231B36"/>
    <w:rsid w:val="00231F9E"/>
    <w:rsid w:val="00232498"/>
    <w:rsid w:val="002324E2"/>
    <w:rsid w:val="0023254E"/>
    <w:rsid w:val="00232918"/>
    <w:rsid w:val="00232955"/>
    <w:rsid w:val="00232B27"/>
    <w:rsid w:val="00232E1E"/>
    <w:rsid w:val="0023350C"/>
    <w:rsid w:val="00233698"/>
    <w:rsid w:val="00233981"/>
    <w:rsid w:val="00233E70"/>
    <w:rsid w:val="002340E1"/>
    <w:rsid w:val="00234281"/>
    <w:rsid w:val="00234B9E"/>
    <w:rsid w:val="00234BBE"/>
    <w:rsid w:val="00234DD6"/>
    <w:rsid w:val="00234FD3"/>
    <w:rsid w:val="0023568A"/>
    <w:rsid w:val="00235B0E"/>
    <w:rsid w:val="00236382"/>
    <w:rsid w:val="00236B90"/>
    <w:rsid w:val="00236BCD"/>
    <w:rsid w:val="00236C21"/>
    <w:rsid w:val="00236FF2"/>
    <w:rsid w:val="002371BF"/>
    <w:rsid w:val="002371E1"/>
    <w:rsid w:val="00237249"/>
    <w:rsid w:val="00237662"/>
    <w:rsid w:val="00237A87"/>
    <w:rsid w:val="00237F71"/>
    <w:rsid w:val="00240262"/>
    <w:rsid w:val="002404C3"/>
    <w:rsid w:val="002410C4"/>
    <w:rsid w:val="00241129"/>
    <w:rsid w:val="002411AE"/>
    <w:rsid w:val="00241205"/>
    <w:rsid w:val="00241388"/>
    <w:rsid w:val="00241731"/>
    <w:rsid w:val="00241840"/>
    <w:rsid w:val="00241C36"/>
    <w:rsid w:val="002423E5"/>
    <w:rsid w:val="0024262D"/>
    <w:rsid w:val="002427EB"/>
    <w:rsid w:val="002427F0"/>
    <w:rsid w:val="002428BD"/>
    <w:rsid w:val="00242D15"/>
    <w:rsid w:val="00242E09"/>
    <w:rsid w:val="002432B7"/>
    <w:rsid w:val="002432E9"/>
    <w:rsid w:val="00243D23"/>
    <w:rsid w:val="002440B2"/>
    <w:rsid w:val="00244577"/>
    <w:rsid w:val="002445FE"/>
    <w:rsid w:val="002451B3"/>
    <w:rsid w:val="002458CE"/>
    <w:rsid w:val="002459C5"/>
    <w:rsid w:val="00245A3D"/>
    <w:rsid w:val="00245DE9"/>
    <w:rsid w:val="00245E81"/>
    <w:rsid w:val="00245F09"/>
    <w:rsid w:val="00246513"/>
    <w:rsid w:val="00246851"/>
    <w:rsid w:val="00246B1D"/>
    <w:rsid w:val="00246E71"/>
    <w:rsid w:val="00246F16"/>
    <w:rsid w:val="0024705A"/>
    <w:rsid w:val="002477AE"/>
    <w:rsid w:val="00247BDE"/>
    <w:rsid w:val="00247D10"/>
    <w:rsid w:val="00247D4D"/>
    <w:rsid w:val="00247F3A"/>
    <w:rsid w:val="002504FC"/>
    <w:rsid w:val="00250B11"/>
    <w:rsid w:val="00250D82"/>
    <w:rsid w:val="00250F7C"/>
    <w:rsid w:val="0025120C"/>
    <w:rsid w:val="00251CC2"/>
    <w:rsid w:val="00251EB3"/>
    <w:rsid w:val="00251EE5"/>
    <w:rsid w:val="00252136"/>
    <w:rsid w:val="002523D0"/>
    <w:rsid w:val="00252D18"/>
    <w:rsid w:val="0025329B"/>
    <w:rsid w:val="00253582"/>
    <w:rsid w:val="0025362C"/>
    <w:rsid w:val="002538BA"/>
    <w:rsid w:val="00253AC1"/>
    <w:rsid w:val="00253AE3"/>
    <w:rsid w:val="00253C3E"/>
    <w:rsid w:val="00253EC4"/>
    <w:rsid w:val="0025418A"/>
    <w:rsid w:val="00254240"/>
    <w:rsid w:val="0025425A"/>
    <w:rsid w:val="002547EA"/>
    <w:rsid w:val="0025531B"/>
    <w:rsid w:val="00255536"/>
    <w:rsid w:val="002557BB"/>
    <w:rsid w:val="002558AC"/>
    <w:rsid w:val="00255BC2"/>
    <w:rsid w:val="00255EFE"/>
    <w:rsid w:val="00256298"/>
    <w:rsid w:val="002564CF"/>
    <w:rsid w:val="00256539"/>
    <w:rsid w:val="00256DEA"/>
    <w:rsid w:val="00257117"/>
    <w:rsid w:val="002577B5"/>
    <w:rsid w:val="00257923"/>
    <w:rsid w:val="002579BB"/>
    <w:rsid w:val="00257AB4"/>
    <w:rsid w:val="00257ABE"/>
    <w:rsid w:val="00257C49"/>
    <w:rsid w:val="00260299"/>
    <w:rsid w:val="002603B3"/>
    <w:rsid w:val="0026072F"/>
    <w:rsid w:val="00260952"/>
    <w:rsid w:val="00260B2B"/>
    <w:rsid w:val="00260C11"/>
    <w:rsid w:val="00260F7B"/>
    <w:rsid w:val="002610D7"/>
    <w:rsid w:val="00261192"/>
    <w:rsid w:val="0026131A"/>
    <w:rsid w:val="0026176E"/>
    <w:rsid w:val="00261A11"/>
    <w:rsid w:val="00261CB5"/>
    <w:rsid w:val="00261D8A"/>
    <w:rsid w:val="002625F2"/>
    <w:rsid w:val="00262999"/>
    <w:rsid w:val="00262CA3"/>
    <w:rsid w:val="00262D43"/>
    <w:rsid w:val="00263413"/>
    <w:rsid w:val="00263AEC"/>
    <w:rsid w:val="00263B87"/>
    <w:rsid w:val="00263DE1"/>
    <w:rsid w:val="00263E3B"/>
    <w:rsid w:val="0026408F"/>
    <w:rsid w:val="0026431A"/>
    <w:rsid w:val="002644A4"/>
    <w:rsid w:val="00264634"/>
    <w:rsid w:val="0026485D"/>
    <w:rsid w:val="00264A11"/>
    <w:rsid w:val="00264C8F"/>
    <w:rsid w:val="00265066"/>
    <w:rsid w:val="002650EA"/>
    <w:rsid w:val="00265548"/>
    <w:rsid w:val="00265C93"/>
    <w:rsid w:val="00265CE9"/>
    <w:rsid w:val="00266300"/>
    <w:rsid w:val="002663F1"/>
    <w:rsid w:val="0026641E"/>
    <w:rsid w:val="00266678"/>
    <w:rsid w:val="002669B2"/>
    <w:rsid w:val="00266EE2"/>
    <w:rsid w:val="002674FD"/>
    <w:rsid w:val="0026774B"/>
    <w:rsid w:val="002678CA"/>
    <w:rsid w:val="00267BBD"/>
    <w:rsid w:val="00267EC5"/>
    <w:rsid w:val="00267F3E"/>
    <w:rsid w:val="00270297"/>
    <w:rsid w:val="0027038F"/>
    <w:rsid w:val="002707FA"/>
    <w:rsid w:val="00270DFB"/>
    <w:rsid w:val="00270EAC"/>
    <w:rsid w:val="00270ED2"/>
    <w:rsid w:val="00271150"/>
    <w:rsid w:val="00271DDF"/>
    <w:rsid w:val="0027297F"/>
    <w:rsid w:val="00272EB3"/>
    <w:rsid w:val="00273328"/>
    <w:rsid w:val="00273743"/>
    <w:rsid w:val="0027393F"/>
    <w:rsid w:val="0027438E"/>
    <w:rsid w:val="0027447A"/>
    <w:rsid w:val="00274682"/>
    <w:rsid w:val="002747CC"/>
    <w:rsid w:val="00274830"/>
    <w:rsid w:val="00274AAB"/>
    <w:rsid w:val="00274DF9"/>
    <w:rsid w:val="00275170"/>
    <w:rsid w:val="00275D77"/>
    <w:rsid w:val="00275EAD"/>
    <w:rsid w:val="0027602C"/>
    <w:rsid w:val="002760F9"/>
    <w:rsid w:val="00276A43"/>
    <w:rsid w:val="00276D2F"/>
    <w:rsid w:val="00276D5E"/>
    <w:rsid w:val="00276FBF"/>
    <w:rsid w:val="002775C7"/>
    <w:rsid w:val="002776B3"/>
    <w:rsid w:val="002778F2"/>
    <w:rsid w:val="00277AB9"/>
    <w:rsid w:val="00277F52"/>
    <w:rsid w:val="00277F90"/>
    <w:rsid w:val="002809A3"/>
    <w:rsid w:val="002809CB"/>
    <w:rsid w:val="00280AED"/>
    <w:rsid w:val="00280E91"/>
    <w:rsid w:val="0028107C"/>
    <w:rsid w:val="00281979"/>
    <w:rsid w:val="00281E85"/>
    <w:rsid w:val="0028200C"/>
    <w:rsid w:val="00282011"/>
    <w:rsid w:val="00282469"/>
    <w:rsid w:val="00282533"/>
    <w:rsid w:val="00282622"/>
    <w:rsid w:val="00283221"/>
    <w:rsid w:val="002837F8"/>
    <w:rsid w:val="00283A81"/>
    <w:rsid w:val="00283ACF"/>
    <w:rsid w:val="00283C99"/>
    <w:rsid w:val="00283D11"/>
    <w:rsid w:val="002845EA"/>
    <w:rsid w:val="0028473D"/>
    <w:rsid w:val="00284850"/>
    <w:rsid w:val="00284CEE"/>
    <w:rsid w:val="00284D22"/>
    <w:rsid w:val="00284DB4"/>
    <w:rsid w:val="00284F33"/>
    <w:rsid w:val="002851E8"/>
    <w:rsid w:val="0028529C"/>
    <w:rsid w:val="00285326"/>
    <w:rsid w:val="0028572F"/>
    <w:rsid w:val="00285DE8"/>
    <w:rsid w:val="00287067"/>
    <w:rsid w:val="00290337"/>
    <w:rsid w:val="00290461"/>
    <w:rsid w:val="002904A9"/>
    <w:rsid w:val="0029054D"/>
    <w:rsid w:val="00290891"/>
    <w:rsid w:val="00291DA9"/>
    <w:rsid w:val="00291E40"/>
    <w:rsid w:val="00292552"/>
    <w:rsid w:val="00292661"/>
    <w:rsid w:val="00292773"/>
    <w:rsid w:val="002927AC"/>
    <w:rsid w:val="002928D1"/>
    <w:rsid w:val="00292D88"/>
    <w:rsid w:val="00293689"/>
    <w:rsid w:val="00294241"/>
    <w:rsid w:val="002943E7"/>
    <w:rsid w:val="00294519"/>
    <w:rsid w:val="0029469F"/>
    <w:rsid w:val="0029476B"/>
    <w:rsid w:val="0029515F"/>
    <w:rsid w:val="00295405"/>
    <w:rsid w:val="002954FB"/>
    <w:rsid w:val="00295E06"/>
    <w:rsid w:val="00295E8B"/>
    <w:rsid w:val="0029618D"/>
    <w:rsid w:val="0029658F"/>
    <w:rsid w:val="002965BA"/>
    <w:rsid w:val="00296814"/>
    <w:rsid w:val="00296D48"/>
    <w:rsid w:val="00296EB8"/>
    <w:rsid w:val="00296F5F"/>
    <w:rsid w:val="0029716C"/>
    <w:rsid w:val="002976F2"/>
    <w:rsid w:val="00297A95"/>
    <w:rsid w:val="002A0070"/>
    <w:rsid w:val="002A02A0"/>
    <w:rsid w:val="002A068A"/>
    <w:rsid w:val="002A071D"/>
    <w:rsid w:val="002A076C"/>
    <w:rsid w:val="002A07C4"/>
    <w:rsid w:val="002A0D1C"/>
    <w:rsid w:val="002A0DD4"/>
    <w:rsid w:val="002A2381"/>
    <w:rsid w:val="002A24CF"/>
    <w:rsid w:val="002A2537"/>
    <w:rsid w:val="002A2AB8"/>
    <w:rsid w:val="002A2B8E"/>
    <w:rsid w:val="002A2B92"/>
    <w:rsid w:val="002A3123"/>
    <w:rsid w:val="002A3195"/>
    <w:rsid w:val="002A3789"/>
    <w:rsid w:val="002A399D"/>
    <w:rsid w:val="002A4B7B"/>
    <w:rsid w:val="002A5126"/>
    <w:rsid w:val="002A51EB"/>
    <w:rsid w:val="002A529E"/>
    <w:rsid w:val="002A5948"/>
    <w:rsid w:val="002A5BCC"/>
    <w:rsid w:val="002A5C4F"/>
    <w:rsid w:val="002A6115"/>
    <w:rsid w:val="002A639F"/>
    <w:rsid w:val="002A64F2"/>
    <w:rsid w:val="002A6590"/>
    <w:rsid w:val="002A6708"/>
    <w:rsid w:val="002A6960"/>
    <w:rsid w:val="002A7058"/>
    <w:rsid w:val="002A7478"/>
    <w:rsid w:val="002A7678"/>
    <w:rsid w:val="002A7B26"/>
    <w:rsid w:val="002B01AD"/>
    <w:rsid w:val="002B02F8"/>
    <w:rsid w:val="002B037F"/>
    <w:rsid w:val="002B047F"/>
    <w:rsid w:val="002B0A48"/>
    <w:rsid w:val="002B151D"/>
    <w:rsid w:val="002B1824"/>
    <w:rsid w:val="002B182C"/>
    <w:rsid w:val="002B1845"/>
    <w:rsid w:val="002B1A9F"/>
    <w:rsid w:val="002B210C"/>
    <w:rsid w:val="002B2402"/>
    <w:rsid w:val="002B2667"/>
    <w:rsid w:val="002B2847"/>
    <w:rsid w:val="002B2C8F"/>
    <w:rsid w:val="002B2D78"/>
    <w:rsid w:val="002B32B6"/>
    <w:rsid w:val="002B32C9"/>
    <w:rsid w:val="002B35D8"/>
    <w:rsid w:val="002B3736"/>
    <w:rsid w:val="002B4054"/>
    <w:rsid w:val="002B41A8"/>
    <w:rsid w:val="002B427C"/>
    <w:rsid w:val="002B435D"/>
    <w:rsid w:val="002B46A0"/>
    <w:rsid w:val="002B46FF"/>
    <w:rsid w:val="002B497D"/>
    <w:rsid w:val="002B4BBC"/>
    <w:rsid w:val="002B4D0E"/>
    <w:rsid w:val="002B4D3C"/>
    <w:rsid w:val="002B4EA1"/>
    <w:rsid w:val="002B4F54"/>
    <w:rsid w:val="002B542A"/>
    <w:rsid w:val="002B5495"/>
    <w:rsid w:val="002B54C5"/>
    <w:rsid w:val="002B55DD"/>
    <w:rsid w:val="002B55E5"/>
    <w:rsid w:val="002B6104"/>
    <w:rsid w:val="002B61C9"/>
    <w:rsid w:val="002B653E"/>
    <w:rsid w:val="002B6703"/>
    <w:rsid w:val="002B68A4"/>
    <w:rsid w:val="002B6D69"/>
    <w:rsid w:val="002B6E4E"/>
    <w:rsid w:val="002B6E5B"/>
    <w:rsid w:val="002B6F67"/>
    <w:rsid w:val="002B7411"/>
    <w:rsid w:val="002B7488"/>
    <w:rsid w:val="002B7F1B"/>
    <w:rsid w:val="002C0083"/>
    <w:rsid w:val="002C0186"/>
    <w:rsid w:val="002C0303"/>
    <w:rsid w:val="002C032E"/>
    <w:rsid w:val="002C081A"/>
    <w:rsid w:val="002C087B"/>
    <w:rsid w:val="002C0BA9"/>
    <w:rsid w:val="002C108A"/>
    <w:rsid w:val="002C1553"/>
    <w:rsid w:val="002C1B74"/>
    <w:rsid w:val="002C2035"/>
    <w:rsid w:val="002C231A"/>
    <w:rsid w:val="002C23E0"/>
    <w:rsid w:val="002C24C4"/>
    <w:rsid w:val="002C25D4"/>
    <w:rsid w:val="002C2A2B"/>
    <w:rsid w:val="002C2AB5"/>
    <w:rsid w:val="002C2C95"/>
    <w:rsid w:val="002C2CCD"/>
    <w:rsid w:val="002C2DBF"/>
    <w:rsid w:val="002C2F2D"/>
    <w:rsid w:val="002C2F7F"/>
    <w:rsid w:val="002C2FB4"/>
    <w:rsid w:val="002C2FD3"/>
    <w:rsid w:val="002C3027"/>
    <w:rsid w:val="002C30AA"/>
    <w:rsid w:val="002C3683"/>
    <w:rsid w:val="002C3C31"/>
    <w:rsid w:val="002C4417"/>
    <w:rsid w:val="002C475C"/>
    <w:rsid w:val="002C4AFD"/>
    <w:rsid w:val="002C5516"/>
    <w:rsid w:val="002C5A3A"/>
    <w:rsid w:val="002C5D7E"/>
    <w:rsid w:val="002C654E"/>
    <w:rsid w:val="002C6669"/>
    <w:rsid w:val="002C6A57"/>
    <w:rsid w:val="002C6BB3"/>
    <w:rsid w:val="002C6DC2"/>
    <w:rsid w:val="002C6DDA"/>
    <w:rsid w:val="002C713E"/>
    <w:rsid w:val="002C72FB"/>
    <w:rsid w:val="002C77B0"/>
    <w:rsid w:val="002C77C6"/>
    <w:rsid w:val="002C7C3D"/>
    <w:rsid w:val="002D0068"/>
    <w:rsid w:val="002D0466"/>
    <w:rsid w:val="002D053D"/>
    <w:rsid w:val="002D071B"/>
    <w:rsid w:val="002D0829"/>
    <w:rsid w:val="002D0B99"/>
    <w:rsid w:val="002D0BD0"/>
    <w:rsid w:val="002D1600"/>
    <w:rsid w:val="002D1936"/>
    <w:rsid w:val="002D1CE8"/>
    <w:rsid w:val="002D1F76"/>
    <w:rsid w:val="002D21F0"/>
    <w:rsid w:val="002D22E4"/>
    <w:rsid w:val="002D2403"/>
    <w:rsid w:val="002D2D0D"/>
    <w:rsid w:val="002D2FB2"/>
    <w:rsid w:val="002D3066"/>
    <w:rsid w:val="002D32C1"/>
    <w:rsid w:val="002D34FE"/>
    <w:rsid w:val="002D35EA"/>
    <w:rsid w:val="002D3782"/>
    <w:rsid w:val="002D3B24"/>
    <w:rsid w:val="002D3D02"/>
    <w:rsid w:val="002D3D77"/>
    <w:rsid w:val="002D4837"/>
    <w:rsid w:val="002D48E6"/>
    <w:rsid w:val="002D5331"/>
    <w:rsid w:val="002D55BB"/>
    <w:rsid w:val="002D5B16"/>
    <w:rsid w:val="002D5BC9"/>
    <w:rsid w:val="002D5DDC"/>
    <w:rsid w:val="002D64D5"/>
    <w:rsid w:val="002D67F7"/>
    <w:rsid w:val="002D6DE0"/>
    <w:rsid w:val="002D71F2"/>
    <w:rsid w:val="002D7621"/>
    <w:rsid w:val="002D769A"/>
    <w:rsid w:val="002D7736"/>
    <w:rsid w:val="002D7789"/>
    <w:rsid w:val="002D77B7"/>
    <w:rsid w:val="002D79D9"/>
    <w:rsid w:val="002D7CC4"/>
    <w:rsid w:val="002D7DBC"/>
    <w:rsid w:val="002E00AC"/>
    <w:rsid w:val="002E00DB"/>
    <w:rsid w:val="002E06C1"/>
    <w:rsid w:val="002E0A65"/>
    <w:rsid w:val="002E0C21"/>
    <w:rsid w:val="002E101F"/>
    <w:rsid w:val="002E192A"/>
    <w:rsid w:val="002E2048"/>
    <w:rsid w:val="002E2471"/>
    <w:rsid w:val="002E286E"/>
    <w:rsid w:val="002E2A52"/>
    <w:rsid w:val="002E2B84"/>
    <w:rsid w:val="002E2F11"/>
    <w:rsid w:val="002E300A"/>
    <w:rsid w:val="002E3449"/>
    <w:rsid w:val="002E3543"/>
    <w:rsid w:val="002E3A7E"/>
    <w:rsid w:val="002E3B82"/>
    <w:rsid w:val="002E3C95"/>
    <w:rsid w:val="002E40D7"/>
    <w:rsid w:val="002E4D81"/>
    <w:rsid w:val="002E4E88"/>
    <w:rsid w:val="002E5BC7"/>
    <w:rsid w:val="002E5CA3"/>
    <w:rsid w:val="002E5F0D"/>
    <w:rsid w:val="002E6EE7"/>
    <w:rsid w:val="002E6F4A"/>
    <w:rsid w:val="002E7655"/>
    <w:rsid w:val="002E7750"/>
    <w:rsid w:val="002E7964"/>
    <w:rsid w:val="002E79AB"/>
    <w:rsid w:val="002E7D40"/>
    <w:rsid w:val="002F01E3"/>
    <w:rsid w:val="002F0A52"/>
    <w:rsid w:val="002F0C6B"/>
    <w:rsid w:val="002F0CF2"/>
    <w:rsid w:val="002F0E24"/>
    <w:rsid w:val="002F1686"/>
    <w:rsid w:val="002F1771"/>
    <w:rsid w:val="002F1BD2"/>
    <w:rsid w:val="002F1CD0"/>
    <w:rsid w:val="002F1D5C"/>
    <w:rsid w:val="002F1D62"/>
    <w:rsid w:val="002F1D92"/>
    <w:rsid w:val="002F207F"/>
    <w:rsid w:val="002F23FA"/>
    <w:rsid w:val="002F249E"/>
    <w:rsid w:val="002F24AF"/>
    <w:rsid w:val="002F29E4"/>
    <w:rsid w:val="002F32ED"/>
    <w:rsid w:val="002F3799"/>
    <w:rsid w:val="002F41D5"/>
    <w:rsid w:val="002F43B6"/>
    <w:rsid w:val="002F49F9"/>
    <w:rsid w:val="002F4D5A"/>
    <w:rsid w:val="002F4E54"/>
    <w:rsid w:val="002F515D"/>
    <w:rsid w:val="002F59D7"/>
    <w:rsid w:val="002F5F68"/>
    <w:rsid w:val="002F6028"/>
    <w:rsid w:val="002F6673"/>
    <w:rsid w:val="002F66C9"/>
    <w:rsid w:val="002F66DB"/>
    <w:rsid w:val="002F6A20"/>
    <w:rsid w:val="002F6DE4"/>
    <w:rsid w:val="002F7155"/>
    <w:rsid w:val="002F7700"/>
    <w:rsid w:val="002F778A"/>
    <w:rsid w:val="002F7954"/>
    <w:rsid w:val="002F7C27"/>
    <w:rsid w:val="002F7CCB"/>
    <w:rsid w:val="002F7EB8"/>
    <w:rsid w:val="0030086D"/>
    <w:rsid w:val="00300C25"/>
    <w:rsid w:val="00300D86"/>
    <w:rsid w:val="00300E82"/>
    <w:rsid w:val="00301153"/>
    <w:rsid w:val="003015B5"/>
    <w:rsid w:val="00301655"/>
    <w:rsid w:val="003017E1"/>
    <w:rsid w:val="003021BB"/>
    <w:rsid w:val="00302588"/>
    <w:rsid w:val="00302643"/>
    <w:rsid w:val="00302D5B"/>
    <w:rsid w:val="00302F6A"/>
    <w:rsid w:val="00303061"/>
    <w:rsid w:val="00303314"/>
    <w:rsid w:val="0030359B"/>
    <w:rsid w:val="00303A66"/>
    <w:rsid w:val="00303D62"/>
    <w:rsid w:val="00303F85"/>
    <w:rsid w:val="00303FEF"/>
    <w:rsid w:val="00303FFA"/>
    <w:rsid w:val="00304041"/>
    <w:rsid w:val="003040C0"/>
    <w:rsid w:val="003044AD"/>
    <w:rsid w:val="00304501"/>
    <w:rsid w:val="00304917"/>
    <w:rsid w:val="00304DC8"/>
    <w:rsid w:val="00305040"/>
    <w:rsid w:val="003051FF"/>
    <w:rsid w:val="00305307"/>
    <w:rsid w:val="0030538B"/>
    <w:rsid w:val="00305BB3"/>
    <w:rsid w:val="00305CC7"/>
    <w:rsid w:val="00305F62"/>
    <w:rsid w:val="003067B8"/>
    <w:rsid w:val="003067DB"/>
    <w:rsid w:val="0030688B"/>
    <w:rsid w:val="00306AAF"/>
    <w:rsid w:val="00306E35"/>
    <w:rsid w:val="003074FD"/>
    <w:rsid w:val="00307728"/>
    <w:rsid w:val="00307A2D"/>
    <w:rsid w:val="003100AB"/>
    <w:rsid w:val="00310204"/>
    <w:rsid w:val="00310272"/>
    <w:rsid w:val="003107D8"/>
    <w:rsid w:val="00310BEF"/>
    <w:rsid w:val="00310D86"/>
    <w:rsid w:val="00310EC5"/>
    <w:rsid w:val="00310F34"/>
    <w:rsid w:val="0031157E"/>
    <w:rsid w:val="00312134"/>
    <w:rsid w:val="0031233D"/>
    <w:rsid w:val="003126B1"/>
    <w:rsid w:val="003126F6"/>
    <w:rsid w:val="00312AF6"/>
    <w:rsid w:val="00312CB7"/>
    <w:rsid w:val="00312E68"/>
    <w:rsid w:val="00312F97"/>
    <w:rsid w:val="00313103"/>
    <w:rsid w:val="0031351A"/>
    <w:rsid w:val="003138EC"/>
    <w:rsid w:val="00314039"/>
    <w:rsid w:val="0031460F"/>
    <w:rsid w:val="00314863"/>
    <w:rsid w:val="00314C8A"/>
    <w:rsid w:val="00314E33"/>
    <w:rsid w:val="003153A8"/>
    <w:rsid w:val="00315595"/>
    <w:rsid w:val="00315F66"/>
    <w:rsid w:val="00315FB7"/>
    <w:rsid w:val="003161E5"/>
    <w:rsid w:val="00316520"/>
    <w:rsid w:val="00316884"/>
    <w:rsid w:val="00316C18"/>
    <w:rsid w:val="00317071"/>
    <w:rsid w:val="003170F2"/>
    <w:rsid w:val="003171A9"/>
    <w:rsid w:val="00317767"/>
    <w:rsid w:val="00317F95"/>
    <w:rsid w:val="0032043F"/>
    <w:rsid w:val="003204DA"/>
    <w:rsid w:val="00320582"/>
    <w:rsid w:val="00321282"/>
    <w:rsid w:val="0032130E"/>
    <w:rsid w:val="0032187E"/>
    <w:rsid w:val="003218EA"/>
    <w:rsid w:val="00321A24"/>
    <w:rsid w:val="00321F93"/>
    <w:rsid w:val="0032278A"/>
    <w:rsid w:val="0032279E"/>
    <w:rsid w:val="003229D2"/>
    <w:rsid w:val="00322A25"/>
    <w:rsid w:val="00322C27"/>
    <w:rsid w:val="00322E8B"/>
    <w:rsid w:val="0032318E"/>
    <w:rsid w:val="00323389"/>
    <w:rsid w:val="003233D1"/>
    <w:rsid w:val="0032399E"/>
    <w:rsid w:val="00324067"/>
    <w:rsid w:val="003246F7"/>
    <w:rsid w:val="003248E7"/>
    <w:rsid w:val="00324925"/>
    <w:rsid w:val="00324A14"/>
    <w:rsid w:val="00324FF1"/>
    <w:rsid w:val="00325668"/>
    <w:rsid w:val="00325F1E"/>
    <w:rsid w:val="003260AB"/>
    <w:rsid w:val="003260D7"/>
    <w:rsid w:val="003262AB"/>
    <w:rsid w:val="0032659C"/>
    <w:rsid w:val="0032699B"/>
    <w:rsid w:val="00326D01"/>
    <w:rsid w:val="00326D28"/>
    <w:rsid w:val="00327292"/>
    <w:rsid w:val="003272FD"/>
    <w:rsid w:val="0032744E"/>
    <w:rsid w:val="00327480"/>
    <w:rsid w:val="00327A30"/>
    <w:rsid w:val="00327C6C"/>
    <w:rsid w:val="003300E1"/>
    <w:rsid w:val="00330380"/>
    <w:rsid w:val="003303B7"/>
    <w:rsid w:val="003304A1"/>
    <w:rsid w:val="003309B2"/>
    <w:rsid w:val="00330A37"/>
    <w:rsid w:val="00330A59"/>
    <w:rsid w:val="00330B81"/>
    <w:rsid w:val="003311FC"/>
    <w:rsid w:val="00331300"/>
    <w:rsid w:val="00331713"/>
    <w:rsid w:val="00331820"/>
    <w:rsid w:val="00331AB2"/>
    <w:rsid w:val="00331F6C"/>
    <w:rsid w:val="00332637"/>
    <w:rsid w:val="00332B88"/>
    <w:rsid w:val="00332F69"/>
    <w:rsid w:val="00333A15"/>
    <w:rsid w:val="00333A6D"/>
    <w:rsid w:val="00333D8E"/>
    <w:rsid w:val="00333DF6"/>
    <w:rsid w:val="00333F1D"/>
    <w:rsid w:val="003341BB"/>
    <w:rsid w:val="003341BD"/>
    <w:rsid w:val="003347E1"/>
    <w:rsid w:val="00335021"/>
    <w:rsid w:val="00335387"/>
    <w:rsid w:val="00335776"/>
    <w:rsid w:val="003357FF"/>
    <w:rsid w:val="00335DA6"/>
    <w:rsid w:val="00336075"/>
    <w:rsid w:val="0033623B"/>
    <w:rsid w:val="00336787"/>
    <w:rsid w:val="00336852"/>
    <w:rsid w:val="00337120"/>
    <w:rsid w:val="003371DD"/>
    <w:rsid w:val="003373C1"/>
    <w:rsid w:val="003374B9"/>
    <w:rsid w:val="003375AB"/>
    <w:rsid w:val="003375FE"/>
    <w:rsid w:val="00337717"/>
    <w:rsid w:val="003377A8"/>
    <w:rsid w:val="003378B1"/>
    <w:rsid w:val="003403D8"/>
    <w:rsid w:val="003403FA"/>
    <w:rsid w:val="003408E2"/>
    <w:rsid w:val="00340A5B"/>
    <w:rsid w:val="00340A83"/>
    <w:rsid w:val="00340CB6"/>
    <w:rsid w:val="00340D35"/>
    <w:rsid w:val="00340EE4"/>
    <w:rsid w:val="0034123C"/>
    <w:rsid w:val="003412BF"/>
    <w:rsid w:val="00341384"/>
    <w:rsid w:val="003415A2"/>
    <w:rsid w:val="0034168B"/>
    <w:rsid w:val="003416C0"/>
    <w:rsid w:val="00341CF7"/>
    <w:rsid w:val="00341DFD"/>
    <w:rsid w:val="0034295D"/>
    <w:rsid w:val="00342C62"/>
    <w:rsid w:val="0034312D"/>
    <w:rsid w:val="0034330F"/>
    <w:rsid w:val="0034335B"/>
    <w:rsid w:val="00343669"/>
    <w:rsid w:val="00343773"/>
    <w:rsid w:val="00343C67"/>
    <w:rsid w:val="003440AE"/>
    <w:rsid w:val="0034413A"/>
    <w:rsid w:val="00344BA3"/>
    <w:rsid w:val="00344BDC"/>
    <w:rsid w:val="00344D5E"/>
    <w:rsid w:val="00344E8E"/>
    <w:rsid w:val="00345475"/>
    <w:rsid w:val="0034578E"/>
    <w:rsid w:val="003457A1"/>
    <w:rsid w:val="00346AE5"/>
    <w:rsid w:val="00346C56"/>
    <w:rsid w:val="00347712"/>
    <w:rsid w:val="00347782"/>
    <w:rsid w:val="00347D51"/>
    <w:rsid w:val="00347E11"/>
    <w:rsid w:val="00347F4E"/>
    <w:rsid w:val="003500DB"/>
    <w:rsid w:val="00350268"/>
    <w:rsid w:val="003503A9"/>
    <w:rsid w:val="00350573"/>
    <w:rsid w:val="00350594"/>
    <w:rsid w:val="00350B46"/>
    <w:rsid w:val="0035101C"/>
    <w:rsid w:val="003518DC"/>
    <w:rsid w:val="00351EEA"/>
    <w:rsid w:val="00352012"/>
    <w:rsid w:val="00352542"/>
    <w:rsid w:val="00352668"/>
    <w:rsid w:val="00352677"/>
    <w:rsid w:val="00352780"/>
    <w:rsid w:val="0035326A"/>
    <w:rsid w:val="0035327A"/>
    <w:rsid w:val="003534CB"/>
    <w:rsid w:val="00353803"/>
    <w:rsid w:val="00353832"/>
    <w:rsid w:val="00353C27"/>
    <w:rsid w:val="00353C29"/>
    <w:rsid w:val="00353C8B"/>
    <w:rsid w:val="00353D69"/>
    <w:rsid w:val="00353FC5"/>
    <w:rsid w:val="003541B5"/>
    <w:rsid w:val="003542FC"/>
    <w:rsid w:val="00354407"/>
    <w:rsid w:val="00354730"/>
    <w:rsid w:val="00354C88"/>
    <w:rsid w:val="0035537B"/>
    <w:rsid w:val="003555CF"/>
    <w:rsid w:val="00355B59"/>
    <w:rsid w:val="00355F0D"/>
    <w:rsid w:val="0035620E"/>
    <w:rsid w:val="003562FE"/>
    <w:rsid w:val="003564B6"/>
    <w:rsid w:val="0035669E"/>
    <w:rsid w:val="003574FA"/>
    <w:rsid w:val="00357C05"/>
    <w:rsid w:val="00357DE5"/>
    <w:rsid w:val="00357F44"/>
    <w:rsid w:val="0036007F"/>
    <w:rsid w:val="00360354"/>
    <w:rsid w:val="0036071E"/>
    <w:rsid w:val="00360720"/>
    <w:rsid w:val="00360FEF"/>
    <w:rsid w:val="0036119E"/>
    <w:rsid w:val="00361D18"/>
    <w:rsid w:val="00362D66"/>
    <w:rsid w:val="00362E07"/>
    <w:rsid w:val="00363198"/>
    <w:rsid w:val="003631E0"/>
    <w:rsid w:val="003633CF"/>
    <w:rsid w:val="00363B12"/>
    <w:rsid w:val="00363E69"/>
    <w:rsid w:val="003640DD"/>
    <w:rsid w:val="0036423C"/>
    <w:rsid w:val="003648BB"/>
    <w:rsid w:val="00364C43"/>
    <w:rsid w:val="00364D2C"/>
    <w:rsid w:val="00364D59"/>
    <w:rsid w:val="00364E6A"/>
    <w:rsid w:val="00365433"/>
    <w:rsid w:val="003654BE"/>
    <w:rsid w:val="003654DD"/>
    <w:rsid w:val="003657EE"/>
    <w:rsid w:val="00365B5D"/>
    <w:rsid w:val="00365B9B"/>
    <w:rsid w:val="00365D2E"/>
    <w:rsid w:val="00365DBB"/>
    <w:rsid w:val="00365DF5"/>
    <w:rsid w:val="003668A0"/>
    <w:rsid w:val="0036695E"/>
    <w:rsid w:val="00366A1A"/>
    <w:rsid w:val="00366EE1"/>
    <w:rsid w:val="00367363"/>
    <w:rsid w:val="003673E6"/>
    <w:rsid w:val="003674C3"/>
    <w:rsid w:val="003675F0"/>
    <w:rsid w:val="003678EA"/>
    <w:rsid w:val="00367A90"/>
    <w:rsid w:val="00367E71"/>
    <w:rsid w:val="00370372"/>
    <w:rsid w:val="003703EC"/>
    <w:rsid w:val="003706D5"/>
    <w:rsid w:val="00370769"/>
    <w:rsid w:val="00370865"/>
    <w:rsid w:val="00370963"/>
    <w:rsid w:val="00371009"/>
    <w:rsid w:val="00371252"/>
    <w:rsid w:val="003714DB"/>
    <w:rsid w:val="0037165E"/>
    <w:rsid w:val="0037191D"/>
    <w:rsid w:val="00371AED"/>
    <w:rsid w:val="00371BC4"/>
    <w:rsid w:val="00371EEB"/>
    <w:rsid w:val="00372161"/>
    <w:rsid w:val="003722E8"/>
    <w:rsid w:val="00372733"/>
    <w:rsid w:val="0037280D"/>
    <w:rsid w:val="003728E1"/>
    <w:rsid w:val="00372C4C"/>
    <w:rsid w:val="00372F15"/>
    <w:rsid w:val="0037300F"/>
    <w:rsid w:val="00373198"/>
    <w:rsid w:val="00373B9D"/>
    <w:rsid w:val="00373E06"/>
    <w:rsid w:val="0037445B"/>
    <w:rsid w:val="003745D0"/>
    <w:rsid w:val="0037468A"/>
    <w:rsid w:val="003746A3"/>
    <w:rsid w:val="0037492D"/>
    <w:rsid w:val="00374D3E"/>
    <w:rsid w:val="003755E3"/>
    <w:rsid w:val="00375613"/>
    <w:rsid w:val="00375B8A"/>
    <w:rsid w:val="00375D5B"/>
    <w:rsid w:val="00375E04"/>
    <w:rsid w:val="00376300"/>
    <w:rsid w:val="0037642E"/>
    <w:rsid w:val="00376987"/>
    <w:rsid w:val="00376AF3"/>
    <w:rsid w:val="00376CFA"/>
    <w:rsid w:val="00376DF3"/>
    <w:rsid w:val="00377D45"/>
    <w:rsid w:val="003800E2"/>
    <w:rsid w:val="003801DC"/>
    <w:rsid w:val="00380E15"/>
    <w:rsid w:val="00380F29"/>
    <w:rsid w:val="00380F51"/>
    <w:rsid w:val="003811BA"/>
    <w:rsid w:val="00381993"/>
    <w:rsid w:val="00381AC4"/>
    <w:rsid w:val="00381B3A"/>
    <w:rsid w:val="00381F75"/>
    <w:rsid w:val="00381FAE"/>
    <w:rsid w:val="0038248C"/>
    <w:rsid w:val="00382980"/>
    <w:rsid w:val="00382ABA"/>
    <w:rsid w:val="00382C61"/>
    <w:rsid w:val="00382D1F"/>
    <w:rsid w:val="003830EF"/>
    <w:rsid w:val="00383162"/>
    <w:rsid w:val="00383177"/>
    <w:rsid w:val="003832B6"/>
    <w:rsid w:val="003839BF"/>
    <w:rsid w:val="00383A46"/>
    <w:rsid w:val="00383E24"/>
    <w:rsid w:val="00383F72"/>
    <w:rsid w:val="003840B7"/>
    <w:rsid w:val="003844E0"/>
    <w:rsid w:val="00384837"/>
    <w:rsid w:val="00384D6C"/>
    <w:rsid w:val="003851A1"/>
    <w:rsid w:val="00385367"/>
    <w:rsid w:val="0038549F"/>
    <w:rsid w:val="00385639"/>
    <w:rsid w:val="003856C6"/>
    <w:rsid w:val="0038576D"/>
    <w:rsid w:val="00385B28"/>
    <w:rsid w:val="00385BDE"/>
    <w:rsid w:val="00385DD1"/>
    <w:rsid w:val="00385E50"/>
    <w:rsid w:val="003863F2"/>
    <w:rsid w:val="00386677"/>
    <w:rsid w:val="0038685F"/>
    <w:rsid w:val="00386A40"/>
    <w:rsid w:val="00386B43"/>
    <w:rsid w:val="00386CBA"/>
    <w:rsid w:val="00386E82"/>
    <w:rsid w:val="00386FC4"/>
    <w:rsid w:val="0038728C"/>
    <w:rsid w:val="00387677"/>
    <w:rsid w:val="00387F7C"/>
    <w:rsid w:val="00390088"/>
    <w:rsid w:val="00391901"/>
    <w:rsid w:val="00391AC1"/>
    <w:rsid w:val="00391B2B"/>
    <w:rsid w:val="00391B84"/>
    <w:rsid w:val="00391E1C"/>
    <w:rsid w:val="00391FF2"/>
    <w:rsid w:val="003920C7"/>
    <w:rsid w:val="003923E6"/>
    <w:rsid w:val="0039284A"/>
    <w:rsid w:val="003929A4"/>
    <w:rsid w:val="00392BBB"/>
    <w:rsid w:val="00392FAF"/>
    <w:rsid w:val="00393FE9"/>
    <w:rsid w:val="0039447D"/>
    <w:rsid w:val="0039476B"/>
    <w:rsid w:val="003949BE"/>
    <w:rsid w:val="00394B29"/>
    <w:rsid w:val="00394E45"/>
    <w:rsid w:val="00395146"/>
    <w:rsid w:val="00395205"/>
    <w:rsid w:val="0039571B"/>
    <w:rsid w:val="00396113"/>
    <w:rsid w:val="0039627D"/>
    <w:rsid w:val="00396980"/>
    <w:rsid w:val="003969C2"/>
    <w:rsid w:val="00396F26"/>
    <w:rsid w:val="003970B3"/>
    <w:rsid w:val="003973FD"/>
    <w:rsid w:val="00397413"/>
    <w:rsid w:val="00397432"/>
    <w:rsid w:val="003976E4"/>
    <w:rsid w:val="0039772B"/>
    <w:rsid w:val="003977F5"/>
    <w:rsid w:val="00397A77"/>
    <w:rsid w:val="00397E07"/>
    <w:rsid w:val="00397E21"/>
    <w:rsid w:val="00397FDC"/>
    <w:rsid w:val="003A00BD"/>
    <w:rsid w:val="003A04AE"/>
    <w:rsid w:val="003A0667"/>
    <w:rsid w:val="003A0EA6"/>
    <w:rsid w:val="003A0F7E"/>
    <w:rsid w:val="003A1342"/>
    <w:rsid w:val="003A1719"/>
    <w:rsid w:val="003A18B8"/>
    <w:rsid w:val="003A1935"/>
    <w:rsid w:val="003A19D6"/>
    <w:rsid w:val="003A1AA1"/>
    <w:rsid w:val="003A1AF0"/>
    <w:rsid w:val="003A230D"/>
    <w:rsid w:val="003A269E"/>
    <w:rsid w:val="003A2CEE"/>
    <w:rsid w:val="003A2D4E"/>
    <w:rsid w:val="003A2EF2"/>
    <w:rsid w:val="003A2FE9"/>
    <w:rsid w:val="003A314E"/>
    <w:rsid w:val="003A36DC"/>
    <w:rsid w:val="003A3717"/>
    <w:rsid w:val="003A393F"/>
    <w:rsid w:val="003A3999"/>
    <w:rsid w:val="003A42AC"/>
    <w:rsid w:val="003A436A"/>
    <w:rsid w:val="003A43B8"/>
    <w:rsid w:val="003A4462"/>
    <w:rsid w:val="003A4497"/>
    <w:rsid w:val="003A4663"/>
    <w:rsid w:val="003A4BFF"/>
    <w:rsid w:val="003A4F4E"/>
    <w:rsid w:val="003A5400"/>
    <w:rsid w:val="003A5581"/>
    <w:rsid w:val="003A59CD"/>
    <w:rsid w:val="003A5A0A"/>
    <w:rsid w:val="003A5CFA"/>
    <w:rsid w:val="003A5D90"/>
    <w:rsid w:val="003A5FA4"/>
    <w:rsid w:val="003A6084"/>
    <w:rsid w:val="003A62DA"/>
    <w:rsid w:val="003A6366"/>
    <w:rsid w:val="003A6CC9"/>
    <w:rsid w:val="003A713A"/>
    <w:rsid w:val="003A71E5"/>
    <w:rsid w:val="003A75BB"/>
    <w:rsid w:val="003A77D8"/>
    <w:rsid w:val="003A7A69"/>
    <w:rsid w:val="003A7B14"/>
    <w:rsid w:val="003A7B7B"/>
    <w:rsid w:val="003A7D2A"/>
    <w:rsid w:val="003A7D38"/>
    <w:rsid w:val="003A7ED5"/>
    <w:rsid w:val="003B08CD"/>
    <w:rsid w:val="003B0C92"/>
    <w:rsid w:val="003B0D86"/>
    <w:rsid w:val="003B0E1D"/>
    <w:rsid w:val="003B0F13"/>
    <w:rsid w:val="003B0F7B"/>
    <w:rsid w:val="003B13E9"/>
    <w:rsid w:val="003B14FD"/>
    <w:rsid w:val="003B1539"/>
    <w:rsid w:val="003B16D4"/>
    <w:rsid w:val="003B1BB7"/>
    <w:rsid w:val="003B1E0D"/>
    <w:rsid w:val="003B2427"/>
    <w:rsid w:val="003B28A8"/>
    <w:rsid w:val="003B2904"/>
    <w:rsid w:val="003B2D2B"/>
    <w:rsid w:val="003B2D7D"/>
    <w:rsid w:val="003B2D8C"/>
    <w:rsid w:val="003B2F6C"/>
    <w:rsid w:val="003B3324"/>
    <w:rsid w:val="003B3B97"/>
    <w:rsid w:val="003B3CC4"/>
    <w:rsid w:val="003B3E12"/>
    <w:rsid w:val="003B4696"/>
    <w:rsid w:val="003B4859"/>
    <w:rsid w:val="003B4D81"/>
    <w:rsid w:val="003B4DBD"/>
    <w:rsid w:val="003B4E65"/>
    <w:rsid w:val="003B4EB6"/>
    <w:rsid w:val="003B50E8"/>
    <w:rsid w:val="003B5177"/>
    <w:rsid w:val="003B5200"/>
    <w:rsid w:val="003B53E7"/>
    <w:rsid w:val="003B5482"/>
    <w:rsid w:val="003B5663"/>
    <w:rsid w:val="003B5666"/>
    <w:rsid w:val="003B59DC"/>
    <w:rsid w:val="003B6031"/>
    <w:rsid w:val="003B6178"/>
    <w:rsid w:val="003B6223"/>
    <w:rsid w:val="003B6272"/>
    <w:rsid w:val="003B6294"/>
    <w:rsid w:val="003B638E"/>
    <w:rsid w:val="003B6BF1"/>
    <w:rsid w:val="003B6C19"/>
    <w:rsid w:val="003B6E81"/>
    <w:rsid w:val="003B7160"/>
    <w:rsid w:val="003B7661"/>
    <w:rsid w:val="003B76F3"/>
    <w:rsid w:val="003B7E05"/>
    <w:rsid w:val="003C029F"/>
    <w:rsid w:val="003C0456"/>
    <w:rsid w:val="003C052A"/>
    <w:rsid w:val="003C0590"/>
    <w:rsid w:val="003C0634"/>
    <w:rsid w:val="003C0AE9"/>
    <w:rsid w:val="003C131E"/>
    <w:rsid w:val="003C166B"/>
    <w:rsid w:val="003C19A5"/>
    <w:rsid w:val="003C1C85"/>
    <w:rsid w:val="003C1F69"/>
    <w:rsid w:val="003C2010"/>
    <w:rsid w:val="003C2323"/>
    <w:rsid w:val="003C2BA9"/>
    <w:rsid w:val="003C2C59"/>
    <w:rsid w:val="003C3495"/>
    <w:rsid w:val="003C3895"/>
    <w:rsid w:val="003C3A2A"/>
    <w:rsid w:val="003C3CC7"/>
    <w:rsid w:val="003C3E7F"/>
    <w:rsid w:val="003C4482"/>
    <w:rsid w:val="003C504B"/>
    <w:rsid w:val="003C50B5"/>
    <w:rsid w:val="003C5260"/>
    <w:rsid w:val="003C5936"/>
    <w:rsid w:val="003C5B64"/>
    <w:rsid w:val="003C607D"/>
    <w:rsid w:val="003C612F"/>
    <w:rsid w:val="003C619A"/>
    <w:rsid w:val="003C6468"/>
    <w:rsid w:val="003C64AF"/>
    <w:rsid w:val="003C676E"/>
    <w:rsid w:val="003C7A23"/>
    <w:rsid w:val="003C7A34"/>
    <w:rsid w:val="003C7B28"/>
    <w:rsid w:val="003D0AF6"/>
    <w:rsid w:val="003D0BFD"/>
    <w:rsid w:val="003D0FA5"/>
    <w:rsid w:val="003D1004"/>
    <w:rsid w:val="003D115F"/>
    <w:rsid w:val="003D11D9"/>
    <w:rsid w:val="003D1567"/>
    <w:rsid w:val="003D1E5A"/>
    <w:rsid w:val="003D228C"/>
    <w:rsid w:val="003D22F5"/>
    <w:rsid w:val="003D2939"/>
    <w:rsid w:val="003D2B3F"/>
    <w:rsid w:val="003D2BFE"/>
    <w:rsid w:val="003D2F40"/>
    <w:rsid w:val="003D32AA"/>
    <w:rsid w:val="003D33AE"/>
    <w:rsid w:val="003D3429"/>
    <w:rsid w:val="003D3574"/>
    <w:rsid w:val="003D3990"/>
    <w:rsid w:val="003D3A19"/>
    <w:rsid w:val="003D3C6E"/>
    <w:rsid w:val="003D3FA7"/>
    <w:rsid w:val="003D42CB"/>
    <w:rsid w:val="003D43E2"/>
    <w:rsid w:val="003D4572"/>
    <w:rsid w:val="003D4B62"/>
    <w:rsid w:val="003D4E9A"/>
    <w:rsid w:val="003D51D3"/>
    <w:rsid w:val="003D51F4"/>
    <w:rsid w:val="003D5231"/>
    <w:rsid w:val="003D5345"/>
    <w:rsid w:val="003D5811"/>
    <w:rsid w:val="003D58C5"/>
    <w:rsid w:val="003D5A13"/>
    <w:rsid w:val="003D6316"/>
    <w:rsid w:val="003D6638"/>
    <w:rsid w:val="003D6A51"/>
    <w:rsid w:val="003D6AE1"/>
    <w:rsid w:val="003D7211"/>
    <w:rsid w:val="003D7786"/>
    <w:rsid w:val="003D7FC4"/>
    <w:rsid w:val="003E0354"/>
    <w:rsid w:val="003E0437"/>
    <w:rsid w:val="003E08DC"/>
    <w:rsid w:val="003E10A8"/>
    <w:rsid w:val="003E127A"/>
    <w:rsid w:val="003E184A"/>
    <w:rsid w:val="003E1887"/>
    <w:rsid w:val="003E18C9"/>
    <w:rsid w:val="003E19E2"/>
    <w:rsid w:val="003E1EF3"/>
    <w:rsid w:val="003E2538"/>
    <w:rsid w:val="003E2784"/>
    <w:rsid w:val="003E278F"/>
    <w:rsid w:val="003E2E55"/>
    <w:rsid w:val="003E2F58"/>
    <w:rsid w:val="003E3028"/>
    <w:rsid w:val="003E311C"/>
    <w:rsid w:val="003E3A5D"/>
    <w:rsid w:val="003E3D4A"/>
    <w:rsid w:val="003E4250"/>
    <w:rsid w:val="003E4296"/>
    <w:rsid w:val="003E43C8"/>
    <w:rsid w:val="003E4528"/>
    <w:rsid w:val="003E4B5F"/>
    <w:rsid w:val="003E50BB"/>
    <w:rsid w:val="003E530F"/>
    <w:rsid w:val="003E5A33"/>
    <w:rsid w:val="003E5E27"/>
    <w:rsid w:val="003E5E65"/>
    <w:rsid w:val="003E65FD"/>
    <w:rsid w:val="003E69CF"/>
    <w:rsid w:val="003E6C56"/>
    <w:rsid w:val="003E6DA0"/>
    <w:rsid w:val="003E72DA"/>
    <w:rsid w:val="003E7963"/>
    <w:rsid w:val="003E7C3C"/>
    <w:rsid w:val="003E7C99"/>
    <w:rsid w:val="003F00B9"/>
    <w:rsid w:val="003F031C"/>
    <w:rsid w:val="003F0E59"/>
    <w:rsid w:val="003F0EED"/>
    <w:rsid w:val="003F0F93"/>
    <w:rsid w:val="003F0FBA"/>
    <w:rsid w:val="003F1622"/>
    <w:rsid w:val="003F1AA3"/>
    <w:rsid w:val="003F24EE"/>
    <w:rsid w:val="003F25EF"/>
    <w:rsid w:val="003F28CD"/>
    <w:rsid w:val="003F2A3E"/>
    <w:rsid w:val="003F2D59"/>
    <w:rsid w:val="003F3277"/>
    <w:rsid w:val="003F33C5"/>
    <w:rsid w:val="003F3645"/>
    <w:rsid w:val="003F3B6D"/>
    <w:rsid w:val="003F3BE5"/>
    <w:rsid w:val="003F3EC5"/>
    <w:rsid w:val="003F49D2"/>
    <w:rsid w:val="003F4C79"/>
    <w:rsid w:val="003F4E06"/>
    <w:rsid w:val="003F4FD7"/>
    <w:rsid w:val="003F5383"/>
    <w:rsid w:val="003F58E5"/>
    <w:rsid w:val="003F58F4"/>
    <w:rsid w:val="003F5990"/>
    <w:rsid w:val="003F5E3F"/>
    <w:rsid w:val="003F6068"/>
    <w:rsid w:val="003F6152"/>
    <w:rsid w:val="003F67CB"/>
    <w:rsid w:val="003F6D1A"/>
    <w:rsid w:val="003F6FA1"/>
    <w:rsid w:val="003F759C"/>
    <w:rsid w:val="00400541"/>
    <w:rsid w:val="00400688"/>
    <w:rsid w:val="004018B0"/>
    <w:rsid w:val="00401CD0"/>
    <w:rsid w:val="00402083"/>
    <w:rsid w:val="0040223A"/>
    <w:rsid w:val="0040257A"/>
    <w:rsid w:val="00402608"/>
    <w:rsid w:val="00403542"/>
    <w:rsid w:val="004036AC"/>
    <w:rsid w:val="00403A15"/>
    <w:rsid w:val="00403AD6"/>
    <w:rsid w:val="004042E5"/>
    <w:rsid w:val="00404A7D"/>
    <w:rsid w:val="00405461"/>
    <w:rsid w:val="00405477"/>
    <w:rsid w:val="0040566B"/>
    <w:rsid w:val="004058B9"/>
    <w:rsid w:val="00405AB5"/>
    <w:rsid w:val="00405C5D"/>
    <w:rsid w:val="00405E6C"/>
    <w:rsid w:val="00406079"/>
    <w:rsid w:val="0040654A"/>
    <w:rsid w:val="004066E7"/>
    <w:rsid w:val="004067F1"/>
    <w:rsid w:val="0040689D"/>
    <w:rsid w:val="00406A50"/>
    <w:rsid w:val="00406C91"/>
    <w:rsid w:val="00407363"/>
    <w:rsid w:val="0040798D"/>
    <w:rsid w:val="00407E6E"/>
    <w:rsid w:val="00410179"/>
    <w:rsid w:val="00410441"/>
    <w:rsid w:val="0041074C"/>
    <w:rsid w:val="0041078F"/>
    <w:rsid w:val="00410B78"/>
    <w:rsid w:val="0041102C"/>
    <w:rsid w:val="00411154"/>
    <w:rsid w:val="00411208"/>
    <w:rsid w:val="004114A9"/>
    <w:rsid w:val="004114C9"/>
    <w:rsid w:val="00411645"/>
    <w:rsid w:val="00411863"/>
    <w:rsid w:val="00411BD7"/>
    <w:rsid w:val="00411D31"/>
    <w:rsid w:val="004128FF"/>
    <w:rsid w:val="00412B52"/>
    <w:rsid w:val="00412BDE"/>
    <w:rsid w:val="00413022"/>
    <w:rsid w:val="0041398B"/>
    <w:rsid w:val="00413F0B"/>
    <w:rsid w:val="004143CB"/>
    <w:rsid w:val="00414601"/>
    <w:rsid w:val="004146E5"/>
    <w:rsid w:val="00414828"/>
    <w:rsid w:val="00414C5A"/>
    <w:rsid w:val="00414D14"/>
    <w:rsid w:val="00414DE0"/>
    <w:rsid w:val="00415052"/>
    <w:rsid w:val="004150FE"/>
    <w:rsid w:val="004158A0"/>
    <w:rsid w:val="00415D69"/>
    <w:rsid w:val="00415DEC"/>
    <w:rsid w:val="00415FAD"/>
    <w:rsid w:val="0041600F"/>
    <w:rsid w:val="0041619C"/>
    <w:rsid w:val="004162D3"/>
    <w:rsid w:val="00417377"/>
    <w:rsid w:val="0041747C"/>
    <w:rsid w:val="00417701"/>
    <w:rsid w:val="00417C68"/>
    <w:rsid w:val="00417D7A"/>
    <w:rsid w:val="004203AA"/>
    <w:rsid w:val="00420901"/>
    <w:rsid w:val="00420948"/>
    <w:rsid w:val="00420BA6"/>
    <w:rsid w:val="00420E13"/>
    <w:rsid w:val="00420E32"/>
    <w:rsid w:val="00421063"/>
    <w:rsid w:val="004210D7"/>
    <w:rsid w:val="0042121D"/>
    <w:rsid w:val="0042181C"/>
    <w:rsid w:val="004219E8"/>
    <w:rsid w:val="00421FAA"/>
    <w:rsid w:val="00422508"/>
    <w:rsid w:val="0042267A"/>
    <w:rsid w:val="0042282D"/>
    <w:rsid w:val="00422BE1"/>
    <w:rsid w:val="00422C59"/>
    <w:rsid w:val="00422CFC"/>
    <w:rsid w:val="00423A89"/>
    <w:rsid w:val="00423E35"/>
    <w:rsid w:val="0042409B"/>
    <w:rsid w:val="0042412E"/>
    <w:rsid w:val="0042472D"/>
    <w:rsid w:val="0042505E"/>
    <w:rsid w:val="00425115"/>
    <w:rsid w:val="004257A7"/>
    <w:rsid w:val="00425A22"/>
    <w:rsid w:val="00425A94"/>
    <w:rsid w:val="00425B0B"/>
    <w:rsid w:val="00425E7D"/>
    <w:rsid w:val="00425EF9"/>
    <w:rsid w:val="00426396"/>
    <w:rsid w:val="0042663A"/>
    <w:rsid w:val="004270B5"/>
    <w:rsid w:val="0042770D"/>
    <w:rsid w:val="00427843"/>
    <w:rsid w:val="004279C1"/>
    <w:rsid w:val="00427B37"/>
    <w:rsid w:val="0043009A"/>
    <w:rsid w:val="004303BB"/>
    <w:rsid w:val="004305C5"/>
    <w:rsid w:val="00430C05"/>
    <w:rsid w:val="0043115F"/>
    <w:rsid w:val="004318F9"/>
    <w:rsid w:val="00431BB8"/>
    <w:rsid w:val="004327A9"/>
    <w:rsid w:val="004329E5"/>
    <w:rsid w:val="00432B9E"/>
    <w:rsid w:val="00432BB8"/>
    <w:rsid w:val="00432E66"/>
    <w:rsid w:val="00432F84"/>
    <w:rsid w:val="0043362A"/>
    <w:rsid w:val="0043436F"/>
    <w:rsid w:val="00434374"/>
    <w:rsid w:val="00434476"/>
    <w:rsid w:val="00434A4A"/>
    <w:rsid w:val="00434E4F"/>
    <w:rsid w:val="00435197"/>
    <w:rsid w:val="0043557B"/>
    <w:rsid w:val="0043561C"/>
    <w:rsid w:val="00435BC9"/>
    <w:rsid w:val="00435DF5"/>
    <w:rsid w:val="0043678E"/>
    <w:rsid w:val="0043699B"/>
    <w:rsid w:val="00436DF9"/>
    <w:rsid w:val="00437005"/>
    <w:rsid w:val="00437876"/>
    <w:rsid w:val="00437B57"/>
    <w:rsid w:val="00440068"/>
    <w:rsid w:val="00440418"/>
    <w:rsid w:val="004410BC"/>
    <w:rsid w:val="00441164"/>
    <w:rsid w:val="004414D3"/>
    <w:rsid w:val="004415C2"/>
    <w:rsid w:val="00441A6C"/>
    <w:rsid w:val="004420F9"/>
    <w:rsid w:val="004422EC"/>
    <w:rsid w:val="0044249D"/>
    <w:rsid w:val="004426AD"/>
    <w:rsid w:val="00443250"/>
    <w:rsid w:val="004435D7"/>
    <w:rsid w:val="004436C4"/>
    <w:rsid w:val="00443CFE"/>
    <w:rsid w:val="00443F45"/>
    <w:rsid w:val="0044410A"/>
    <w:rsid w:val="00444188"/>
    <w:rsid w:val="00444473"/>
    <w:rsid w:val="0044482D"/>
    <w:rsid w:val="00444927"/>
    <w:rsid w:val="004449A6"/>
    <w:rsid w:val="00444D84"/>
    <w:rsid w:val="00444FEA"/>
    <w:rsid w:val="0044530D"/>
    <w:rsid w:val="0044536C"/>
    <w:rsid w:val="004458AB"/>
    <w:rsid w:val="00445C9F"/>
    <w:rsid w:val="00445F4E"/>
    <w:rsid w:val="004463E7"/>
    <w:rsid w:val="0044672C"/>
    <w:rsid w:val="00446D64"/>
    <w:rsid w:val="00446FB0"/>
    <w:rsid w:val="00447577"/>
    <w:rsid w:val="004477C4"/>
    <w:rsid w:val="004501E9"/>
    <w:rsid w:val="004503A1"/>
    <w:rsid w:val="0045059B"/>
    <w:rsid w:val="004505E7"/>
    <w:rsid w:val="00450674"/>
    <w:rsid w:val="00450CAE"/>
    <w:rsid w:val="004511C7"/>
    <w:rsid w:val="0045197A"/>
    <w:rsid w:val="00451B26"/>
    <w:rsid w:val="00451C64"/>
    <w:rsid w:val="0045201A"/>
    <w:rsid w:val="0045251E"/>
    <w:rsid w:val="00452687"/>
    <w:rsid w:val="00452691"/>
    <w:rsid w:val="0045283F"/>
    <w:rsid w:val="00453D2C"/>
    <w:rsid w:val="00453DB3"/>
    <w:rsid w:val="00453DC1"/>
    <w:rsid w:val="00453F48"/>
    <w:rsid w:val="00453FCD"/>
    <w:rsid w:val="00454A21"/>
    <w:rsid w:val="00454B72"/>
    <w:rsid w:val="00454B8F"/>
    <w:rsid w:val="00454C05"/>
    <w:rsid w:val="00454C20"/>
    <w:rsid w:val="00454C37"/>
    <w:rsid w:val="00454F4E"/>
    <w:rsid w:val="0045546F"/>
    <w:rsid w:val="004558FA"/>
    <w:rsid w:val="00455CAE"/>
    <w:rsid w:val="00455E9B"/>
    <w:rsid w:val="00456437"/>
    <w:rsid w:val="00456438"/>
    <w:rsid w:val="00456A0A"/>
    <w:rsid w:val="00456D15"/>
    <w:rsid w:val="00456DC0"/>
    <w:rsid w:val="0045725B"/>
    <w:rsid w:val="004578E3"/>
    <w:rsid w:val="00457CF5"/>
    <w:rsid w:val="004602D4"/>
    <w:rsid w:val="0046031D"/>
    <w:rsid w:val="00460657"/>
    <w:rsid w:val="004608BA"/>
    <w:rsid w:val="00460A4B"/>
    <w:rsid w:val="00460AA8"/>
    <w:rsid w:val="00461252"/>
    <w:rsid w:val="004613E4"/>
    <w:rsid w:val="0046159B"/>
    <w:rsid w:val="00461A7C"/>
    <w:rsid w:val="00461A84"/>
    <w:rsid w:val="00461ABF"/>
    <w:rsid w:val="00461E66"/>
    <w:rsid w:val="00461EBB"/>
    <w:rsid w:val="00461FFA"/>
    <w:rsid w:val="00462286"/>
    <w:rsid w:val="00462AAB"/>
    <w:rsid w:val="00462C80"/>
    <w:rsid w:val="00462D87"/>
    <w:rsid w:val="00462D95"/>
    <w:rsid w:val="00462F25"/>
    <w:rsid w:val="004631A1"/>
    <w:rsid w:val="0046330C"/>
    <w:rsid w:val="00463393"/>
    <w:rsid w:val="00463717"/>
    <w:rsid w:val="00463754"/>
    <w:rsid w:val="004637CD"/>
    <w:rsid w:val="00463EC9"/>
    <w:rsid w:val="004646B4"/>
    <w:rsid w:val="00464964"/>
    <w:rsid w:val="00464A75"/>
    <w:rsid w:val="004653AD"/>
    <w:rsid w:val="00465498"/>
    <w:rsid w:val="00465582"/>
    <w:rsid w:val="00465A3C"/>
    <w:rsid w:val="00465A7C"/>
    <w:rsid w:val="00465F55"/>
    <w:rsid w:val="00466093"/>
    <w:rsid w:val="0046615C"/>
    <w:rsid w:val="0046635D"/>
    <w:rsid w:val="00466668"/>
    <w:rsid w:val="004666B2"/>
    <w:rsid w:val="00466742"/>
    <w:rsid w:val="00466A2E"/>
    <w:rsid w:val="00466AE4"/>
    <w:rsid w:val="00467074"/>
    <w:rsid w:val="00467370"/>
    <w:rsid w:val="0046756D"/>
    <w:rsid w:val="0046774B"/>
    <w:rsid w:val="004677AD"/>
    <w:rsid w:val="004677E1"/>
    <w:rsid w:val="00467A1C"/>
    <w:rsid w:val="00467B68"/>
    <w:rsid w:val="00467D8B"/>
    <w:rsid w:val="00467EDD"/>
    <w:rsid w:val="00470D4C"/>
    <w:rsid w:val="0047122D"/>
    <w:rsid w:val="00471361"/>
    <w:rsid w:val="004717F4"/>
    <w:rsid w:val="00471A12"/>
    <w:rsid w:val="00471C14"/>
    <w:rsid w:val="004724CE"/>
    <w:rsid w:val="00472834"/>
    <w:rsid w:val="00472ADA"/>
    <w:rsid w:val="00472AF9"/>
    <w:rsid w:val="00472CA4"/>
    <w:rsid w:val="00472E87"/>
    <w:rsid w:val="004738BC"/>
    <w:rsid w:val="004738E8"/>
    <w:rsid w:val="00473C51"/>
    <w:rsid w:val="00473E89"/>
    <w:rsid w:val="00474322"/>
    <w:rsid w:val="0047443D"/>
    <w:rsid w:val="00474620"/>
    <w:rsid w:val="004746A9"/>
    <w:rsid w:val="004746DA"/>
    <w:rsid w:val="00474A03"/>
    <w:rsid w:val="004751FE"/>
    <w:rsid w:val="00475371"/>
    <w:rsid w:val="0047548C"/>
    <w:rsid w:val="004754C9"/>
    <w:rsid w:val="00475FB6"/>
    <w:rsid w:val="00476446"/>
    <w:rsid w:val="00476479"/>
    <w:rsid w:val="004767BC"/>
    <w:rsid w:val="00476D81"/>
    <w:rsid w:val="0047762B"/>
    <w:rsid w:val="004778B8"/>
    <w:rsid w:val="004779AB"/>
    <w:rsid w:val="00477B96"/>
    <w:rsid w:val="00477C52"/>
    <w:rsid w:val="00477CA1"/>
    <w:rsid w:val="00477FA2"/>
    <w:rsid w:val="004801BA"/>
    <w:rsid w:val="0048028B"/>
    <w:rsid w:val="00480316"/>
    <w:rsid w:val="00480762"/>
    <w:rsid w:val="00480BAF"/>
    <w:rsid w:val="00480C8E"/>
    <w:rsid w:val="00481382"/>
    <w:rsid w:val="00481A19"/>
    <w:rsid w:val="00481BAB"/>
    <w:rsid w:val="00481C87"/>
    <w:rsid w:val="004828B4"/>
    <w:rsid w:val="004829E4"/>
    <w:rsid w:val="00482F94"/>
    <w:rsid w:val="00483314"/>
    <w:rsid w:val="004835ED"/>
    <w:rsid w:val="004836CB"/>
    <w:rsid w:val="004840B7"/>
    <w:rsid w:val="00484D3F"/>
    <w:rsid w:val="004851C3"/>
    <w:rsid w:val="00485352"/>
    <w:rsid w:val="00485B74"/>
    <w:rsid w:val="00486122"/>
    <w:rsid w:val="0048639E"/>
    <w:rsid w:val="004867DA"/>
    <w:rsid w:val="00486EA4"/>
    <w:rsid w:val="00486F65"/>
    <w:rsid w:val="00486FCB"/>
    <w:rsid w:val="004876C2"/>
    <w:rsid w:val="004878B6"/>
    <w:rsid w:val="00487B62"/>
    <w:rsid w:val="00487C76"/>
    <w:rsid w:val="00487E61"/>
    <w:rsid w:val="00487F1E"/>
    <w:rsid w:val="00490130"/>
    <w:rsid w:val="004902C0"/>
    <w:rsid w:val="00490831"/>
    <w:rsid w:val="00490C38"/>
    <w:rsid w:val="00491095"/>
    <w:rsid w:val="00491630"/>
    <w:rsid w:val="004918B1"/>
    <w:rsid w:val="00491B3B"/>
    <w:rsid w:val="00491C5E"/>
    <w:rsid w:val="0049269C"/>
    <w:rsid w:val="004928A8"/>
    <w:rsid w:val="00492B8D"/>
    <w:rsid w:val="00492C56"/>
    <w:rsid w:val="00492D23"/>
    <w:rsid w:val="00492F1A"/>
    <w:rsid w:val="0049304E"/>
    <w:rsid w:val="00493211"/>
    <w:rsid w:val="004932D9"/>
    <w:rsid w:val="00493782"/>
    <w:rsid w:val="004938E0"/>
    <w:rsid w:val="0049398D"/>
    <w:rsid w:val="004939A6"/>
    <w:rsid w:val="00493CF5"/>
    <w:rsid w:val="00493E2D"/>
    <w:rsid w:val="00494B2E"/>
    <w:rsid w:val="00494E4F"/>
    <w:rsid w:val="004952A2"/>
    <w:rsid w:val="00495415"/>
    <w:rsid w:val="00495804"/>
    <w:rsid w:val="0049590C"/>
    <w:rsid w:val="00495CBB"/>
    <w:rsid w:val="00495D9A"/>
    <w:rsid w:val="004963CB"/>
    <w:rsid w:val="004966E0"/>
    <w:rsid w:val="00496FD6"/>
    <w:rsid w:val="0049793F"/>
    <w:rsid w:val="004979FF"/>
    <w:rsid w:val="00497D1D"/>
    <w:rsid w:val="004A05C8"/>
    <w:rsid w:val="004A0697"/>
    <w:rsid w:val="004A0B83"/>
    <w:rsid w:val="004A0ECC"/>
    <w:rsid w:val="004A1163"/>
    <w:rsid w:val="004A1246"/>
    <w:rsid w:val="004A17FA"/>
    <w:rsid w:val="004A1932"/>
    <w:rsid w:val="004A1DAD"/>
    <w:rsid w:val="004A2005"/>
    <w:rsid w:val="004A215B"/>
    <w:rsid w:val="004A23E5"/>
    <w:rsid w:val="004A25D9"/>
    <w:rsid w:val="004A270B"/>
    <w:rsid w:val="004A29C7"/>
    <w:rsid w:val="004A2B71"/>
    <w:rsid w:val="004A2CD5"/>
    <w:rsid w:val="004A321F"/>
    <w:rsid w:val="004A3429"/>
    <w:rsid w:val="004A3644"/>
    <w:rsid w:val="004A38A5"/>
    <w:rsid w:val="004A38D6"/>
    <w:rsid w:val="004A3A41"/>
    <w:rsid w:val="004A3A47"/>
    <w:rsid w:val="004A3ABF"/>
    <w:rsid w:val="004A3CB7"/>
    <w:rsid w:val="004A3F18"/>
    <w:rsid w:val="004A3F2E"/>
    <w:rsid w:val="004A42CE"/>
    <w:rsid w:val="004A43DF"/>
    <w:rsid w:val="004A441D"/>
    <w:rsid w:val="004A44DF"/>
    <w:rsid w:val="004A45FD"/>
    <w:rsid w:val="004A471D"/>
    <w:rsid w:val="004A493E"/>
    <w:rsid w:val="004A4D06"/>
    <w:rsid w:val="004A4FC8"/>
    <w:rsid w:val="004A50BC"/>
    <w:rsid w:val="004A5232"/>
    <w:rsid w:val="004A55BE"/>
    <w:rsid w:val="004A657D"/>
    <w:rsid w:val="004A664D"/>
    <w:rsid w:val="004A6825"/>
    <w:rsid w:val="004A69DA"/>
    <w:rsid w:val="004A6D5C"/>
    <w:rsid w:val="004A723F"/>
    <w:rsid w:val="004A72DD"/>
    <w:rsid w:val="004A74C3"/>
    <w:rsid w:val="004A76F0"/>
    <w:rsid w:val="004A76FD"/>
    <w:rsid w:val="004A7922"/>
    <w:rsid w:val="004B0033"/>
    <w:rsid w:val="004B04F1"/>
    <w:rsid w:val="004B0624"/>
    <w:rsid w:val="004B06D0"/>
    <w:rsid w:val="004B0A5F"/>
    <w:rsid w:val="004B0B6E"/>
    <w:rsid w:val="004B11AD"/>
    <w:rsid w:val="004B140D"/>
    <w:rsid w:val="004B15CE"/>
    <w:rsid w:val="004B1687"/>
    <w:rsid w:val="004B20E2"/>
    <w:rsid w:val="004B2575"/>
    <w:rsid w:val="004B2630"/>
    <w:rsid w:val="004B27E3"/>
    <w:rsid w:val="004B2918"/>
    <w:rsid w:val="004B29F6"/>
    <w:rsid w:val="004B34DD"/>
    <w:rsid w:val="004B358D"/>
    <w:rsid w:val="004B40A7"/>
    <w:rsid w:val="004B4249"/>
    <w:rsid w:val="004B4A60"/>
    <w:rsid w:val="004B4BC7"/>
    <w:rsid w:val="004B50E3"/>
    <w:rsid w:val="004B51A3"/>
    <w:rsid w:val="004B534E"/>
    <w:rsid w:val="004B5393"/>
    <w:rsid w:val="004B5551"/>
    <w:rsid w:val="004B59CB"/>
    <w:rsid w:val="004B625B"/>
    <w:rsid w:val="004B64D4"/>
    <w:rsid w:val="004B6901"/>
    <w:rsid w:val="004B6F05"/>
    <w:rsid w:val="004B702B"/>
    <w:rsid w:val="004B768B"/>
    <w:rsid w:val="004B774C"/>
    <w:rsid w:val="004B7AD9"/>
    <w:rsid w:val="004B7E64"/>
    <w:rsid w:val="004C0244"/>
    <w:rsid w:val="004C0712"/>
    <w:rsid w:val="004C0962"/>
    <w:rsid w:val="004C0EC9"/>
    <w:rsid w:val="004C0F0D"/>
    <w:rsid w:val="004C0FBF"/>
    <w:rsid w:val="004C142D"/>
    <w:rsid w:val="004C175A"/>
    <w:rsid w:val="004C1838"/>
    <w:rsid w:val="004C19D2"/>
    <w:rsid w:val="004C1AA7"/>
    <w:rsid w:val="004C1CE3"/>
    <w:rsid w:val="004C2AD4"/>
    <w:rsid w:val="004C2B40"/>
    <w:rsid w:val="004C2C19"/>
    <w:rsid w:val="004C2C95"/>
    <w:rsid w:val="004C2CAC"/>
    <w:rsid w:val="004C3539"/>
    <w:rsid w:val="004C381C"/>
    <w:rsid w:val="004C3F0D"/>
    <w:rsid w:val="004C3FD7"/>
    <w:rsid w:val="004C4648"/>
    <w:rsid w:val="004C48E5"/>
    <w:rsid w:val="004C4971"/>
    <w:rsid w:val="004C50C0"/>
    <w:rsid w:val="004C55E8"/>
    <w:rsid w:val="004C5AA1"/>
    <w:rsid w:val="004C5BBD"/>
    <w:rsid w:val="004C5D10"/>
    <w:rsid w:val="004C600D"/>
    <w:rsid w:val="004C6374"/>
    <w:rsid w:val="004C64D0"/>
    <w:rsid w:val="004C6641"/>
    <w:rsid w:val="004C683A"/>
    <w:rsid w:val="004C6B4F"/>
    <w:rsid w:val="004C6D63"/>
    <w:rsid w:val="004C6DF5"/>
    <w:rsid w:val="004C7754"/>
    <w:rsid w:val="004C784B"/>
    <w:rsid w:val="004C79D9"/>
    <w:rsid w:val="004D059B"/>
    <w:rsid w:val="004D0705"/>
    <w:rsid w:val="004D0EBA"/>
    <w:rsid w:val="004D14E1"/>
    <w:rsid w:val="004D199D"/>
    <w:rsid w:val="004D1E35"/>
    <w:rsid w:val="004D21E5"/>
    <w:rsid w:val="004D2237"/>
    <w:rsid w:val="004D259F"/>
    <w:rsid w:val="004D25E2"/>
    <w:rsid w:val="004D26A0"/>
    <w:rsid w:val="004D2844"/>
    <w:rsid w:val="004D3A17"/>
    <w:rsid w:val="004D3E36"/>
    <w:rsid w:val="004D4588"/>
    <w:rsid w:val="004D4AC2"/>
    <w:rsid w:val="004D4B5B"/>
    <w:rsid w:val="004D4CAE"/>
    <w:rsid w:val="004D5038"/>
    <w:rsid w:val="004D50DC"/>
    <w:rsid w:val="004D51D4"/>
    <w:rsid w:val="004D5251"/>
    <w:rsid w:val="004D53F8"/>
    <w:rsid w:val="004D5D9E"/>
    <w:rsid w:val="004D5EBD"/>
    <w:rsid w:val="004D6314"/>
    <w:rsid w:val="004D68BE"/>
    <w:rsid w:val="004D68ED"/>
    <w:rsid w:val="004D6A67"/>
    <w:rsid w:val="004D6D7B"/>
    <w:rsid w:val="004D7312"/>
    <w:rsid w:val="004D7420"/>
    <w:rsid w:val="004D7576"/>
    <w:rsid w:val="004E00E6"/>
    <w:rsid w:val="004E01C0"/>
    <w:rsid w:val="004E0242"/>
    <w:rsid w:val="004E054D"/>
    <w:rsid w:val="004E06B0"/>
    <w:rsid w:val="004E07DA"/>
    <w:rsid w:val="004E08E7"/>
    <w:rsid w:val="004E0A8F"/>
    <w:rsid w:val="004E111B"/>
    <w:rsid w:val="004E1454"/>
    <w:rsid w:val="004E1E3E"/>
    <w:rsid w:val="004E1EA8"/>
    <w:rsid w:val="004E2459"/>
    <w:rsid w:val="004E26C8"/>
    <w:rsid w:val="004E2822"/>
    <w:rsid w:val="004E2921"/>
    <w:rsid w:val="004E2BC5"/>
    <w:rsid w:val="004E2FD4"/>
    <w:rsid w:val="004E305F"/>
    <w:rsid w:val="004E368E"/>
    <w:rsid w:val="004E3834"/>
    <w:rsid w:val="004E3C85"/>
    <w:rsid w:val="004E3FB6"/>
    <w:rsid w:val="004E41AF"/>
    <w:rsid w:val="004E4277"/>
    <w:rsid w:val="004E46EE"/>
    <w:rsid w:val="004E49BD"/>
    <w:rsid w:val="004E4E85"/>
    <w:rsid w:val="004E4F95"/>
    <w:rsid w:val="004E53FC"/>
    <w:rsid w:val="004E578F"/>
    <w:rsid w:val="004E5CB9"/>
    <w:rsid w:val="004E5CF5"/>
    <w:rsid w:val="004E63EE"/>
    <w:rsid w:val="004E650B"/>
    <w:rsid w:val="004E6510"/>
    <w:rsid w:val="004E6593"/>
    <w:rsid w:val="004E6BC9"/>
    <w:rsid w:val="004E6CBA"/>
    <w:rsid w:val="004E73E8"/>
    <w:rsid w:val="004E7540"/>
    <w:rsid w:val="004E7FC0"/>
    <w:rsid w:val="004F0148"/>
    <w:rsid w:val="004F04C9"/>
    <w:rsid w:val="004F0564"/>
    <w:rsid w:val="004F056A"/>
    <w:rsid w:val="004F0571"/>
    <w:rsid w:val="004F05B8"/>
    <w:rsid w:val="004F06B9"/>
    <w:rsid w:val="004F083D"/>
    <w:rsid w:val="004F0C3F"/>
    <w:rsid w:val="004F0DF9"/>
    <w:rsid w:val="004F1A7E"/>
    <w:rsid w:val="004F2715"/>
    <w:rsid w:val="004F28AA"/>
    <w:rsid w:val="004F2A1D"/>
    <w:rsid w:val="004F2BB1"/>
    <w:rsid w:val="004F2F35"/>
    <w:rsid w:val="004F304A"/>
    <w:rsid w:val="004F30BF"/>
    <w:rsid w:val="004F34AC"/>
    <w:rsid w:val="004F37EE"/>
    <w:rsid w:val="004F3BE6"/>
    <w:rsid w:val="004F3BF4"/>
    <w:rsid w:val="004F3D20"/>
    <w:rsid w:val="004F3FD2"/>
    <w:rsid w:val="004F40AD"/>
    <w:rsid w:val="004F41C8"/>
    <w:rsid w:val="004F4978"/>
    <w:rsid w:val="004F4F47"/>
    <w:rsid w:val="004F56ED"/>
    <w:rsid w:val="004F588D"/>
    <w:rsid w:val="004F59FF"/>
    <w:rsid w:val="004F5C58"/>
    <w:rsid w:val="004F5D56"/>
    <w:rsid w:val="004F5F23"/>
    <w:rsid w:val="004F5FA0"/>
    <w:rsid w:val="004F6045"/>
    <w:rsid w:val="004F6147"/>
    <w:rsid w:val="004F614F"/>
    <w:rsid w:val="004F6677"/>
    <w:rsid w:val="004F6782"/>
    <w:rsid w:val="004F69FE"/>
    <w:rsid w:val="004F6ED6"/>
    <w:rsid w:val="004F6EE4"/>
    <w:rsid w:val="004F752A"/>
    <w:rsid w:val="004F781C"/>
    <w:rsid w:val="004F7918"/>
    <w:rsid w:val="004F7F31"/>
    <w:rsid w:val="0050098F"/>
    <w:rsid w:val="00500CC6"/>
    <w:rsid w:val="005017AF"/>
    <w:rsid w:val="00501A5D"/>
    <w:rsid w:val="00501C1C"/>
    <w:rsid w:val="00502190"/>
    <w:rsid w:val="005022AE"/>
    <w:rsid w:val="005034E2"/>
    <w:rsid w:val="00503738"/>
    <w:rsid w:val="00503797"/>
    <w:rsid w:val="005038CB"/>
    <w:rsid w:val="0050398F"/>
    <w:rsid w:val="005039EE"/>
    <w:rsid w:val="00503F6D"/>
    <w:rsid w:val="00504CF2"/>
    <w:rsid w:val="005051C5"/>
    <w:rsid w:val="00505714"/>
    <w:rsid w:val="005057FE"/>
    <w:rsid w:val="00505827"/>
    <w:rsid w:val="00505B35"/>
    <w:rsid w:val="0050634D"/>
    <w:rsid w:val="00506441"/>
    <w:rsid w:val="005067EB"/>
    <w:rsid w:val="00506A1E"/>
    <w:rsid w:val="00506B64"/>
    <w:rsid w:val="00506C00"/>
    <w:rsid w:val="00506E42"/>
    <w:rsid w:val="00507749"/>
    <w:rsid w:val="00507A41"/>
    <w:rsid w:val="00510162"/>
    <w:rsid w:val="005106A0"/>
    <w:rsid w:val="00510A77"/>
    <w:rsid w:val="00510B78"/>
    <w:rsid w:val="00510FFA"/>
    <w:rsid w:val="005111E1"/>
    <w:rsid w:val="00511586"/>
    <w:rsid w:val="0051180D"/>
    <w:rsid w:val="0051227C"/>
    <w:rsid w:val="0051254F"/>
    <w:rsid w:val="005125B3"/>
    <w:rsid w:val="005125B6"/>
    <w:rsid w:val="005129F7"/>
    <w:rsid w:val="00512AF0"/>
    <w:rsid w:val="00512E59"/>
    <w:rsid w:val="005130A1"/>
    <w:rsid w:val="005133C9"/>
    <w:rsid w:val="0051367A"/>
    <w:rsid w:val="005137A4"/>
    <w:rsid w:val="00513E25"/>
    <w:rsid w:val="0051430B"/>
    <w:rsid w:val="005144B5"/>
    <w:rsid w:val="00514710"/>
    <w:rsid w:val="00514CF7"/>
    <w:rsid w:val="00514E75"/>
    <w:rsid w:val="0051524A"/>
    <w:rsid w:val="0051535D"/>
    <w:rsid w:val="005158FB"/>
    <w:rsid w:val="00515A03"/>
    <w:rsid w:val="0051601C"/>
    <w:rsid w:val="005162F1"/>
    <w:rsid w:val="005162FB"/>
    <w:rsid w:val="00516603"/>
    <w:rsid w:val="0051788F"/>
    <w:rsid w:val="00517E75"/>
    <w:rsid w:val="0052095A"/>
    <w:rsid w:val="00520E0A"/>
    <w:rsid w:val="0052125B"/>
    <w:rsid w:val="00521565"/>
    <w:rsid w:val="00521745"/>
    <w:rsid w:val="005219BF"/>
    <w:rsid w:val="005221B4"/>
    <w:rsid w:val="005224A4"/>
    <w:rsid w:val="00522B66"/>
    <w:rsid w:val="00523055"/>
    <w:rsid w:val="005232C3"/>
    <w:rsid w:val="005234BC"/>
    <w:rsid w:val="00523D53"/>
    <w:rsid w:val="00523D66"/>
    <w:rsid w:val="00523F12"/>
    <w:rsid w:val="00523FCF"/>
    <w:rsid w:val="0052446A"/>
    <w:rsid w:val="00524490"/>
    <w:rsid w:val="005244CA"/>
    <w:rsid w:val="005248DC"/>
    <w:rsid w:val="005249CF"/>
    <w:rsid w:val="00524A48"/>
    <w:rsid w:val="00524ACF"/>
    <w:rsid w:val="005251FB"/>
    <w:rsid w:val="00525285"/>
    <w:rsid w:val="0052543F"/>
    <w:rsid w:val="0052553B"/>
    <w:rsid w:val="00525A58"/>
    <w:rsid w:val="00525A6A"/>
    <w:rsid w:val="00525BBB"/>
    <w:rsid w:val="00525DF6"/>
    <w:rsid w:val="00526118"/>
    <w:rsid w:val="005263EB"/>
    <w:rsid w:val="00526534"/>
    <w:rsid w:val="005267CF"/>
    <w:rsid w:val="0052699C"/>
    <w:rsid w:val="00526AE6"/>
    <w:rsid w:val="00526CF2"/>
    <w:rsid w:val="0052700A"/>
    <w:rsid w:val="005272A2"/>
    <w:rsid w:val="005275E5"/>
    <w:rsid w:val="00527868"/>
    <w:rsid w:val="00527A5E"/>
    <w:rsid w:val="00527B27"/>
    <w:rsid w:val="00527BA9"/>
    <w:rsid w:val="00530166"/>
    <w:rsid w:val="00530771"/>
    <w:rsid w:val="00530783"/>
    <w:rsid w:val="00530833"/>
    <w:rsid w:val="00530DE9"/>
    <w:rsid w:val="00530EBF"/>
    <w:rsid w:val="00531469"/>
    <w:rsid w:val="005314FB"/>
    <w:rsid w:val="0053199B"/>
    <w:rsid w:val="00531B9E"/>
    <w:rsid w:val="005320EA"/>
    <w:rsid w:val="00532EED"/>
    <w:rsid w:val="00533561"/>
    <w:rsid w:val="00533C9D"/>
    <w:rsid w:val="005348CE"/>
    <w:rsid w:val="00534A7B"/>
    <w:rsid w:val="00534FA1"/>
    <w:rsid w:val="0053567B"/>
    <w:rsid w:val="005356D8"/>
    <w:rsid w:val="0053578C"/>
    <w:rsid w:val="00535955"/>
    <w:rsid w:val="00535DC9"/>
    <w:rsid w:val="0053625D"/>
    <w:rsid w:val="00536816"/>
    <w:rsid w:val="00536F59"/>
    <w:rsid w:val="00537507"/>
    <w:rsid w:val="00537A32"/>
    <w:rsid w:val="00537F17"/>
    <w:rsid w:val="00540376"/>
    <w:rsid w:val="0054077E"/>
    <w:rsid w:val="00540889"/>
    <w:rsid w:val="00540997"/>
    <w:rsid w:val="005412F3"/>
    <w:rsid w:val="00541413"/>
    <w:rsid w:val="005414EF"/>
    <w:rsid w:val="005420CD"/>
    <w:rsid w:val="00542366"/>
    <w:rsid w:val="005424AA"/>
    <w:rsid w:val="005425AD"/>
    <w:rsid w:val="00542A02"/>
    <w:rsid w:val="005431F0"/>
    <w:rsid w:val="005431FC"/>
    <w:rsid w:val="00543B50"/>
    <w:rsid w:val="00543E78"/>
    <w:rsid w:val="00544329"/>
    <w:rsid w:val="00544453"/>
    <w:rsid w:val="005446AA"/>
    <w:rsid w:val="0054481C"/>
    <w:rsid w:val="005448CD"/>
    <w:rsid w:val="00545158"/>
    <w:rsid w:val="00545440"/>
    <w:rsid w:val="005454E8"/>
    <w:rsid w:val="00545C69"/>
    <w:rsid w:val="00546132"/>
    <w:rsid w:val="00546319"/>
    <w:rsid w:val="00546C4D"/>
    <w:rsid w:val="00546E90"/>
    <w:rsid w:val="00546FEB"/>
    <w:rsid w:val="0054766B"/>
    <w:rsid w:val="00547E0F"/>
    <w:rsid w:val="005501CE"/>
    <w:rsid w:val="00550242"/>
    <w:rsid w:val="00550733"/>
    <w:rsid w:val="00550AA6"/>
    <w:rsid w:val="00550BAA"/>
    <w:rsid w:val="00550D0E"/>
    <w:rsid w:val="005516BD"/>
    <w:rsid w:val="0055172A"/>
    <w:rsid w:val="00551A54"/>
    <w:rsid w:val="005520B1"/>
    <w:rsid w:val="00552731"/>
    <w:rsid w:val="0055280C"/>
    <w:rsid w:val="00552833"/>
    <w:rsid w:val="00552941"/>
    <w:rsid w:val="005529BB"/>
    <w:rsid w:val="00552F06"/>
    <w:rsid w:val="005530E3"/>
    <w:rsid w:val="00553198"/>
    <w:rsid w:val="00553457"/>
    <w:rsid w:val="0055347B"/>
    <w:rsid w:val="00553797"/>
    <w:rsid w:val="005539BE"/>
    <w:rsid w:val="005539EC"/>
    <w:rsid w:val="00553A0B"/>
    <w:rsid w:val="00553FFB"/>
    <w:rsid w:val="0055421A"/>
    <w:rsid w:val="005542EE"/>
    <w:rsid w:val="00554329"/>
    <w:rsid w:val="00554607"/>
    <w:rsid w:val="00554627"/>
    <w:rsid w:val="0055475C"/>
    <w:rsid w:val="005547FF"/>
    <w:rsid w:val="00554D86"/>
    <w:rsid w:val="00554E74"/>
    <w:rsid w:val="00554F04"/>
    <w:rsid w:val="00554F9C"/>
    <w:rsid w:val="00555E12"/>
    <w:rsid w:val="00556136"/>
    <w:rsid w:val="005563C9"/>
    <w:rsid w:val="005566AA"/>
    <w:rsid w:val="00556B93"/>
    <w:rsid w:val="00556D00"/>
    <w:rsid w:val="0055711B"/>
    <w:rsid w:val="0055738E"/>
    <w:rsid w:val="005574F9"/>
    <w:rsid w:val="0055758F"/>
    <w:rsid w:val="0055770D"/>
    <w:rsid w:val="00557DAC"/>
    <w:rsid w:val="00560031"/>
    <w:rsid w:val="00560194"/>
    <w:rsid w:val="005602C8"/>
    <w:rsid w:val="005602EA"/>
    <w:rsid w:val="00560404"/>
    <w:rsid w:val="00560469"/>
    <w:rsid w:val="00560624"/>
    <w:rsid w:val="00560748"/>
    <w:rsid w:val="00560881"/>
    <w:rsid w:val="00560978"/>
    <w:rsid w:val="00560A37"/>
    <w:rsid w:val="00560B65"/>
    <w:rsid w:val="00560C38"/>
    <w:rsid w:val="00560D2B"/>
    <w:rsid w:val="00560DE2"/>
    <w:rsid w:val="00560FAC"/>
    <w:rsid w:val="005611B9"/>
    <w:rsid w:val="005612D4"/>
    <w:rsid w:val="005613A3"/>
    <w:rsid w:val="005613A7"/>
    <w:rsid w:val="00561710"/>
    <w:rsid w:val="00561975"/>
    <w:rsid w:val="005619B7"/>
    <w:rsid w:val="00561AEE"/>
    <w:rsid w:val="00561C1C"/>
    <w:rsid w:val="00561CCE"/>
    <w:rsid w:val="00561D3C"/>
    <w:rsid w:val="00562A5F"/>
    <w:rsid w:val="00562BE5"/>
    <w:rsid w:val="00562D7E"/>
    <w:rsid w:val="00562E3D"/>
    <w:rsid w:val="005634BA"/>
    <w:rsid w:val="005639B1"/>
    <w:rsid w:val="00563ADB"/>
    <w:rsid w:val="00563EC3"/>
    <w:rsid w:val="00563F75"/>
    <w:rsid w:val="005640EB"/>
    <w:rsid w:val="00564600"/>
    <w:rsid w:val="0056495D"/>
    <w:rsid w:val="00564DA3"/>
    <w:rsid w:val="00564EB4"/>
    <w:rsid w:val="005651DE"/>
    <w:rsid w:val="00565514"/>
    <w:rsid w:val="0056557A"/>
    <w:rsid w:val="00565A48"/>
    <w:rsid w:val="00565FCB"/>
    <w:rsid w:val="00566076"/>
    <w:rsid w:val="00566282"/>
    <w:rsid w:val="00566571"/>
    <w:rsid w:val="005666B9"/>
    <w:rsid w:val="00566766"/>
    <w:rsid w:val="00566845"/>
    <w:rsid w:val="00566A6C"/>
    <w:rsid w:val="00566F82"/>
    <w:rsid w:val="00567218"/>
    <w:rsid w:val="00567646"/>
    <w:rsid w:val="00567851"/>
    <w:rsid w:val="00567B69"/>
    <w:rsid w:val="00570072"/>
    <w:rsid w:val="0057013D"/>
    <w:rsid w:val="0057031E"/>
    <w:rsid w:val="00570584"/>
    <w:rsid w:val="005705C8"/>
    <w:rsid w:val="0057094E"/>
    <w:rsid w:val="00570A00"/>
    <w:rsid w:val="00570E16"/>
    <w:rsid w:val="005712D6"/>
    <w:rsid w:val="00571812"/>
    <w:rsid w:val="00571DCD"/>
    <w:rsid w:val="0057218C"/>
    <w:rsid w:val="005723F9"/>
    <w:rsid w:val="00572C81"/>
    <w:rsid w:val="00572E70"/>
    <w:rsid w:val="00572EB6"/>
    <w:rsid w:val="00573348"/>
    <w:rsid w:val="00573369"/>
    <w:rsid w:val="0057337D"/>
    <w:rsid w:val="0057354E"/>
    <w:rsid w:val="005737C9"/>
    <w:rsid w:val="00573C20"/>
    <w:rsid w:val="00574098"/>
    <w:rsid w:val="0057418A"/>
    <w:rsid w:val="005747F1"/>
    <w:rsid w:val="00574923"/>
    <w:rsid w:val="005749F3"/>
    <w:rsid w:val="00574D59"/>
    <w:rsid w:val="0057512E"/>
    <w:rsid w:val="00575146"/>
    <w:rsid w:val="0057535A"/>
    <w:rsid w:val="00575641"/>
    <w:rsid w:val="00575BF7"/>
    <w:rsid w:val="00575C24"/>
    <w:rsid w:val="00576226"/>
    <w:rsid w:val="005762EA"/>
    <w:rsid w:val="005767AE"/>
    <w:rsid w:val="00576933"/>
    <w:rsid w:val="005773EC"/>
    <w:rsid w:val="00577AD2"/>
    <w:rsid w:val="00580390"/>
    <w:rsid w:val="00580491"/>
    <w:rsid w:val="00580C3F"/>
    <w:rsid w:val="00580D79"/>
    <w:rsid w:val="00580F52"/>
    <w:rsid w:val="0058137E"/>
    <w:rsid w:val="00581624"/>
    <w:rsid w:val="005816EE"/>
    <w:rsid w:val="005817B2"/>
    <w:rsid w:val="005819CB"/>
    <w:rsid w:val="005819F7"/>
    <w:rsid w:val="00581A20"/>
    <w:rsid w:val="00581BC4"/>
    <w:rsid w:val="00581C35"/>
    <w:rsid w:val="00581C62"/>
    <w:rsid w:val="0058204A"/>
    <w:rsid w:val="005820CE"/>
    <w:rsid w:val="005820EC"/>
    <w:rsid w:val="0058220C"/>
    <w:rsid w:val="00582265"/>
    <w:rsid w:val="005823A5"/>
    <w:rsid w:val="005824C6"/>
    <w:rsid w:val="00582629"/>
    <w:rsid w:val="00582674"/>
    <w:rsid w:val="0058267C"/>
    <w:rsid w:val="005826EE"/>
    <w:rsid w:val="0058271E"/>
    <w:rsid w:val="0058283F"/>
    <w:rsid w:val="00582ECE"/>
    <w:rsid w:val="00583198"/>
    <w:rsid w:val="005831BF"/>
    <w:rsid w:val="005834BC"/>
    <w:rsid w:val="00583930"/>
    <w:rsid w:val="00583BFE"/>
    <w:rsid w:val="00583D8A"/>
    <w:rsid w:val="00583DBE"/>
    <w:rsid w:val="005840EB"/>
    <w:rsid w:val="005840EF"/>
    <w:rsid w:val="005843BE"/>
    <w:rsid w:val="005845A3"/>
    <w:rsid w:val="005848F8"/>
    <w:rsid w:val="00584E2F"/>
    <w:rsid w:val="005850F8"/>
    <w:rsid w:val="00585151"/>
    <w:rsid w:val="0058523B"/>
    <w:rsid w:val="0058525B"/>
    <w:rsid w:val="00585AAE"/>
    <w:rsid w:val="00585C03"/>
    <w:rsid w:val="00585F1C"/>
    <w:rsid w:val="005863B2"/>
    <w:rsid w:val="005863F7"/>
    <w:rsid w:val="00586637"/>
    <w:rsid w:val="005868AB"/>
    <w:rsid w:val="005868C2"/>
    <w:rsid w:val="00587229"/>
    <w:rsid w:val="00587C46"/>
    <w:rsid w:val="00587F56"/>
    <w:rsid w:val="00587FD9"/>
    <w:rsid w:val="0059001E"/>
    <w:rsid w:val="005900B9"/>
    <w:rsid w:val="005902C9"/>
    <w:rsid w:val="005908B9"/>
    <w:rsid w:val="00591265"/>
    <w:rsid w:val="00591282"/>
    <w:rsid w:val="00591283"/>
    <w:rsid w:val="005915A4"/>
    <w:rsid w:val="005924D3"/>
    <w:rsid w:val="005924F1"/>
    <w:rsid w:val="005925E3"/>
    <w:rsid w:val="00592CF0"/>
    <w:rsid w:val="0059304D"/>
    <w:rsid w:val="00593058"/>
    <w:rsid w:val="005933AE"/>
    <w:rsid w:val="005934A8"/>
    <w:rsid w:val="0059382B"/>
    <w:rsid w:val="00593CBE"/>
    <w:rsid w:val="00593F5D"/>
    <w:rsid w:val="0059404E"/>
    <w:rsid w:val="0059406A"/>
    <w:rsid w:val="005944F1"/>
    <w:rsid w:val="005946CA"/>
    <w:rsid w:val="005948E1"/>
    <w:rsid w:val="005948F3"/>
    <w:rsid w:val="00594B14"/>
    <w:rsid w:val="00594CD9"/>
    <w:rsid w:val="00595156"/>
    <w:rsid w:val="005962ED"/>
    <w:rsid w:val="005965C9"/>
    <w:rsid w:val="005966C9"/>
    <w:rsid w:val="00596790"/>
    <w:rsid w:val="005967C0"/>
    <w:rsid w:val="00596832"/>
    <w:rsid w:val="00596CCB"/>
    <w:rsid w:val="00596DB6"/>
    <w:rsid w:val="005970CD"/>
    <w:rsid w:val="00597459"/>
    <w:rsid w:val="00597753"/>
    <w:rsid w:val="005979C3"/>
    <w:rsid w:val="00597D8A"/>
    <w:rsid w:val="00597E6F"/>
    <w:rsid w:val="00597F9D"/>
    <w:rsid w:val="005A0203"/>
    <w:rsid w:val="005A03BD"/>
    <w:rsid w:val="005A052F"/>
    <w:rsid w:val="005A05DF"/>
    <w:rsid w:val="005A0C7F"/>
    <w:rsid w:val="005A0ECA"/>
    <w:rsid w:val="005A0EFC"/>
    <w:rsid w:val="005A1018"/>
    <w:rsid w:val="005A1099"/>
    <w:rsid w:val="005A10AE"/>
    <w:rsid w:val="005A12EF"/>
    <w:rsid w:val="005A1396"/>
    <w:rsid w:val="005A13B0"/>
    <w:rsid w:val="005A1586"/>
    <w:rsid w:val="005A15BB"/>
    <w:rsid w:val="005A15D8"/>
    <w:rsid w:val="005A1980"/>
    <w:rsid w:val="005A1A26"/>
    <w:rsid w:val="005A1BC8"/>
    <w:rsid w:val="005A1C64"/>
    <w:rsid w:val="005A1CFF"/>
    <w:rsid w:val="005A1D75"/>
    <w:rsid w:val="005A1F74"/>
    <w:rsid w:val="005A207E"/>
    <w:rsid w:val="005A2293"/>
    <w:rsid w:val="005A2593"/>
    <w:rsid w:val="005A2FFB"/>
    <w:rsid w:val="005A3196"/>
    <w:rsid w:val="005A339E"/>
    <w:rsid w:val="005A35CE"/>
    <w:rsid w:val="005A3858"/>
    <w:rsid w:val="005A3993"/>
    <w:rsid w:val="005A3CF7"/>
    <w:rsid w:val="005A3E4B"/>
    <w:rsid w:val="005A3F81"/>
    <w:rsid w:val="005A408B"/>
    <w:rsid w:val="005A4142"/>
    <w:rsid w:val="005A414B"/>
    <w:rsid w:val="005A48B4"/>
    <w:rsid w:val="005A48BD"/>
    <w:rsid w:val="005A581C"/>
    <w:rsid w:val="005A5872"/>
    <w:rsid w:val="005A5A88"/>
    <w:rsid w:val="005A6A8A"/>
    <w:rsid w:val="005A6E32"/>
    <w:rsid w:val="005A6F80"/>
    <w:rsid w:val="005A7215"/>
    <w:rsid w:val="005A726F"/>
    <w:rsid w:val="005A7550"/>
    <w:rsid w:val="005A782E"/>
    <w:rsid w:val="005A793B"/>
    <w:rsid w:val="005A79AE"/>
    <w:rsid w:val="005A7A5C"/>
    <w:rsid w:val="005A7EBC"/>
    <w:rsid w:val="005B00B5"/>
    <w:rsid w:val="005B0168"/>
    <w:rsid w:val="005B01B7"/>
    <w:rsid w:val="005B05E7"/>
    <w:rsid w:val="005B0774"/>
    <w:rsid w:val="005B080D"/>
    <w:rsid w:val="005B0A29"/>
    <w:rsid w:val="005B0E02"/>
    <w:rsid w:val="005B1595"/>
    <w:rsid w:val="005B1731"/>
    <w:rsid w:val="005B1878"/>
    <w:rsid w:val="005B18B2"/>
    <w:rsid w:val="005B1965"/>
    <w:rsid w:val="005B1CF5"/>
    <w:rsid w:val="005B203F"/>
    <w:rsid w:val="005B2054"/>
    <w:rsid w:val="005B247D"/>
    <w:rsid w:val="005B2561"/>
    <w:rsid w:val="005B25AA"/>
    <w:rsid w:val="005B2607"/>
    <w:rsid w:val="005B26FD"/>
    <w:rsid w:val="005B2BC5"/>
    <w:rsid w:val="005B2E63"/>
    <w:rsid w:val="005B3176"/>
    <w:rsid w:val="005B39D8"/>
    <w:rsid w:val="005B3EF1"/>
    <w:rsid w:val="005B3F34"/>
    <w:rsid w:val="005B429E"/>
    <w:rsid w:val="005B42A7"/>
    <w:rsid w:val="005B44D0"/>
    <w:rsid w:val="005B4CD8"/>
    <w:rsid w:val="005B55D6"/>
    <w:rsid w:val="005B5B11"/>
    <w:rsid w:val="005B5C27"/>
    <w:rsid w:val="005B5C4A"/>
    <w:rsid w:val="005B5EDF"/>
    <w:rsid w:val="005B5FC3"/>
    <w:rsid w:val="005B60BD"/>
    <w:rsid w:val="005B61BF"/>
    <w:rsid w:val="005B668D"/>
    <w:rsid w:val="005B6717"/>
    <w:rsid w:val="005B67FE"/>
    <w:rsid w:val="005B6837"/>
    <w:rsid w:val="005B6913"/>
    <w:rsid w:val="005B6AD3"/>
    <w:rsid w:val="005B705F"/>
    <w:rsid w:val="005B72EF"/>
    <w:rsid w:val="005B799E"/>
    <w:rsid w:val="005B7A53"/>
    <w:rsid w:val="005B7C8C"/>
    <w:rsid w:val="005C0178"/>
    <w:rsid w:val="005C02BC"/>
    <w:rsid w:val="005C0423"/>
    <w:rsid w:val="005C0607"/>
    <w:rsid w:val="005C0873"/>
    <w:rsid w:val="005C0A76"/>
    <w:rsid w:val="005C0F3A"/>
    <w:rsid w:val="005C0F51"/>
    <w:rsid w:val="005C0FA9"/>
    <w:rsid w:val="005C0FE5"/>
    <w:rsid w:val="005C11E6"/>
    <w:rsid w:val="005C147A"/>
    <w:rsid w:val="005C1490"/>
    <w:rsid w:val="005C19D6"/>
    <w:rsid w:val="005C1F3B"/>
    <w:rsid w:val="005C208C"/>
    <w:rsid w:val="005C20F7"/>
    <w:rsid w:val="005C2469"/>
    <w:rsid w:val="005C28E4"/>
    <w:rsid w:val="005C2A7E"/>
    <w:rsid w:val="005C2E67"/>
    <w:rsid w:val="005C35ED"/>
    <w:rsid w:val="005C35FA"/>
    <w:rsid w:val="005C37F2"/>
    <w:rsid w:val="005C414B"/>
    <w:rsid w:val="005C42EA"/>
    <w:rsid w:val="005C4457"/>
    <w:rsid w:val="005C4616"/>
    <w:rsid w:val="005C4AD1"/>
    <w:rsid w:val="005C4AF0"/>
    <w:rsid w:val="005C4D24"/>
    <w:rsid w:val="005C4DD7"/>
    <w:rsid w:val="005C5284"/>
    <w:rsid w:val="005C539A"/>
    <w:rsid w:val="005C5693"/>
    <w:rsid w:val="005C59A0"/>
    <w:rsid w:val="005C5A2A"/>
    <w:rsid w:val="005C5BA0"/>
    <w:rsid w:val="005C5C9E"/>
    <w:rsid w:val="005C5D0A"/>
    <w:rsid w:val="005C60B1"/>
    <w:rsid w:val="005C6C12"/>
    <w:rsid w:val="005C6F04"/>
    <w:rsid w:val="005C74F8"/>
    <w:rsid w:val="005C75B9"/>
    <w:rsid w:val="005C778A"/>
    <w:rsid w:val="005C794A"/>
    <w:rsid w:val="005C7B1F"/>
    <w:rsid w:val="005C7E97"/>
    <w:rsid w:val="005D065D"/>
    <w:rsid w:val="005D070B"/>
    <w:rsid w:val="005D0C8D"/>
    <w:rsid w:val="005D12BF"/>
    <w:rsid w:val="005D14B2"/>
    <w:rsid w:val="005D14E9"/>
    <w:rsid w:val="005D19D4"/>
    <w:rsid w:val="005D1A3C"/>
    <w:rsid w:val="005D1B75"/>
    <w:rsid w:val="005D1B9B"/>
    <w:rsid w:val="005D1C71"/>
    <w:rsid w:val="005D1E86"/>
    <w:rsid w:val="005D21A6"/>
    <w:rsid w:val="005D29D5"/>
    <w:rsid w:val="005D29F6"/>
    <w:rsid w:val="005D383D"/>
    <w:rsid w:val="005D3947"/>
    <w:rsid w:val="005D3D18"/>
    <w:rsid w:val="005D3E4A"/>
    <w:rsid w:val="005D3E97"/>
    <w:rsid w:val="005D3F76"/>
    <w:rsid w:val="005D4095"/>
    <w:rsid w:val="005D4641"/>
    <w:rsid w:val="005D4750"/>
    <w:rsid w:val="005D49A2"/>
    <w:rsid w:val="005D49FF"/>
    <w:rsid w:val="005D4ACD"/>
    <w:rsid w:val="005D4C36"/>
    <w:rsid w:val="005D4D0A"/>
    <w:rsid w:val="005D4E41"/>
    <w:rsid w:val="005D526E"/>
    <w:rsid w:val="005D5625"/>
    <w:rsid w:val="005D5672"/>
    <w:rsid w:val="005D5695"/>
    <w:rsid w:val="005D5A82"/>
    <w:rsid w:val="005D5D34"/>
    <w:rsid w:val="005D6151"/>
    <w:rsid w:val="005D6156"/>
    <w:rsid w:val="005D6309"/>
    <w:rsid w:val="005D635A"/>
    <w:rsid w:val="005D63D6"/>
    <w:rsid w:val="005D64BF"/>
    <w:rsid w:val="005D6BF4"/>
    <w:rsid w:val="005D6CA0"/>
    <w:rsid w:val="005D72C3"/>
    <w:rsid w:val="005D7ED3"/>
    <w:rsid w:val="005D7FFC"/>
    <w:rsid w:val="005E06C9"/>
    <w:rsid w:val="005E0862"/>
    <w:rsid w:val="005E08CF"/>
    <w:rsid w:val="005E0E57"/>
    <w:rsid w:val="005E129D"/>
    <w:rsid w:val="005E1375"/>
    <w:rsid w:val="005E147F"/>
    <w:rsid w:val="005E14D8"/>
    <w:rsid w:val="005E178A"/>
    <w:rsid w:val="005E19FF"/>
    <w:rsid w:val="005E1CEB"/>
    <w:rsid w:val="005E2576"/>
    <w:rsid w:val="005E27F6"/>
    <w:rsid w:val="005E2A30"/>
    <w:rsid w:val="005E2BDE"/>
    <w:rsid w:val="005E2FF1"/>
    <w:rsid w:val="005E312D"/>
    <w:rsid w:val="005E3850"/>
    <w:rsid w:val="005E3B4D"/>
    <w:rsid w:val="005E3B5B"/>
    <w:rsid w:val="005E3C1A"/>
    <w:rsid w:val="005E3DEF"/>
    <w:rsid w:val="005E41A6"/>
    <w:rsid w:val="005E4266"/>
    <w:rsid w:val="005E427F"/>
    <w:rsid w:val="005E4E97"/>
    <w:rsid w:val="005E54F0"/>
    <w:rsid w:val="005E57F7"/>
    <w:rsid w:val="005E5C65"/>
    <w:rsid w:val="005E5DFA"/>
    <w:rsid w:val="005E609A"/>
    <w:rsid w:val="005E682E"/>
    <w:rsid w:val="005E68F3"/>
    <w:rsid w:val="005E6A57"/>
    <w:rsid w:val="005E6BB3"/>
    <w:rsid w:val="005E6F86"/>
    <w:rsid w:val="005E70D9"/>
    <w:rsid w:val="005E71E1"/>
    <w:rsid w:val="005E7479"/>
    <w:rsid w:val="005E756A"/>
    <w:rsid w:val="005E7892"/>
    <w:rsid w:val="005E78BB"/>
    <w:rsid w:val="005E7CCA"/>
    <w:rsid w:val="005F0245"/>
    <w:rsid w:val="005F0652"/>
    <w:rsid w:val="005F07BE"/>
    <w:rsid w:val="005F0AE1"/>
    <w:rsid w:val="005F0DE4"/>
    <w:rsid w:val="005F1146"/>
    <w:rsid w:val="005F191F"/>
    <w:rsid w:val="005F1997"/>
    <w:rsid w:val="005F1D63"/>
    <w:rsid w:val="005F1D68"/>
    <w:rsid w:val="005F28D5"/>
    <w:rsid w:val="005F2BC2"/>
    <w:rsid w:val="005F2FB8"/>
    <w:rsid w:val="005F3B11"/>
    <w:rsid w:val="005F3C0A"/>
    <w:rsid w:val="005F3CEA"/>
    <w:rsid w:val="005F44DE"/>
    <w:rsid w:val="005F4587"/>
    <w:rsid w:val="005F4A97"/>
    <w:rsid w:val="005F4E85"/>
    <w:rsid w:val="005F4EB2"/>
    <w:rsid w:val="005F5255"/>
    <w:rsid w:val="005F546F"/>
    <w:rsid w:val="005F5479"/>
    <w:rsid w:val="005F567B"/>
    <w:rsid w:val="005F5B32"/>
    <w:rsid w:val="005F6065"/>
    <w:rsid w:val="005F66AA"/>
    <w:rsid w:val="005F66DC"/>
    <w:rsid w:val="005F7084"/>
    <w:rsid w:val="005F7097"/>
    <w:rsid w:val="005F731B"/>
    <w:rsid w:val="005F786A"/>
    <w:rsid w:val="005F79F6"/>
    <w:rsid w:val="005F7AC1"/>
    <w:rsid w:val="005F7EA3"/>
    <w:rsid w:val="00600DA1"/>
    <w:rsid w:val="006013FB"/>
    <w:rsid w:val="00601583"/>
    <w:rsid w:val="00601CE8"/>
    <w:rsid w:val="00601CFD"/>
    <w:rsid w:val="00601DFB"/>
    <w:rsid w:val="00601F1A"/>
    <w:rsid w:val="00601F8B"/>
    <w:rsid w:val="0060259D"/>
    <w:rsid w:val="00602746"/>
    <w:rsid w:val="00602911"/>
    <w:rsid w:val="0060294C"/>
    <w:rsid w:val="00602FB1"/>
    <w:rsid w:val="00603073"/>
    <w:rsid w:val="00603105"/>
    <w:rsid w:val="00603128"/>
    <w:rsid w:val="006036E2"/>
    <w:rsid w:val="00603705"/>
    <w:rsid w:val="006037C5"/>
    <w:rsid w:val="00603976"/>
    <w:rsid w:val="00603A7A"/>
    <w:rsid w:val="00604319"/>
    <w:rsid w:val="00604485"/>
    <w:rsid w:val="00604861"/>
    <w:rsid w:val="00604C19"/>
    <w:rsid w:val="00604C32"/>
    <w:rsid w:val="00604D76"/>
    <w:rsid w:val="00604E89"/>
    <w:rsid w:val="00604F87"/>
    <w:rsid w:val="0060508A"/>
    <w:rsid w:val="006052B9"/>
    <w:rsid w:val="00605607"/>
    <w:rsid w:val="006059A8"/>
    <w:rsid w:val="00605E4D"/>
    <w:rsid w:val="00606002"/>
    <w:rsid w:val="00606458"/>
    <w:rsid w:val="00606720"/>
    <w:rsid w:val="00606841"/>
    <w:rsid w:val="00606CC5"/>
    <w:rsid w:val="00606E65"/>
    <w:rsid w:val="00607141"/>
    <w:rsid w:val="00607385"/>
    <w:rsid w:val="0060754F"/>
    <w:rsid w:val="00607B23"/>
    <w:rsid w:val="00610057"/>
    <w:rsid w:val="006109AE"/>
    <w:rsid w:val="00610BA7"/>
    <w:rsid w:val="00610C20"/>
    <w:rsid w:val="00611189"/>
    <w:rsid w:val="006116F6"/>
    <w:rsid w:val="00611765"/>
    <w:rsid w:val="00611FD0"/>
    <w:rsid w:val="0061233F"/>
    <w:rsid w:val="006125C5"/>
    <w:rsid w:val="006126E2"/>
    <w:rsid w:val="00612766"/>
    <w:rsid w:val="0061278B"/>
    <w:rsid w:val="00612B0D"/>
    <w:rsid w:val="00612EE9"/>
    <w:rsid w:val="0061385B"/>
    <w:rsid w:val="00613AB5"/>
    <w:rsid w:val="00614153"/>
    <w:rsid w:val="006144BB"/>
    <w:rsid w:val="00614667"/>
    <w:rsid w:val="0061489F"/>
    <w:rsid w:val="006149AD"/>
    <w:rsid w:val="00614CAC"/>
    <w:rsid w:val="00615189"/>
    <w:rsid w:val="0061549B"/>
    <w:rsid w:val="00616089"/>
    <w:rsid w:val="006160EF"/>
    <w:rsid w:val="00616900"/>
    <w:rsid w:val="00616A41"/>
    <w:rsid w:val="00616ACC"/>
    <w:rsid w:val="00616B2A"/>
    <w:rsid w:val="0061744E"/>
    <w:rsid w:val="0061747F"/>
    <w:rsid w:val="006174AA"/>
    <w:rsid w:val="0061799E"/>
    <w:rsid w:val="00617B9D"/>
    <w:rsid w:val="00617CDA"/>
    <w:rsid w:val="00620102"/>
    <w:rsid w:val="0062032D"/>
    <w:rsid w:val="006204D9"/>
    <w:rsid w:val="0062057F"/>
    <w:rsid w:val="006205AD"/>
    <w:rsid w:val="00620BE6"/>
    <w:rsid w:val="00620CA8"/>
    <w:rsid w:val="00620E5D"/>
    <w:rsid w:val="0062122F"/>
    <w:rsid w:val="0062165E"/>
    <w:rsid w:val="00621934"/>
    <w:rsid w:val="00621C89"/>
    <w:rsid w:val="00621D6D"/>
    <w:rsid w:val="00621FA9"/>
    <w:rsid w:val="00622007"/>
    <w:rsid w:val="00622079"/>
    <w:rsid w:val="0062237E"/>
    <w:rsid w:val="00622782"/>
    <w:rsid w:val="00622874"/>
    <w:rsid w:val="00622A90"/>
    <w:rsid w:val="006239A3"/>
    <w:rsid w:val="00623D94"/>
    <w:rsid w:val="00623F1D"/>
    <w:rsid w:val="00624529"/>
    <w:rsid w:val="00624544"/>
    <w:rsid w:val="00624CA0"/>
    <w:rsid w:val="00624D93"/>
    <w:rsid w:val="006250CF"/>
    <w:rsid w:val="006254B1"/>
    <w:rsid w:val="00625671"/>
    <w:rsid w:val="006261D9"/>
    <w:rsid w:val="006261E6"/>
    <w:rsid w:val="006265AF"/>
    <w:rsid w:val="006265BD"/>
    <w:rsid w:val="006265D8"/>
    <w:rsid w:val="00626AAB"/>
    <w:rsid w:val="00626BD8"/>
    <w:rsid w:val="0062797D"/>
    <w:rsid w:val="00627A7E"/>
    <w:rsid w:val="00630007"/>
    <w:rsid w:val="00630115"/>
    <w:rsid w:val="006305AE"/>
    <w:rsid w:val="00630770"/>
    <w:rsid w:val="00630940"/>
    <w:rsid w:val="00630B6A"/>
    <w:rsid w:val="006310C3"/>
    <w:rsid w:val="006312F7"/>
    <w:rsid w:val="00631B50"/>
    <w:rsid w:val="00631C3E"/>
    <w:rsid w:val="006320CB"/>
    <w:rsid w:val="006321A5"/>
    <w:rsid w:val="00632209"/>
    <w:rsid w:val="00632656"/>
    <w:rsid w:val="00632991"/>
    <w:rsid w:val="00632F67"/>
    <w:rsid w:val="006331E5"/>
    <w:rsid w:val="006333DD"/>
    <w:rsid w:val="006335DE"/>
    <w:rsid w:val="006339B8"/>
    <w:rsid w:val="00633CDD"/>
    <w:rsid w:val="00633FD6"/>
    <w:rsid w:val="0063450F"/>
    <w:rsid w:val="006345ED"/>
    <w:rsid w:val="006345EE"/>
    <w:rsid w:val="00634C72"/>
    <w:rsid w:val="00634E95"/>
    <w:rsid w:val="0063515E"/>
    <w:rsid w:val="00635D61"/>
    <w:rsid w:val="00635E30"/>
    <w:rsid w:val="006361DC"/>
    <w:rsid w:val="00636330"/>
    <w:rsid w:val="00636B1C"/>
    <w:rsid w:val="00636E2D"/>
    <w:rsid w:val="006370ED"/>
    <w:rsid w:val="0063731C"/>
    <w:rsid w:val="00637C31"/>
    <w:rsid w:val="00640005"/>
    <w:rsid w:val="00640169"/>
    <w:rsid w:val="0064043A"/>
    <w:rsid w:val="006407E9"/>
    <w:rsid w:val="0064099A"/>
    <w:rsid w:val="00640B61"/>
    <w:rsid w:val="00640EE9"/>
    <w:rsid w:val="00640FBA"/>
    <w:rsid w:val="0064166A"/>
    <w:rsid w:val="00641758"/>
    <w:rsid w:val="00641B57"/>
    <w:rsid w:val="00641CD9"/>
    <w:rsid w:val="00641DF1"/>
    <w:rsid w:val="00641E4F"/>
    <w:rsid w:val="006420AB"/>
    <w:rsid w:val="006420D7"/>
    <w:rsid w:val="00642128"/>
    <w:rsid w:val="006428DF"/>
    <w:rsid w:val="00642978"/>
    <w:rsid w:val="00642B83"/>
    <w:rsid w:val="0064341D"/>
    <w:rsid w:val="00644429"/>
    <w:rsid w:val="00644462"/>
    <w:rsid w:val="00644634"/>
    <w:rsid w:val="00644E33"/>
    <w:rsid w:val="00644FA1"/>
    <w:rsid w:val="00645164"/>
    <w:rsid w:val="006455FE"/>
    <w:rsid w:val="00645C8C"/>
    <w:rsid w:val="00645CDC"/>
    <w:rsid w:val="00646291"/>
    <w:rsid w:val="00646441"/>
    <w:rsid w:val="006469A2"/>
    <w:rsid w:val="00646AB8"/>
    <w:rsid w:val="00646D0D"/>
    <w:rsid w:val="006470E5"/>
    <w:rsid w:val="006471F9"/>
    <w:rsid w:val="006475CA"/>
    <w:rsid w:val="0064776F"/>
    <w:rsid w:val="0064782E"/>
    <w:rsid w:val="006479EC"/>
    <w:rsid w:val="00647A3C"/>
    <w:rsid w:val="0065045B"/>
    <w:rsid w:val="00650635"/>
    <w:rsid w:val="00650760"/>
    <w:rsid w:val="006507E9"/>
    <w:rsid w:val="00650822"/>
    <w:rsid w:val="00650A98"/>
    <w:rsid w:val="00650E05"/>
    <w:rsid w:val="00650E20"/>
    <w:rsid w:val="006516E7"/>
    <w:rsid w:val="006517A8"/>
    <w:rsid w:val="00651DE4"/>
    <w:rsid w:val="006521E6"/>
    <w:rsid w:val="006525F9"/>
    <w:rsid w:val="0065271E"/>
    <w:rsid w:val="00652863"/>
    <w:rsid w:val="0065290E"/>
    <w:rsid w:val="00652921"/>
    <w:rsid w:val="00652950"/>
    <w:rsid w:val="00652E02"/>
    <w:rsid w:val="006532FB"/>
    <w:rsid w:val="006533A9"/>
    <w:rsid w:val="00653C4B"/>
    <w:rsid w:val="00653D6D"/>
    <w:rsid w:val="006548AD"/>
    <w:rsid w:val="00654978"/>
    <w:rsid w:val="0065544C"/>
    <w:rsid w:val="006555F3"/>
    <w:rsid w:val="00655962"/>
    <w:rsid w:val="006559C6"/>
    <w:rsid w:val="00655E4B"/>
    <w:rsid w:val="006560A2"/>
    <w:rsid w:val="00656401"/>
    <w:rsid w:val="00656989"/>
    <w:rsid w:val="006572C7"/>
    <w:rsid w:val="00657372"/>
    <w:rsid w:val="00657575"/>
    <w:rsid w:val="00657674"/>
    <w:rsid w:val="0065775E"/>
    <w:rsid w:val="006578FA"/>
    <w:rsid w:val="0066025F"/>
    <w:rsid w:val="006602A6"/>
    <w:rsid w:val="0066041F"/>
    <w:rsid w:val="00660473"/>
    <w:rsid w:val="0066047B"/>
    <w:rsid w:val="00660D04"/>
    <w:rsid w:val="00660E13"/>
    <w:rsid w:val="0066141F"/>
    <w:rsid w:val="006614D8"/>
    <w:rsid w:val="006615CE"/>
    <w:rsid w:val="00661B9D"/>
    <w:rsid w:val="006624EE"/>
    <w:rsid w:val="006628C1"/>
    <w:rsid w:val="00662A84"/>
    <w:rsid w:val="00662C39"/>
    <w:rsid w:val="00662E8A"/>
    <w:rsid w:val="00663136"/>
    <w:rsid w:val="0066364A"/>
    <w:rsid w:val="006636ED"/>
    <w:rsid w:val="006637D3"/>
    <w:rsid w:val="00663BB8"/>
    <w:rsid w:val="00663CD7"/>
    <w:rsid w:val="00663E10"/>
    <w:rsid w:val="00663EBA"/>
    <w:rsid w:val="00663F2E"/>
    <w:rsid w:val="0066419D"/>
    <w:rsid w:val="0066434A"/>
    <w:rsid w:val="00664404"/>
    <w:rsid w:val="00664716"/>
    <w:rsid w:val="00664879"/>
    <w:rsid w:val="006655C3"/>
    <w:rsid w:val="00665E1E"/>
    <w:rsid w:val="006661AE"/>
    <w:rsid w:val="006661E7"/>
    <w:rsid w:val="00666763"/>
    <w:rsid w:val="0066694C"/>
    <w:rsid w:val="00666EAA"/>
    <w:rsid w:val="0066711D"/>
    <w:rsid w:val="006671D6"/>
    <w:rsid w:val="00667451"/>
    <w:rsid w:val="006674AF"/>
    <w:rsid w:val="00667861"/>
    <w:rsid w:val="00667B14"/>
    <w:rsid w:val="00667CE2"/>
    <w:rsid w:val="00667EF3"/>
    <w:rsid w:val="00667FEE"/>
    <w:rsid w:val="00670175"/>
    <w:rsid w:val="006701A1"/>
    <w:rsid w:val="00670560"/>
    <w:rsid w:val="006707CC"/>
    <w:rsid w:val="006708F6"/>
    <w:rsid w:val="00670DF0"/>
    <w:rsid w:val="00670E7B"/>
    <w:rsid w:val="00670ECD"/>
    <w:rsid w:val="0067129F"/>
    <w:rsid w:val="006714BB"/>
    <w:rsid w:val="00671629"/>
    <w:rsid w:val="00671766"/>
    <w:rsid w:val="00671A26"/>
    <w:rsid w:val="00671AF8"/>
    <w:rsid w:val="00671D87"/>
    <w:rsid w:val="00671D8A"/>
    <w:rsid w:val="00671E40"/>
    <w:rsid w:val="00672050"/>
    <w:rsid w:val="00672427"/>
    <w:rsid w:val="006729A4"/>
    <w:rsid w:val="00672F7D"/>
    <w:rsid w:val="0067356B"/>
    <w:rsid w:val="0067362A"/>
    <w:rsid w:val="00673669"/>
    <w:rsid w:val="00673A3B"/>
    <w:rsid w:val="00673BEE"/>
    <w:rsid w:val="00673D65"/>
    <w:rsid w:val="00673DCA"/>
    <w:rsid w:val="00673E42"/>
    <w:rsid w:val="006740EF"/>
    <w:rsid w:val="006741B8"/>
    <w:rsid w:val="006746D0"/>
    <w:rsid w:val="00675115"/>
    <w:rsid w:val="00675489"/>
    <w:rsid w:val="00675502"/>
    <w:rsid w:val="00675796"/>
    <w:rsid w:val="00675847"/>
    <w:rsid w:val="00675FA0"/>
    <w:rsid w:val="006770C5"/>
    <w:rsid w:val="006775D3"/>
    <w:rsid w:val="00677B79"/>
    <w:rsid w:val="00677E62"/>
    <w:rsid w:val="00677FAC"/>
    <w:rsid w:val="00680190"/>
    <w:rsid w:val="006805AC"/>
    <w:rsid w:val="006809EC"/>
    <w:rsid w:val="00680B1F"/>
    <w:rsid w:val="00680E20"/>
    <w:rsid w:val="00680E4A"/>
    <w:rsid w:val="00681209"/>
    <w:rsid w:val="00681436"/>
    <w:rsid w:val="006815F6"/>
    <w:rsid w:val="00681A6F"/>
    <w:rsid w:val="00681C2D"/>
    <w:rsid w:val="00681D97"/>
    <w:rsid w:val="00681E83"/>
    <w:rsid w:val="00681E9C"/>
    <w:rsid w:val="00681F0B"/>
    <w:rsid w:val="00681F24"/>
    <w:rsid w:val="006820A6"/>
    <w:rsid w:val="006821AB"/>
    <w:rsid w:val="00682324"/>
    <w:rsid w:val="006826D6"/>
    <w:rsid w:val="00682B55"/>
    <w:rsid w:val="00682D13"/>
    <w:rsid w:val="00682DEB"/>
    <w:rsid w:val="00682E6A"/>
    <w:rsid w:val="00682F49"/>
    <w:rsid w:val="006838FF"/>
    <w:rsid w:val="00683A08"/>
    <w:rsid w:val="00683C33"/>
    <w:rsid w:val="00683F65"/>
    <w:rsid w:val="0068401C"/>
    <w:rsid w:val="006840C7"/>
    <w:rsid w:val="0068441B"/>
    <w:rsid w:val="0068476F"/>
    <w:rsid w:val="00684C89"/>
    <w:rsid w:val="00685196"/>
    <w:rsid w:val="0068553C"/>
    <w:rsid w:val="006856C2"/>
    <w:rsid w:val="006857F9"/>
    <w:rsid w:val="006866BE"/>
    <w:rsid w:val="00686933"/>
    <w:rsid w:val="00686F72"/>
    <w:rsid w:val="0068744E"/>
    <w:rsid w:val="006875BF"/>
    <w:rsid w:val="00687644"/>
    <w:rsid w:val="00687A58"/>
    <w:rsid w:val="00687C95"/>
    <w:rsid w:val="00687CF6"/>
    <w:rsid w:val="00687D00"/>
    <w:rsid w:val="00687EA8"/>
    <w:rsid w:val="00687EE8"/>
    <w:rsid w:val="006900B3"/>
    <w:rsid w:val="0069098B"/>
    <w:rsid w:val="00691108"/>
    <w:rsid w:val="00691115"/>
    <w:rsid w:val="006914F0"/>
    <w:rsid w:val="006915D4"/>
    <w:rsid w:val="006915DB"/>
    <w:rsid w:val="00691734"/>
    <w:rsid w:val="00691C10"/>
    <w:rsid w:val="006923EA"/>
    <w:rsid w:val="006926D4"/>
    <w:rsid w:val="00692BB5"/>
    <w:rsid w:val="00692D1A"/>
    <w:rsid w:val="00692DC6"/>
    <w:rsid w:val="006930F8"/>
    <w:rsid w:val="006932A5"/>
    <w:rsid w:val="00693310"/>
    <w:rsid w:val="00693359"/>
    <w:rsid w:val="006935A3"/>
    <w:rsid w:val="00693912"/>
    <w:rsid w:val="00693BDB"/>
    <w:rsid w:val="00693D13"/>
    <w:rsid w:val="006940D3"/>
    <w:rsid w:val="006940F0"/>
    <w:rsid w:val="00694113"/>
    <w:rsid w:val="0069465F"/>
    <w:rsid w:val="006947F6"/>
    <w:rsid w:val="006949CD"/>
    <w:rsid w:val="00694D72"/>
    <w:rsid w:val="00694FE0"/>
    <w:rsid w:val="006957DE"/>
    <w:rsid w:val="00695A3D"/>
    <w:rsid w:val="00695C9D"/>
    <w:rsid w:val="006962AA"/>
    <w:rsid w:val="006966DF"/>
    <w:rsid w:val="00696FF1"/>
    <w:rsid w:val="006972F7"/>
    <w:rsid w:val="00697918"/>
    <w:rsid w:val="00697AC1"/>
    <w:rsid w:val="00697ED5"/>
    <w:rsid w:val="00697F3F"/>
    <w:rsid w:val="006A030E"/>
    <w:rsid w:val="006A0405"/>
    <w:rsid w:val="006A0534"/>
    <w:rsid w:val="006A0747"/>
    <w:rsid w:val="006A0942"/>
    <w:rsid w:val="006A0D24"/>
    <w:rsid w:val="006A120D"/>
    <w:rsid w:val="006A14AC"/>
    <w:rsid w:val="006A14EC"/>
    <w:rsid w:val="006A1640"/>
    <w:rsid w:val="006A1679"/>
    <w:rsid w:val="006A16A8"/>
    <w:rsid w:val="006A18E6"/>
    <w:rsid w:val="006A1DBF"/>
    <w:rsid w:val="006A273B"/>
    <w:rsid w:val="006A28CF"/>
    <w:rsid w:val="006A29F8"/>
    <w:rsid w:val="006A3097"/>
    <w:rsid w:val="006A3187"/>
    <w:rsid w:val="006A356D"/>
    <w:rsid w:val="006A3734"/>
    <w:rsid w:val="006A3786"/>
    <w:rsid w:val="006A39FB"/>
    <w:rsid w:val="006A3E95"/>
    <w:rsid w:val="006A4344"/>
    <w:rsid w:val="006A43FD"/>
    <w:rsid w:val="006A48EB"/>
    <w:rsid w:val="006A4E28"/>
    <w:rsid w:val="006A50E1"/>
    <w:rsid w:val="006A55B0"/>
    <w:rsid w:val="006A562D"/>
    <w:rsid w:val="006A5946"/>
    <w:rsid w:val="006A5A36"/>
    <w:rsid w:val="006A5BE3"/>
    <w:rsid w:val="006A5C43"/>
    <w:rsid w:val="006A5C90"/>
    <w:rsid w:val="006A6023"/>
    <w:rsid w:val="006A683D"/>
    <w:rsid w:val="006A693A"/>
    <w:rsid w:val="006A6C1F"/>
    <w:rsid w:val="006A6CA6"/>
    <w:rsid w:val="006A77AB"/>
    <w:rsid w:val="006A77B3"/>
    <w:rsid w:val="006A78B9"/>
    <w:rsid w:val="006A7A4D"/>
    <w:rsid w:val="006A7B27"/>
    <w:rsid w:val="006A7D09"/>
    <w:rsid w:val="006A7E1D"/>
    <w:rsid w:val="006B00FD"/>
    <w:rsid w:val="006B0723"/>
    <w:rsid w:val="006B0794"/>
    <w:rsid w:val="006B0B91"/>
    <w:rsid w:val="006B0EF2"/>
    <w:rsid w:val="006B1213"/>
    <w:rsid w:val="006B14B4"/>
    <w:rsid w:val="006B1692"/>
    <w:rsid w:val="006B1A4C"/>
    <w:rsid w:val="006B1B31"/>
    <w:rsid w:val="006B1B70"/>
    <w:rsid w:val="006B2203"/>
    <w:rsid w:val="006B2257"/>
    <w:rsid w:val="006B249D"/>
    <w:rsid w:val="006B253D"/>
    <w:rsid w:val="006B25B8"/>
    <w:rsid w:val="006B26C9"/>
    <w:rsid w:val="006B27DB"/>
    <w:rsid w:val="006B2CF1"/>
    <w:rsid w:val="006B31D8"/>
    <w:rsid w:val="006B3642"/>
    <w:rsid w:val="006B38F2"/>
    <w:rsid w:val="006B3E1A"/>
    <w:rsid w:val="006B3F37"/>
    <w:rsid w:val="006B4124"/>
    <w:rsid w:val="006B490F"/>
    <w:rsid w:val="006B4968"/>
    <w:rsid w:val="006B49F5"/>
    <w:rsid w:val="006B4DB0"/>
    <w:rsid w:val="006B51B9"/>
    <w:rsid w:val="006B54D8"/>
    <w:rsid w:val="006B6130"/>
    <w:rsid w:val="006B624D"/>
    <w:rsid w:val="006B632A"/>
    <w:rsid w:val="006B657B"/>
    <w:rsid w:val="006B66A3"/>
    <w:rsid w:val="006B6E38"/>
    <w:rsid w:val="006B7123"/>
    <w:rsid w:val="006B75B6"/>
    <w:rsid w:val="006B7772"/>
    <w:rsid w:val="006B7983"/>
    <w:rsid w:val="006B7A80"/>
    <w:rsid w:val="006C0484"/>
    <w:rsid w:val="006C05A9"/>
    <w:rsid w:val="006C0F83"/>
    <w:rsid w:val="006C0F9C"/>
    <w:rsid w:val="006C1165"/>
    <w:rsid w:val="006C179E"/>
    <w:rsid w:val="006C1850"/>
    <w:rsid w:val="006C192B"/>
    <w:rsid w:val="006C1A5F"/>
    <w:rsid w:val="006C1C99"/>
    <w:rsid w:val="006C1D4C"/>
    <w:rsid w:val="006C1F6C"/>
    <w:rsid w:val="006C2157"/>
    <w:rsid w:val="006C25DD"/>
    <w:rsid w:val="006C2910"/>
    <w:rsid w:val="006C2CB1"/>
    <w:rsid w:val="006C2D53"/>
    <w:rsid w:val="006C2DAE"/>
    <w:rsid w:val="006C3606"/>
    <w:rsid w:val="006C3AB5"/>
    <w:rsid w:val="006C3C49"/>
    <w:rsid w:val="006C47A7"/>
    <w:rsid w:val="006C495F"/>
    <w:rsid w:val="006C562C"/>
    <w:rsid w:val="006C5775"/>
    <w:rsid w:val="006C580C"/>
    <w:rsid w:val="006C588E"/>
    <w:rsid w:val="006C61A8"/>
    <w:rsid w:val="006C65A0"/>
    <w:rsid w:val="006C66A6"/>
    <w:rsid w:val="006C6782"/>
    <w:rsid w:val="006C6E7A"/>
    <w:rsid w:val="006C7394"/>
    <w:rsid w:val="006C76C7"/>
    <w:rsid w:val="006C7AA6"/>
    <w:rsid w:val="006C7BAC"/>
    <w:rsid w:val="006C7EC3"/>
    <w:rsid w:val="006D036D"/>
    <w:rsid w:val="006D0760"/>
    <w:rsid w:val="006D0793"/>
    <w:rsid w:val="006D0B8E"/>
    <w:rsid w:val="006D0E1D"/>
    <w:rsid w:val="006D0F97"/>
    <w:rsid w:val="006D101E"/>
    <w:rsid w:val="006D130E"/>
    <w:rsid w:val="006D1A28"/>
    <w:rsid w:val="006D1ABC"/>
    <w:rsid w:val="006D1B1C"/>
    <w:rsid w:val="006D1B4E"/>
    <w:rsid w:val="006D2146"/>
    <w:rsid w:val="006D217E"/>
    <w:rsid w:val="006D21C1"/>
    <w:rsid w:val="006D2699"/>
    <w:rsid w:val="006D2BDA"/>
    <w:rsid w:val="006D2DBC"/>
    <w:rsid w:val="006D2FED"/>
    <w:rsid w:val="006D348B"/>
    <w:rsid w:val="006D3522"/>
    <w:rsid w:val="006D3530"/>
    <w:rsid w:val="006D3751"/>
    <w:rsid w:val="006D4415"/>
    <w:rsid w:val="006D47F4"/>
    <w:rsid w:val="006D48BD"/>
    <w:rsid w:val="006D4C5C"/>
    <w:rsid w:val="006D4DAD"/>
    <w:rsid w:val="006D52D5"/>
    <w:rsid w:val="006D5683"/>
    <w:rsid w:val="006D60C9"/>
    <w:rsid w:val="006D6123"/>
    <w:rsid w:val="006D6772"/>
    <w:rsid w:val="006D6F11"/>
    <w:rsid w:val="006D716B"/>
    <w:rsid w:val="006D72A3"/>
    <w:rsid w:val="006D7E02"/>
    <w:rsid w:val="006D7EAC"/>
    <w:rsid w:val="006E03A8"/>
    <w:rsid w:val="006E04A0"/>
    <w:rsid w:val="006E0520"/>
    <w:rsid w:val="006E0CFF"/>
    <w:rsid w:val="006E0F5E"/>
    <w:rsid w:val="006E17E8"/>
    <w:rsid w:val="006E1A47"/>
    <w:rsid w:val="006E1B36"/>
    <w:rsid w:val="006E1EAC"/>
    <w:rsid w:val="006E21F4"/>
    <w:rsid w:val="006E23AB"/>
    <w:rsid w:val="006E255D"/>
    <w:rsid w:val="006E2E6A"/>
    <w:rsid w:val="006E3379"/>
    <w:rsid w:val="006E3648"/>
    <w:rsid w:val="006E38CF"/>
    <w:rsid w:val="006E3B32"/>
    <w:rsid w:val="006E40E4"/>
    <w:rsid w:val="006E4494"/>
    <w:rsid w:val="006E4844"/>
    <w:rsid w:val="006E48CC"/>
    <w:rsid w:val="006E49E7"/>
    <w:rsid w:val="006E4E59"/>
    <w:rsid w:val="006E551D"/>
    <w:rsid w:val="006E566A"/>
    <w:rsid w:val="006E566E"/>
    <w:rsid w:val="006E5CD9"/>
    <w:rsid w:val="006E6B3F"/>
    <w:rsid w:val="006E6F67"/>
    <w:rsid w:val="006E7035"/>
    <w:rsid w:val="006E737E"/>
    <w:rsid w:val="006E74B5"/>
    <w:rsid w:val="006E783E"/>
    <w:rsid w:val="006E7889"/>
    <w:rsid w:val="006E7CBD"/>
    <w:rsid w:val="006E7E39"/>
    <w:rsid w:val="006E7FC2"/>
    <w:rsid w:val="006F000F"/>
    <w:rsid w:val="006F003B"/>
    <w:rsid w:val="006F021B"/>
    <w:rsid w:val="006F0608"/>
    <w:rsid w:val="006F090F"/>
    <w:rsid w:val="006F0ED3"/>
    <w:rsid w:val="006F0F4F"/>
    <w:rsid w:val="006F1238"/>
    <w:rsid w:val="006F1358"/>
    <w:rsid w:val="006F1F39"/>
    <w:rsid w:val="006F2254"/>
    <w:rsid w:val="006F2668"/>
    <w:rsid w:val="006F26CE"/>
    <w:rsid w:val="006F27E3"/>
    <w:rsid w:val="006F28FB"/>
    <w:rsid w:val="006F2EE7"/>
    <w:rsid w:val="006F310C"/>
    <w:rsid w:val="006F316D"/>
    <w:rsid w:val="006F3298"/>
    <w:rsid w:val="006F337A"/>
    <w:rsid w:val="006F3593"/>
    <w:rsid w:val="006F3918"/>
    <w:rsid w:val="006F39CD"/>
    <w:rsid w:val="006F3A0F"/>
    <w:rsid w:val="006F3A12"/>
    <w:rsid w:val="006F3DAA"/>
    <w:rsid w:val="006F491F"/>
    <w:rsid w:val="006F4F72"/>
    <w:rsid w:val="006F529F"/>
    <w:rsid w:val="006F5643"/>
    <w:rsid w:val="006F5FB6"/>
    <w:rsid w:val="006F60C3"/>
    <w:rsid w:val="006F7DDF"/>
    <w:rsid w:val="00700123"/>
    <w:rsid w:val="007004A0"/>
    <w:rsid w:val="00700E5B"/>
    <w:rsid w:val="0070109F"/>
    <w:rsid w:val="00701447"/>
    <w:rsid w:val="007016A8"/>
    <w:rsid w:val="007016D3"/>
    <w:rsid w:val="00701979"/>
    <w:rsid w:val="00701F65"/>
    <w:rsid w:val="007021FC"/>
    <w:rsid w:val="00702260"/>
    <w:rsid w:val="007023A5"/>
    <w:rsid w:val="00702672"/>
    <w:rsid w:val="0070281F"/>
    <w:rsid w:val="00702CCE"/>
    <w:rsid w:val="00702F78"/>
    <w:rsid w:val="00702F7F"/>
    <w:rsid w:val="00703156"/>
    <w:rsid w:val="0070326E"/>
    <w:rsid w:val="00703425"/>
    <w:rsid w:val="0070369A"/>
    <w:rsid w:val="00703706"/>
    <w:rsid w:val="00703C9A"/>
    <w:rsid w:val="00703CFD"/>
    <w:rsid w:val="00703E2E"/>
    <w:rsid w:val="00703FAC"/>
    <w:rsid w:val="00704A0E"/>
    <w:rsid w:val="00704A76"/>
    <w:rsid w:val="00704B01"/>
    <w:rsid w:val="00704E72"/>
    <w:rsid w:val="00705320"/>
    <w:rsid w:val="0070538E"/>
    <w:rsid w:val="00705495"/>
    <w:rsid w:val="007055DE"/>
    <w:rsid w:val="007056E8"/>
    <w:rsid w:val="0070661B"/>
    <w:rsid w:val="0070698D"/>
    <w:rsid w:val="00706A08"/>
    <w:rsid w:val="00706F45"/>
    <w:rsid w:val="00706FCE"/>
    <w:rsid w:val="00707282"/>
    <w:rsid w:val="00707892"/>
    <w:rsid w:val="00707926"/>
    <w:rsid w:val="00707992"/>
    <w:rsid w:val="00707ACC"/>
    <w:rsid w:val="007102CB"/>
    <w:rsid w:val="00710376"/>
    <w:rsid w:val="007104DD"/>
    <w:rsid w:val="00710809"/>
    <w:rsid w:val="007108D9"/>
    <w:rsid w:val="00710A5C"/>
    <w:rsid w:val="00711196"/>
    <w:rsid w:val="00711564"/>
    <w:rsid w:val="00711B3F"/>
    <w:rsid w:val="00711D8C"/>
    <w:rsid w:val="00712024"/>
    <w:rsid w:val="007121B4"/>
    <w:rsid w:val="00712886"/>
    <w:rsid w:val="007129A2"/>
    <w:rsid w:val="00713423"/>
    <w:rsid w:val="00713D1E"/>
    <w:rsid w:val="00713DE8"/>
    <w:rsid w:val="00714306"/>
    <w:rsid w:val="00714870"/>
    <w:rsid w:val="007150D4"/>
    <w:rsid w:val="0071544C"/>
    <w:rsid w:val="00715633"/>
    <w:rsid w:val="00715664"/>
    <w:rsid w:val="00715A72"/>
    <w:rsid w:val="00715BF6"/>
    <w:rsid w:val="00715EA4"/>
    <w:rsid w:val="00716220"/>
    <w:rsid w:val="00716994"/>
    <w:rsid w:val="007177FC"/>
    <w:rsid w:val="00717B75"/>
    <w:rsid w:val="00717ECB"/>
    <w:rsid w:val="00717FE8"/>
    <w:rsid w:val="00720025"/>
    <w:rsid w:val="007203E3"/>
    <w:rsid w:val="0072064C"/>
    <w:rsid w:val="00720710"/>
    <w:rsid w:val="00720C72"/>
    <w:rsid w:val="00720FE8"/>
    <w:rsid w:val="007213E4"/>
    <w:rsid w:val="0072154F"/>
    <w:rsid w:val="0072161F"/>
    <w:rsid w:val="0072163E"/>
    <w:rsid w:val="007218C4"/>
    <w:rsid w:val="007219FB"/>
    <w:rsid w:val="00721B66"/>
    <w:rsid w:val="00721D3E"/>
    <w:rsid w:val="00722F64"/>
    <w:rsid w:val="00723F70"/>
    <w:rsid w:val="00723F81"/>
    <w:rsid w:val="007241E9"/>
    <w:rsid w:val="007244D5"/>
    <w:rsid w:val="007245DB"/>
    <w:rsid w:val="00724A61"/>
    <w:rsid w:val="00724F5C"/>
    <w:rsid w:val="00724F8A"/>
    <w:rsid w:val="0072521E"/>
    <w:rsid w:val="00725385"/>
    <w:rsid w:val="0072578A"/>
    <w:rsid w:val="00725F9F"/>
    <w:rsid w:val="007261CA"/>
    <w:rsid w:val="00726329"/>
    <w:rsid w:val="0072662E"/>
    <w:rsid w:val="00726C8F"/>
    <w:rsid w:val="00726CB3"/>
    <w:rsid w:val="00726DAC"/>
    <w:rsid w:val="0072715C"/>
    <w:rsid w:val="00727C11"/>
    <w:rsid w:val="00727FF0"/>
    <w:rsid w:val="00730355"/>
    <w:rsid w:val="00730825"/>
    <w:rsid w:val="00730894"/>
    <w:rsid w:val="00730A5F"/>
    <w:rsid w:val="00730D1A"/>
    <w:rsid w:val="00730E75"/>
    <w:rsid w:val="007311D1"/>
    <w:rsid w:val="00731544"/>
    <w:rsid w:val="0073158E"/>
    <w:rsid w:val="007315F4"/>
    <w:rsid w:val="00731679"/>
    <w:rsid w:val="0073172A"/>
    <w:rsid w:val="00732773"/>
    <w:rsid w:val="00732905"/>
    <w:rsid w:val="0073299D"/>
    <w:rsid w:val="00732EBC"/>
    <w:rsid w:val="00733672"/>
    <w:rsid w:val="0073379C"/>
    <w:rsid w:val="007339DE"/>
    <w:rsid w:val="00733B01"/>
    <w:rsid w:val="00733C84"/>
    <w:rsid w:val="00733E91"/>
    <w:rsid w:val="00733FAF"/>
    <w:rsid w:val="00733FFC"/>
    <w:rsid w:val="0073414D"/>
    <w:rsid w:val="00734191"/>
    <w:rsid w:val="00734289"/>
    <w:rsid w:val="007345C7"/>
    <w:rsid w:val="00734947"/>
    <w:rsid w:val="00734C17"/>
    <w:rsid w:val="00734DB4"/>
    <w:rsid w:val="00734EF6"/>
    <w:rsid w:val="00734F10"/>
    <w:rsid w:val="00735263"/>
    <w:rsid w:val="00735626"/>
    <w:rsid w:val="00735893"/>
    <w:rsid w:val="007358CC"/>
    <w:rsid w:val="007359D7"/>
    <w:rsid w:val="00735B47"/>
    <w:rsid w:val="00735C2D"/>
    <w:rsid w:val="00735E32"/>
    <w:rsid w:val="0073630A"/>
    <w:rsid w:val="00736733"/>
    <w:rsid w:val="00736A2F"/>
    <w:rsid w:val="00736AA2"/>
    <w:rsid w:val="007371A6"/>
    <w:rsid w:val="00737264"/>
    <w:rsid w:val="007379E4"/>
    <w:rsid w:val="00737B6E"/>
    <w:rsid w:val="00737BA6"/>
    <w:rsid w:val="00737C8A"/>
    <w:rsid w:val="00740267"/>
    <w:rsid w:val="007409B2"/>
    <w:rsid w:val="007409C1"/>
    <w:rsid w:val="00740BA0"/>
    <w:rsid w:val="00740DBC"/>
    <w:rsid w:val="00741015"/>
    <w:rsid w:val="00741510"/>
    <w:rsid w:val="0074157A"/>
    <w:rsid w:val="007417E5"/>
    <w:rsid w:val="00741DBC"/>
    <w:rsid w:val="00742506"/>
    <w:rsid w:val="00742D9E"/>
    <w:rsid w:val="00742DC6"/>
    <w:rsid w:val="007433F0"/>
    <w:rsid w:val="00743A40"/>
    <w:rsid w:val="00743AB9"/>
    <w:rsid w:val="00743ADC"/>
    <w:rsid w:val="00743CE3"/>
    <w:rsid w:val="00743E67"/>
    <w:rsid w:val="0074404B"/>
    <w:rsid w:val="00744416"/>
    <w:rsid w:val="00744493"/>
    <w:rsid w:val="00744649"/>
    <w:rsid w:val="007446F8"/>
    <w:rsid w:val="0074484C"/>
    <w:rsid w:val="00744C97"/>
    <w:rsid w:val="007455FE"/>
    <w:rsid w:val="00745C69"/>
    <w:rsid w:val="007461FF"/>
    <w:rsid w:val="007462EC"/>
    <w:rsid w:val="00746589"/>
    <w:rsid w:val="0074663B"/>
    <w:rsid w:val="007472AA"/>
    <w:rsid w:val="00747A23"/>
    <w:rsid w:val="00747C62"/>
    <w:rsid w:val="00747DCF"/>
    <w:rsid w:val="0075090A"/>
    <w:rsid w:val="00750B94"/>
    <w:rsid w:val="00750BEE"/>
    <w:rsid w:val="00751195"/>
    <w:rsid w:val="007514A9"/>
    <w:rsid w:val="00751657"/>
    <w:rsid w:val="00751720"/>
    <w:rsid w:val="007519BA"/>
    <w:rsid w:val="00751A88"/>
    <w:rsid w:val="00751FC9"/>
    <w:rsid w:val="0075215B"/>
    <w:rsid w:val="0075224C"/>
    <w:rsid w:val="007522AF"/>
    <w:rsid w:val="007532F4"/>
    <w:rsid w:val="007533C9"/>
    <w:rsid w:val="007539BF"/>
    <w:rsid w:val="007539CB"/>
    <w:rsid w:val="00753F62"/>
    <w:rsid w:val="007541A4"/>
    <w:rsid w:val="007544A9"/>
    <w:rsid w:val="00754C49"/>
    <w:rsid w:val="00755096"/>
    <w:rsid w:val="007550EE"/>
    <w:rsid w:val="00755901"/>
    <w:rsid w:val="00755D9A"/>
    <w:rsid w:val="00755FCE"/>
    <w:rsid w:val="0075689B"/>
    <w:rsid w:val="00756B31"/>
    <w:rsid w:val="00757425"/>
    <w:rsid w:val="0075771E"/>
    <w:rsid w:val="00757887"/>
    <w:rsid w:val="0075790F"/>
    <w:rsid w:val="00757AE7"/>
    <w:rsid w:val="00757DB6"/>
    <w:rsid w:val="0076077A"/>
    <w:rsid w:val="007613CB"/>
    <w:rsid w:val="00761795"/>
    <w:rsid w:val="00761AC8"/>
    <w:rsid w:val="00761AEE"/>
    <w:rsid w:val="00761DB1"/>
    <w:rsid w:val="0076206F"/>
    <w:rsid w:val="00762226"/>
    <w:rsid w:val="00762400"/>
    <w:rsid w:val="007624F5"/>
    <w:rsid w:val="00762CF0"/>
    <w:rsid w:val="00762D38"/>
    <w:rsid w:val="007632E0"/>
    <w:rsid w:val="0076345B"/>
    <w:rsid w:val="007634AC"/>
    <w:rsid w:val="00763566"/>
    <w:rsid w:val="00764453"/>
    <w:rsid w:val="0076449D"/>
    <w:rsid w:val="00764801"/>
    <w:rsid w:val="00764C4A"/>
    <w:rsid w:val="0076515D"/>
    <w:rsid w:val="007651D6"/>
    <w:rsid w:val="007652CA"/>
    <w:rsid w:val="007655FA"/>
    <w:rsid w:val="007658E5"/>
    <w:rsid w:val="00765AA7"/>
    <w:rsid w:val="00765B1B"/>
    <w:rsid w:val="00765C16"/>
    <w:rsid w:val="00765C3D"/>
    <w:rsid w:val="00765EC0"/>
    <w:rsid w:val="00766003"/>
    <w:rsid w:val="00766523"/>
    <w:rsid w:val="007669D7"/>
    <w:rsid w:val="00766FEB"/>
    <w:rsid w:val="00767397"/>
    <w:rsid w:val="007679EB"/>
    <w:rsid w:val="007704CA"/>
    <w:rsid w:val="00770C8A"/>
    <w:rsid w:val="00770D94"/>
    <w:rsid w:val="007715F2"/>
    <w:rsid w:val="0077160D"/>
    <w:rsid w:val="00771631"/>
    <w:rsid w:val="00771F9B"/>
    <w:rsid w:val="0077230E"/>
    <w:rsid w:val="007723F1"/>
    <w:rsid w:val="00772559"/>
    <w:rsid w:val="0077261D"/>
    <w:rsid w:val="00772656"/>
    <w:rsid w:val="0077271B"/>
    <w:rsid w:val="00772ADE"/>
    <w:rsid w:val="00772D6E"/>
    <w:rsid w:val="00772F01"/>
    <w:rsid w:val="0077306D"/>
    <w:rsid w:val="0077311A"/>
    <w:rsid w:val="007732F1"/>
    <w:rsid w:val="007738EC"/>
    <w:rsid w:val="00773F7A"/>
    <w:rsid w:val="00774114"/>
    <w:rsid w:val="007741FF"/>
    <w:rsid w:val="0077546B"/>
    <w:rsid w:val="007756C3"/>
    <w:rsid w:val="00775A2C"/>
    <w:rsid w:val="00775ACF"/>
    <w:rsid w:val="00775FCE"/>
    <w:rsid w:val="00776033"/>
    <w:rsid w:val="0077621D"/>
    <w:rsid w:val="007762CD"/>
    <w:rsid w:val="0077643C"/>
    <w:rsid w:val="0077684B"/>
    <w:rsid w:val="00777020"/>
    <w:rsid w:val="0077726D"/>
    <w:rsid w:val="00777290"/>
    <w:rsid w:val="007772E8"/>
    <w:rsid w:val="00777721"/>
    <w:rsid w:val="00780273"/>
    <w:rsid w:val="00780355"/>
    <w:rsid w:val="00780956"/>
    <w:rsid w:val="00780981"/>
    <w:rsid w:val="0078148C"/>
    <w:rsid w:val="00781552"/>
    <w:rsid w:val="00781619"/>
    <w:rsid w:val="00781725"/>
    <w:rsid w:val="007818C2"/>
    <w:rsid w:val="00781AC2"/>
    <w:rsid w:val="00781C82"/>
    <w:rsid w:val="0078233F"/>
    <w:rsid w:val="00782692"/>
    <w:rsid w:val="007828D5"/>
    <w:rsid w:val="00782A08"/>
    <w:rsid w:val="00782D8F"/>
    <w:rsid w:val="00782F00"/>
    <w:rsid w:val="00782FC5"/>
    <w:rsid w:val="00783263"/>
    <w:rsid w:val="00783345"/>
    <w:rsid w:val="0078357E"/>
    <w:rsid w:val="00783633"/>
    <w:rsid w:val="0078385A"/>
    <w:rsid w:val="007839E7"/>
    <w:rsid w:val="007841FF"/>
    <w:rsid w:val="00785009"/>
    <w:rsid w:val="007853D9"/>
    <w:rsid w:val="0078599A"/>
    <w:rsid w:val="00785A63"/>
    <w:rsid w:val="00785E26"/>
    <w:rsid w:val="00785EFF"/>
    <w:rsid w:val="00786824"/>
    <w:rsid w:val="00786C1E"/>
    <w:rsid w:val="0078724C"/>
    <w:rsid w:val="0078751E"/>
    <w:rsid w:val="00787C9D"/>
    <w:rsid w:val="0079013E"/>
    <w:rsid w:val="007906CA"/>
    <w:rsid w:val="00790D49"/>
    <w:rsid w:val="00791503"/>
    <w:rsid w:val="00791816"/>
    <w:rsid w:val="00791C4B"/>
    <w:rsid w:val="00791E96"/>
    <w:rsid w:val="0079215A"/>
    <w:rsid w:val="00792460"/>
    <w:rsid w:val="007934D4"/>
    <w:rsid w:val="0079377C"/>
    <w:rsid w:val="0079394A"/>
    <w:rsid w:val="0079399A"/>
    <w:rsid w:val="007939BD"/>
    <w:rsid w:val="00793A05"/>
    <w:rsid w:val="00793A0E"/>
    <w:rsid w:val="00793C16"/>
    <w:rsid w:val="00793FBD"/>
    <w:rsid w:val="00794725"/>
    <w:rsid w:val="00794AEE"/>
    <w:rsid w:val="007952E5"/>
    <w:rsid w:val="00795610"/>
    <w:rsid w:val="0079574C"/>
    <w:rsid w:val="00795792"/>
    <w:rsid w:val="00795B10"/>
    <w:rsid w:val="00795BA2"/>
    <w:rsid w:val="00795D98"/>
    <w:rsid w:val="0079663A"/>
    <w:rsid w:val="00796AC3"/>
    <w:rsid w:val="00796C5E"/>
    <w:rsid w:val="00796F84"/>
    <w:rsid w:val="00796F8B"/>
    <w:rsid w:val="007970F4"/>
    <w:rsid w:val="007974EC"/>
    <w:rsid w:val="0079775B"/>
    <w:rsid w:val="00797C38"/>
    <w:rsid w:val="00797E54"/>
    <w:rsid w:val="007A0692"/>
    <w:rsid w:val="007A0B62"/>
    <w:rsid w:val="007A0C8C"/>
    <w:rsid w:val="007A11B0"/>
    <w:rsid w:val="007A1236"/>
    <w:rsid w:val="007A125D"/>
    <w:rsid w:val="007A1760"/>
    <w:rsid w:val="007A1B02"/>
    <w:rsid w:val="007A1D32"/>
    <w:rsid w:val="007A21A0"/>
    <w:rsid w:val="007A2818"/>
    <w:rsid w:val="007A28A4"/>
    <w:rsid w:val="007A2A69"/>
    <w:rsid w:val="007A2A6F"/>
    <w:rsid w:val="007A3386"/>
    <w:rsid w:val="007A39D3"/>
    <w:rsid w:val="007A3BDD"/>
    <w:rsid w:val="007A3D3F"/>
    <w:rsid w:val="007A3E4D"/>
    <w:rsid w:val="007A4506"/>
    <w:rsid w:val="007A45AB"/>
    <w:rsid w:val="007A4BE7"/>
    <w:rsid w:val="007A4C59"/>
    <w:rsid w:val="007A518D"/>
    <w:rsid w:val="007A57AE"/>
    <w:rsid w:val="007A5BDB"/>
    <w:rsid w:val="007A6648"/>
    <w:rsid w:val="007A6B70"/>
    <w:rsid w:val="007A6E20"/>
    <w:rsid w:val="007A6FD8"/>
    <w:rsid w:val="007A7136"/>
    <w:rsid w:val="007A73DA"/>
    <w:rsid w:val="007A7498"/>
    <w:rsid w:val="007A74B2"/>
    <w:rsid w:val="007A771E"/>
    <w:rsid w:val="007A7C64"/>
    <w:rsid w:val="007B0037"/>
    <w:rsid w:val="007B0571"/>
    <w:rsid w:val="007B06B8"/>
    <w:rsid w:val="007B07C4"/>
    <w:rsid w:val="007B0B94"/>
    <w:rsid w:val="007B0C12"/>
    <w:rsid w:val="007B109A"/>
    <w:rsid w:val="007B11EC"/>
    <w:rsid w:val="007B139D"/>
    <w:rsid w:val="007B16E5"/>
    <w:rsid w:val="007B1F57"/>
    <w:rsid w:val="007B2135"/>
    <w:rsid w:val="007B216F"/>
    <w:rsid w:val="007B25D1"/>
    <w:rsid w:val="007B2616"/>
    <w:rsid w:val="007B2926"/>
    <w:rsid w:val="007B3057"/>
    <w:rsid w:val="007B3E8D"/>
    <w:rsid w:val="007B418D"/>
    <w:rsid w:val="007B41B5"/>
    <w:rsid w:val="007B4597"/>
    <w:rsid w:val="007B47A0"/>
    <w:rsid w:val="007B5174"/>
    <w:rsid w:val="007B5255"/>
    <w:rsid w:val="007B5336"/>
    <w:rsid w:val="007B55C5"/>
    <w:rsid w:val="007B561D"/>
    <w:rsid w:val="007B57D2"/>
    <w:rsid w:val="007B5E43"/>
    <w:rsid w:val="007B5F3C"/>
    <w:rsid w:val="007B6B9D"/>
    <w:rsid w:val="007B6CC6"/>
    <w:rsid w:val="007B6F4D"/>
    <w:rsid w:val="007B70FB"/>
    <w:rsid w:val="007B72CD"/>
    <w:rsid w:val="007B74DB"/>
    <w:rsid w:val="007B7566"/>
    <w:rsid w:val="007B7A47"/>
    <w:rsid w:val="007B7A6C"/>
    <w:rsid w:val="007B7B3D"/>
    <w:rsid w:val="007C0482"/>
    <w:rsid w:val="007C0E18"/>
    <w:rsid w:val="007C0E80"/>
    <w:rsid w:val="007C123C"/>
    <w:rsid w:val="007C1637"/>
    <w:rsid w:val="007C1DC9"/>
    <w:rsid w:val="007C1E1A"/>
    <w:rsid w:val="007C20FE"/>
    <w:rsid w:val="007C2343"/>
    <w:rsid w:val="007C24BB"/>
    <w:rsid w:val="007C2678"/>
    <w:rsid w:val="007C3435"/>
    <w:rsid w:val="007C351D"/>
    <w:rsid w:val="007C35A9"/>
    <w:rsid w:val="007C35F6"/>
    <w:rsid w:val="007C360B"/>
    <w:rsid w:val="007C376A"/>
    <w:rsid w:val="007C3888"/>
    <w:rsid w:val="007C4526"/>
    <w:rsid w:val="007C49F2"/>
    <w:rsid w:val="007C4A77"/>
    <w:rsid w:val="007C4AC1"/>
    <w:rsid w:val="007C4ACA"/>
    <w:rsid w:val="007C4F4F"/>
    <w:rsid w:val="007C5084"/>
    <w:rsid w:val="007C5577"/>
    <w:rsid w:val="007C55A5"/>
    <w:rsid w:val="007C55BE"/>
    <w:rsid w:val="007C5686"/>
    <w:rsid w:val="007C5AB5"/>
    <w:rsid w:val="007C5DB4"/>
    <w:rsid w:val="007C62D0"/>
    <w:rsid w:val="007C6E2F"/>
    <w:rsid w:val="007C7506"/>
    <w:rsid w:val="007C7663"/>
    <w:rsid w:val="007C766F"/>
    <w:rsid w:val="007C7AD6"/>
    <w:rsid w:val="007C7C59"/>
    <w:rsid w:val="007C7D51"/>
    <w:rsid w:val="007C7DC7"/>
    <w:rsid w:val="007D033A"/>
    <w:rsid w:val="007D03B3"/>
    <w:rsid w:val="007D0816"/>
    <w:rsid w:val="007D0B72"/>
    <w:rsid w:val="007D132F"/>
    <w:rsid w:val="007D136E"/>
    <w:rsid w:val="007D15F0"/>
    <w:rsid w:val="007D178B"/>
    <w:rsid w:val="007D1AAA"/>
    <w:rsid w:val="007D1B64"/>
    <w:rsid w:val="007D1CE7"/>
    <w:rsid w:val="007D1F73"/>
    <w:rsid w:val="007D226F"/>
    <w:rsid w:val="007D22CE"/>
    <w:rsid w:val="007D2B9F"/>
    <w:rsid w:val="007D2C50"/>
    <w:rsid w:val="007D2FE3"/>
    <w:rsid w:val="007D3398"/>
    <w:rsid w:val="007D33FA"/>
    <w:rsid w:val="007D363F"/>
    <w:rsid w:val="007D3A86"/>
    <w:rsid w:val="007D3B12"/>
    <w:rsid w:val="007D3BC5"/>
    <w:rsid w:val="007D3CE9"/>
    <w:rsid w:val="007D3DF7"/>
    <w:rsid w:val="007D3F75"/>
    <w:rsid w:val="007D40F5"/>
    <w:rsid w:val="007D440A"/>
    <w:rsid w:val="007D457B"/>
    <w:rsid w:val="007D46D8"/>
    <w:rsid w:val="007D4832"/>
    <w:rsid w:val="007D4892"/>
    <w:rsid w:val="007D48E9"/>
    <w:rsid w:val="007D4A1A"/>
    <w:rsid w:val="007D4D44"/>
    <w:rsid w:val="007D4DC5"/>
    <w:rsid w:val="007D53CB"/>
    <w:rsid w:val="007D561F"/>
    <w:rsid w:val="007D5857"/>
    <w:rsid w:val="007D5BB4"/>
    <w:rsid w:val="007D6246"/>
    <w:rsid w:val="007D68DB"/>
    <w:rsid w:val="007D6A54"/>
    <w:rsid w:val="007D6CE6"/>
    <w:rsid w:val="007D6E43"/>
    <w:rsid w:val="007D6F86"/>
    <w:rsid w:val="007D72CB"/>
    <w:rsid w:val="007D72EB"/>
    <w:rsid w:val="007D735A"/>
    <w:rsid w:val="007D7CDD"/>
    <w:rsid w:val="007D7F37"/>
    <w:rsid w:val="007E016B"/>
    <w:rsid w:val="007E0416"/>
    <w:rsid w:val="007E08C9"/>
    <w:rsid w:val="007E0A12"/>
    <w:rsid w:val="007E0D35"/>
    <w:rsid w:val="007E0F8F"/>
    <w:rsid w:val="007E13A8"/>
    <w:rsid w:val="007E1A71"/>
    <w:rsid w:val="007E1AAD"/>
    <w:rsid w:val="007E2236"/>
    <w:rsid w:val="007E273A"/>
    <w:rsid w:val="007E296A"/>
    <w:rsid w:val="007E2A9F"/>
    <w:rsid w:val="007E317C"/>
    <w:rsid w:val="007E3456"/>
    <w:rsid w:val="007E35D0"/>
    <w:rsid w:val="007E3A03"/>
    <w:rsid w:val="007E3E82"/>
    <w:rsid w:val="007E44F9"/>
    <w:rsid w:val="007E4701"/>
    <w:rsid w:val="007E47D5"/>
    <w:rsid w:val="007E4C3C"/>
    <w:rsid w:val="007E4DA6"/>
    <w:rsid w:val="007E4F53"/>
    <w:rsid w:val="007E502A"/>
    <w:rsid w:val="007E5268"/>
    <w:rsid w:val="007E53AF"/>
    <w:rsid w:val="007E5725"/>
    <w:rsid w:val="007E5937"/>
    <w:rsid w:val="007E5A2C"/>
    <w:rsid w:val="007E5E82"/>
    <w:rsid w:val="007E5ED9"/>
    <w:rsid w:val="007E5EDC"/>
    <w:rsid w:val="007E6646"/>
    <w:rsid w:val="007E67D9"/>
    <w:rsid w:val="007E691D"/>
    <w:rsid w:val="007E6A96"/>
    <w:rsid w:val="007E6C51"/>
    <w:rsid w:val="007E6D20"/>
    <w:rsid w:val="007E7232"/>
    <w:rsid w:val="007E72AB"/>
    <w:rsid w:val="007E735E"/>
    <w:rsid w:val="007E7D5D"/>
    <w:rsid w:val="007E7E0F"/>
    <w:rsid w:val="007E7EC0"/>
    <w:rsid w:val="007F0378"/>
    <w:rsid w:val="007F0684"/>
    <w:rsid w:val="007F06B6"/>
    <w:rsid w:val="007F06E8"/>
    <w:rsid w:val="007F0AF8"/>
    <w:rsid w:val="007F0E4C"/>
    <w:rsid w:val="007F1933"/>
    <w:rsid w:val="007F1B94"/>
    <w:rsid w:val="007F1F1C"/>
    <w:rsid w:val="007F219A"/>
    <w:rsid w:val="007F2444"/>
    <w:rsid w:val="007F2C78"/>
    <w:rsid w:val="007F3088"/>
    <w:rsid w:val="007F3130"/>
    <w:rsid w:val="007F35B8"/>
    <w:rsid w:val="007F37EA"/>
    <w:rsid w:val="007F3D80"/>
    <w:rsid w:val="007F3F16"/>
    <w:rsid w:val="007F42F0"/>
    <w:rsid w:val="007F4748"/>
    <w:rsid w:val="007F4906"/>
    <w:rsid w:val="007F4981"/>
    <w:rsid w:val="007F4D34"/>
    <w:rsid w:val="007F56FC"/>
    <w:rsid w:val="007F62FD"/>
    <w:rsid w:val="007F6340"/>
    <w:rsid w:val="007F65DB"/>
    <w:rsid w:val="007F6761"/>
    <w:rsid w:val="007F6BC4"/>
    <w:rsid w:val="007F6C0E"/>
    <w:rsid w:val="007F6DA9"/>
    <w:rsid w:val="007F70D4"/>
    <w:rsid w:val="007F752E"/>
    <w:rsid w:val="007F76B6"/>
    <w:rsid w:val="007F7ABF"/>
    <w:rsid w:val="007F7CA1"/>
    <w:rsid w:val="0080059B"/>
    <w:rsid w:val="0080073F"/>
    <w:rsid w:val="00800917"/>
    <w:rsid w:val="00800DBB"/>
    <w:rsid w:val="00801607"/>
    <w:rsid w:val="00801713"/>
    <w:rsid w:val="0080176E"/>
    <w:rsid w:val="00801B94"/>
    <w:rsid w:val="00801CB1"/>
    <w:rsid w:val="00801DC9"/>
    <w:rsid w:val="0080238B"/>
    <w:rsid w:val="00802758"/>
    <w:rsid w:val="00802A50"/>
    <w:rsid w:val="00802A7A"/>
    <w:rsid w:val="00802AA7"/>
    <w:rsid w:val="00802B6F"/>
    <w:rsid w:val="00803003"/>
    <w:rsid w:val="008038AE"/>
    <w:rsid w:val="008039DB"/>
    <w:rsid w:val="00803AAC"/>
    <w:rsid w:val="00803ACE"/>
    <w:rsid w:val="00803F4E"/>
    <w:rsid w:val="008057B1"/>
    <w:rsid w:val="00805834"/>
    <w:rsid w:val="00805B99"/>
    <w:rsid w:val="00805D3E"/>
    <w:rsid w:val="00805EEC"/>
    <w:rsid w:val="00806026"/>
    <w:rsid w:val="008061C2"/>
    <w:rsid w:val="00806E9B"/>
    <w:rsid w:val="00807090"/>
    <w:rsid w:val="008074F3"/>
    <w:rsid w:val="00807926"/>
    <w:rsid w:val="0080796B"/>
    <w:rsid w:val="00807A15"/>
    <w:rsid w:val="00807AB5"/>
    <w:rsid w:val="00807EBB"/>
    <w:rsid w:val="00807FC3"/>
    <w:rsid w:val="008100A2"/>
    <w:rsid w:val="008104A0"/>
    <w:rsid w:val="008107F5"/>
    <w:rsid w:val="00810A75"/>
    <w:rsid w:val="00810D27"/>
    <w:rsid w:val="00810E30"/>
    <w:rsid w:val="00810ED7"/>
    <w:rsid w:val="00810F56"/>
    <w:rsid w:val="00811057"/>
    <w:rsid w:val="0081169E"/>
    <w:rsid w:val="00811914"/>
    <w:rsid w:val="00811A86"/>
    <w:rsid w:val="00811EE2"/>
    <w:rsid w:val="008123D4"/>
    <w:rsid w:val="00812B2D"/>
    <w:rsid w:val="00812C4E"/>
    <w:rsid w:val="0081353B"/>
    <w:rsid w:val="0081378B"/>
    <w:rsid w:val="00813AEB"/>
    <w:rsid w:val="00814049"/>
    <w:rsid w:val="008140B8"/>
    <w:rsid w:val="0081466A"/>
    <w:rsid w:val="008149A6"/>
    <w:rsid w:val="00814CAD"/>
    <w:rsid w:val="00814E29"/>
    <w:rsid w:val="0081580E"/>
    <w:rsid w:val="00815914"/>
    <w:rsid w:val="00815A49"/>
    <w:rsid w:val="00815BB1"/>
    <w:rsid w:val="00815BFA"/>
    <w:rsid w:val="00815CE0"/>
    <w:rsid w:val="0081623E"/>
    <w:rsid w:val="00816340"/>
    <w:rsid w:val="0081701B"/>
    <w:rsid w:val="008177AE"/>
    <w:rsid w:val="00817C6C"/>
    <w:rsid w:val="00817D96"/>
    <w:rsid w:val="00817E6F"/>
    <w:rsid w:val="00817F9A"/>
    <w:rsid w:val="00820896"/>
    <w:rsid w:val="00820A62"/>
    <w:rsid w:val="008211B5"/>
    <w:rsid w:val="00821912"/>
    <w:rsid w:val="0082194F"/>
    <w:rsid w:val="00821A07"/>
    <w:rsid w:val="0082222E"/>
    <w:rsid w:val="008222D8"/>
    <w:rsid w:val="0082242F"/>
    <w:rsid w:val="008227FA"/>
    <w:rsid w:val="008229A2"/>
    <w:rsid w:val="00822CDF"/>
    <w:rsid w:val="008235B7"/>
    <w:rsid w:val="008236A9"/>
    <w:rsid w:val="00823A6D"/>
    <w:rsid w:val="00823AA9"/>
    <w:rsid w:val="00823FF7"/>
    <w:rsid w:val="008240FA"/>
    <w:rsid w:val="008242B3"/>
    <w:rsid w:val="0082443D"/>
    <w:rsid w:val="00824A9E"/>
    <w:rsid w:val="00824E44"/>
    <w:rsid w:val="008255CE"/>
    <w:rsid w:val="00825966"/>
    <w:rsid w:val="00825ED1"/>
    <w:rsid w:val="00825EDB"/>
    <w:rsid w:val="00825F58"/>
    <w:rsid w:val="008264EB"/>
    <w:rsid w:val="00826635"/>
    <w:rsid w:val="008267E6"/>
    <w:rsid w:val="008268CF"/>
    <w:rsid w:val="00826DEF"/>
    <w:rsid w:val="008270EE"/>
    <w:rsid w:val="00827265"/>
    <w:rsid w:val="008272A7"/>
    <w:rsid w:val="008273A3"/>
    <w:rsid w:val="0082744A"/>
    <w:rsid w:val="00827497"/>
    <w:rsid w:val="008275A9"/>
    <w:rsid w:val="0083026B"/>
    <w:rsid w:val="008307F9"/>
    <w:rsid w:val="00830845"/>
    <w:rsid w:val="0083098F"/>
    <w:rsid w:val="008309E1"/>
    <w:rsid w:val="00830DA4"/>
    <w:rsid w:val="00831472"/>
    <w:rsid w:val="0083171A"/>
    <w:rsid w:val="00831ABE"/>
    <w:rsid w:val="008320C3"/>
    <w:rsid w:val="008322DF"/>
    <w:rsid w:val="008322F6"/>
    <w:rsid w:val="008327F0"/>
    <w:rsid w:val="00832922"/>
    <w:rsid w:val="008329FF"/>
    <w:rsid w:val="00832ECB"/>
    <w:rsid w:val="0083302B"/>
    <w:rsid w:val="00833526"/>
    <w:rsid w:val="008336EE"/>
    <w:rsid w:val="008340EC"/>
    <w:rsid w:val="00834B47"/>
    <w:rsid w:val="00835195"/>
    <w:rsid w:val="00835459"/>
    <w:rsid w:val="00835C3C"/>
    <w:rsid w:val="00835EE4"/>
    <w:rsid w:val="00836259"/>
    <w:rsid w:val="00836AC7"/>
    <w:rsid w:val="00836C77"/>
    <w:rsid w:val="00836E1B"/>
    <w:rsid w:val="008376CD"/>
    <w:rsid w:val="0083793C"/>
    <w:rsid w:val="00837BB6"/>
    <w:rsid w:val="00837C92"/>
    <w:rsid w:val="00837F0F"/>
    <w:rsid w:val="00837FEE"/>
    <w:rsid w:val="008404E0"/>
    <w:rsid w:val="008416E5"/>
    <w:rsid w:val="00841A00"/>
    <w:rsid w:val="00841ED7"/>
    <w:rsid w:val="0084210C"/>
    <w:rsid w:val="00842BBA"/>
    <w:rsid w:val="00842D41"/>
    <w:rsid w:val="00842E56"/>
    <w:rsid w:val="00843029"/>
    <w:rsid w:val="00843420"/>
    <w:rsid w:val="00843B5D"/>
    <w:rsid w:val="00843BE2"/>
    <w:rsid w:val="00843C5D"/>
    <w:rsid w:val="00843F87"/>
    <w:rsid w:val="00844448"/>
    <w:rsid w:val="008447D4"/>
    <w:rsid w:val="0084506C"/>
    <w:rsid w:val="008454BD"/>
    <w:rsid w:val="0084570E"/>
    <w:rsid w:val="00845B66"/>
    <w:rsid w:val="00846126"/>
    <w:rsid w:val="008463AA"/>
    <w:rsid w:val="008463F3"/>
    <w:rsid w:val="00846509"/>
    <w:rsid w:val="008467CB"/>
    <w:rsid w:val="008467D3"/>
    <w:rsid w:val="00846845"/>
    <w:rsid w:val="00846D76"/>
    <w:rsid w:val="00847650"/>
    <w:rsid w:val="008476DC"/>
    <w:rsid w:val="00847829"/>
    <w:rsid w:val="008479B1"/>
    <w:rsid w:val="0085005F"/>
    <w:rsid w:val="008500F5"/>
    <w:rsid w:val="0085030C"/>
    <w:rsid w:val="0085062F"/>
    <w:rsid w:val="00850CBE"/>
    <w:rsid w:val="00851307"/>
    <w:rsid w:val="008515B1"/>
    <w:rsid w:val="008518F3"/>
    <w:rsid w:val="00851C40"/>
    <w:rsid w:val="00851F2D"/>
    <w:rsid w:val="00852239"/>
    <w:rsid w:val="00852508"/>
    <w:rsid w:val="00852578"/>
    <w:rsid w:val="008525B6"/>
    <w:rsid w:val="00852E5B"/>
    <w:rsid w:val="0085323E"/>
    <w:rsid w:val="008535EB"/>
    <w:rsid w:val="00853677"/>
    <w:rsid w:val="00853943"/>
    <w:rsid w:val="00853A88"/>
    <w:rsid w:val="00853ACD"/>
    <w:rsid w:val="00853ACF"/>
    <w:rsid w:val="00853CA6"/>
    <w:rsid w:val="00853F1F"/>
    <w:rsid w:val="008544D3"/>
    <w:rsid w:val="00854AD2"/>
    <w:rsid w:val="00855089"/>
    <w:rsid w:val="0085525C"/>
    <w:rsid w:val="008558A1"/>
    <w:rsid w:val="00855A1E"/>
    <w:rsid w:val="00855DEB"/>
    <w:rsid w:val="0085642F"/>
    <w:rsid w:val="0085645A"/>
    <w:rsid w:val="00856554"/>
    <w:rsid w:val="0085717F"/>
    <w:rsid w:val="008573AF"/>
    <w:rsid w:val="008573F8"/>
    <w:rsid w:val="00857645"/>
    <w:rsid w:val="00857798"/>
    <w:rsid w:val="008577D9"/>
    <w:rsid w:val="00857BEA"/>
    <w:rsid w:val="00857D80"/>
    <w:rsid w:val="00857EAB"/>
    <w:rsid w:val="008602FC"/>
    <w:rsid w:val="0086045C"/>
    <w:rsid w:val="008607FA"/>
    <w:rsid w:val="00860989"/>
    <w:rsid w:val="00860CF9"/>
    <w:rsid w:val="008614A8"/>
    <w:rsid w:val="00861DEF"/>
    <w:rsid w:val="008622D3"/>
    <w:rsid w:val="0086268A"/>
    <w:rsid w:val="00862BD4"/>
    <w:rsid w:val="00862BFA"/>
    <w:rsid w:val="00862D35"/>
    <w:rsid w:val="00862DC6"/>
    <w:rsid w:val="00862EE5"/>
    <w:rsid w:val="008639A2"/>
    <w:rsid w:val="00863BBB"/>
    <w:rsid w:val="008640FD"/>
    <w:rsid w:val="0086426C"/>
    <w:rsid w:val="00864321"/>
    <w:rsid w:val="008644D5"/>
    <w:rsid w:val="00864A96"/>
    <w:rsid w:val="00864E19"/>
    <w:rsid w:val="00864FDD"/>
    <w:rsid w:val="00865020"/>
    <w:rsid w:val="0086526F"/>
    <w:rsid w:val="00865385"/>
    <w:rsid w:val="0086564F"/>
    <w:rsid w:val="00865676"/>
    <w:rsid w:val="00865681"/>
    <w:rsid w:val="00865A34"/>
    <w:rsid w:val="00865AF5"/>
    <w:rsid w:val="00865C9A"/>
    <w:rsid w:val="00866618"/>
    <w:rsid w:val="00866770"/>
    <w:rsid w:val="00867578"/>
    <w:rsid w:val="008678FC"/>
    <w:rsid w:val="00867B6B"/>
    <w:rsid w:val="00867FDD"/>
    <w:rsid w:val="0087000F"/>
    <w:rsid w:val="0087020C"/>
    <w:rsid w:val="008706D6"/>
    <w:rsid w:val="00870788"/>
    <w:rsid w:val="00870923"/>
    <w:rsid w:val="00870A8A"/>
    <w:rsid w:val="00870AFC"/>
    <w:rsid w:val="00870F67"/>
    <w:rsid w:val="00870F6E"/>
    <w:rsid w:val="00871028"/>
    <w:rsid w:val="008715CC"/>
    <w:rsid w:val="008717FE"/>
    <w:rsid w:val="00872589"/>
    <w:rsid w:val="00872770"/>
    <w:rsid w:val="00872A89"/>
    <w:rsid w:val="00872C07"/>
    <w:rsid w:val="00873125"/>
    <w:rsid w:val="008731F2"/>
    <w:rsid w:val="00873754"/>
    <w:rsid w:val="00873CF3"/>
    <w:rsid w:val="008746D7"/>
    <w:rsid w:val="00874D5D"/>
    <w:rsid w:val="0087502F"/>
    <w:rsid w:val="008752FC"/>
    <w:rsid w:val="008755BD"/>
    <w:rsid w:val="00875FA4"/>
    <w:rsid w:val="00876313"/>
    <w:rsid w:val="008763C8"/>
    <w:rsid w:val="0087656D"/>
    <w:rsid w:val="0087672D"/>
    <w:rsid w:val="00876902"/>
    <w:rsid w:val="00876E33"/>
    <w:rsid w:val="00877745"/>
    <w:rsid w:val="008779E9"/>
    <w:rsid w:val="00877ADA"/>
    <w:rsid w:val="00877D2C"/>
    <w:rsid w:val="00877D6E"/>
    <w:rsid w:val="00877E35"/>
    <w:rsid w:val="0088014E"/>
    <w:rsid w:val="008807CE"/>
    <w:rsid w:val="00880AA4"/>
    <w:rsid w:val="00880B6B"/>
    <w:rsid w:val="00880BAB"/>
    <w:rsid w:val="00880C8D"/>
    <w:rsid w:val="008812A7"/>
    <w:rsid w:val="00881646"/>
    <w:rsid w:val="008817FF"/>
    <w:rsid w:val="0088239C"/>
    <w:rsid w:val="00882745"/>
    <w:rsid w:val="008828F7"/>
    <w:rsid w:val="00882946"/>
    <w:rsid w:val="00882A65"/>
    <w:rsid w:val="00882C4D"/>
    <w:rsid w:val="00882D67"/>
    <w:rsid w:val="00882E58"/>
    <w:rsid w:val="00882F94"/>
    <w:rsid w:val="0088318D"/>
    <w:rsid w:val="008835B1"/>
    <w:rsid w:val="00883B3F"/>
    <w:rsid w:val="00883EE0"/>
    <w:rsid w:val="00883EFA"/>
    <w:rsid w:val="008840AD"/>
    <w:rsid w:val="008841BF"/>
    <w:rsid w:val="008846E2"/>
    <w:rsid w:val="00884A91"/>
    <w:rsid w:val="00884E92"/>
    <w:rsid w:val="008851BE"/>
    <w:rsid w:val="00885538"/>
    <w:rsid w:val="00885960"/>
    <w:rsid w:val="00885A63"/>
    <w:rsid w:val="00885ADA"/>
    <w:rsid w:val="00885B81"/>
    <w:rsid w:val="00886188"/>
    <w:rsid w:val="00886342"/>
    <w:rsid w:val="0088651F"/>
    <w:rsid w:val="00886632"/>
    <w:rsid w:val="00886EC6"/>
    <w:rsid w:val="00887063"/>
    <w:rsid w:val="008876D5"/>
    <w:rsid w:val="00887798"/>
    <w:rsid w:val="0088796B"/>
    <w:rsid w:val="00887D83"/>
    <w:rsid w:val="00887F1B"/>
    <w:rsid w:val="008900CF"/>
    <w:rsid w:val="008903F8"/>
    <w:rsid w:val="008905B9"/>
    <w:rsid w:val="00890709"/>
    <w:rsid w:val="00890F94"/>
    <w:rsid w:val="00891AE3"/>
    <w:rsid w:val="00891D67"/>
    <w:rsid w:val="0089203B"/>
    <w:rsid w:val="00892165"/>
    <w:rsid w:val="008922CF"/>
    <w:rsid w:val="008923D1"/>
    <w:rsid w:val="008925B9"/>
    <w:rsid w:val="00892827"/>
    <w:rsid w:val="00892AEE"/>
    <w:rsid w:val="008937AC"/>
    <w:rsid w:val="008937CB"/>
    <w:rsid w:val="00893EA3"/>
    <w:rsid w:val="00893FF7"/>
    <w:rsid w:val="0089427B"/>
    <w:rsid w:val="008942A5"/>
    <w:rsid w:val="008943FD"/>
    <w:rsid w:val="0089483C"/>
    <w:rsid w:val="00894A6B"/>
    <w:rsid w:val="00894A7F"/>
    <w:rsid w:val="00895214"/>
    <w:rsid w:val="00895670"/>
    <w:rsid w:val="00895DCC"/>
    <w:rsid w:val="00895E5A"/>
    <w:rsid w:val="008962BC"/>
    <w:rsid w:val="008973BA"/>
    <w:rsid w:val="00897502"/>
    <w:rsid w:val="00897602"/>
    <w:rsid w:val="0089773D"/>
    <w:rsid w:val="00897855"/>
    <w:rsid w:val="00897A17"/>
    <w:rsid w:val="00897BAC"/>
    <w:rsid w:val="008A03C3"/>
    <w:rsid w:val="008A045F"/>
    <w:rsid w:val="008A0555"/>
    <w:rsid w:val="008A097F"/>
    <w:rsid w:val="008A0994"/>
    <w:rsid w:val="008A0B6D"/>
    <w:rsid w:val="008A0E02"/>
    <w:rsid w:val="008A0E63"/>
    <w:rsid w:val="008A0F85"/>
    <w:rsid w:val="008A148F"/>
    <w:rsid w:val="008A14BA"/>
    <w:rsid w:val="008A14F8"/>
    <w:rsid w:val="008A173F"/>
    <w:rsid w:val="008A1EFD"/>
    <w:rsid w:val="008A1F90"/>
    <w:rsid w:val="008A210B"/>
    <w:rsid w:val="008A211F"/>
    <w:rsid w:val="008A2385"/>
    <w:rsid w:val="008A2790"/>
    <w:rsid w:val="008A279B"/>
    <w:rsid w:val="008A2830"/>
    <w:rsid w:val="008A2987"/>
    <w:rsid w:val="008A2ACB"/>
    <w:rsid w:val="008A2C5D"/>
    <w:rsid w:val="008A30BD"/>
    <w:rsid w:val="008A34B6"/>
    <w:rsid w:val="008A3C32"/>
    <w:rsid w:val="008A444A"/>
    <w:rsid w:val="008A46CB"/>
    <w:rsid w:val="008A4876"/>
    <w:rsid w:val="008A4B83"/>
    <w:rsid w:val="008A4CFD"/>
    <w:rsid w:val="008A4F57"/>
    <w:rsid w:val="008A52CE"/>
    <w:rsid w:val="008A5432"/>
    <w:rsid w:val="008A544C"/>
    <w:rsid w:val="008A574C"/>
    <w:rsid w:val="008A5800"/>
    <w:rsid w:val="008A5BC7"/>
    <w:rsid w:val="008A5E2C"/>
    <w:rsid w:val="008A5E8C"/>
    <w:rsid w:val="008A67A1"/>
    <w:rsid w:val="008A6A25"/>
    <w:rsid w:val="008A6ED8"/>
    <w:rsid w:val="008A720F"/>
    <w:rsid w:val="008A77BD"/>
    <w:rsid w:val="008A7949"/>
    <w:rsid w:val="008A7A03"/>
    <w:rsid w:val="008A7AF1"/>
    <w:rsid w:val="008A7B45"/>
    <w:rsid w:val="008B0BA7"/>
    <w:rsid w:val="008B0E9B"/>
    <w:rsid w:val="008B103F"/>
    <w:rsid w:val="008B12FC"/>
    <w:rsid w:val="008B19DC"/>
    <w:rsid w:val="008B1C8C"/>
    <w:rsid w:val="008B1DFA"/>
    <w:rsid w:val="008B1E06"/>
    <w:rsid w:val="008B200F"/>
    <w:rsid w:val="008B20A4"/>
    <w:rsid w:val="008B2520"/>
    <w:rsid w:val="008B2582"/>
    <w:rsid w:val="008B2720"/>
    <w:rsid w:val="008B2F1A"/>
    <w:rsid w:val="008B31AD"/>
    <w:rsid w:val="008B329A"/>
    <w:rsid w:val="008B331F"/>
    <w:rsid w:val="008B3960"/>
    <w:rsid w:val="008B3A87"/>
    <w:rsid w:val="008B3B8E"/>
    <w:rsid w:val="008B3C1B"/>
    <w:rsid w:val="008B3C1F"/>
    <w:rsid w:val="008B3D7A"/>
    <w:rsid w:val="008B4243"/>
    <w:rsid w:val="008B4700"/>
    <w:rsid w:val="008B47F4"/>
    <w:rsid w:val="008B4953"/>
    <w:rsid w:val="008B4BFD"/>
    <w:rsid w:val="008B4C60"/>
    <w:rsid w:val="008B4E19"/>
    <w:rsid w:val="008B4F72"/>
    <w:rsid w:val="008B58E4"/>
    <w:rsid w:val="008B5A61"/>
    <w:rsid w:val="008B5F19"/>
    <w:rsid w:val="008B5F58"/>
    <w:rsid w:val="008B6190"/>
    <w:rsid w:val="008B6231"/>
    <w:rsid w:val="008B6367"/>
    <w:rsid w:val="008B63AD"/>
    <w:rsid w:val="008B6939"/>
    <w:rsid w:val="008B6A05"/>
    <w:rsid w:val="008B6ADB"/>
    <w:rsid w:val="008B74A7"/>
    <w:rsid w:val="008B7546"/>
    <w:rsid w:val="008B757C"/>
    <w:rsid w:val="008B77EC"/>
    <w:rsid w:val="008B7C5A"/>
    <w:rsid w:val="008B7ECB"/>
    <w:rsid w:val="008C048E"/>
    <w:rsid w:val="008C052D"/>
    <w:rsid w:val="008C0557"/>
    <w:rsid w:val="008C0771"/>
    <w:rsid w:val="008C0845"/>
    <w:rsid w:val="008C08B7"/>
    <w:rsid w:val="008C0D3F"/>
    <w:rsid w:val="008C15BB"/>
    <w:rsid w:val="008C1779"/>
    <w:rsid w:val="008C186A"/>
    <w:rsid w:val="008C1DC1"/>
    <w:rsid w:val="008C21A0"/>
    <w:rsid w:val="008C287C"/>
    <w:rsid w:val="008C28B3"/>
    <w:rsid w:val="008C292B"/>
    <w:rsid w:val="008C34C1"/>
    <w:rsid w:val="008C3591"/>
    <w:rsid w:val="008C3853"/>
    <w:rsid w:val="008C3982"/>
    <w:rsid w:val="008C3A88"/>
    <w:rsid w:val="008C3AC1"/>
    <w:rsid w:val="008C3B2A"/>
    <w:rsid w:val="008C3D73"/>
    <w:rsid w:val="008C41CD"/>
    <w:rsid w:val="008C4270"/>
    <w:rsid w:val="008C44FA"/>
    <w:rsid w:val="008C482E"/>
    <w:rsid w:val="008C4BB0"/>
    <w:rsid w:val="008C4E7C"/>
    <w:rsid w:val="008C4E96"/>
    <w:rsid w:val="008C4EB8"/>
    <w:rsid w:val="008C4F08"/>
    <w:rsid w:val="008C4FFE"/>
    <w:rsid w:val="008C51AD"/>
    <w:rsid w:val="008C52AE"/>
    <w:rsid w:val="008C5A8B"/>
    <w:rsid w:val="008C5EAC"/>
    <w:rsid w:val="008C5F93"/>
    <w:rsid w:val="008C61B0"/>
    <w:rsid w:val="008C627C"/>
    <w:rsid w:val="008C6BA6"/>
    <w:rsid w:val="008C6E3D"/>
    <w:rsid w:val="008C6FD3"/>
    <w:rsid w:val="008C70EB"/>
    <w:rsid w:val="008C71DE"/>
    <w:rsid w:val="008C78EA"/>
    <w:rsid w:val="008C7C23"/>
    <w:rsid w:val="008C7FA7"/>
    <w:rsid w:val="008D0E8E"/>
    <w:rsid w:val="008D1047"/>
    <w:rsid w:val="008D155D"/>
    <w:rsid w:val="008D1566"/>
    <w:rsid w:val="008D15E6"/>
    <w:rsid w:val="008D21BB"/>
    <w:rsid w:val="008D229E"/>
    <w:rsid w:val="008D24C5"/>
    <w:rsid w:val="008D24FA"/>
    <w:rsid w:val="008D24FF"/>
    <w:rsid w:val="008D2F91"/>
    <w:rsid w:val="008D34B0"/>
    <w:rsid w:val="008D36D2"/>
    <w:rsid w:val="008D3E05"/>
    <w:rsid w:val="008D3FE4"/>
    <w:rsid w:val="008D415F"/>
    <w:rsid w:val="008D463D"/>
    <w:rsid w:val="008D4D84"/>
    <w:rsid w:val="008D5099"/>
    <w:rsid w:val="008D536E"/>
    <w:rsid w:val="008D5506"/>
    <w:rsid w:val="008D5659"/>
    <w:rsid w:val="008D57A3"/>
    <w:rsid w:val="008D5C9A"/>
    <w:rsid w:val="008D5D6F"/>
    <w:rsid w:val="008D5DAB"/>
    <w:rsid w:val="008D638E"/>
    <w:rsid w:val="008D6641"/>
    <w:rsid w:val="008D6847"/>
    <w:rsid w:val="008D6968"/>
    <w:rsid w:val="008D6C68"/>
    <w:rsid w:val="008D71F3"/>
    <w:rsid w:val="008D746A"/>
    <w:rsid w:val="008D75FA"/>
    <w:rsid w:val="008D7AFD"/>
    <w:rsid w:val="008D7DEB"/>
    <w:rsid w:val="008D7E3E"/>
    <w:rsid w:val="008D7EA6"/>
    <w:rsid w:val="008E0029"/>
    <w:rsid w:val="008E01BA"/>
    <w:rsid w:val="008E0219"/>
    <w:rsid w:val="008E030F"/>
    <w:rsid w:val="008E03B3"/>
    <w:rsid w:val="008E0535"/>
    <w:rsid w:val="008E054A"/>
    <w:rsid w:val="008E08F2"/>
    <w:rsid w:val="008E0ABF"/>
    <w:rsid w:val="008E0D33"/>
    <w:rsid w:val="008E0DE2"/>
    <w:rsid w:val="008E0EF1"/>
    <w:rsid w:val="008E19E9"/>
    <w:rsid w:val="008E1A0B"/>
    <w:rsid w:val="008E1CA4"/>
    <w:rsid w:val="008E22E0"/>
    <w:rsid w:val="008E2338"/>
    <w:rsid w:val="008E260B"/>
    <w:rsid w:val="008E288B"/>
    <w:rsid w:val="008E2BCC"/>
    <w:rsid w:val="008E2EE9"/>
    <w:rsid w:val="008E3A18"/>
    <w:rsid w:val="008E4157"/>
    <w:rsid w:val="008E46F6"/>
    <w:rsid w:val="008E4E17"/>
    <w:rsid w:val="008E52E7"/>
    <w:rsid w:val="008E53DB"/>
    <w:rsid w:val="008E55C1"/>
    <w:rsid w:val="008E5757"/>
    <w:rsid w:val="008E5909"/>
    <w:rsid w:val="008E5A4E"/>
    <w:rsid w:val="008E5C8F"/>
    <w:rsid w:val="008E5F66"/>
    <w:rsid w:val="008E646A"/>
    <w:rsid w:val="008E68B9"/>
    <w:rsid w:val="008E6D37"/>
    <w:rsid w:val="008E6E86"/>
    <w:rsid w:val="008E6F52"/>
    <w:rsid w:val="008E6F6B"/>
    <w:rsid w:val="008E6FF7"/>
    <w:rsid w:val="008E702F"/>
    <w:rsid w:val="008E712B"/>
    <w:rsid w:val="008E7155"/>
    <w:rsid w:val="008E71FB"/>
    <w:rsid w:val="008E7365"/>
    <w:rsid w:val="008E78ED"/>
    <w:rsid w:val="008F0248"/>
    <w:rsid w:val="008F0288"/>
    <w:rsid w:val="008F0671"/>
    <w:rsid w:val="008F07B8"/>
    <w:rsid w:val="008F080D"/>
    <w:rsid w:val="008F0932"/>
    <w:rsid w:val="008F0945"/>
    <w:rsid w:val="008F0A86"/>
    <w:rsid w:val="008F0AB8"/>
    <w:rsid w:val="008F0AED"/>
    <w:rsid w:val="008F0BD8"/>
    <w:rsid w:val="008F0D11"/>
    <w:rsid w:val="008F0EF5"/>
    <w:rsid w:val="008F0F0D"/>
    <w:rsid w:val="008F1238"/>
    <w:rsid w:val="008F1351"/>
    <w:rsid w:val="008F13E9"/>
    <w:rsid w:val="008F14CA"/>
    <w:rsid w:val="008F14E8"/>
    <w:rsid w:val="008F1C6B"/>
    <w:rsid w:val="008F20E0"/>
    <w:rsid w:val="008F24BD"/>
    <w:rsid w:val="008F257A"/>
    <w:rsid w:val="008F2A47"/>
    <w:rsid w:val="008F2FA5"/>
    <w:rsid w:val="008F35D9"/>
    <w:rsid w:val="008F3793"/>
    <w:rsid w:val="008F3F41"/>
    <w:rsid w:val="008F412A"/>
    <w:rsid w:val="008F438C"/>
    <w:rsid w:val="008F43D6"/>
    <w:rsid w:val="008F45AC"/>
    <w:rsid w:val="008F45BC"/>
    <w:rsid w:val="008F48C6"/>
    <w:rsid w:val="008F49F3"/>
    <w:rsid w:val="008F5138"/>
    <w:rsid w:val="008F525C"/>
    <w:rsid w:val="008F5309"/>
    <w:rsid w:val="008F540C"/>
    <w:rsid w:val="008F58A7"/>
    <w:rsid w:val="008F6060"/>
    <w:rsid w:val="008F6426"/>
    <w:rsid w:val="008F6607"/>
    <w:rsid w:val="008F6AB0"/>
    <w:rsid w:val="008F6B8B"/>
    <w:rsid w:val="008F6BEC"/>
    <w:rsid w:val="00900077"/>
    <w:rsid w:val="0090097F"/>
    <w:rsid w:val="00900D92"/>
    <w:rsid w:val="0090146E"/>
    <w:rsid w:val="009015F4"/>
    <w:rsid w:val="00901E4D"/>
    <w:rsid w:val="0090296B"/>
    <w:rsid w:val="00902972"/>
    <w:rsid w:val="00903424"/>
    <w:rsid w:val="00904206"/>
    <w:rsid w:val="0090441B"/>
    <w:rsid w:val="00904551"/>
    <w:rsid w:val="0090516B"/>
    <w:rsid w:val="00905456"/>
    <w:rsid w:val="00905BE3"/>
    <w:rsid w:val="0090621C"/>
    <w:rsid w:val="00906618"/>
    <w:rsid w:val="0090662F"/>
    <w:rsid w:val="00906BB6"/>
    <w:rsid w:val="00906C4A"/>
    <w:rsid w:val="00907397"/>
    <w:rsid w:val="00907986"/>
    <w:rsid w:val="00907A72"/>
    <w:rsid w:val="00907D90"/>
    <w:rsid w:val="00910078"/>
    <w:rsid w:val="0091026F"/>
    <w:rsid w:val="009104AB"/>
    <w:rsid w:val="00910866"/>
    <w:rsid w:val="0091095D"/>
    <w:rsid w:val="00910D99"/>
    <w:rsid w:val="00910E2C"/>
    <w:rsid w:val="009110AD"/>
    <w:rsid w:val="009111CC"/>
    <w:rsid w:val="009114FF"/>
    <w:rsid w:val="00911A79"/>
    <w:rsid w:val="00911D8B"/>
    <w:rsid w:val="00911DAD"/>
    <w:rsid w:val="0091244E"/>
    <w:rsid w:val="00912464"/>
    <w:rsid w:val="00912662"/>
    <w:rsid w:val="009127CC"/>
    <w:rsid w:val="00912D42"/>
    <w:rsid w:val="009133DD"/>
    <w:rsid w:val="00913BE6"/>
    <w:rsid w:val="009141D1"/>
    <w:rsid w:val="00914234"/>
    <w:rsid w:val="00914525"/>
    <w:rsid w:val="00914722"/>
    <w:rsid w:val="009151EB"/>
    <w:rsid w:val="00915465"/>
    <w:rsid w:val="009158B9"/>
    <w:rsid w:val="00915A71"/>
    <w:rsid w:val="009160F5"/>
    <w:rsid w:val="0091620A"/>
    <w:rsid w:val="00916242"/>
    <w:rsid w:val="00916301"/>
    <w:rsid w:val="00916863"/>
    <w:rsid w:val="0091688E"/>
    <w:rsid w:val="00916F1E"/>
    <w:rsid w:val="00917458"/>
    <w:rsid w:val="00917CA8"/>
    <w:rsid w:val="0092096D"/>
    <w:rsid w:val="00920975"/>
    <w:rsid w:val="009214FB"/>
    <w:rsid w:val="009217B9"/>
    <w:rsid w:val="00921D9C"/>
    <w:rsid w:val="00921E56"/>
    <w:rsid w:val="009221ED"/>
    <w:rsid w:val="0092259C"/>
    <w:rsid w:val="009227F6"/>
    <w:rsid w:val="009228A9"/>
    <w:rsid w:val="00923385"/>
    <w:rsid w:val="009234E2"/>
    <w:rsid w:val="00923EDA"/>
    <w:rsid w:val="009243BC"/>
    <w:rsid w:val="00925099"/>
    <w:rsid w:val="009261AF"/>
    <w:rsid w:val="00926AD0"/>
    <w:rsid w:val="00926F12"/>
    <w:rsid w:val="00927055"/>
    <w:rsid w:val="0092771A"/>
    <w:rsid w:val="009278B2"/>
    <w:rsid w:val="009278EB"/>
    <w:rsid w:val="00927984"/>
    <w:rsid w:val="00927C90"/>
    <w:rsid w:val="00927DE3"/>
    <w:rsid w:val="00930591"/>
    <w:rsid w:val="00930609"/>
    <w:rsid w:val="00930B72"/>
    <w:rsid w:val="0093110E"/>
    <w:rsid w:val="0093122C"/>
    <w:rsid w:val="009315FC"/>
    <w:rsid w:val="009316A9"/>
    <w:rsid w:val="009316C7"/>
    <w:rsid w:val="0093196E"/>
    <w:rsid w:val="00931A58"/>
    <w:rsid w:val="00932027"/>
    <w:rsid w:val="00932113"/>
    <w:rsid w:val="00932670"/>
    <w:rsid w:val="00932AD7"/>
    <w:rsid w:val="00932AFD"/>
    <w:rsid w:val="00932DAC"/>
    <w:rsid w:val="00932E71"/>
    <w:rsid w:val="009332E0"/>
    <w:rsid w:val="00933669"/>
    <w:rsid w:val="00933690"/>
    <w:rsid w:val="00933AC3"/>
    <w:rsid w:val="0093423C"/>
    <w:rsid w:val="00934641"/>
    <w:rsid w:val="00934A83"/>
    <w:rsid w:val="00934DE7"/>
    <w:rsid w:val="00934E11"/>
    <w:rsid w:val="00935130"/>
    <w:rsid w:val="00935153"/>
    <w:rsid w:val="009352C5"/>
    <w:rsid w:val="00935534"/>
    <w:rsid w:val="0093562F"/>
    <w:rsid w:val="00935727"/>
    <w:rsid w:val="0093573A"/>
    <w:rsid w:val="00935929"/>
    <w:rsid w:val="009359EE"/>
    <w:rsid w:val="00935D1C"/>
    <w:rsid w:val="00935DD0"/>
    <w:rsid w:val="00935F61"/>
    <w:rsid w:val="009360BB"/>
    <w:rsid w:val="00936493"/>
    <w:rsid w:val="009366CE"/>
    <w:rsid w:val="00936981"/>
    <w:rsid w:val="00936B1F"/>
    <w:rsid w:val="0093775C"/>
    <w:rsid w:val="00937887"/>
    <w:rsid w:val="009379F0"/>
    <w:rsid w:val="00937A54"/>
    <w:rsid w:val="00937A67"/>
    <w:rsid w:val="00937BEC"/>
    <w:rsid w:val="00940258"/>
    <w:rsid w:val="00940463"/>
    <w:rsid w:val="0094055F"/>
    <w:rsid w:val="009405FA"/>
    <w:rsid w:val="00940757"/>
    <w:rsid w:val="009407D4"/>
    <w:rsid w:val="00940DC6"/>
    <w:rsid w:val="00941639"/>
    <w:rsid w:val="00941A0C"/>
    <w:rsid w:val="00941A8A"/>
    <w:rsid w:val="00941B4B"/>
    <w:rsid w:val="00941FF5"/>
    <w:rsid w:val="009424D8"/>
    <w:rsid w:val="0094282B"/>
    <w:rsid w:val="00942B2E"/>
    <w:rsid w:val="00942DF0"/>
    <w:rsid w:val="00943238"/>
    <w:rsid w:val="00943429"/>
    <w:rsid w:val="00943463"/>
    <w:rsid w:val="00943464"/>
    <w:rsid w:val="009434EB"/>
    <w:rsid w:val="00943572"/>
    <w:rsid w:val="00943CFE"/>
    <w:rsid w:val="00943D56"/>
    <w:rsid w:val="00943EE9"/>
    <w:rsid w:val="00943F5C"/>
    <w:rsid w:val="00943F96"/>
    <w:rsid w:val="00943FA2"/>
    <w:rsid w:val="00944494"/>
    <w:rsid w:val="0094494D"/>
    <w:rsid w:val="00944BA5"/>
    <w:rsid w:val="00944E59"/>
    <w:rsid w:val="00944FD3"/>
    <w:rsid w:val="009451D2"/>
    <w:rsid w:val="00945401"/>
    <w:rsid w:val="009456F4"/>
    <w:rsid w:val="009459F4"/>
    <w:rsid w:val="00945ABE"/>
    <w:rsid w:val="00945D0F"/>
    <w:rsid w:val="00945E58"/>
    <w:rsid w:val="00945F58"/>
    <w:rsid w:val="00946127"/>
    <w:rsid w:val="009465FE"/>
    <w:rsid w:val="009466A9"/>
    <w:rsid w:val="0094689D"/>
    <w:rsid w:val="00946907"/>
    <w:rsid w:val="00946991"/>
    <w:rsid w:val="00947607"/>
    <w:rsid w:val="009477F9"/>
    <w:rsid w:val="00947F6B"/>
    <w:rsid w:val="009505EB"/>
    <w:rsid w:val="00950CAE"/>
    <w:rsid w:val="00951164"/>
    <w:rsid w:val="009512EC"/>
    <w:rsid w:val="009517B8"/>
    <w:rsid w:val="00951807"/>
    <w:rsid w:val="009522A9"/>
    <w:rsid w:val="00952767"/>
    <w:rsid w:val="00952E7D"/>
    <w:rsid w:val="0095315A"/>
    <w:rsid w:val="009534DD"/>
    <w:rsid w:val="009535C2"/>
    <w:rsid w:val="0095369D"/>
    <w:rsid w:val="00953A73"/>
    <w:rsid w:val="0095432C"/>
    <w:rsid w:val="00954747"/>
    <w:rsid w:val="00954BB2"/>
    <w:rsid w:val="00954D5A"/>
    <w:rsid w:val="009551A8"/>
    <w:rsid w:val="00955540"/>
    <w:rsid w:val="00955665"/>
    <w:rsid w:val="00955A76"/>
    <w:rsid w:val="00955BFB"/>
    <w:rsid w:val="00955C1A"/>
    <w:rsid w:val="00956116"/>
    <w:rsid w:val="009562CC"/>
    <w:rsid w:val="00956984"/>
    <w:rsid w:val="009569BE"/>
    <w:rsid w:val="009569E3"/>
    <w:rsid w:val="00956B6C"/>
    <w:rsid w:val="00957031"/>
    <w:rsid w:val="00957932"/>
    <w:rsid w:val="00957B5B"/>
    <w:rsid w:val="009601CB"/>
    <w:rsid w:val="00960349"/>
    <w:rsid w:val="0096059A"/>
    <w:rsid w:val="0096081E"/>
    <w:rsid w:val="0096095E"/>
    <w:rsid w:val="00960C64"/>
    <w:rsid w:val="00960D39"/>
    <w:rsid w:val="00960F7E"/>
    <w:rsid w:val="009611A5"/>
    <w:rsid w:val="00961279"/>
    <w:rsid w:val="0096193B"/>
    <w:rsid w:val="00961B25"/>
    <w:rsid w:val="00961BB2"/>
    <w:rsid w:val="009622A5"/>
    <w:rsid w:val="0096267A"/>
    <w:rsid w:val="0096270D"/>
    <w:rsid w:val="00962879"/>
    <w:rsid w:val="009629FE"/>
    <w:rsid w:val="00963188"/>
    <w:rsid w:val="00963240"/>
    <w:rsid w:val="00963957"/>
    <w:rsid w:val="00963B82"/>
    <w:rsid w:val="00964475"/>
    <w:rsid w:val="00964A6E"/>
    <w:rsid w:val="00964FB4"/>
    <w:rsid w:val="00965713"/>
    <w:rsid w:val="0096582E"/>
    <w:rsid w:val="00965DAE"/>
    <w:rsid w:val="009662BB"/>
    <w:rsid w:val="00966514"/>
    <w:rsid w:val="009666BD"/>
    <w:rsid w:val="00966B91"/>
    <w:rsid w:val="00966BE3"/>
    <w:rsid w:val="00966BFB"/>
    <w:rsid w:val="00966CC2"/>
    <w:rsid w:val="00966FF8"/>
    <w:rsid w:val="0096744A"/>
    <w:rsid w:val="0096749A"/>
    <w:rsid w:val="00967CDA"/>
    <w:rsid w:val="00970048"/>
    <w:rsid w:val="00970549"/>
    <w:rsid w:val="00970999"/>
    <w:rsid w:val="009713C4"/>
    <w:rsid w:val="00971647"/>
    <w:rsid w:val="00971831"/>
    <w:rsid w:val="00971CAF"/>
    <w:rsid w:val="00971F8D"/>
    <w:rsid w:val="0097216D"/>
    <w:rsid w:val="0097218A"/>
    <w:rsid w:val="00972D8F"/>
    <w:rsid w:val="00973C2B"/>
    <w:rsid w:val="00974255"/>
    <w:rsid w:val="0097437B"/>
    <w:rsid w:val="0097441E"/>
    <w:rsid w:val="00975466"/>
    <w:rsid w:val="00975740"/>
    <w:rsid w:val="00975756"/>
    <w:rsid w:val="009758AA"/>
    <w:rsid w:val="00975990"/>
    <w:rsid w:val="00975AF6"/>
    <w:rsid w:val="00975BED"/>
    <w:rsid w:val="00975FB0"/>
    <w:rsid w:val="009762C7"/>
    <w:rsid w:val="0097670F"/>
    <w:rsid w:val="00976BD6"/>
    <w:rsid w:val="00976C61"/>
    <w:rsid w:val="00976E84"/>
    <w:rsid w:val="00977057"/>
    <w:rsid w:val="0097710C"/>
    <w:rsid w:val="009775E0"/>
    <w:rsid w:val="00977AA1"/>
    <w:rsid w:val="009801B1"/>
    <w:rsid w:val="009803EC"/>
    <w:rsid w:val="00980BC3"/>
    <w:rsid w:val="00980DC7"/>
    <w:rsid w:val="00981215"/>
    <w:rsid w:val="009812AC"/>
    <w:rsid w:val="009812FC"/>
    <w:rsid w:val="009813BF"/>
    <w:rsid w:val="009816E3"/>
    <w:rsid w:val="009819CD"/>
    <w:rsid w:val="00981AC2"/>
    <w:rsid w:val="00982032"/>
    <w:rsid w:val="00982332"/>
    <w:rsid w:val="009824DD"/>
    <w:rsid w:val="00982C0D"/>
    <w:rsid w:val="00983028"/>
    <w:rsid w:val="009834ED"/>
    <w:rsid w:val="00983D98"/>
    <w:rsid w:val="00984295"/>
    <w:rsid w:val="009844B4"/>
    <w:rsid w:val="0098453B"/>
    <w:rsid w:val="0098461D"/>
    <w:rsid w:val="009849BE"/>
    <w:rsid w:val="00984BB9"/>
    <w:rsid w:val="00984D82"/>
    <w:rsid w:val="00985587"/>
    <w:rsid w:val="0098568D"/>
    <w:rsid w:val="0098572B"/>
    <w:rsid w:val="00985AEC"/>
    <w:rsid w:val="00985BC0"/>
    <w:rsid w:val="00985CB0"/>
    <w:rsid w:val="00985CDA"/>
    <w:rsid w:val="0098603A"/>
    <w:rsid w:val="00986137"/>
    <w:rsid w:val="00986B96"/>
    <w:rsid w:val="0098740B"/>
    <w:rsid w:val="00987506"/>
    <w:rsid w:val="00987512"/>
    <w:rsid w:val="009876D3"/>
    <w:rsid w:val="00987985"/>
    <w:rsid w:val="00987C6F"/>
    <w:rsid w:val="00990117"/>
    <w:rsid w:val="0099018C"/>
    <w:rsid w:val="00990708"/>
    <w:rsid w:val="00990718"/>
    <w:rsid w:val="00990C3D"/>
    <w:rsid w:val="00990F5C"/>
    <w:rsid w:val="00991200"/>
    <w:rsid w:val="009914A3"/>
    <w:rsid w:val="0099199D"/>
    <w:rsid w:val="00991AE9"/>
    <w:rsid w:val="00991B9A"/>
    <w:rsid w:val="00991D9A"/>
    <w:rsid w:val="00992110"/>
    <w:rsid w:val="0099238D"/>
    <w:rsid w:val="0099242C"/>
    <w:rsid w:val="0099244D"/>
    <w:rsid w:val="009927D8"/>
    <w:rsid w:val="00992837"/>
    <w:rsid w:val="00992A01"/>
    <w:rsid w:val="00993499"/>
    <w:rsid w:val="009934DB"/>
    <w:rsid w:val="009939CB"/>
    <w:rsid w:val="00993B07"/>
    <w:rsid w:val="00993D95"/>
    <w:rsid w:val="00994409"/>
    <w:rsid w:val="009945C0"/>
    <w:rsid w:val="00994879"/>
    <w:rsid w:val="009948FE"/>
    <w:rsid w:val="009949AE"/>
    <w:rsid w:val="00994D20"/>
    <w:rsid w:val="00994D3D"/>
    <w:rsid w:val="00995267"/>
    <w:rsid w:val="009952D8"/>
    <w:rsid w:val="009952F4"/>
    <w:rsid w:val="00995756"/>
    <w:rsid w:val="00995B58"/>
    <w:rsid w:val="00995B8C"/>
    <w:rsid w:val="00995C53"/>
    <w:rsid w:val="00995E08"/>
    <w:rsid w:val="00995E5A"/>
    <w:rsid w:val="009961EF"/>
    <w:rsid w:val="00996468"/>
    <w:rsid w:val="009966AD"/>
    <w:rsid w:val="009967AF"/>
    <w:rsid w:val="00996D27"/>
    <w:rsid w:val="00997125"/>
    <w:rsid w:val="00997D21"/>
    <w:rsid w:val="00997F39"/>
    <w:rsid w:val="009A0208"/>
    <w:rsid w:val="009A03AC"/>
    <w:rsid w:val="009A0574"/>
    <w:rsid w:val="009A0B05"/>
    <w:rsid w:val="009A0BE4"/>
    <w:rsid w:val="009A0C34"/>
    <w:rsid w:val="009A0DCD"/>
    <w:rsid w:val="009A1089"/>
    <w:rsid w:val="009A15C0"/>
    <w:rsid w:val="009A19DF"/>
    <w:rsid w:val="009A19F4"/>
    <w:rsid w:val="009A1B80"/>
    <w:rsid w:val="009A1D3F"/>
    <w:rsid w:val="009A1DCF"/>
    <w:rsid w:val="009A1F44"/>
    <w:rsid w:val="009A1F79"/>
    <w:rsid w:val="009A21EE"/>
    <w:rsid w:val="009A24A0"/>
    <w:rsid w:val="009A253B"/>
    <w:rsid w:val="009A2A20"/>
    <w:rsid w:val="009A3205"/>
    <w:rsid w:val="009A346F"/>
    <w:rsid w:val="009A3C6E"/>
    <w:rsid w:val="009A3CC7"/>
    <w:rsid w:val="009A3DA2"/>
    <w:rsid w:val="009A49BD"/>
    <w:rsid w:val="009A4B92"/>
    <w:rsid w:val="009A4E70"/>
    <w:rsid w:val="009A54A0"/>
    <w:rsid w:val="009A5F39"/>
    <w:rsid w:val="009A640C"/>
    <w:rsid w:val="009A671A"/>
    <w:rsid w:val="009A6A04"/>
    <w:rsid w:val="009A6A34"/>
    <w:rsid w:val="009A707C"/>
    <w:rsid w:val="009A74C7"/>
    <w:rsid w:val="009A7805"/>
    <w:rsid w:val="009A78A6"/>
    <w:rsid w:val="009A7BB0"/>
    <w:rsid w:val="009B01AE"/>
    <w:rsid w:val="009B04F2"/>
    <w:rsid w:val="009B0A43"/>
    <w:rsid w:val="009B0EAE"/>
    <w:rsid w:val="009B123D"/>
    <w:rsid w:val="009B12D4"/>
    <w:rsid w:val="009B19AB"/>
    <w:rsid w:val="009B1C1B"/>
    <w:rsid w:val="009B1DC8"/>
    <w:rsid w:val="009B1E55"/>
    <w:rsid w:val="009B1FF8"/>
    <w:rsid w:val="009B22AC"/>
    <w:rsid w:val="009B23BE"/>
    <w:rsid w:val="009B2486"/>
    <w:rsid w:val="009B2D28"/>
    <w:rsid w:val="009B2DE4"/>
    <w:rsid w:val="009B35B9"/>
    <w:rsid w:val="009B35BF"/>
    <w:rsid w:val="009B438B"/>
    <w:rsid w:val="009B4530"/>
    <w:rsid w:val="009B4C28"/>
    <w:rsid w:val="009B4C3E"/>
    <w:rsid w:val="009B4D2F"/>
    <w:rsid w:val="009B5038"/>
    <w:rsid w:val="009B56BE"/>
    <w:rsid w:val="009B573C"/>
    <w:rsid w:val="009B5A89"/>
    <w:rsid w:val="009B5C8F"/>
    <w:rsid w:val="009B6071"/>
    <w:rsid w:val="009B624C"/>
    <w:rsid w:val="009B6563"/>
    <w:rsid w:val="009B65D5"/>
    <w:rsid w:val="009B6E0F"/>
    <w:rsid w:val="009B6EF9"/>
    <w:rsid w:val="009B7356"/>
    <w:rsid w:val="009B75BD"/>
    <w:rsid w:val="009B78A7"/>
    <w:rsid w:val="009B7A30"/>
    <w:rsid w:val="009B7A8A"/>
    <w:rsid w:val="009B7CFD"/>
    <w:rsid w:val="009C03A2"/>
    <w:rsid w:val="009C0439"/>
    <w:rsid w:val="009C099B"/>
    <w:rsid w:val="009C0B86"/>
    <w:rsid w:val="009C113F"/>
    <w:rsid w:val="009C1832"/>
    <w:rsid w:val="009C1937"/>
    <w:rsid w:val="009C1978"/>
    <w:rsid w:val="009C1ADB"/>
    <w:rsid w:val="009C21E3"/>
    <w:rsid w:val="009C27DB"/>
    <w:rsid w:val="009C353A"/>
    <w:rsid w:val="009C36D1"/>
    <w:rsid w:val="009C37BF"/>
    <w:rsid w:val="009C3803"/>
    <w:rsid w:val="009C38AD"/>
    <w:rsid w:val="009C398A"/>
    <w:rsid w:val="009C39D9"/>
    <w:rsid w:val="009C407C"/>
    <w:rsid w:val="009C4676"/>
    <w:rsid w:val="009C4ADF"/>
    <w:rsid w:val="009C5220"/>
    <w:rsid w:val="009C5263"/>
    <w:rsid w:val="009C576C"/>
    <w:rsid w:val="009C5BB9"/>
    <w:rsid w:val="009C5FC3"/>
    <w:rsid w:val="009C60E9"/>
    <w:rsid w:val="009C6629"/>
    <w:rsid w:val="009C671C"/>
    <w:rsid w:val="009C6881"/>
    <w:rsid w:val="009C6EB9"/>
    <w:rsid w:val="009C77CA"/>
    <w:rsid w:val="009C7896"/>
    <w:rsid w:val="009C79FD"/>
    <w:rsid w:val="009C7E85"/>
    <w:rsid w:val="009D014A"/>
    <w:rsid w:val="009D0530"/>
    <w:rsid w:val="009D0843"/>
    <w:rsid w:val="009D0C23"/>
    <w:rsid w:val="009D0CF4"/>
    <w:rsid w:val="009D0D52"/>
    <w:rsid w:val="009D140A"/>
    <w:rsid w:val="009D16C5"/>
    <w:rsid w:val="009D1A74"/>
    <w:rsid w:val="009D1A85"/>
    <w:rsid w:val="009D1C65"/>
    <w:rsid w:val="009D1E9D"/>
    <w:rsid w:val="009D21D4"/>
    <w:rsid w:val="009D228D"/>
    <w:rsid w:val="009D2B87"/>
    <w:rsid w:val="009D2C76"/>
    <w:rsid w:val="009D2CDC"/>
    <w:rsid w:val="009D3079"/>
    <w:rsid w:val="009D313C"/>
    <w:rsid w:val="009D39E1"/>
    <w:rsid w:val="009D3D90"/>
    <w:rsid w:val="009D4060"/>
    <w:rsid w:val="009D43C4"/>
    <w:rsid w:val="009D4549"/>
    <w:rsid w:val="009D47C3"/>
    <w:rsid w:val="009D4831"/>
    <w:rsid w:val="009D4AF8"/>
    <w:rsid w:val="009D4C5D"/>
    <w:rsid w:val="009D5B6B"/>
    <w:rsid w:val="009D5C28"/>
    <w:rsid w:val="009D60AC"/>
    <w:rsid w:val="009D645F"/>
    <w:rsid w:val="009D6D3F"/>
    <w:rsid w:val="009D6FC5"/>
    <w:rsid w:val="009D7410"/>
    <w:rsid w:val="009D7601"/>
    <w:rsid w:val="009D7622"/>
    <w:rsid w:val="009E0004"/>
    <w:rsid w:val="009E055D"/>
    <w:rsid w:val="009E060E"/>
    <w:rsid w:val="009E085A"/>
    <w:rsid w:val="009E09DF"/>
    <w:rsid w:val="009E0AA4"/>
    <w:rsid w:val="009E0BE2"/>
    <w:rsid w:val="009E0BF9"/>
    <w:rsid w:val="009E0D0F"/>
    <w:rsid w:val="009E137C"/>
    <w:rsid w:val="009E188B"/>
    <w:rsid w:val="009E1908"/>
    <w:rsid w:val="009E1A9B"/>
    <w:rsid w:val="009E1DA0"/>
    <w:rsid w:val="009E2016"/>
    <w:rsid w:val="009E2463"/>
    <w:rsid w:val="009E2611"/>
    <w:rsid w:val="009E262E"/>
    <w:rsid w:val="009E2A52"/>
    <w:rsid w:val="009E2A77"/>
    <w:rsid w:val="009E2B4C"/>
    <w:rsid w:val="009E2C55"/>
    <w:rsid w:val="009E2E3F"/>
    <w:rsid w:val="009E2FAC"/>
    <w:rsid w:val="009E3E24"/>
    <w:rsid w:val="009E44A4"/>
    <w:rsid w:val="009E4A34"/>
    <w:rsid w:val="009E4DC4"/>
    <w:rsid w:val="009E4E3B"/>
    <w:rsid w:val="009E5187"/>
    <w:rsid w:val="009E59F4"/>
    <w:rsid w:val="009E5C70"/>
    <w:rsid w:val="009E5DD3"/>
    <w:rsid w:val="009E5EDA"/>
    <w:rsid w:val="009E610A"/>
    <w:rsid w:val="009E61B0"/>
    <w:rsid w:val="009E622E"/>
    <w:rsid w:val="009E62A8"/>
    <w:rsid w:val="009E6387"/>
    <w:rsid w:val="009E63F0"/>
    <w:rsid w:val="009E7209"/>
    <w:rsid w:val="009E75F6"/>
    <w:rsid w:val="009E760A"/>
    <w:rsid w:val="009E7BB1"/>
    <w:rsid w:val="009E7BCD"/>
    <w:rsid w:val="009E7BFC"/>
    <w:rsid w:val="009E7CC4"/>
    <w:rsid w:val="009E7D13"/>
    <w:rsid w:val="009F012F"/>
    <w:rsid w:val="009F0217"/>
    <w:rsid w:val="009F05AC"/>
    <w:rsid w:val="009F0707"/>
    <w:rsid w:val="009F086C"/>
    <w:rsid w:val="009F09BE"/>
    <w:rsid w:val="009F1191"/>
    <w:rsid w:val="009F11E5"/>
    <w:rsid w:val="009F1443"/>
    <w:rsid w:val="009F1448"/>
    <w:rsid w:val="009F1656"/>
    <w:rsid w:val="009F1778"/>
    <w:rsid w:val="009F1949"/>
    <w:rsid w:val="009F1EB0"/>
    <w:rsid w:val="009F1EEE"/>
    <w:rsid w:val="009F1F3F"/>
    <w:rsid w:val="009F2131"/>
    <w:rsid w:val="009F239C"/>
    <w:rsid w:val="009F274F"/>
    <w:rsid w:val="009F2E88"/>
    <w:rsid w:val="009F2F51"/>
    <w:rsid w:val="009F39A1"/>
    <w:rsid w:val="009F3EDA"/>
    <w:rsid w:val="009F3FE4"/>
    <w:rsid w:val="009F43DD"/>
    <w:rsid w:val="009F4740"/>
    <w:rsid w:val="009F4825"/>
    <w:rsid w:val="009F49FF"/>
    <w:rsid w:val="009F5594"/>
    <w:rsid w:val="009F560B"/>
    <w:rsid w:val="009F583E"/>
    <w:rsid w:val="009F58DD"/>
    <w:rsid w:val="009F5AC4"/>
    <w:rsid w:val="009F5CE6"/>
    <w:rsid w:val="009F60E0"/>
    <w:rsid w:val="009F6200"/>
    <w:rsid w:val="009F68A3"/>
    <w:rsid w:val="009F6B75"/>
    <w:rsid w:val="009F6F03"/>
    <w:rsid w:val="009F6F3D"/>
    <w:rsid w:val="009F7178"/>
    <w:rsid w:val="009F71A2"/>
    <w:rsid w:val="009F71FD"/>
    <w:rsid w:val="009F74DB"/>
    <w:rsid w:val="009F77DF"/>
    <w:rsid w:val="009F7813"/>
    <w:rsid w:val="009F7930"/>
    <w:rsid w:val="009F7F8E"/>
    <w:rsid w:val="00A00140"/>
    <w:rsid w:val="00A00221"/>
    <w:rsid w:val="00A00437"/>
    <w:rsid w:val="00A00792"/>
    <w:rsid w:val="00A00BCB"/>
    <w:rsid w:val="00A00DDA"/>
    <w:rsid w:val="00A012A7"/>
    <w:rsid w:val="00A01385"/>
    <w:rsid w:val="00A016A9"/>
    <w:rsid w:val="00A01A18"/>
    <w:rsid w:val="00A01B9D"/>
    <w:rsid w:val="00A01E84"/>
    <w:rsid w:val="00A0201C"/>
    <w:rsid w:val="00A0231A"/>
    <w:rsid w:val="00A02C0A"/>
    <w:rsid w:val="00A03068"/>
    <w:rsid w:val="00A03652"/>
    <w:rsid w:val="00A03A2A"/>
    <w:rsid w:val="00A03AFF"/>
    <w:rsid w:val="00A03E4B"/>
    <w:rsid w:val="00A03EB2"/>
    <w:rsid w:val="00A047DA"/>
    <w:rsid w:val="00A0480E"/>
    <w:rsid w:val="00A04844"/>
    <w:rsid w:val="00A04982"/>
    <w:rsid w:val="00A04AA0"/>
    <w:rsid w:val="00A051EA"/>
    <w:rsid w:val="00A0588A"/>
    <w:rsid w:val="00A05CA6"/>
    <w:rsid w:val="00A05CF4"/>
    <w:rsid w:val="00A063F5"/>
    <w:rsid w:val="00A06990"/>
    <w:rsid w:val="00A06DC4"/>
    <w:rsid w:val="00A06ED8"/>
    <w:rsid w:val="00A06F9D"/>
    <w:rsid w:val="00A070D9"/>
    <w:rsid w:val="00A07301"/>
    <w:rsid w:val="00A0738D"/>
    <w:rsid w:val="00A07570"/>
    <w:rsid w:val="00A10103"/>
    <w:rsid w:val="00A1054B"/>
    <w:rsid w:val="00A10BC9"/>
    <w:rsid w:val="00A11137"/>
    <w:rsid w:val="00A111EA"/>
    <w:rsid w:val="00A1135E"/>
    <w:rsid w:val="00A11447"/>
    <w:rsid w:val="00A11555"/>
    <w:rsid w:val="00A115D6"/>
    <w:rsid w:val="00A1193E"/>
    <w:rsid w:val="00A11993"/>
    <w:rsid w:val="00A11A81"/>
    <w:rsid w:val="00A11B67"/>
    <w:rsid w:val="00A11D49"/>
    <w:rsid w:val="00A11DEE"/>
    <w:rsid w:val="00A120EE"/>
    <w:rsid w:val="00A12A38"/>
    <w:rsid w:val="00A12A97"/>
    <w:rsid w:val="00A12B28"/>
    <w:rsid w:val="00A13177"/>
    <w:rsid w:val="00A136F2"/>
    <w:rsid w:val="00A1374B"/>
    <w:rsid w:val="00A13EAB"/>
    <w:rsid w:val="00A14E33"/>
    <w:rsid w:val="00A1520C"/>
    <w:rsid w:val="00A15545"/>
    <w:rsid w:val="00A1602B"/>
    <w:rsid w:val="00A162DF"/>
    <w:rsid w:val="00A16324"/>
    <w:rsid w:val="00A17013"/>
    <w:rsid w:val="00A17140"/>
    <w:rsid w:val="00A179FB"/>
    <w:rsid w:val="00A17AF1"/>
    <w:rsid w:val="00A17B4D"/>
    <w:rsid w:val="00A17B91"/>
    <w:rsid w:val="00A17BE0"/>
    <w:rsid w:val="00A2008D"/>
    <w:rsid w:val="00A20220"/>
    <w:rsid w:val="00A2055E"/>
    <w:rsid w:val="00A20CAE"/>
    <w:rsid w:val="00A21676"/>
    <w:rsid w:val="00A21C7C"/>
    <w:rsid w:val="00A22532"/>
    <w:rsid w:val="00A225DB"/>
    <w:rsid w:val="00A23269"/>
    <w:rsid w:val="00A23DCC"/>
    <w:rsid w:val="00A23F95"/>
    <w:rsid w:val="00A24090"/>
    <w:rsid w:val="00A24C51"/>
    <w:rsid w:val="00A252DC"/>
    <w:rsid w:val="00A253BE"/>
    <w:rsid w:val="00A256A9"/>
    <w:rsid w:val="00A25A23"/>
    <w:rsid w:val="00A25DBE"/>
    <w:rsid w:val="00A25E6E"/>
    <w:rsid w:val="00A26159"/>
    <w:rsid w:val="00A26462"/>
    <w:rsid w:val="00A26700"/>
    <w:rsid w:val="00A26B21"/>
    <w:rsid w:val="00A26E73"/>
    <w:rsid w:val="00A274D4"/>
    <w:rsid w:val="00A274E2"/>
    <w:rsid w:val="00A27A34"/>
    <w:rsid w:val="00A27A8A"/>
    <w:rsid w:val="00A27BE4"/>
    <w:rsid w:val="00A303FB"/>
    <w:rsid w:val="00A30527"/>
    <w:rsid w:val="00A3072C"/>
    <w:rsid w:val="00A30B16"/>
    <w:rsid w:val="00A30B97"/>
    <w:rsid w:val="00A30DFC"/>
    <w:rsid w:val="00A31193"/>
    <w:rsid w:val="00A312FC"/>
    <w:rsid w:val="00A31361"/>
    <w:rsid w:val="00A3170B"/>
    <w:rsid w:val="00A31782"/>
    <w:rsid w:val="00A3194F"/>
    <w:rsid w:val="00A31F9A"/>
    <w:rsid w:val="00A31FF4"/>
    <w:rsid w:val="00A32429"/>
    <w:rsid w:val="00A3288D"/>
    <w:rsid w:val="00A3300A"/>
    <w:rsid w:val="00A3307A"/>
    <w:rsid w:val="00A33111"/>
    <w:rsid w:val="00A33A21"/>
    <w:rsid w:val="00A33B8A"/>
    <w:rsid w:val="00A344D2"/>
    <w:rsid w:val="00A34BDA"/>
    <w:rsid w:val="00A35896"/>
    <w:rsid w:val="00A358DC"/>
    <w:rsid w:val="00A35A91"/>
    <w:rsid w:val="00A35C57"/>
    <w:rsid w:val="00A35DEC"/>
    <w:rsid w:val="00A35FDB"/>
    <w:rsid w:val="00A362FE"/>
    <w:rsid w:val="00A36EC0"/>
    <w:rsid w:val="00A37357"/>
    <w:rsid w:val="00A373D8"/>
    <w:rsid w:val="00A374BC"/>
    <w:rsid w:val="00A375B5"/>
    <w:rsid w:val="00A37704"/>
    <w:rsid w:val="00A37719"/>
    <w:rsid w:val="00A37AA5"/>
    <w:rsid w:val="00A37D1B"/>
    <w:rsid w:val="00A37DD6"/>
    <w:rsid w:val="00A40089"/>
    <w:rsid w:val="00A402F9"/>
    <w:rsid w:val="00A40459"/>
    <w:rsid w:val="00A4088D"/>
    <w:rsid w:val="00A408A1"/>
    <w:rsid w:val="00A40E5F"/>
    <w:rsid w:val="00A40EC0"/>
    <w:rsid w:val="00A411CC"/>
    <w:rsid w:val="00A4164A"/>
    <w:rsid w:val="00A41C3D"/>
    <w:rsid w:val="00A41F2E"/>
    <w:rsid w:val="00A42055"/>
    <w:rsid w:val="00A42883"/>
    <w:rsid w:val="00A42F47"/>
    <w:rsid w:val="00A432A0"/>
    <w:rsid w:val="00A4354B"/>
    <w:rsid w:val="00A43A5C"/>
    <w:rsid w:val="00A43F0A"/>
    <w:rsid w:val="00A43F61"/>
    <w:rsid w:val="00A43FF9"/>
    <w:rsid w:val="00A44082"/>
    <w:rsid w:val="00A44220"/>
    <w:rsid w:val="00A44FC7"/>
    <w:rsid w:val="00A45207"/>
    <w:rsid w:val="00A454DA"/>
    <w:rsid w:val="00A457C1"/>
    <w:rsid w:val="00A457E2"/>
    <w:rsid w:val="00A45944"/>
    <w:rsid w:val="00A46084"/>
    <w:rsid w:val="00A46305"/>
    <w:rsid w:val="00A465E9"/>
    <w:rsid w:val="00A468F2"/>
    <w:rsid w:val="00A46A4B"/>
    <w:rsid w:val="00A46AD0"/>
    <w:rsid w:val="00A46EDA"/>
    <w:rsid w:val="00A470C6"/>
    <w:rsid w:val="00A47757"/>
    <w:rsid w:val="00A47774"/>
    <w:rsid w:val="00A4784D"/>
    <w:rsid w:val="00A47BC1"/>
    <w:rsid w:val="00A47D14"/>
    <w:rsid w:val="00A50702"/>
    <w:rsid w:val="00A5077D"/>
    <w:rsid w:val="00A50899"/>
    <w:rsid w:val="00A50C78"/>
    <w:rsid w:val="00A50D1E"/>
    <w:rsid w:val="00A51049"/>
    <w:rsid w:val="00A51084"/>
    <w:rsid w:val="00A51124"/>
    <w:rsid w:val="00A512A2"/>
    <w:rsid w:val="00A5175F"/>
    <w:rsid w:val="00A51875"/>
    <w:rsid w:val="00A518F7"/>
    <w:rsid w:val="00A51996"/>
    <w:rsid w:val="00A51A4B"/>
    <w:rsid w:val="00A5216F"/>
    <w:rsid w:val="00A52254"/>
    <w:rsid w:val="00A52401"/>
    <w:rsid w:val="00A52761"/>
    <w:rsid w:val="00A5287D"/>
    <w:rsid w:val="00A529D4"/>
    <w:rsid w:val="00A52A27"/>
    <w:rsid w:val="00A52C1C"/>
    <w:rsid w:val="00A52D7C"/>
    <w:rsid w:val="00A52E0E"/>
    <w:rsid w:val="00A52ECC"/>
    <w:rsid w:val="00A53131"/>
    <w:rsid w:val="00A536FC"/>
    <w:rsid w:val="00A5419C"/>
    <w:rsid w:val="00A54370"/>
    <w:rsid w:val="00A54C42"/>
    <w:rsid w:val="00A550F7"/>
    <w:rsid w:val="00A5567D"/>
    <w:rsid w:val="00A55BF7"/>
    <w:rsid w:val="00A562BE"/>
    <w:rsid w:val="00A568ED"/>
    <w:rsid w:val="00A56A4F"/>
    <w:rsid w:val="00A56DDE"/>
    <w:rsid w:val="00A5746C"/>
    <w:rsid w:val="00A5773B"/>
    <w:rsid w:val="00A5787F"/>
    <w:rsid w:val="00A57C06"/>
    <w:rsid w:val="00A57E73"/>
    <w:rsid w:val="00A600F7"/>
    <w:rsid w:val="00A601FA"/>
    <w:rsid w:val="00A603C5"/>
    <w:rsid w:val="00A60436"/>
    <w:rsid w:val="00A6052E"/>
    <w:rsid w:val="00A60601"/>
    <w:rsid w:val="00A607D9"/>
    <w:rsid w:val="00A6080A"/>
    <w:rsid w:val="00A60A03"/>
    <w:rsid w:val="00A60C3A"/>
    <w:rsid w:val="00A6104C"/>
    <w:rsid w:val="00A61C35"/>
    <w:rsid w:val="00A621B7"/>
    <w:rsid w:val="00A62DC7"/>
    <w:rsid w:val="00A63037"/>
    <w:rsid w:val="00A6323E"/>
    <w:rsid w:val="00A63277"/>
    <w:rsid w:val="00A633D2"/>
    <w:rsid w:val="00A6351C"/>
    <w:rsid w:val="00A638B4"/>
    <w:rsid w:val="00A63914"/>
    <w:rsid w:val="00A63ADC"/>
    <w:rsid w:val="00A63AF3"/>
    <w:rsid w:val="00A63C03"/>
    <w:rsid w:val="00A64173"/>
    <w:rsid w:val="00A6419E"/>
    <w:rsid w:val="00A64E32"/>
    <w:rsid w:val="00A64E8C"/>
    <w:rsid w:val="00A64EF8"/>
    <w:rsid w:val="00A65B0A"/>
    <w:rsid w:val="00A65CE4"/>
    <w:rsid w:val="00A65E01"/>
    <w:rsid w:val="00A6619D"/>
    <w:rsid w:val="00A66203"/>
    <w:rsid w:val="00A664B6"/>
    <w:rsid w:val="00A6677B"/>
    <w:rsid w:val="00A66B3F"/>
    <w:rsid w:val="00A66CE9"/>
    <w:rsid w:val="00A67D1C"/>
    <w:rsid w:val="00A67F0E"/>
    <w:rsid w:val="00A702BB"/>
    <w:rsid w:val="00A703DF"/>
    <w:rsid w:val="00A70BB5"/>
    <w:rsid w:val="00A70F1D"/>
    <w:rsid w:val="00A70FB9"/>
    <w:rsid w:val="00A70FE6"/>
    <w:rsid w:val="00A710AC"/>
    <w:rsid w:val="00A71316"/>
    <w:rsid w:val="00A7177F"/>
    <w:rsid w:val="00A717AD"/>
    <w:rsid w:val="00A7186E"/>
    <w:rsid w:val="00A71CBF"/>
    <w:rsid w:val="00A71E09"/>
    <w:rsid w:val="00A71FC9"/>
    <w:rsid w:val="00A7218D"/>
    <w:rsid w:val="00A725DB"/>
    <w:rsid w:val="00A72980"/>
    <w:rsid w:val="00A729FA"/>
    <w:rsid w:val="00A72A6F"/>
    <w:rsid w:val="00A72C03"/>
    <w:rsid w:val="00A733FB"/>
    <w:rsid w:val="00A73564"/>
    <w:rsid w:val="00A73738"/>
    <w:rsid w:val="00A73D7C"/>
    <w:rsid w:val="00A73E8F"/>
    <w:rsid w:val="00A747DC"/>
    <w:rsid w:val="00A74A82"/>
    <w:rsid w:val="00A74D4E"/>
    <w:rsid w:val="00A74DFA"/>
    <w:rsid w:val="00A752A2"/>
    <w:rsid w:val="00A75301"/>
    <w:rsid w:val="00A753BD"/>
    <w:rsid w:val="00A758BE"/>
    <w:rsid w:val="00A758EA"/>
    <w:rsid w:val="00A7598F"/>
    <w:rsid w:val="00A75D0C"/>
    <w:rsid w:val="00A75D7A"/>
    <w:rsid w:val="00A761EE"/>
    <w:rsid w:val="00A766DD"/>
    <w:rsid w:val="00A76A99"/>
    <w:rsid w:val="00A76B33"/>
    <w:rsid w:val="00A76FA4"/>
    <w:rsid w:val="00A77279"/>
    <w:rsid w:val="00A777C4"/>
    <w:rsid w:val="00A7783C"/>
    <w:rsid w:val="00A77840"/>
    <w:rsid w:val="00A77933"/>
    <w:rsid w:val="00A77F98"/>
    <w:rsid w:val="00A77FCB"/>
    <w:rsid w:val="00A80559"/>
    <w:rsid w:val="00A80813"/>
    <w:rsid w:val="00A80BF3"/>
    <w:rsid w:val="00A80EA4"/>
    <w:rsid w:val="00A8115F"/>
    <w:rsid w:val="00A819DD"/>
    <w:rsid w:val="00A81C95"/>
    <w:rsid w:val="00A81DE0"/>
    <w:rsid w:val="00A81F01"/>
    <w:rsid w:val="00A827D6"/>
    <w:rsid w:val="00A8297E"/>
    <w:rsid w:val="00A82D4D"/>
    <w:rsid w:val="00A8367F"/>
    <w:rsid w:val="00A83A16"/>
    <w:rsid w:val="00A83CA5"/>
    <w:rsid w:val="00A83DCF"/>
    <w:rsid w:val="00A83ECA"/>
    <w:rsid w:val="00A84336"/>
    <w:rsid w:val="00A8457A"/>
    <w:rsid w:val="00A846D6"/>
    <w:rsid w:val="00A84863"/>
    <w:rsid w:val="00A84EAD"/>
    <w:rsid w:val="00A84EBD"/>
    <w:rsid w:val="00A84EDD"/>
    <w:rsid w:val="00A84F34"/>
    <w:rsid w:val="00A856EE"/>
    <w:rsid w:val="00A8620E"/>
    <w:rsid w:val="00A86499"/>
    <w:rsid w:val="00A864E9"/>
    <w:rsid w:val="00A86521"/>
    <w:rsid w:val="00A86827"/>
    <w:rsid w:val="00A86CC9"/>
    <w:rsid w:val="00A8730E"/>
    <w:rsid w:val="00A8749C"/>
    <w:rsid w:val="00A87673"/>
    <w:rsid w:val="00A87906"/>
    <w:rsid w:val="00A87958"/>
    <w:rsid w:val="00A87AA5"/>
    <w:rsid w:val="00A87E75"/>
    <w:rsid w:val="00A87E9E"/>
    <w:rsid w:val="00A901BE"/>
    <w:rsid w:val="00A904E2"/>
    <w:rsid w:val="00A90B99"/>
    <w:rsid w:val="00A90D2E"/>
    <w:rsid w:val="00A911B5"/>
    <w:rsid w:val="00A912E7"/>
    <w:rsid w:val="00A91B6C"/>
    <w:rsid w:val="00A91E97"/>
    <w:rsid w:val="00A928A6"/>
    <w:rsid w:val="00A92BCF"/>
    <w:rsid w:val="00A92C1A"/>
    <w:rsid w:val="00A92E80"/>
    <w:rsid w:val="00A92EB3"/>
    <w:rsid w:val="00A93095"/>
    <w:rsid w:val="00A93309"/>
    <w:rsid w:val="00A933C8"/>
    <w:rsid w:val="00A934AA"/>
    <w:rsid w:val="00A938A8"/>
    <w:rsid w:val="00A939EB"/>
    <w:rsid w:val="00A93C28"/>
    <w:rsid w:val="00A9448F"/>
    <w:rsid w:val="00A94F32"/>
    <w:rsid w:val="00A95326"/>
    <w:rsid w:val="00A9542D"/>
    <w:rsid w:val="00A954FD"/>
    <w:rsid w:val="00A95612"/>
    <w:rsid w:val="00A957DD"/>
    <w:rsid w:val="00A95C73"/>
    <w:rsid w:val="00A95E2B"/>
    <w:rsid w:val="00A96085"/>
    <w:rsid w:val="00A96151"/>
    <w:rsid w:val="00A96424"/>
    <w:rsid w:val="00A965A2"/>
    <w:rsid w:val="00A96734"/>
    <w:rsid w:val="00A96A1C"/>
    <w:rsid w:val="00A96E3A"/>
    <w:rsid w:val="00A97616"/>
    <w:rsid w:val="00A9797D"/>
    <w:rsid w:val="00A9798C"/>
    <w:rsid w:val="00A97AC3"/>
    <w:rsid w:val="00A97F12"/>
    <w:rsid w:val="00AA0125"/>
    <w:rsid w:val="00AA0297"/>
    <w:rsid w:val="00AA0C9E"/>
    <w:rsid w:val="00AA0D18"/>
    <w:rsid w:val="00AA0F9E"/>
    <w:rsid w:val="00AA139E"/>
    <w:rsid w:val="00AA170D"/>
    <w:rsid w:val="00AA19A6"/>
    <w:rsid w:val="00AA1AED"/>
    <w:rsid w:val="00AA1DA2"/>
    <w:rsid w:val="00AA1EE1"/>
    <w:rsid w:val="00AA20B1"/>
    <w:rsid w:val="00AA25BA"/>
    <w:rsid w:val="00AA262E"/>
    <w:rsid w:val="00AA2AA1"/>
    <w:rsid w:val="00AA2BA2"/>
    <w:rsid w:val="00AA2C89"/>
    <w:rsid w:val="00AA3451"/>
    <w:rsid w:val="00AA3C1A"/>
    <w:rsid w:val="00AA43BD"/>
    <w:rsid w:val="00AA46E6"/>
    <w:rsid w:val="00AA48B6"/>
    <w:rsid w:val="00AA48C1"/>
    <w:rsid w:val="00AA58C2"/>
    <w:rsid w:val="00AA5DCF"/>
    <w:rsid w:val="00AA5EC1"/>
    <w:rsid w:val="00AA5F05"/>
    <w:rsid w:val="00AA60A4"/>
    <w:rsid w:val="00AA62BE"/>
    <w:rsid w:val="00AA63B1"/>
    <w:rsid w:val="00AA67C3"/>
    <w:rsid w:val="00AA6AB5"/>
    <w:rsid w:val="00AA712F"/>
    <w:rsid w:val="00AA714D"/>
    <w:rsid w:val="00AA73A8"/>
    <w:rsid w:val="00AA771D"/>
    <w:rsid w:val="00AA7ADF"/>
    <w:rsid w:val="00AA7C13"/>
    <w:rsid w:val="00AA7D1E"/>
    <w:rsid w:val="00AA7E0A"/>
    <w:rsid w:val="00AB006F"/>
    <w:rsid w:val="00AB0317"/>
    <w:rsid w:val="00AB0BEA"/>
    <w:rsid w:val="00AB12F3"/>
    <w:rsid w:val="00AB171C"/>
    <w:rsid w:val="00AB1A9F"/>
    <w:rsid w:val="00AB200F"/>
    <w:rsid w:val="00AB3037"/>
    <w:rsid w:val="00AB3184"/>
    <w:rsid w:val="00AB33CF"/>
    <w:rsid w:val="00AB33F5"/>
    <w:rsid w:val="00AB33F9"/>
    <w:rsid w:val="00AB35B0"/>
    <w:rsid w:val="00AB3B50"/>
    <w:rsid w:val="00AB3CEC"/>
    <w:rsid w:val="00AB3E8B"/>
    <w:rsid w:val="00AB415A"/>
    <w:rsid w:val="00AB4A5A"/>
    <w:rsid w:val="00AB4AFF"/>
    <w:rsid w:val="00AB537C"/>
    <w:rsid w:val="00AB5487"/>
    <w:rsid w:val="00AB562E"/>
    <w:rsid w:val="00AB5887"/>
    <w:rsid w:val="00AB5B81"/>
    <w:rsid w:val="00AB5C13"/>
    <w:rsid w:val="00AB5CD5"/>
    <w:rsid w:val="00AB5D24"/>
    <w:rsid w:val="00AB5EF2"/>
    <w:rsid w:val="00AB617F"/>
    <w:rsid w:val="00AB6276"/>
    <w:rsid w:val="00AB64D6"/>
    <w:rsid w:val="00AB64E5"/>
    <w:rsid w:val="00AB65F3"/>
    <w:rsid w:val="00AB6C31"/>
    <w:rsid w:val="00AB7002"/>
    <w:rsid w:val="00AB7213"/>
    <w:rsid w:val="00AB7442"/>
    <w:rsid w:val="00AB74CF"/>
    <w:rsid w:val="00AC0712"/>
    <w:rsid w:val="00AC0717"/>
    <w:rsid w:val="00AC11ED"/>
    <w:rsid w:val="00AC1226"/>
    <w:rsid w:val="00AC146B"/>
    <w:rsid w:val="00AC1481"/>
    <w:rsid w:val="00AC1686"/>
    <w:rsid w:val="00AC179A"/>
    <w:rsid w:val="00AC18EF"/>
    <w:rsid w:val="00AC1DC3"/>
    <w:rsid w:val="00AC24F6"/>
    <w:rsid w:val="00AC2888"/>
    <w:rsid w:val="00AC299E"/>
    <w:rsid w:val="00AC2A25"/>
    <w:rsid w:val="00AC2A54"/>
    <w:rsid w:val="00AC2CAF"/>
    <w:rsid w:val="00AC3987"/>
    <w:rsid w:val="00AC3B0B"/>
    <w:rsid w:val="00AC44AF"/>
    <w:rsid w:val="00AC47E0"/>
    <w:rsid w:val="00AC4838"/>
    <w:rsid w:val="00AC550D"/>
    <w:rsid w:val="00AC585F"/>
    <w:rsid w:val="00AC598F"/>
    <w:rsid w:val="00AC5C6A"/>
    <w:rsid w:val="00AC5CC5"/>
    <w:rsid w:val="00AC5EB5"/>
    <w:rsid w:val="00AC60D6"/>
    <w:rsid w:val="00AC635D"/>
    <w:rsid w:val="00AC6484"/>
    <w:rsid w:val="00AC65AF"/>
    <w:rsid w:val="00AC679E"/>
    <w:rsid w:val="00AC7052"/>
    <w:rsid w:val="00AC7703"/>
    <w:rsid w:val="00AC7A73"/>
    <w:rsid w:val="00AC7D7F"/>
    <w:rsid w:val="00AC7DBA"/>
    <w:rsid w:val="00AC7E57"/>
    <w:rsid w:val="00AC7F32"/>
    <w:rsid w:val="00AD00CD"/>
    <w:rsid w:val="00AD01A3"/>
    <w:rsid w:val="00AD0558"/>
    <w:rsid w:val="00AD0FEB"/>
    <w:rsid w:val="00AD10E5"/>
    <w:rsid w:val="00AD1383"/>
    <w:rsid w:val="00AD13A8"/>
    <w:rsid w:val="00AD1674"/>
    <w:rsid w:val="00AD1A75"/>
    <w:rsid w:val="00AD1D97"/>
    <w:rsid w:val="00AD1FF4"/>
    <w:rsid w:val="00AD21D6"/>
    <w:rsid w:val="00AD23CC"/>
    <w:rsid w:val="00AD2479"/>
    <w:rsid w:val="00AD248F"/>
    <w:rsid w:val="00AD31EC"/>
    <w:rsid w:val="00AD32BE"/>
    <w:rsid w:val="00AD35A4"/>
    <w:rsid w:val="00AD37F0"/>
    <w:rsid w:val="00AD3C2A"/>
    <w:rsid w:val="00AD3E6B"/>
    <w:rsid w:val="00AD4028"/>
    <w:rsid w:val="00AD4379"/>
    <w:rsid w:val="00AD43A0"/>
    <w:rsid w:val="00AD45C7"/>
    <w:rsid w:val="00AD4652"/>
    <w:rsid w:val="00AD4A21"/>
    <w:rsid w:val="00AD4DAE"/>
    <w:rsid w:val="00AD4FB3"/>
    <w:rsid w:val="00AD580F"/>
    <w:rsid w:val="00AD59D8"/>
    <w:rsid w:val="00AD5D1F"/>
    <w:rsid w:val="00AD5D67"/>
    <w:rsid w:val="00AD5D9A"/>
    <w:rsid w:val="00AD5E26"/>
    <w:rsid w:val="00AD6676"/>
    <w:rsid w:val="00AD6833"/>
    <w:rsid w:val="00AD6D41"/>
    <w:rsid w:val="00AD715B"/>
    <w:rsid w:val="00AD7356"/>
    <w:rsid w:val="00AD745C"/>
    <w:rsid w:val="00AD76B1"/>
    <w:rsid w:val="00AD7763"/>
    <w:rsid w:val="00AD77FA"/>
    <w:rsid w:val="00AE035E"/>
    <w:rsid w:val="00AE06F7"/>
    <w:rsid w:val="00AE0914"/>
    <w:rsid w:val="00AE0E20"/>
    <w:rsid w:val="00AE1220"/>
    <w:rsid w:val="00AE14B9"/>
    <w:rsid w:val="00AE1923"/>
    <w:rsid w:val="00AE1CFC"/>
    <w:rsid w:val="00AE1D4C"/>
    <w:rsid w:val="00AE203F"/>
    <w:rsid w:val="00AE23AB"/>
    <w:rsid w:val="00AE252A"/>
    <w:rsid w:val="00AE29AA"/>
    <w:rsid w:val="00AE2CFF"/>
    <w:rsid w:val="00AE2D43"/>
    <w:rsid w:val="00AE30A1"/>
    <w:rsid w:val="00AE31C3"/>
    <w:rsid w:val="00AE31EF"/>
    <w:rsid w:val="00AE329C"/>
    <w:rsid w:val="00AE32D3"/>
    <w:rsid w:val="00AE3D0F"/>
    <w:rsid w:val="00AE3E1D"/>
    <w:rsid w:val="00AE3EC3"/>
    <w:rsid w:val="00AE41C8"/>
    <w:rsid w:val="00AE4513"/>
    <w:rsid w:val="00AE48A4"/>
    <w:rsid w:val="00AE4D24"/>
    <w:rsid w:val="00AE4F24"/>
    <w:rsid w:val="00AE4F38"/>
    <w:rsid w:val="00AE507F"/>
    <w:rsid w:val="00AE5095"/>
    <w:rsid w:val="00AE521A"/>
    <w:rsid w:val="00AE5380"/>
    <w:rsid w:val="00AE5AEC"/>
    <w:rsid w:val="00AE600B"/>
    <w:rsid w:val="00AE6602"/>
    <w:rsid w:val="00AE6873"/>
    <w:rsid w:val="00AE6D21"/>
    <w:rsid w:val="00AE6D50"/>
    <w:rsid w:val="00AE75C3"/>
    <w:rsid w:val="00AE7736"/>
    <w:rsid w:val="00AE7F9B"/>
    <w:rsid w:val="00AF03AA"/>
    <w:rsid w:val="00AF0D9E"/>
    <w:rsid w:val="00AF0E76"/>
    <w:rsid w:val="00AF106D"/>
    <w:rsid w:val="00AF1099"/>
    <w:rsid w:val="00AF1220"/>
    <w:rsid w:val="00AF1DE2"/>
    <w:rsid w:val="00AF26A0"/>
    <w:rsid w:val="00AF278C"/>
    <w:rsid w:val="00AF2806"/>
    <w:rsid w:val="00AF3042"/>
    <w:rsid w:val="00AF34EA"/>
    <w:rsid w:val="00AF362D"/>
    <w:rsid w:val="00AF3632"/>
    <w:rsid w:val="00AF406C"/>
    <w:rsid w:val="00AF428A"/>
    <w:rsid w:val="00AF430F"/>
    <w:rsid w:val="00AF498E"/>
    <w:rsid w:val="00AF49D2"/>
    <w:rsid w:val="00AF4AF0"/>
    <w:rsid w:val="00AF4E90"/>
    <w:rsid w:val="00AF4FDE"/>
    <w:rsid w:val="00AF5391"/>
    <w:rsid w:val="00AF5912"/>
    <w:rsid w:val="00AF5D43"/>
    <w:rsid w:val="00AF5D8B"/>
    <w:rsid w:val="00AF62E0"/>
    <w:rsid w:val="00AF6574"/>
    <w:rsid w:val="00AF698E"/>
    <w:rsid w:val="00AF6A75"/>
    <w:rsid w:val="00AF6EE6"/>
    <w:rsid w:val="00AF7341"/>
    <w:rsid w:val="00AF7555"/>
    <w:rsid w:val="00AF7BA6"/>
    <w:rsid w:val="00AF7CA3"/>
    <w:rsid w:val="00AF7CBE"/>
    <w:rsid w:val="00B0063B"/>
    <w:rsid w:val="00B007F3"/>
    <w:rsid w:val="00B00A76"/>
    <w:rsid w:val="00B00C2F"/>
    <w:rsid w:val="00B00EA1"/>
    <w:rsid w:val="00B00F17"/>
    <w:rsid w:val="00B00FB6"/>
    <w:rsid w:val="00B01324"/>
    <w:rsid w:val="00B0133A"/>
    <w:rsid w:val="00B01ABC"/>
    <w:rsid w:val="00B01DB9"/>
    <w:rsid w:val="00B01E36"/>
    <w:rsid w:val="00B01F6C"/>
    <w:rsid w:val="00B025A1"/>
    <w:rsid w:val="00B0264A"/>
    <w:rsid w:val="00B02EE2"/>
    <w:rsid w:val="00B0308E"/>
    <w:rsid w:val="00B03526"/>
    <w:rsid w:val="00B03DEE"/>
    <w:rsid w:val="00B04053"/>
    <w:rsid w:val="00B04B8B"/>
    <w:rsid w:val="00B04BF9"/>
    <w:rsid w:val="00B04C10"/>
    <w:rsid w:val="00B04D6B"/>
    <w:rsid w:val="00B04F0F"/>
    <w:rsid w:val="00B05053"/>
    <w:rsid w:val="00B05330"/>
    <w:rsid w:val="00B0575B"/>
    <w:rsid w:val="00B068E4"/>
    <w:rsid w:val="00B068FF"/>
    <w:rsid w:val="00B069DE"/>
    <w:rsid w:val="00B06A46"/>
    <w:rsid w:val="00B06ED6"/>
    <w:rsid w:val="00B078AE"/>
    <w:rsid w:val="00B1063A"/>
    <w:rsid w:val="00B10684"/>
    <w:rsid w:val="00B10802"/>
    <w:rsid w:val="00B10D68"/>
    <w:rsid w:val="00B10E88"/>
    <w:rsid w:val="00B11083"/>
    <w:rsid w:val="00B11114"/>
    <w:rsid w:val="00B1147E"/>
    <w:rsid w:val="00B115ED"/>
    <w:rsid w:val="00B117CB"/>
    <w:rsid w:val="00B117D7"/>
    <w:rsid w:val="00B11E1F"/>
    <w:rsid w:val="00B12047"/>
    <w:rsid w:val="00B1236B"/>
    <w:rsid w:val="00B12732"/>
    <w:rsid w:val="00B12859"/>
    <w:rsid w:val="00B12A49"/>
    <w:rsid w:val="00B12E82"/>
    <w:rsid w:val="00B12FD8"/>
    <w:rsid w:val="00B134D1"/>
    <w:rsid w:val="00B13785"/>
    <w:rsid w:val="00B13979"/>
    <w:rsid w:val="00B13B16"/>
    <w:rsid w:val="00B13B75"/>
    <w:rsid w:val="00B13B8E"/>
    <w:rsid w:val="00B13BC6"/>
    <w:rsid w:val="00B13FB4"/>
    <w:rsid w:val="00B13FFE"/>
    <w:rsid w:val="00B142E0"/>
    <w:rsid w:val="00B14429"/>
    <w:rsid w:val="00B15237"/>
    <w:rsid w:val="00B156A9"/>
    <w:rsid w:val="00B1598D"/>
    <w:rsid w:val="00B15E04"/>
    <w:rsid w:val="00B1616E"/>
    <w:rsid w:val="00B16360"/>
    <w:rsid w:val="00B166F6"/>
    <w:rsid w:val="00B172FE"/>
    <w:rsid w:val="00B17A6F"/>
    <w:rsid w:val="00B17F5C"/>
    <w:rsid w:val="00B202F8"/>
    <w:rsid w:val="00B2074F"/>
    <w:rsid w:val="00B210CC"/>
    <w:rsid w:val="00B21E4C"/>
    <w:rsid w:val="00B22088"/>
    <w:rsid w:val="00B22359"/>
    <w:rsid w:val="00B22475"/>
    <w:rsid w:val="00B22831"/>
    <w:rsid w:val="00B22BC5"/>
    <w:rsid w:val="00B230D8"/>
    <w:rsid w:val="00B231BC"/>
    <w:rsid w:val="00B232FF"/>
    <w:rsid w:val="00B23573"/>
    <w:rsid w:val="00B23ABE"/>
    <w:rsid w:val="00B23B67"/>
    <w:rsid w:val="00B23F6D"/>
    <w:rsid w:val="00B24B6A"/>
    <w:rsid w:val="00B24B78"/>
    <w:rsid w:val="00B24F9A"/>
    <w:rsid w:val="00B2537B"/>
    <w:rsid w:val="00B2547B"/>
    <w:rsid w:val="00B25FB1"/>
    <w:rsid w:val="00B26797"/>
    <w:rsid w:val="00B26C98"/>
    <w:rsid w:val="00B26E4F"/>
    <w:rsid w:val="00B26F77"/>
    <w:rsid w:val="00B27027"/>
    <w:rsid w:val="00B271E8"/>
    <w:rsid w:val="00B275D8"/>
    <w:rsid w:val="00B27981"/>
    <w:rsid w:val="00B27B3E"/>
    <w:rsid w:val="00B3007E"/>
    <w:rsid w:val="00B300C3"/>
    <w:rsid w:val="00B3024D"/>
    <w:rsid w:val="00B306F6"/>
    <w:rsid w:val="00B30871"/>
    <w:rsid w:val="00B30AD6"/>
    <w:rsid w:val="00B3135E"/>
    <w:rsid w:val="00B313F6"/>
    <w:rsid w:val="00B3147F"/>
    <w:rsid w:val="00B314BB"/>
    <w:rsid w:val="00B31DC7"/>
    <w:rsid w:val="00B31E63"/>
    <w:rsid w:val="00B32506"/>
    <w:rsid w:val="00B32920"/>
    <w:rsid w:val="00B32CCD"/>
    <w:rsid w:val="00B32F66"/>
    <w:rsid w:val="00B33678"/>
    <w:rsid w:val="00B33B9B"/>
    <w:rsid w:val="00B33E58"/>
    <w:rsid w:val="00B33FD6"/>
    <w:rsid w:val="00B3407B"/>
    <w:rsid w:val="00B340B5"/>
    <w:rsid w:val="00B348D2"/>
    <w:rsid w:val="00B34AFD"/>
    <w:rsid w:val="00B34CAA"/>
    <w:rsid w:val="00B3512D"/>
    <w:rsid w:val="00B354E2"/>
    <w:rsid w:val="00B358C1"/>
    <w:rsid w:val="00B35C85"/>
    <w:rsid w:val="00B361AC"/>
    <w:rsid w:val="00B36224"/>
    <w:rsid w:val="00B36630"/>
    <w:rsid w:val="00B36705"/>
    <w:rsid w:val="00B36B2F"/>
    <w:rsid w:val="00B36F8C"/>
    <w:rsid w:val="00B37073"/>
    <w:rsid w:val="00B3708C"/>
    <w:rsid w:val="00B371B2"/>
    <w:rsid w:val="00B37391"/>
    <w:rsid w:val="00B3757C"/>
    <w:rsid w:val="00B37D98"/>
    <w:rsid w:val="00B40037"/>
    <w:rsid w:val="00B405F4"/>
    <w:rsid w:val="00B413F6"/>
    <w:rsid w:val="00B4141C"/>
    <w:rsid w:val="00B414E0"/>
    <w:rsid w:val="00B41861"/>
    <w:rsid w:val="00B41A1A"/>
    <w:rsid w:val="00B41D7E"/>
    <w:rsid w:val="00B42107"/>
    <w:rsid w:val="00B42704"/>
    <w:rsid w:val="00B427F8"/>
    <w:rsid w:val="00B439E2"/>
    <w:rsid w:val="00B43A1C"/>
    <w:rsid w:val="00B43F14"/>
    <w:rsid w:val="00B440D1"/>
    <w:rsid w:val="00B442CD"/>
    <w:rsid w:val="00B443DF"/>
    <w:rsid w:val="00B4492B"/>
    <w:rsid w:val="00B44A28"/>
    <w:rsid w:val="00B44CB0"/>
    <w:rsid w:val="00B45047"/>
    <w:rsid w:val="00B453BC"/>
    <w:rsid w:val="00B45538"/>
    <w:rsid w:val="00B457F9"/>
    <w:rsid w:val="00B45B91"/>
    <w:rsid w:val="00B45BA8"/>
    <w:rsid w:val="00B45BBA"/>
    <w:rsid w:val="00B462D8"/>
    <w:rsid w:val="00B46347"/>
    <w:rsid w:val="00B46444"/>
    <w:rsid w:val="00B46775"/>
    <w:rsid w:val="00B46C8E"/>
    <w:rsid w:val="00B47117"/>
    <w:rsid w:val="00B47236"/>
    <w:rsid w:val="00B475E1"/>
    <w:rsid w:val="00B4762E"/>
    <w:rsid w:val="00B47D1C"/>
    <w:rsid w:val="00B47D23"/>
    <w:rsid w:val="00B507E3"/>
    <w:rsid w:val="00B509ED"/>
    <w:rsid w:val="00B5155A"/>
    <w:rsid w:val="00B516EC"/>
    <w:rsid w:val="00B51800"/>
    <w:rsid w:val="00B51E22"/>
    <w:rsid w:val="00B51E5E"/>
    <w:rsid w:val="00B51F70"/>
    <w:rsid w:val="00B521AD"/>
    <w:rsid w:val="00B52425"/>
    <w:rsid w:val="00B52B7A"/>
    <w:rsid w:val="00B52E89"/>
    <w:rsid w:val="00B52EAD"/>
    <w:rsid w:val="00B52EEC"/>
    <w:rsid w:val="00B52F36"/>
    <w:rsid w:val="00B54093"/>
    <w:rsid w:val="00B542AE"/>
    <w:rsid w:val="00B5436B"/>
    <w:rsid w:val="00B543F1"/>
    <w:rsid w:val="00B546AB"/>
    <w:rsid w:val="00B5474A"/>
    <w:rsid w:val="00B54772"/>
    <w:rsid w:val="00B547C5"/>
    <w:rsid w:val="00B54851"/>
    <w:rsid w:val="00B54B97"/>
    <w:rsid w:val="00B54C7E"/>
    <w:rsid w:val="00B554B1"/>
    <w:rsid w:val="00B554EB"/>
    <w:rsid w:val="00B55825"/>
    <w:rsid w:val="00B55A00"/>
    <w:rsid w:val="00B55C56"/>
    <w:rsid w:val="00B55E02"/>
    <w:rsid w:val="00B55E9E"/>
    <w:rsid w:val="00B566ED"/>
    <w:rsid w:val="00B56B70"/>
    <w:rsid w:val="00B56CFF"/>
    <w:rsid w:val="00B56EB0"/>
    <w:rsid w:val="00B57168"/>
    <w:rsid w:val="00B57205"/>
    <w:rsid w:val="00B57320"/>
    <w:rsid w:val="00B574FC"/>
    <w:rsid w:val="00B57669"/>
    <w:rsid w:val="00B603D4"/>
    <w:rsid w:val="00B604C7"/>
    <w:rsid w:val="00B60CC4"/>
    <w:rsid w:val="00B60D02"/>
    <w:rsid w:val="00B60E24"/>
    <w:rsid w:val="00B61068"/>
    <w:rsid w:val="00B6118D"/>
    <w:rsid w:val="00B61F6B"/>
    <w:rsid w:val="00B62104"/>
    <w:rsid w:val="00B6233A"/>
    <w:rsid w:val="00B62AFD"/>
    <w:rsid w:val="00B62CD1"/>
    <w:rsid w:val="00B6312A"/>
    <w:rsid w:val="00B63594"/>
    <w:rsid w:val="00B63815"/>
    <w:rsid w:val="00B6385C"/>
    <w:rsid w:val="00B63CE9"/>
    <w:rsid w:val="00B6435F"/>
    <w:rsid w:val="00B64FF2"/>
    <w:rsid w:val="00B650FB"/>
    <w:rsid w:val="00B651B7"/>
    <w:rsid w:val="00B65553"/>
    <w:rsid w:val="00B65643"/>
    <w:rsid w:val="00B658B7"/>
    <w:rsid w:val="00B65B2F"/>
    <w:rsid w:val="00B65CD2"/>
    <w:rsid w:val="00B66381"/>
    <w:rsid w:val="00B668FE"/>
    <w:rsid w:val="00B66D46"/>
    <w:rsid w:val="00B66D63"/>
    <w:rsid w:val="00B66E77"/>
    <w:rsid w:val="00B6719B"/>
    <w:rsid w:val="00B674BE"/>
    <w:rsid w:val="00B6777E"/>
    <w:rsid w:val="00B677C5"/>
    <w:rsid w:val="00B67953"/>
    <w:rsid w:val="00B6799D"/>
    <w:rsid w:val="00B67A5D"/>
    <w:rsid w:val="00B67BF5"/>
    <w:rsid w:val="00B67FDE"/>
    <w:rsid w:val="00B70106"/>
    <w:rsid w:val="00B70240"/>
    <w:rsid w:val="00B702B7"/>
    <w:rsid w:val="00B7038A"/>
    <w:rsid w:val="00B706E0"/>
    <w:rsid w:val="00B70C07"/>
    <w:rsid w:val="00B70E68"/>
    <w:rsid w:val="00B71721"/>
    <w:rsid w:val="00B71BEA"/>
    <w:rsid w:val="00B71C5E"/>
    <w:rsid w:val="00B71D0E"/>
    <w:rsid w:val="00B71D57"/>
    <w:rsid w:val="00B71F43"/>
    <w:rsid w:val="00B7212F"/>
    <w:rsid w:val="00B7222F"/>
    <w:rsid w:val="00B72616"/>
    <w:rsid w:val="00B72695"/>
    <w:rsid w:val="00B726B9"/>
    <w:rsid w:val="00B72A69"/>
    <w:rsid w:val="00B72C21"/>
    <w:rsid w:val="00B730B7"/>
    <w:rsid w:val="00B7316F"/>
    <w:rsid w:val="00B73287"/>
    <w:rsid w:val="00B7338B"/>
    <w:rsid w:val="00B7351F"/>
    <w:rsid w:val="00B73814"/>
    <w:rsid w:val="00B7397F"/>
    <w:rsid w:val="00B73D20"/>
    <w:rsid w:val="00B73D5E"/>
    <w:rsid w:val="00B73F56"/>
    <w:rsid w:val="00B743DE"/>
    <w:rsid w:val="00B743DF"/>
    <w:rsid w:val="00B74B6F"/>
    <w:rsid w:val="00B74D21"/>
    <w:rsid w:val="00B752A3"/>
    <w:rsid w:val="00B752B1"/>
    <w:rsid w:val="00B7532F"/>
    <w:rsid w:val="00B75640"/>
    <w:rsid w:val="00B75690"/>
    <w:rsid w:val="00B759E3"/>
    <w:rsid w:val="00B75F97"/>
    <w:rsid w:val="00B76B9D"/>
    <w:rsid w:val="00B77355"/>
    <w:rsid w:val="00B776A8"/>
    <w:rsid w:val="00B77A84"/>
    <w:rsid w:val="00B77E94"/>
    <w:rsid w:val="00B80321"/>
    <w:rsid w:val="00B80573"/>
    <w:rsid w:val="00B8116E"/>
    <w:rsid w:val="00B8139C"/>
    <w:rsid w:val="00B815EB"/>
    <w:rsid w:val="00B81BCF"/>
    <w:rsid w:val="00B81C69"/>
    <w:rsid w:val="00B81ECB"/>
    <w:rsid w:val="00B821B7"/>
    <w:rsid w:val="00B82451"/>
    <w:rsid w:val="00B8298F"/>
    <w:rsid w:val="00B8299B"/>
    <w:rsid w:val="00B82B9A"/>
    <w:rsid w:val="00B82F98"/>
    <w:rsid w:val="00B83503"/>
    <w:rsid w:val="00B836B1"/>
    <w:rsid w:val="00B8389E"/>
    <w:rsid w:val="00B84095"/>
    <w:rsid w:val="00B84D02"/>
    <w:rsid w:val="00B84ED5"/>
    <w:rsid w:val="00B85018"/>
    <w:rsid w:val="00B858B4"/>
    <w:rsid w:val="00B8590E"/>
    <w:rsid w:val="00B8596D"/>
    <w:rsid w:val="00B863E7"/>
    <w:rsid w:val="00B86CD2"/>
    <w:rsid w:val="00B8702D"/>
    <w:rsid w:val="00B8778B"/>
    <w:rsid w:val="00B9031C"/>
    <w:rsid w:val="00B90348"/>
    <w:rsid w:val="00B903D1"/>
    <w:rsid w:val="00B90653"/>
    <w:rsid w:val="00B90FAF"/>
    <w:rsid w:val="00B912EE"/>
    <w:rsid w:val="00B91A75"/>
    <w:rsid w:val="00B925DB"/>
    <w:rsid w:val="00B928E5"/>
    <w:rsid w:val="00B92BDF"/>
    <w:rsid w:val="00B93163"/>
    <w:rsid w:val="00B93299"/>
    <w:rsid w:val="00B9333B"/>
    <w:rsid w:val="00B938E4"/>
    <w:rsid w:val="00B93D40"/>
    <w:rsid w:val="00B947BF"/>
    <w:rsid w:val="00B94811"/>
    <w:rsid w:val="00B94BC2"/>
    <w:rsid w:val="00B94E55"/>
    <w:rsid w:val="00B94F87"/>
    <w:rsid w:val="00B951C1"/>
    <w:rsid w:val="00B95414"/>
    <w:rsid w:val="00B9544A"/>
    <w:rsid w:val="00B9556E"/>
    <w:rsid w:val="00B95619"/>
    <w:rsid w:val="00B95DA7"/>
    <w:rsid w:val="00B95DC7"/>
    <w:rsid w:val="00B96335"/>
    <w:rsid w:val="00B96A63"/>
    <w:rsid w:val="00B96C53"/>
    <w:rsid w:val="00B975CF"/>
    <w:rsid w:val="00B97784"/>
    <w:rsid w:val="00B97EBA"/>
    <w:rsid w:val="00BA0103"/>
    <w:rsid w:val="00BA0587"/>
    <w:rsid w:val="00BA0DF2"/>
    <w:rsid w:val="00BA0E5B"/>
    <w:rsid w:val="00BA0F89"/>
    <w:rsid w:val="00BA1049"/>
    <w:rsid w:val="00BA108A"/>
    <w:rsid w:val="00BA179D"/>
    <w:rsid w:val="00BA181F"/>
    <w:rsid w:val="00BA1AFD"/>
    <w:rsid w:val="00BA217B"/>
    <w:rsid w:val="00BA2A85"/>
    <w:rsid w:val="00BA2DFD"/>
    <w:rsid w:val="00BA3074"/>
    <w:rsid w:val="00BA3094"/>
    <w:rsid w:val="00BA37F0"/>
    <w:rsid w:val="00BA3CC9"/>
    <w:rsid w:val="00BA4214"/>
    <w:rsid w:val="00BA42EA"/>
    <w:rsid w:val="00BA43F3"/>
    <w:rsid w:val="00BA4418"/>
    <w:rsid w:val="00BA4525"/>
    <w:rsid w:val="00BA4AAE"/>
    <w:rsid w:val="00BA4BFB"/>
    <w:rsid w:val="00BA4D60"/>
    <w:rsid w:val="00BA4E2C"/>
    <w:rsid w:val="00BA509D"/>
    <w:rsid w:val="00BA51F6"/>
    <w:rsid w:val="00BA5B47"/>
    <w:rsid w:val="00BA5E43"/>
    <w:rsid w:val="00BA5ED6"/>
    <w:rsid w:val="00BA63D5"/>
    <w:rsid w:val="00BA648B"/>
    <w:rsid w:val="00BA6818"/>
    <w:rsid w:val="00BA6E28"/>
    <w:rsid w:val="00BA74ED"/>
    <w:rsid w:val="00BA771E"/>
    <w:rsid w:val="00BA77DE"/>
    <w:rsid w:val="00BA782E"/>
    <w:rsid w:val="00BA7A25"/>
    <w:rsid w:val="00BA7C2F"/>
    <w:rsid w:val="00BB0599"/>
    <w:rsid w:val="00BB05F4"/>
    <w:rsid w:val="00BB0630"/>
    <w:rsid w:val="00BB064E"/>
    <w:rsid w:val="00BB11B2"/>
    <w:rsid w:val="00BB12F6"/>
    <w:rsid w:val="00BB13AC"/>
    <w:rsid w:val="00BB14C3"/>
    <w:rsid w:val="00BB1CAB"/>
    <w:rsid w:val="00BB1DBF"/>
    <w:rsid w:val="00BB2322"/>
    <w:rsid w:val="00BB2333"/>
    <w:rsid w:val="00BB2405"/>
    <w:rsid w:val="00BB25E1"/>
    <w:rsid w:val="00BB2DFE"/>
    <w:rsid w:val="00BB3436"/>
    <w:rsid w:val="00BB34B7"/>
    <w:rsid w:val="00BB3828"/>
    <w:rsid w:val="00BB3A7C"/>
    <w:rsid w:val="00BB3D9E"/>
    <w:rsid w:val="00BB40D9"/>
    <w:rsid w:val="00BB4199"/>
    <w:rsid w:val="00BB48F9"/>
    <w:rsid w:val="00BB4D2D"/>
    <w:rsid w:val="00BB4D97"/>
    <w:rsid w:val="00BB51DC"/>
    <w:rsid w:val="00BB53DF"/>
    <w:rsid w:val="00BB56C4"/>
    <w:rsid w:val="00BB5776"/>
    <w:rsid w:val="00BB5B56"/>
    <w:rsid w:val="00BB5E0F"/>
    <w:rsid w:val="00BB6030"/>
    <w:rsid w:val="00BB6067"/>
    <w:rsid w:val="00BB6172"/>
    <w:rsid w:val="00BB6853"/>
    <w:rsid w:val="00BB6B0B"/>
    <w:rsid w:val="00BB6C0B"/>
    <w:rsid w:val="00BB6DEB"/>
    <w:rsid w:val="00BB6E7F"/>
    <w:rsid w:val="00BB6F1C"/>
    <w:rsid w:val="00BB716B"/>
    <w:rsid w:val="00BB7651"/>
    <w:rsid w:val="00BB772D"/>
    <w:rsid w:val="00BB7826"/>
    <w:rsid w:val="00BB78B8"/>
    <w:rsid w:val="00BB7E75"/>
    <w:rsid w:val="00BC0321"/>
    <w:rsid w:val="00BC04A5"/>
    <w:rsid w:val="00BC0725"/>
    <w:rsid w:val="00BC07F6"/>
    <w:rsid w:val="00BC091B"/>
    <w:rsid w:val="00BC0967"/>
    <w:rsid w:val="00BC13E1"/>
    <w:rsid w:val="00BC1A7C"/>
    <w:rsid w:val="00BC1BF9"/>
    <w:rsid w:val="00BC23C0"/>
    <w:rsid w:val="00BC25A3"/>
    <w:rsid w:val="00BC265E"/>
    <w:rsid w:val="00BC2932"/>
    <w:rsid w:val="00BC2978"/>
    <w:rsid w:val="00BC2E1D"/>
    <w:rsid w:val="00BC3140"/>
    <w:rsid w:val="00BC3563"/>
    <w:rsid w:val="00BC3677"/>
    <w:rsid w:val="00BC38CC"/>
    <w:rsid w:val="00BC3CF5"/>
    <w:rsid w:val="00BC4118"/>
    <w:rsid w:val="00BC466E"/>
    <w:rsid w:val="00BC47B9"/>
    <w:rsid w:val="00BC484F"/>
    <w:rsid w:val="00BC4D34"/>
    <w:rsid w:val="00BC4E08"/>
    <w:rsid w:val="00BC6291"/>
    <w:rsid w:val="00BC6335"/>
    <w:rsid w:val="00BC6794"/>
    <w:rsid w:val="00BC6862"/>
    <w:rsid w:val="00BC71C9"/>
    <w:rsid w:val="00BC71F5"/>
    <w:rsid w:val="00BC730B"/>
    <w:rsid w:val="00BC7530"/>
    <w:rsid w:val="00BC77E9"/>
    <w:rsid w:val="00BC77EA"/>
    <w:rsid w:val="00BC7B71"/>
    <w:rsid w:val="00BC7C23"/>
    <w:rsid w:val="00BD0264"/>
    <w:rsid w:val="00BD0297"/>
    <w:rsid w:val="00BD039C"/>
    <w:rsid w:val="00BD070A"/>
    <w:rsid w:val="00BD0750"/>
    <w:rsid w:val="00BD08AA"/>
    <w:rsid w:val="00BD0B7D"/>
    <w:rsid w:val="00BD0E33"/>
    <w:rsid w:val="00BD0F89"/>
    <w:rsid w:val="00BD14A8"/>
    <w:rsid w:val="00BD181E"/>
    <w:rsid w:val="00BD1D83"/>
    <w:rsid w:val="00BD21B8"/>
    <w:rsid w:val="00BD26A7"/>
    <w:rsid w:val="00BD35F1"/>
    <w:rsid w:val="00BD369A"/>
    <w:rsid w:val="00BD37BA"/>
    <w:rsid w:val="00BD383C"/>
    <w:rsid w:val="00BD3A57"/>
    <w:rsid w:val="00BD410E"/>
    <w:rsid w:val="00BD4CCC"/>
    <w:rsid w:val="00BD51DF"/>
    <w:rsid w:val="00BD577E"/>
    <w:rsid w:val="00BD578B"/>
    <w:rsid w:val="00BD58C0"/>
    <w:rsid w:val="00BD58CD"/>
    <w:rsid w:val="00BD59F6"/>
    <w:rsid w:val="00BD5FD1"/>
    <w:rsid w:val="00BD601C"/>
    <w:rsid w:val="00BD6B3A"/>
    <w:rsid w:val="00BD6E31"/>
    <w:rsid w:val="00BD70AE"/>
    <w:rsid w:val="00BD7110"/>
    <w:rsid w:val="00BD7A78"/>
    <w:rsid w:val="00BE024B"/>
    <w:rsid w:val="00BE0254"/>
    <w:rsid w:val="00BE05AF"/>
    <w:rsid w:val="00BE0693"/>
    <w:rsid w:val="00BE0CB7"/>
    <w:rsid w:val="00BE0DCB"/>
    <w:rsid w:val="00BE14AB"/>
    <w:rsid w:val="00BE172B"/>
    <w:rsid w:val="00BE1859"/>
    <w:rsid w:val="00BE1C87"/>
    <w:rsid w:val="00BE21B6"/>
    <w:rsid w:val="00BE24E9"/>
    <w:rsid w:val="00BE259F"/>
    <w:rsid w:val="00BE2BD5"/>
    <w:rsid w:val="00BE2D0C"/>
    <w:rsid w:val="00BE2E40"/>
    <w:rsid w:val="00BE2EA5"/>
    <w:rsid w:val="00BE2EBD"/>
    <w:rsid w:val="00BE2F37"/>
    <w:rsid w:val="00BE32A6"/>
    <w:rsid w:val="00BE3535"/>
    <w:rsid w:val="00BE368E"/>
    <w:rsid w:val="00BE39BD"/>
    <w:rsid w:val="00BE3A7B"/>
    <w:rsid w:val="00BE3BC8"/>
    <w:rsid w:val="00BE3D93"/>
    <w:rsid w:val="00BE3F30"/>
    <w:rsid w:val="00BE4090"/>
    <w:rsid w:val="00BE40B0"/>
    <w:rsid w:val="00BE428C"/>
    <w:rsid w:val="00BE4398"/>
    <w:rsid w:val="00BE4A81"/>
    <w:rsid w:val="00BE4C2F"/>
    <w:rsid w:val="00BE4CE9"/>
    <w:rsid w:val="00BE507B"/>
    <w:rsid w:val="00BE50AB"/>
    <w:rsid w:val="00BE538C"/>
    <w:rsid w:val="00BE55E1"/>
    <w:rsid w:val="00BE5711"/>
    <w:rsid w:val="00BE5B2D"/>
    <w:rsid w:val="00BE6556"/>
    <w:rsid w:val="00BE65FA"/>
    <w:rsid w:val="00BE6738"/>
    <w:rsid w:val="00BE6DD4"/>
    <w:rsid w:val="00BE72B2"/>
    <w:rsid w:val="00BE756C"/>
    <w:rsid w:val="00BE7822"/>
    <w:rsid w:val="00BE7888"/>
    <w:rsid w:val="00BE7934"/>
    <w:rsid w:val="00BE79B8"/>
    <w:rsid w:val="00BE7AC2"/>
    <w:rsid w:val="00BE7C43"/>
    <w:rsid w:val="00BF003B"/>
    <w:rsid w:val="00BF00B4"/>
    <w:rsid w:val="00BF0123"/>
    <w:rsid w:val="00BF01F1"/>
    <w:rsid w:val="00BF04AD"/>
    <w:rsid w:val="00BF05A0"/>
    <w:rsid w:val="00BF07D6"/>
    <w:rsid w:val="00BF0BDC"/>
    <w:rsid w:val="00BF10ED"/>
    <w:rsid w:val="00BF12DD"/>
    <w:rsid w:val="00BF1740"/>
    <w:rsid w:val="00BF19B3"/>
    <w:rsid w:val="00BF2146"/>
    <w:rsid w:val="00BF2184"/>
    <w:rsid w:val="00BF2BBE"/>
    <w:rsid w:val="00BF2E19"/>
    <w:rsid w:val="00BF36F1"/>
    <w:rsid w:val="00BF381C"/>
    <w:rsid w:val="00BF3A74"/>
    <w:rsid w:val="00BF3C80"/>
    <w:rsid w:val="00BF3E7D"/>
    <w:rsid w:val="00BF3F81"/>
    <w:rsid w:val="00BF4606"/>
    <w:rsid w:val="00BF4733"/>
    <w:rsid w:val="00BF498B"/>
    <w:rsid w:val="00BF4ADB"/>
    <w:rsid w:val="00BF4E4A"/>
    <w:rsid w:val="00BF4EB8"/>
    <w:rsid w:val="00BF554A"/>
    <w:rsid w:val="00BF579B"/>
    <w:rsid w:val="00BF5D42"/>
    <w:rsid w:val="00BF6690"/>
    <w:rsid w:val="00BF6A28"/>
    <w:rsid w:val="00BF6D6E"/>
    <w:rsid w:val="00BF6E5D"/>
    <w:rsid w:val="00BF71A6"/>
    <w:rsid w:val="00BF7E99"/>
    <w:rsid w:val="00C0021D"/>
    <w:rsid w:val="00C00469"/>
    <w:rsid w:val="00C0047B"/>
    <w:rsid w:val="00C00B5E"/>
    <w:rsid w:val="00C00BA2"/>
    <w:rsid w:val="00C010FA"/>
    <w:rsid w:val="00C015EB"/>
    <w:rsid w:val="00C01675"/>
    <w:rsid w:val="00C016EC"/>
    <w:rsid w:val="00C01A05"/>
    <w:rsid w:val="00C01AF6"/>
    <w:rsid w:val="00C01BB0"/>
    <w:rsid w:val="00C01C75"/>
    <w:rsid w:val="00C01E29"/>
    <w:rsid w:val="00C02121"/>
    <w:rsid w:val="00C02210"/>
    <w:rsid w:val="00C02714"/>
    <w:rsid w:val="00C027E2"/>
    <w:rsid w:val="00C034F4"/>
    <w:rsid w:val="00C037AE"/>
    <w:rsid w:val="00C037FC"/>
    <w:rsid w:val="00C03B7A"/>
    <w:rsid w:val="00C03BCA"/>
    <w:rsid w:val="00C03E34"/>
    <w:rsid w:val="00C03FC3"/>
    <w:rsid w:val="00C042FB"/>
    <w:rsid w:val="00C0440C"/>
    <w:rsid w:val="00C04568"/>
    <w:rsid w:val="00C04A9A"/>
    <w:rsid w:val="00C04B40"/>
    <w:rsid w:val="00C05057"/>
    <w:rsid w:val="00C05098"/>
    <w:rsid w:val="00C05267"/>
    <w:rsid w:val="00C05422"/>
    <w:rsid w:val="00C0546D"/>
    <w:rsid w:val="00C05541"/>
    <w:rsid w:val="00C05611"/>
    <w:rsid w:val="00C0564C"/>
    <w:rsid w:val="00C0591B"/>
    <w:rsid w:val="00C05CF7"/>
    <w:rsid w:val="00C0615B"/>
    <w:rsid w:val="00C0643E"/>
    <w:rsid w:val="00C06508"/>
    <w:rsid w:val="00C066F3"/>
    <w:rsid w:val="00C06A28"/>
    <w:rsid w:val="00C06BA7"/>
    <w:rsid w:val="00C06FD8"/>
    <w:rsid w:val="00C0728B"/>
    <w:rsid w:val="00C07889"/>
    <w:rsid w:val="00C07AE4"/>
    <w:rsid w:val="00C07DAF"/>
    <w:rsid w:val="00C07EE8"/>
    <w:rsid w:val="00C07FCA"/>
    <w:rsid w:val="00C1019C"/>
    <w:rsid w:val="00C1029D"/>
    <w:rsid w:val="00C10716"/>
    <w:rsid w:val="00C10DEE"/>
    <w:rsid w:val="00C10E4A"/>
    <w:rsid w:val="00C10F84"/>
    <w:rsid w:val="00C1106B"/>
    <w:rsid w:val="00C111C4"/>
    <w:rsid w:val="00C115D3"/>
    <w:rsid w:val="00C11958"/>
    <w:rsid w:val="00C11E2F"/>
    <w:rsid w:val="00C11E76"/>
    <w:rsid w:val="00C121C4"/>
    <w:rsid w:val="00C12233"/>
    <w:rsid w:val="00C1230A"/>
    <w:rsid w:val="00C1238B"/>
    <w:rsid w:val="00C12458"/>
    <w:rsid w:val="00C125A7"/>
    <w:rsid w:val="00C129C1"/>
    <w:rsid w:val="00C13ACD"/>
    <w:rsid w:val="00C13E3A"/>
    <w:rsid w:val="00C13EC6"/>
    <w:rsid w:val="00C13FF1"/>
    <w:rsid w:val="00C14145"/>
    <w:rsid w:val="00C14C67"/>
    <w:rsid w:val="00C14D49"/>
    <w:rsid w:val="00C15220"/>
    <w:rsid w:val="00C15346"/>
    <w:rsid w:val="00C15E18"/>
    <w:rsid w:val="00C161A7"/>
    <w:rsid w:val="00C163E9"/>
    <w:rsid w:val="00C164F7"/>
    <w:rsid w:val="00C168AC"/>
    <w:rsid w:val="00C16B83"/>
    <w:rsid w:val="00C16DA8"/>
    <w:rsid w:val="00C1739A"/>
    <w:rsid w:val="00C17D16"/>
    <w:rsid w:val="00C17FD9"/>
    <w:rsid w:val="00C202DC"/>
    <w:rsid w:val="00C20364"/>
    <w:rsid w:val="00C203F0"/>
    <w:rsid w:val="00C20431"/>
    <w:rsid w:val="00C204BF"/>
    <w:rsid w:val="00C20959"/>
    <w:rsid w:val="00C20977"/>
    <w:rsid w:val="00C20C2D"/>
    <w:rsid w:val="00C20D32"/>
    <w:rsid w:val="00C20DA8"/>
    <w:rsid w:val="00C20DF3"/>
    <w:rsid w:val="00C20E60"/>
    <w:rsid w:val="00C21022"/>
    <w:rsid w:val="00C21563"/>
    <w:rsid w:val="00C215CB"/>
    <w:rsid w:val="00C21792"/>
    <w:rsid w:val="00C217E6"/>
    <w:rsid w:val="00C21910"/>
    <w:rsid w:val="00C21C7C"/>
    <w:rsid w:val="00C21DB6"/>
    <w:rsid w:val="00C21FED"/>
    <w:rsid w:val="00C2200C"/>
    <w:rsid w:val="00C221A6"/>
    <w:rsid w:val="00C224BA"/>
    <w:rsid w:val="00C224D0"/>
    <w:rsid w:val="00C22655"/>
    <w:rsid w:val="00C226DB"/>
    <w:rsid w:val="00C2285B"/>
    <w:rsid w:val="00C22E4B"/>
    <w:rsid w:val="00C22FD7"/>
    <w:rsid w:val="00C23397"/>
    <w:rsid w:val="00C233C0"/>
    <w:rsid w:val="00C23610"/>
    <w:rsid w:val="00C238FD"/>
    <w:rsid w:val="00C23ADC"/>
    <w:rsid w:val="00C23CB8"/>
    <w:rsid w:val="00C23E65"/>
    <w:rsid w:val="00C23F44"/>
    <w:rsid w:val="00C240D2"/>
    <w:rsid w:val="00C241C5"/>
    <w:rsid w:val="00C24368"/>
    <w:rsid w:val="00C2442D"/>
    <w:rsid w:val="00C24886"/>
    <w:rsid w:val="00C24A19"/>
    <w:rsid w:val="00C24A20"/>
    <w:rsid w:val="00C24D83"/>
    <w:rsid w:val="00C25361"/>
    <w:rsid w:val="00C25770"/>
    <w:rsid w:val="00C25931"/>
    <w:rsid w:val="00C25C60"/>
    <w:rsid w:val="00C2636E"/>
    <w:rsid w:val="00C268C6"/>
    <w:rsid w:val="00C26A2F"/>
    <w:rsid w:val="00C270A5"/>
    <w:rsid w:val="00C274F3"/>
    <w:rsid w:val="00C276CA"/>
    <w:rsid w:val="00C27871"/>
    <w:rsid w:val="00C27EAE"/>
    <w:rsid w:val="00C27F83"/>
    <w:rsid w:val="00C3074B"/>
    <w:rsid w:val="00C30757"/>
    <w:rsid w:val="00C30904"/>
    <w:rsid w:val="00C30957"/>
    <w:rsid w:val="00C30D5A"/>
    <w:rsid w:val="00C3188D"/>
    <w:rsid w:val="00C318A2"/>
    <w:rsid w:val="00C318AF"/>
    <w:rsid w:val="00C31A94"/>
    <w:rsid w:val="00C321FC"/>
    <w:rsid w:val="00C324F0"/>
    <w:rsid w:val="00C3267E"/>
    <w:rsid w:val="00C327BC"/>
    <w:rsid w:val="00C32B6C"/>
    <w:rsid w:val="00C32D84"/>
    <w:rsid w:val="00C32E23"/>
    <w:rsid w:val="00C3327C"/>
    <w:rsid w:val="00C33498"/>
    <w:rsid w:val="00C336EC"/>
    <w:rsid w:val="00C3385B"/>
    <w:rsid w:val="00C33BE1"/>
    <w:rsid w:val="00C34193"/>
    <w:rsid w:val="00C342E8"/>
    <w:rsid w:val="00C34B20"/>
    <w:rsid w:val="00C35323"/>
    <w:rsid w:val="00C354FC"/>
    <w:rsid w:val="00C35747"/>
    <w:rsid w:val="00C35780"/>
    <w:rsid w:val="00C358CC"/>
    <w:rsid w:val="00C35A2D"/>
    <w:rsid w:val="00C35CE5"/>
    <w:rsid w:val="00C3607D"/>
    <w:rsid w:val="00C36157"/>
    <w:rsid w:val="00C361B5"/>
    <w:rsid w:val="00C36394"/>
    <w:rsid w:val="00C3671C"/>
    <w:rsid w:val="00C368B2"/>
    <w:rsid w:val="00C369C5"/>
    <w:rsid w:val="00C36C40"/>
    <w:rsid w:val="00C36E59"/>
    <w:rsid w:val="00C36FB7"/>
    <w:rsid w:val="00C37102"/>
    <w:rsid w:val="00C378BB"/>
    <w:rsid w:val="00C37A49"/>
    <w:rsid w:val="00C37C66"/>
    <w:rsid w:val="00C4004B"/>
    <w:rsid w:val="00C400D6"/>
    <w:rsid w:val="00C40326"/>
    <w:rsid w:val="00C40584"/>
    <w:rsid w:val="00C40C65"/>
    <w:rsid w:val="00C40D7A"/>
    <w:rsid w:val="00C411C6"/>
    <w:rsid w:val="00C411E8"/>
    <w:rsid w:val="00C41B47"/>
    <w:rsid w:val="00C42009"/>
    <w:rsid w:val="00C42028"/>
    <w:rsid w:val="00C42089"/>
    <w:rsid w:val="00C4208C"/>
    <w:rsid w:val="00C42278"/>
    <w:rsid w:val="00C4227F"/>
    <w:rsid w:val="00C425B1"/>
    <w:rsid w:val="00C435A8"/>
    <w:rsid w:val="00C43733"/>
    <w:rsid w:val="00C43770"/>
    <w:rsid w:val="00C43996"/>
    <w:rsid w:val="00C43D1B"/>
    <w:rsid w:val="00C43DB2"/>
    <w:rsid w:val="00C43F3C"/>
    <w:rsid w:val="00C448AE"/>
    <w:rsid w:val="00C44997"/>
    <w:rsid w:val="00C44AD1"/>
    <w:rsid w:val="00C44B2F"/>
    <w:rsid w:val="00C44B92"/>
    <w:rsid w:val="00C44D9B"/>
    <w:rsid w:val="00C44E74"/>
    <w:rsid w:val="00C44FF2"/>
    <w:rsid w:val="00C4508E"/>
    <w:rsid w:val="00C45CAE"/>
    <w:rsid w:val="00C45F1A"/>
    <w:rsid w:val="00C45FCA"/>
    <w:rsid w:val="00C46097"/>
    <w:rsid w:val="00C4632E"/>
    <w:rsid w:val="00C46358"/>
    <w:rsid w:val="00C46905"/>
    <w:rsid w:val="00C46E0F"/>
    <w:rsid w:val="00C46FC4"/>
    <w:rsid w:val="00C47598"/>
    <w:rsid w:val="00C4786D"/>
    <w:rsid w:val="00C47A35"/>
    <w:rsid w:val="00C47CB1"/>
    <w:rsid w:val="00C47D8F"/>
    <w:rsid w:val="00C47DE2"/>
    <w:rsid w:val="00C503D7"/>
    <w:rsid w:val="00C50543"/>
    <w:rsid w:val="00C505BA"/>
    <w:rsid w:val="00C508DA"/>
    <w:rsid w:val="00C50ADB"/>
    <w:rsid w:val="00C50B3A"/>
    <w:rsid w:val="00C51470"/>
    <w:rsid w:val="00C5157D"/>
    <w:rsid w:val="00C519DA"/>
    <w:rsid w:val="00C51A3B"/>
    <w:rsid w:val="00C51BEA"/>
    <w:rsid w:val="00C51C54"/>
    <w:rsid w:val="00C522FC"/>
    <w:rsid w:val="00C5236A"/>
    <w:rsid w:val="00C5257B"/>
    <w:rsid w:val="00C52CEE"/>
    <w:rsid w:val="00C530B7"/>
    <w:rsid w:val="00C5356A"/>
    <w:rsid w:val="00C53C97"/>
    <w:rsid w:val="00C54490"/>
    <w:rsid w:val="00C5472F"/>
    <w:rsid w:val="00C54D41"/>
    <w:rsid w:val="00C5514C"/>
    <w:rsid w:val="00C55988"/>
    <w:rsid w:val="00C5632C"/>
    <w:rsid w:val="00C56443"/>
    <w:rsid w:val="00C56DA3"/>
    <w:rsid w:val="00C56DA7"/>
    <w:rsid w:val="00C56EA1"/>
    <w:rsid w:val="00C5733B"/>
    <w:rsid w:val="00C575A5"/>
    <w:rsid w:val="00C57721"/>
    <w:rsid w:val="00C57A60"/>
    <w:rsid w:val="00C57C31"/>
    <w:rsid w:val="00C57D85"/>
    <w:rsid w:val="00C602E7"/>
    <w:rsid w:val="00C603F9"/>
    <w:rsid w:val="00C608DB"/>
    <w:rsid w:val="00C60AE1"/>
    <w:rsid w:val="00C60B88"/>
    <w:rsid w:val="00C61102"/>
    <w:rsid w:val="00C616FD"/>
    <w:rsid w:val="00C620C3"/>
    <w:rsid w:val="00C6241B"/>
    <w:rsid w:val="00C624A9"/>
    <w:rsid w:val="00C62B22"/>
    <w:rsid w:val="00C62C3F"/>
    <w:rsid w:val="00C62DFF"/>
    <w:rsid w:val="00C63304"/>
    <w:rsid w:val="00C63305"/>
    <w:rsid w:val="00C635F9"/>
    <w:rsid w:val="00C63926"/>
    <w:rsid w:val="00C63BC0"/>
    <w:rsid w:val="00C63D7F"/>
    <w:rsid w:val="00C63FCC"/>
    <w:rsid w:val="00C63FEC"/>
    <w:rsid w:val="00C6410E"/>
    <w:rsid w:val="00C64177"/>
    <w:rsid w:val="00C644DE"/>
    <w:rsid w:val="00C646D9"/>
    <w:rsid w:val="00C64AEF"/>
    <w:rsid w:val="00C64C69"/>
    <w:rsid w:val="00C64D09"/>
    <w:rsid w:val="00C65951"/>
    <w:rsid w:val="00C6597D"/>
    <w:rsid w:val="00C65A73"/>
    <w:rsid w:val="00C65AE0"/>
    <w:rsid w:val="00C65E33"/>
    <w:rsid w:val="00C661CD"/>
    <w:rsid w:val="00C66203"/>
    <w:rsid w:val="00C66409"/>
    <w:rsid w:val="00C66523"/>
    <w:rsid w:val="00C66925"/>
    <w:rsid w:val="00C66FFA"/>
    <w:rsid w:val="00C671E2"/>
    <w:rsid w:val="00C67745"/>
    <w:rsid w:val="00C6779C"/>
    <w:rsid w:val="00C67881"/>
    <w:rsid w:val="00C67ADB"/>
    <w:rsid w:val="00C67BA4"/>
    <w:rsid w:val="00C67C07"/>
    <w:rsid w:val="00C67EC4"/>
    <w:rsid w:val="00C700B4"/>
    <w:rsid w:val="00C703AA"/>
    <w:rsid w:val="00C70412"/>
    <w:rsid w:val="00C7112E"/>
    <w:rsid w:val="00C71A7E"/>
    <w:rsid w:val="00C71C06"/>
    <w:rsid w:val="00C7254D"/>
    <w:rsid w:val="00C7268E"/>
    <w:rsid w:val="00C72A44"/>
    <w:rsid w:val="00C72A72"/>
    <w:rsid w:val="00C72B54"/>
    <w:rsid w:val="00C72CA9"/>
    <w:rsid w:val="00C72CCE"/>
    <w:rsid w:val="00C72F5F"/>
    <w:rsid w:val="00C73184"/>
    <w:rsid w:val="00C7332A"/>
    <w:rsid w:val="00C733D9"/>
    <w:rsid w:val="00C73401"/>
    <w:rsid w:val="00C7346A"/>
    <w:rsid w:val="00C73543"/>
    <w:rsid w:val="00C736A6"/>
    <w:rsid w:val="00C73906"/>
    <w:rsid w:val="00C73BEB"/>
    <w:rsid w:val="00C73DFE"/>
    <w:rsid w:val="00C73E4B"/>
    <w:rsid w:val="00C73F09"/>
    <w:rsid w:val="00C744F3"/>
    <w:rsid w:val="00C74825"/>
    <w:rsid w:val="00C74AA4"/>
    <w:rsid w:val="00C7524C"/>
    <w:rsid w:val="00C76508"/>
    <w:rsid w:val="00C765DF"/>
    <w:rsid w:val="00C766FC"/>
    <w:rsid w:val="00C76735"/>
    <w:rsid w:val="00C76B4B"/>
    <w:rsid w:val="00C76BCA"/>
    <w:rsid w:val="00C76D6D"/>
    <w:rsid w:val="00C76F59"/>
    <w:rsid w:val="00C773AF"/>
    <w:rsid w:val="00C775FD"/>
    <w:rsid w:val="00C776FD"/>
    <w:rsid w:val="00C8020F"/>
    <w:rsid w:val="00C804E2"/>
    <w:rsid w:val="00C80562"/>
    <w:rsid w:val="00C808E2"/>
    <w:rsid w:val="00C80B8B"/>
    <w:rsid w:val="00C81705"/>
    <w:rsid w:val="00C81842"/>
    <w:rsid w:val="00C81CF0"/>
    <w:rsid w:val="00C82240"/>
    <w:rsid w:val="00C8225E"/>
    <w:rsid w:val="00C82B49"/>
    <w:rsid w:val="00C82BD2"/>
    <w:rsid w:val="00C82D8D"/>
    <w:rsid w:val="00C836FC"/>
    <w:rsid w:val="00C8376C"/>
    <w:rsid w:val="00C83948"/>
    <w:rsid w:val="00C83AF5"/>
    <w:rsid w:val="00C83C4A"/>
    <w:rsid w:val="00C83E7A"/>
    <w:rsid w:val="00C83FC0"/>
    <w:rsid w:val="00C84351"/>
    <w:rsid w:val="00C844D7"/>
    <w:rsid w:val="00C848BA"/>
    <w:rsid w:val="00C84F98"/>
    <w:rsid w:val="00C852CD"/>
    <w:rsid w:val="00C856EC"/>
    <w:rsid w:val="00C85810"/>
    <w:rsid w:val="00C85969"/>
    <w:rsid w:val="00C85CA7"/>
    <w:rsid w:val="00C85E14"/>
    <w:rsid w:val="00C8627D"/>
    <w:rsid w:val="00C865E4"/>
    <w:rsid w:val="00C86643"/>
    <w:rsid w:val="00C86A07"/>
    <w:rsid w:val="00C86B6F"/>
    <w:rsid w:val="00C86BB4"/>
    <w:rsid w:val="00C8799A"/>
    <w:rsid w:val="00C900E3"/>
    <w:rsid w:val="00C9029B"/>
    <w:rsid w:val="00C903B9"/>
    <w:rsid w:val="00C909E3"/>
    <w:rsid w:val="00C90CD8"/>
    <w:rsid w:val="00C90DC8"/>
    <w:rsid w:val="00C90DD2"/>
    <w:rsid w:val="00C91C46"/>
    <w:rsid w:val="00C92418"/>
    <w:rsid w:val="00C9269F"/>
    <w:rsid w:val="00C93087"/>
    <w:rsid w:val="00C93512"/>
    <w:rsid w:val="00C935FF"/>
    <w:rsid w:val="00C93944"/>
    <w:rsid w:val="00C93964"/>
    <w:rsid w:val="00C93BBF"/>
    <w:rsid w:val="00C94149"/>
    <w:rsid w:val="00C9424C"/>
    <w:rsid w:val="00C944E6"/>
    <w:rsid w:val="00C945FB"/>
    <w:rsid w:val="00C94660"/>
    <w:rsid w:val="00C94796"/>
    <w:rsid w:val="00C94C8D"/>
    <w:rsid w:val="00C94D1F"/>
    <w:rsid w:val="00C9516A"/>
    <w:rsid w:val="00C9545B"/>
    <w:rsid w:val="00C955D7"/>
    <w:rsid w:val="00C95D0E"/>
    <w:rsid w:val="00C95F4E"/>
    <w:rsid w:val="00C964A6"/>
    <w:rsid w:val="00C96502"/>
    <w:rsid w:val="00C965F0"/>
    <w:rsid w:val="00C9681F"/>
    <w:rsid w:val="00C96C61"/>
    <w:rsid w:val="00C96D5B"/>
    <w:rsid w:val="00C971AB"/>
    <w:rsid w:val="00C9755E"/>
    <w:rsid w:val="00C97617"/>
    <w:rsid w:val="00C97D7C"/>
    <w:rsid w:val="00C97DCE"/>
    <w:rsid w:val="00C97E18"/>
    <w:rsid w:val="00CA00A8"/>
    <w:rsid w:val="00CA0274"/>
    <w:rsid w:val="00CA043B"/>
    <w:rsid w:val="00CA0503"/>
    <w:rsid w:val="00CA062B"/>
    <w:rsid w:val="00CA0CAC"/>
    <w:rsid w:val="00CA0CF1"/>
    <w:rsid w:val="00CA0CFC"/>
    <w:rsid w:val="00CA121B"/>
    <w:rsid w:val="00CA1283"/>
    <w:rsid w:val="00CA1510"/>
    <w:rsid w:val="00CA19A4"/>
    <w:rsid w:val="00CA1ACA"/>
    <w:rsid w:val="00CA1D40"/>
    <w:rsid w:val="00CA1E6F"/>
    <w:rsid w:val="00CA1EDA"/>
    <w:rsid w:val="00CA2076"/>
    <w:rsid w:val="00CA2D72"/>
    <w:rsid w:val="00CA2D77"/>
    <w:rsid w:val="00CA2E6A"/>
    <w:rsid w:val="00CA301A"/>
    <w:rsid w:val="00CA31EF"/>
    <w:rsid w:val="00CA3374"/>
    <w:rsid w:val="00CA3771"/>
    <w:rsid w:val="00CA3981"/>
    <w:rsid w:val="00CA3BE4"/>
    <w:rsid w:val="00CA429C"/>
    <w:rsid w:val="00CA461D"/>
    <w:rsid w:val="00CA46A4"/>
    <w:rsid w:val="00CA487F"/>
    <w:rsid w:val="00CA4B8E"/>
    <w:rsid w:val="00CA4CB1"/>
    <w:rsid w:val="00CA4EB4"/>
    <w:rsid w:val="00CA5644"/>
    <w:rsid w:val="00CA5A78"/>
    <w:rsid w:val="00CA5B84"/>
    <w:rsid w:val="00CA5F9E"/>
    <w:rsid w:val="00CA5FEC"/>
    <w:rsid w:val="00CA62AE"/>
    <w:rsid w:val="00CA6830"/>
    <w:rsid w:val="00CA68B3"/>
    <w:rsid w:val="00CA68D4"/>
    <w:rsid w:val="00CA698A"/>
    <w:rsid w:val="00CA698E"/>
    <w:rsid w:val="00CA7404"/>
    <w:rsid w:val="00CA75EB"/>
    <w:rsid w:val="00CA7645"/>
    <w:rsid w:val="00CA776F"/>
    <w:rsid w:val="00CA7775"/>
    <w:rsid w:val="00CA7CF2"/>
    <w:rsid w:val="00CB0479"/>
    <w:rsid w:val="00CB0A16"/>
    <w:rsid w:val="00CB0A84"/>
    <w:rsid w:val="00CB0F0C"/>
    <w:rsid w:val="00CB10F5"/>
    <w:rsid w:val="00CB1696"/>
    <w:rsid w:val="00CB1C09"/>
    <w:rsid w:val="00CB1DCD"/>
    <w:rsid w:val="00CB1E3C"/>
    <w:rsid w:val="00CB2363"/>
    <w:rsid w:val="00CB2434"/>
    <w:rsid w:val="00CB2469"/>
    <w:rsid w:val="00CB2774"/>
    <w:rsid w:val="00CB2A32"/>
    <w:rsid w:val="00CB2A50"/>
    <w:rsid w:val="00CB2E1D"/>
    <w:rsid w:val="00CB2F05"/>
    <w:rsid w:val="00CB2FC2"/>
    <w:rsid w:val="00CB30CA"/>
    <w:rsid w:val="00CB3118"/>
    <w:rsid w:val="00CB3172"/>
    <w:rsid w:val="00CB4022"/>
    <w:rsid w:val="00CB4562"/>
    <w:rsid w:val="00CB471F"/>
    <w:rsid w:val="00CB47F9"/>
    <w:rsid w:val="00CB4FA0"/>
    <w:rsid w:val="00CB5679"/>
    <w:rsid w:val="00CB5713"/>
    <w:rsid w:val="00CB5AAB"/>
    <w:rsid w:val="00CB6792"/>
    <w:rsid w:val="00CB68A2"/>
    <w:rsid w:val="00CB6E4F"/>
    <w:rsid w:val="00CB7040"/>
    <w:rsid w:val="00CB70E1"/>
    <w:rsid w:val="00CB72B4"/>
    <w:rsid w:val="00CB731B"/>
    <w:rsid w:val="00CB73E5"/>
    <w:rsid w:val="00CB7F3B"/>
    <w:rsid w:val="00CC01EB"/>
    <w:rsid w:val="00CC0A7F"/>
    <w:rsid w:val="00CC0FCF"/>
    <w:rsid w:val="00CC10DE"/>
    <w:rsid w:val="00CC1147"/>
    <w:rsid w:val="00CC150E"/>
    <w:rsid w:val="00CC1768"/>
    <w:rsid w:val="00CC18AD"/>
    <w:rsid w:val="00CC1F89"/>
    <w:rsid w:val="00CC2314"/>
    <w:rsid w:val="00CC23A6"/>
    <w:rsid w:val="00CC2408"/>
    <w:rsid w:val="00CC258C"/>
    <w:rsid w:val="00CC25FD"/>
    <w:rsid w:val="00CC2CA2"/>
    <w:rsid w:val="00CC327F"/>
    <w:rsid w:val="00CC333C"/>
    <w:rsid w:val="00CC34CB"/>
    <w:rsid w:val="00CC385A"/>
    <w:rsid w:val="00CC3A15"/>
    <w:rsid w:val="00CC3EF1"/>
    <w:rsid w:val="00CC474A"/>
    <w:rsid w:val="00CC47D7"/>
    <w:rsid w:val="00CC4905"/>
    <w:rsid w:val="00CC49B9"/>
    <w:rsid w:val="00CC4C03"/>
    <w:rsid w:val="00CC60F5"/>
    <w:rsid w:val="00CC6145"/>
    <w:rsid w:val="00CC61AA"/>
    <w:rsid w:val="00CC6515"/>
    <w:rsid w:val="00CC6C49"/>
    <w:rsid w:val="00CC6E85"/>
    <w:rsid w:val="00CC71A0"/>
    <w:rsid w:val="00CC7238"/>
    <w:rsid w:val="00CC75C2"/>
    <w:rsid w:val="00CC778A"/>
    <w:rsid w:val="00CC7E8F"/>
    <w:rsid w:val="00CC7F04"/>
    <w:rsid w:val="00CC7F41"/>
    <w:rsid w:val="00CD000D"/>
    <w:rsid w:val="00CD016C"/>
    <w:rsid w:val="00CD0246"/>
    <w:rsid w:val="00CD0253"/>
    <w:rsid w:val="00CD0842"/>
    <w:rsid w:val="00CD08DE"/>
    <w:rsid w:val="00CD1074"/>
    <w:rsid w:val="00CD14F0"/>
    <w:rsid w:val="00CD157B"/>
    <w:rsid w:val="00CD173D"/>
    <w:rsid w:val="00CD1A0D"/>
    <w:rsid w:val="00CD23D6"/>
    <w:rsid w:val="00CD2656"/>
    <w:rsid w:val="00CD2E0A"/>
    <w:rsid w:val="00CD3078"/>
    <w:rsid w:val="00CD3318"/>
    <w:rsid w:val="00CD365A"/>
    <w:rsid w:val="00CD3A18"/>
    <w:rsid w:val="00CD3B31"/>
    <w:rsid w:val="00CD3F18"/>
    <w:rsid w:val="00CD3FFB"/>
    <w:rsid w:val="00CD43B1"/>
    <w:rsid w:val="00CD45E3"/>
    <w:rsid w:val="00CD483F"/>
    <w:rsid w:val="00CD48E4"/>
    <w:rsid w:val="00CD49CC"/>
    <w:rsid w:val="00CD4A1D"/>
    <w:rsid w:val="00CD4B8D"/>
    <w:rsid w:val="00CD4FBF"/>
    <w:rsid w:val="00CD55A2"/>
    <w:rsid w:val="00CD55AF"/>
    <w:rsid w:val="00CD5857"/>
    <w:rsid w:val="00CD58E5"/>
    <w:rsid w:val="00CD5B2D"/>
    <w:rsid w:val="00CD5E1F"/>
    <w:rsid w:val="00CD5FFD"/>
    <w:rsid w:val="00CD6874"/>
    <w:rsid w:val="00CD688F"/>
    <w:rsid w:val="00CD6E3B"/>
    <w:rsid w:val="00CD7002"/>
    <w:rsid w:val="00CD7104"/>
    <w:rsid w:val="00CD72EA"/>
    <w:rsid w:val="00CD73A3"/>
    <w:rsid w:val="00CD73BC"/>
    <w:rsid w:val="00CD7FB3"/>
    <w:rsid w:val="00CE0055"/>
    <w:rsid w:val="00CE00EB"/>
    <w:rsid w:val="00CE02A8"/>
    <w:rsid w:val="00CE02E6"/>
    <w:rsid w:val="00CE088E"/>
    <w:rsid w:val="00CE0912"/>
    <w:rsid w:val="00CE0B32"/>
    <w:rsid w:val="00CE0C8D"/>
    <w:rsid w:val="00CE1043"/>
    <w:rsid w:val="00CE14DF"/>
    <w:rsid w:val="00CE1570"/>
    <w:rsid w:val="00CE1B40"/>
    <w:rsid w:val="00CE1CE6"/>
    <w:rsid w:val="00CE1DEC"/>
    <w:rsid w:val="00CE1F54"/>
    <w:rsid w:val="00CE22BC"/>
    <w:rsid w:val="00CE25E7"/>
    <w:rsid w:val="00CE270A"/>
    <w:rsid w:val="00CE29BD"/>
    <w:rsid w:val="00CE2B49"/>
    <w:rsid w:val="00CE2BED"/>
    <w:rsid w:val="00CE2E1B"/>
    <w:rsid w:val="00CE301A"/>
    <w:rsid w:val="00CE31E5"/>
    <w:rsid w:val="00CE3234"/>
    <w:rsid w:val="00CE3428"/>
    <w:rsid w:val="00CE3564"/>
    <w:rsid w:val="00CE37F8"/>
    <w:rsid w:val="00CE39A7"/>
    <w:rsid w:val="00CE4204"/>
    <w:rsid w:val="00CE42F6"/>
    <w:rsid w:val="00CE48FB"/>
    <w:rsid w:val="00CE4E97"/>
    <w:rsid w:val="00CE5085"/>
    <w:rsid w:val="00CE5186"/>
    <w:rsid w:val="00CE53AD"/>
    <w:rsid w:val="00CE5760"/>
    <w:rsid w:val="00CE5A59"/>
    <w:rsid w:val="00CE60F0"/>
    <w:rsid w:val="00CE616B"/>
    <w:rsid w:val="00CE629E"/>
    <w:rsid w:val="00CE62B8"/>
    <w:rsid w:val="00CE63A8"/>
    <w:rsid w:val="00CE6528"/>
    <w:rsid w:val="00CE6B16"/>
    <w:rsid w:val="00CE6BB0"/>
    <w:rsid w:val="00CE6F27"/>
    <w:rsid w:val="00CE6F96"/>
    <w:rsid w:val="00CE7672"/>
    <w:rsid w:val="00CE7687"/>
    <w:rsid w:val="00CE76B5"/>
    <w:rsid w:val="00CE79FE"/>
    <w:rsid w:val="00CE7A31"/>
    <w:rsid w:val="00CE7DD6"/>
    <w:rsid w:val="00CE7E16"/>
    <w:rsid w:val="00CF010F"/>
    <w:rsid w:val="00CF0423"/>
    <w:rsid w:val="00CF072B"/>
    <w:rsid w:val="00CF08F6"/>
    <w:rsid w:val="00CF0ADD"/>
    <w:rsid w:val="00CF0AFE"/>
    <w:rsid w:val="00CF0D20"/>
    <w:rsid w:val="00CF19EB"/>
    <w:rsid w:val="00CF19EE"/>
    <w:rsid w:val="00CF2753"/>
    <w:rsid w:val="00CF28EE"/>
    <w:rsid w:val="00CF2CAC"/>
    <w:rsid w:val="00CF2FA8"/>
    <w:rsid w:val="00CF3159"/>
    <w:rsid w:val="00CF3885"/>
    <w:rsid w:val="00CF3B92"/>
    <w:rsid w:val="00CF402D"/>
    <w:rsid w:val="00CF431B"/>
    <w:rsid w:val="00CF4333"/>
    <w:rsid w:val="00CF5577"/>
    <w:rsid w:val="00CF5BE3"/>
    <w:rsid w:val="00CF6150"/>
    <w:rsid w:val="00CF620E"/>
    <w:rsid w:val="00CF62A8"/>
    <w:rsid w:val="00CF6CD1"/>
    <w:rsid w:val="00CF6DDA"/>
    <w:rsid w:val="00CF6DF4"/>
    <w:rsid w:val="00CF6EA7"/>
    <w:rsid w:val="00CF706A"/>
    <w:rsid w:val="00CF7684"/>
    <w:rsid w:val="00CF7A07"/>
    <w:rsid w:val="00CF7AF7"/>
    <w:rsid w:val="00D00171"/>
    <w:rsid w:val="00D0063E"/>
    <w:rsid w:val="00D00680"/>
    <w:rsid w:val="00D00A23"/>
    <w:rsid w:val="00D00AB2"/>
    <w:rsid w:val="00D011FE"/>
    <w:rsid w:val="00D016AB"/>
    <w:rsid w:val="00D019FA"/>
    <w:rsid w:val="00D01CCF"/>
    <w:rsid w:val="00D0212E"/>
    <w:rsid w:val="00D0214A"/>
    <w:rsid w:val="00D026CD"/>
    <w:rsid w:val="00D029FE"/>
    <w:rsid w:val="00D02A25"/>
    <w:rsid w:val="00D03363"/>
    <w:rsid w:val="00D041D8"/>
    <w:rsid w:val="00D0442E"/>
    <w:rsid w:val="00D0455A"/>
    <w:rsid w:val="00D04C15"/>
    <w:rsid w:val="00D04F7B"/>
    <w:rsid w:val="00D0512C"/>
    <w:rsid w:val="00D053C2"/>
    <w:rsid w:val="00D05FA5"/>
    <w:rsid w:val="00D06211"/>
    <w:rsid w:val="00D0690A"/>
    <w:rsid w:val="00D069A9"/>
    <w:rsid w:val="00D06E9F"/>
    <w:rsid w:val="00D06FFF"/>
    <w:rsid w:val="00D07871"/>
    <w:rsid w:val="00D07B7D"/>
    <w:rsid w:val="00D07D7B"/>
    <w:rsid w:val="00D07F74"/>
    <w:rsid w:val="00D105FD"/>
    <w:rsid w:val="00D10C29"/>
    <w:rsid w:val="00D10DD2"/>
    <w:rsid w:val="00D113E7"/>
    <w:rsid w:val="00D116BB"/>
    <w:rsid w:val="00D116F0"/>
    <w:rsid w:val="00D11724"/>
    <w:rsid w:val="00D119B8"/>
    <w:rsid w:val="00D11A72"/>
    <w:rsid w:val="00D11B26"/>
    <w:rsid w:val="00D11B66"/>
    <w:rsid w:val="00D122BD"/>
    <w:rsid w:val="00D123EA"/>
    <w:rsid w:val="00D124C5"/>
    <w:rsid w:val="00D126F2"/>
    <w:rsid w:val="00D12A77"/>
    <w:rsid w:val="00D12C8C"/>
    <w:rsid w:val="00D12E24"/>
    <w:rsid w:val="00D134C5"/>
    <w:rsid w:val="00D135C9"/>
    <w:rsid w:val="00D13CD4"/>
    <w:rsid w:val="00D14332"/>
    <w:rsid w:val="00D144C6"/>
    <w:rsid w:val="00D1455C"/>
    <w:rsid w:val="00D14C3A"/>
    <w:rsid w:val="00D14D0D"/>
    <w:rsid w:val="00D15178"/>
    <w:rsid w:val="00D151AE"/>
    <w:rsid w:val="00D15979"/>
    <w:rsid w:val="00D159A3"/>
    <w:rsid w:val="00D15B0C"/>
    <w:rsid w:val="00D15F88"/>
    <w:rsid w:val="00D167E6"/>
    <w:rsid w:val="00D16C97"/>
    <w:rsid w:val="00D16F9B"/>
    <w:rsid w:val="00D174D0"/>
    <w:rsid w:val="00D17611"/>
    <w:rsid w:val="00D17A0C"/>
    <w:rsid w:val="00D17E0F"/>
    <w:rsid w:val="00D17E1D"/>
    <w:rsid w:val="00D17E36"/>
    <w:rsid w:val="00D203EE"/>
    <w:rsid w:val="00D20AA8"/>
    <w:rsid w:val="00D211A0"/>
    <w:rsid w:val="00D21366"/>
    <w:rsid w:val="00D21A5A"/>
    <w:rsid w:val="00D21ADF"/>
    <w:rsid w:val="00D21E2C"/>
    <w:rsid w:val="00D21F33"/>
    <w:rsid w:val="00D22039"/>
    <w:rsid w:val="00D22381"/>
    <w:rsid w:val="00D22762"/>
    <w:rsid w:val="00D22863"/>
    <w:rsid w:val="00D22A36"/>
    <w:rsid w:val="00D22D74"/>
    <w:rsid w:val="00D231EA"/>
    <w:rsid w:val="00D23502"/>
    <w:rsid w:val="00D23769"/>
    <w:rsid w:val="00D239B8"/>
    <w:rsid w:val="00D23D32"/>
    <w:rsid w:val="00D23D51"/>
    <w:rsid w:val="00D23FA1"/>
    <w:rsid w:val="00D24778"/>
    <w:rsid w:val="00D25409"/>
    <w:rsid w:val="00D259F3"/>
    <w:rsid w:val="00D25ADF"/>
    <w:rsid w:val="00D25BE6"/>
    <w:rsid w:val="00D25C2E"/>
    <w:rsid w:val="00D25FFA"/>
    <w:rsid w:val="00D264A4"/>
    <w:rsid w:val="00D268E0"/>
    <w:rsid w:val="00D26CEC"/>
    <w:rsid w:val="00D26E87"/>
    <w:rsid w:val="00D27086"/>
    <w:rsid w:val="00D274D5"/>
    <w:rsid w:val="00D274E2"/>
    <w:rsid w:val="00D27609"/>
    <w:rsid w:val="00D279F9"/>
    <w:rsid w:val="00D27BB8"/>
    <w:rsid w:val="00D27CDB"/>
    <w:rsid w:val="00D27D1C"/>
    <w:rsid w:val="00D27E92"/>
    <w:rsid w:val="00D30112"/>
    <w:rsid w:val="00D3018C"/>
    <w:rsid w:val="00D30458"/>
    <w:rsid w:val="00D30B67"/>
    <w:rsid w:val="00D30D2F"/>
    <w:rsid w:val="00D30E04"/>
    <w:rsid w:val="00D31138"/>
    <w:rsid w:val="00D31529"/>
    <w:rsid w:val="00D3190D"/>
    <w:rsid w:val="00D31C33"/>
    <w:rsid w:val="00D32416"/>
    <w:rsid w:val="00D326A2"/>
    <w:rsid w:val="00D32B9F"/>
    <w:rsid w:val="00D3345B"/>
    <w:rsid w:val="00D33974"/>
    <w:rsid w:val="00D33BA6"/>
    <w:rsid w:val="00D34629"/>
    <w:rsid w:val="00D346EB"/>
    <w:rsid w:val="00D34B45"/>
    <w:rsid w:val="00D35190"/>
    <w:rsid w:val="00D35A16"/>
    <w:rsid w:val="00D35DEF"/>
    <w:rsid w:val="00D36000"/>
    <w:rsid w:val="00D362D1"/>
    <w:rsid w:val="00D3648B"/>
    <w:rsid w:val="00D36D7D"/>
    <w:rsid w:val="00D36FEC"/>
    <w:rsid w:val="00D3723B"/>
    <w:rsid w:val="00D377B1"/>
    <w:rsid w:val="00D37996"/>
    <w:rsid w:val="00D37C81"/>
    <w:rsid w:val="00D37DF7"/>
    <w:rsid w:val="00D405B2"/>
    <w:rsid w:val="00D40BBB"/>
    <w:rsid w:val="00D4101C"/>
    <w:rsid w:val="00D411AB"/>
    <w:rsid w:val="00D41778"/>
    <w:rsid w:val="00D41B32"/>
    <w:rsid w:val="00D41BD7"/>
    <w:rsid w:val="00D41E32"/>
    <w:rsid w:val="00D42078"/>
    <w:rsid w:val="00D42CC1"/>
    <w:rsid w:val="00D42D59"/>
    <w:rsid w:val="00D42F6C"/>
    <w:rsid w:val="00D43663"/>
    <w:rsid w:val="00D43A1F"/>
    <w:rsid w:val="00D44755"/>
    <w:rsid w:val="00D4477C"/>
    <w:rsid w:val="00D44AA2"/>
    <w:rsid w:val="00D45524"/>
    <w:rsid w:val="00D45EDA"/>
    <w:rsid w:val="00D46126"/>
    <w:rsid w:val="00D461B7"/>
    <w:rsid w:val="00D46750"/>
    <w:rsid w:val="00D4788B"/>
    <w:rsid w:val="00D47CB3"/>
    <w:rsid w:val="00D47F43"/>
    <w:rsid w:val="00D47FC6"/>
    <w:rsid w:val="00D5004E"/>
    <w:rsid w:val="00D506A4"/>
    <w:rsid w:val="00D50D8F"/>
    <w:rsid w:val="00D50DFF"/>
    <w:rsid w:val="00D50F88"/>
    <w:rsid w:val="00D512A4"/>
    <w:rsid w:val="00D5135C"/>
    <w:rsid w:val="00D5138A"/>
    <w:rsid w:val="00D517A9"/>
    <w:rsid w:val="00D5195A"/>
    <w:rsid w:val="00D51A5D"/>
    <w:rsid w:val="00D51A7A"/>
    <w:rsid w:val="00D51B6D"/>
    <w:rsid w:val="00D51C63"/>
    <w:rsid w:val="00D521C2"/>
    <w:rsid w:val="00D52785"/>
    <w:rsid w:val="00D52B04"/>
    <w:rsid w:val="00D53401"/>
    <w:rsid w:val="00D5370C"/>
    <w:rsid w:val="00D537D1"/>
    <w:rsid w:val="00D539EF"/>
    <w:rsid w:val="00D53A72"/>
    <w:rsid w:val="00D54038"/>
    <w:rsid w:val="00D54213"/>
    <w:rsid w:val="00D542E7"/>
    <w:rsid w:val="00D544E4"/>
    <w:rsid w:val="00D5490B"/>
    <w:rsid w:val="00D54F96"/>
    <w:rsid w:val="00D54FF3"/>
    <w:rsid w:val="00D5509A"/>
    <w:rsid w:val="00D550A4"/>
    <w:rsid w:val="00D5556F"/>
    <w:rsid w:val="00D55656"/>
    <w:rsid w:val="00D55A61"/>
    <w:rsid w:val="00D55E63"/>
    <w:rsid w:val="00D5610F"/>
    <w:rsid w:val="00D5676F"/>
    <w:rsid w:val="00D567D7"/>
    <w:rsid w:val="00D569BD"/>
    <w:rsid w:val="00D56AE7"/>
    <w:rsid w:val="00D57027"/>
    <w:rsid w:val="00D573B0"/>
    <w:rsid w:val="00D57521"/>
    <w:rsid w:val="00D576B6"/>
    <w:rsid w:val="00D578DF"/>
    <w:rsid w:val="00D5792F"/>
    <w:rsid w:val="00D57967"/>
    <w:rsid w:val="00D579E1"/>
    <w:rsid w:val="00D600EC"/>
    <w:rsid w:val="00D60147"/>
    <w:rsid w:val="00D6036C"/>
    <w:rsid w:val="00D60747"/>
    <w:rsid w:val="00D60CB8"/>
    <w:rsid w:val="00D60DEF"/>
    <w:rsid w:val="00D6110E"/>
    <w:rsid w:val="00D61D9D"/>
    <w:rsid w:val="00D61E8B"/>
    <w:rsid w:val="00D6217D"/>
    <w:rsid w:val="00D6231B"/>
    <w:rsid w:val="00D62439"/>
    <w:rsid w:val="00D62C17"/>
    <w:rsid w:val="00D62DFA"/>
    <w:rsid w:val="00D62FE3"/>
    <w:rsid w:val="00D63ACC"/>
    <w:rsid w:val="00D63D29"/>
    <w:rsid w:val="00D63EDB"/>
    <w:rsid w:val="00D6519E"/>
    <w:rsid w:val="00D65C79"/>
    <w:rsid w:val="00D6601C"/>
    <w:rsid w:val="00D66421"/>
    <w:rsid w:val="00D66949"/>
    <w:rsid w:val="00D674AD"/>
    <w:rsid w:val="00D67A38"/>
    <w:rsid w:val="00D67A60"/>
    <w:rsid w:val="00D67A77"/>
    <w:rsid w:val="00D67E77"/>
    <w:rsid w:val="00D70016"/>
    <w:rsid w:val="00D70178"/>
    <w:rsid w:val="00D70194"/>
    <w:rsid w:val="00D701CE"/>
    <w:rsid w:val="00D701D4"/>
    <w:rsid w:val="00D701D7"/>
    <w:rsid w:val="00D704D7"/>
    <w:rsid w:val="00D7069F"/>
    <w:rsid w:val="00D7083D"/>
    <w:rsid w:val="00D708A9"/>
    <w:rsid w:val="00D7100B"/>
    <w:rsid w:val="00D71188"/>
    <w:rsid w:val="00D7121B"/>
    <w:rsid w:val="00D71336"/>
    <w:rsid w:val="00D713A4"/>
    <w:rsid w:val="00D71461"/>
    <w:rsid w:val="00D71471"/>
    <w:rsid w:val="00D71B67"/>
    <w:rsid w:val="00D71BF6"/>
    <w:rsid w:val="00D71C56"/>
    <w:rsid w:val="00D71F09"/>
    <w:rsid w:val="00D72368"/>
    <w:rsid w:val="00D72BE6"/>
    <w:rsid w:val="00D72F25"/>
    <w:rsid w:val="00D73B2C"/>
    <w:rsid w:val="00D73C72"/>
    <w:rsid w:val="00D73DDB"/>
    <w:rsid w:val="00D7429D"/>
    <w:rsid w:val="00D745D7"/>
    <w:rsid w:val="00D75080"/>
    <w:rsid w:val="00D7519D"/>
    <w:rsid w:val="00D75281"/>
    <w:rsid w:val="00D75378"/>
    <w:rsid w:val="00D75A53"/>
    <w:rsid w:val="00D75B25"/>
    <w:rsid w:val="00D75DC9"/>
    <w:rsid w:val="00D76004"/>
    <w:rsid w:val="00D760B7"/>
    <w:rsid w:val="00D763AA"/>
    <w:rsid w:val="00D7657C"/>
    <w:rsid w:val="00D765FD"/>
    <w:rsid w:val="00D76616"/>
    <w:rsid w:val="00D76BAD"/>
    <w:rsid w:val="00D76C97"/>
    <w:rsid w:val="00D76D95"/>
    <w:rsid w:val="00D76E8B"/>
    <w:rsid w:val="00D7706C"/>
    <w:rsid w:val="00D77433"/>
    <w:rsid w:val="00D779A5"/>
    <w:rsid w:val="00D77DAD"/>
    <w:rsid w:val="00D77F24"/>
    <w:rsid w:val="00D80C6B"/>
    <w:rsid w:val="00D80CCC"/>
    <w:rsid w:val="00D80F0E"/>
    <w:rsid w:val="00D810BB"/>
    <w:rsid w:val="00D812DC"/>
    <w:rsid w:val="00D81524"/>
    <w:rsid w:val="00D81801"/>
    <w:rsid w:val="00D81807"/>
    <w:rsid w:val="00D81ADA"/>
    <w:rsid w:val="00D81FBB"/>
    <w:rsid w:val="00D8205D"/>
    <w:rsid w:val="00D8222E"/>
    <w:rsid w:val="00D82A69"/>
    <w:rsid w:val="00D8352F"/>
    <w:rsid w:val="00D836E9"/>
    <w:rsid w:val="00D83760"/>
    <w:rsid w:val="00D8395B"/>
    <w:rsid w:val="00D83D93"/>
    <w:rsid w:val="00D83FBF"/>
    <w:rsid w:val="00D844C1"/>
    <w:rsid w:val="00D8456E"/>
    <w:rsid w:val="00D8462F"/>
    <w:rsid w:val="00D846FB"/>
    <w:rsid w:val="00D849D6"/>
    <w:rsid w:val="00D84E58"/>
    <w:rsid w:val="00D85504"/>
    <w:rsid w:val="00D8567A"/>
    <w:rsid w:val="00D86512"/>
    <w:rsid w:val="00D86695"/>
    <w:rsid w:val="00D867A8"/>
    <w:rsid w:val="00D86A06"/>
    <w:rsid w:val="00D86ABB"/>
    <w:rsid w:val="00D86AD8"/>
    <w:rsid w:val="00D87080"/>
    <w:rsid w:val="00D87115"/>
    <w:rsid w:val="00D8714F"/>
    <w:rsid w:val="00D8715C"/>
    <w:rsid w:val="00D8744F"/>
    <w:rsid w:val="00D879C1"/>
    <w:rsid w:val="00D87B29"/>
    <w:rsid w:val="00D87D0E"/>
    <w:rsid w:val="00D87D72"/>
    <w:rsid w:val="00D9035B"/>
    <w:rsid w:val="00D90444"/>
    <w:rsid w:val="00D90A77"/>
    <w:rsid w:val="00D90BA1"/>
    <w:rsid w:val="00D91492"/>
    <w:rsid w:val="00D9177C"/>
    <w:rsid w:val="00D917C8"/>
    <w:rsid w:val="00D91911"/>
    <w:rsid w:val="00D91A0A"/>
    <w:rsid w:val="00D91A82"/>
    <w:rsid w:val="00D91B5D"/>
    <w:rsid w:val="00D91B8A"/>
    <w:rsid w:val="00D91CB8"/>
    <w:rsid w:val="00D92EED"/>
    <w:rsid w:val="00D92F25"/>
    <w:rsid w:val="00D932E6"/>
    <w:rsid w:val="00D9376B"/>
    <w:rsid w:val="00D93878"/>
    <w:rsid w:val="00D93E53"/>
    <w:rsid w:val="00D9449B"/>
    <w:rsid w:val="00D94A33"/>
    <w:rsid w:val="00D94AD1"/>
    <w:rsid w:val="00D94B35"/>
    <w:rsid w:val="00D95A14"/>
    <w:rsid w:val="00D95E5C"/>
    <w:rsid w:val="00D96232"/>
    <w:rsid w:val="00D96787"/>
    <w:rsid w:val="00D967A5"/>
    <w:rsid w:val="00D96B99"/>
    <w:rsid w:val="00D96D89"/>
    <w:rsid w:val="00D9732F"/>
    <w:rsid w:val="00D97CB3"/>
    <w:rsid w:val="00D97F7F"/>
    <w:rsid w:val="00DA00C4"/>
    <w:rsid w:val="00DA00E5"/>
    <w:rsid w:val="00DA032B"/>
    <w:rsid w:val="00DA037D"/>
    <w:rsid w:val="00DA0430"/>
    <w:rsid w:val="00DA0735"/>
    <w:rsid w:val="00DA114E"/>
    <w:rsid w:val="00DA1306"/>
    <w:rsid w:val="00DA1461"/>
    <w:rsid w:val="00DA182E"/>
    <w:rsid w:val="00DA1E23"/>
    <w:rsid w:val="00DA31BB"/>
    <w:rsid w:val="00DA32AF"/>
    <w:rsid w:val="00DA33EF"/>
    <w:rsid w:val="00DA35AD"/>
    <w:rsid w:val="00DA374B"/>
    <w:rsid w:val="00DA3A26"/>
    <w:rsid w:val="00DA3EAD"/>
    <w:rsid w:val="00DA3EC2"/>
    <w:rsid w:val="00DA4370"/>
    <w:rsid w:val="00DA4479"/>
    <w:rsid w:val="00DA4694"/>
    <w:rsid w:val="00DA477A"/>
    <w:rsid w:val="00DA4820"/>
    <w:rsid w:val="00DA4973"/>
    <w:rsid w:val="00DA4F32"/>
    <w:rsid w:val="00DA5172"/>
    <w:rsid w:val="00DA5259"/>
    <w:rsid w:val="00DA545B"/>
    <w:rsid w:val="00DA585B"/>
    <w:rsid w:val="00DA5A3E"/>
    <w:rsid w:val="00DA5E69"/>
    <w:rsid w:val="00DA67B4"/>
    <w:rsid w:val="00DA68A5"/>
    <w:rsid w:val="00DA6B61"/>
    <w:rsid w:val="00DA6CF4"/>
    <w:rsid w:val="00DA70E8"/>
    <w:rsid w:val="00DA73AF"/>
    <w:rsid w:val="00DA7CFE"/>
    <w:rsid w:val="00DA7EE5"/>
    <w:rsid w:val="00DB0056"/>
    <w:rsid w:val="00DB016D"/>
    <w:rsid w:val="00DB0236"/>
    <w:rsid w:val="00DB09C0"/>
    <w:rsid w:val="00DB0DD9"/>
    <w:rsid w:val="00DB10A8"/>
    <w:rsid w:val="00DB111B"/>
    <w:rsid w:val="00DB11DF"/>
    <w:rsid w:val="00DB1431"/>
    <w:rsid w:val="00DB19CC"/>
    <w:rsid w:val="00DB1E5D"/>
    <w:rsid w:val="00DB25E3"/>
    <w:rsid w:val="00DB2C19"/>
    <w:rsid w:val="00DB30F4"/>
    <w:rsid w:val="00DB31E4"/>
    <w:rsid w:val="00DB37A3"/>
    <w:rsid w:val="00DB3A12"/>
    <w:rsid w:val="00DB3C55"/>
    <w:rsid w:val="00DB3D95"/>
    <w:rsid w:val="00DB3D9F"/>
    <w:rsid w:val="00DB436C"/>
    <w:rsid w:val="00DB4863"/>
    <w:rsid w:val="00DB49CD"/>
    <w:rsid w:val="00DB4EF9"/>
    <w:rsid w:val="00DB5435"/>
    <w:rsid w:val="00DB5698"/>
    <w:rsid w:val="00DB575F"/>
    <w:rsid w:val="00DB59FC"/>
    <w:rsid w:val="00DB5F7B"/>
    <w:rsid w:val="00DB63F0"/>
    <w:rsid w:val="00DB66AC"/>
    <w:rsid w:val="00DB6947"/>
    <w:rsid w:val="00DB6B48"/>
    <w:rsid w:val="00DB6D8A"/>
    <w:rsid w:val="00DB6E07"/>
    <w:rsid w:val="00DB7131"/>
    <w:rsid w:val="00DB7344"/>
    <w:rsid w:val="00DB73D7"/>
    <w:rsid w:val="00DB761A"/>
    <w:rsid w:val="00DB768C"/>
    <w:rsid w:val="00DB7748"/>
    <w:rsid w:val="00DB77CD"/>
    <w:rsid w:val="00DB7916"/>
    <w:rsid w:val="00DB7E20"/>
    <w:rsid w:val="00DB7E8D"/>
    <w:rsid w:val="00DB7ED2"/>
    <w:rsid w:val="00DB7FA2"/>
    <w:rsid w:val="00DC0050"/>
    <w:rsid w:val="00DC04B5"/>
    <w:rsid w:val="00DC08BF"/>
    <w:rsid w:val="00DC08D5"/>
    <w:rsid w:val="00DC0D2B"/>
    <w:rsid w:val="00DC0EA9"/>
    <w:rsid w:val="00DC1061"/>
    <w:rsid w:val="00DC10C3"/>
    <w:rsid w:val="00DC10F2"/>
    <w:rsid w:val="00DC1326"/>
    <w:rsid w:val="00DC143B"/>
    <w:rsid w:val="00DC1926"/>
    <w:rsid w:val="00DC1C01"/>
    <w:rsid w:val="00DC1E36"/>
    <w:rsid w:val="00DC2244"/>
    <w:rsid w:val="00DC22A2"/>
    <w:rsid w:val="00DC2860"/>
    <w:rsid w:val="00DC2886"/>
    <w:rsid w:val="00DC28B0"/>
    <w:rsid w:val="00DC2B13"/>
    <w:rsid w:val="00DC2C91"/>
    <w:rsid w:val="00DC390F"/>
    <w:rsid w:val="00DC3A85"/>
    <w:rsid w:val="00DC3C5E"/>
    <w:rsid w:val="00DC3E4A"/>
    <w:rsid w:val="00DC4CD9"/>
    <w:rsid w:val="00DC56E3"/>
    <w:rsid w:val="00DC5DB6"/>
    <w:rsid w:val="00DC5EC0"/>
    <w:rsid w:val="00DC6192"/>
    <w:rsid w:val="00DC6EC3"/>
    <w:rsid w:val="00DC737F"/>
    <w:rsid w:val="00DC77BD"/>
    <w:rsid w:val="00DC7ADB"/>
    <w:rsid w:val="00DC7B45"/>
    <w:rsid w:val="00DC7B88"/>
    <w:rsid w:val="00DC7C54"/>
    <w:rsid w:val="00DC7F49"/>
    <w:rsid w:val="00DD0179"/>
    <w:rsid w:val="00DD05D4"/>
    <w:rsid w:val="00DD09EB"/>
    <w:rsid w:val="00DD0BEA"/>
    <w:rsid w:val="00DD0C04"/>
    <w:rsid w:val="00DD0CED"/>
    <w:rsid w:val="00DD15F1"/>
    <w:rsid w:val="00DD1A9E"/>
    <w:rsid w:val="00DD2301"/>
    <w:rsid w:val="00DD2520"/>
    <w:rsid w:val="00DD28FB"/>
    <w:rsid w:val="00DD30CB"/>
    <w:rsid w:val="00DD323E"/>
    <w:rsid w:val="00DD32CC"/>
    <w:rsid w:val="00DD357B"/>
    <w:rsid w:val="00DD3791"/>
    <w:rsid w:val="00DD3A1E"/>
    <w:rsid w:val="00DD3AFE"/>
    <w:rsid w:val="00DD3D22"/>
    <w:rsid w:val="00DD3E41"/>
    <w:rsid w:val="00DD417C"/>
    <w:rsid w:val="00DD426D"/>
    <w:rsid w:val="00DD436B"/>
    <w:rsid w:val="00DD4752"/>
    <w:rsid w:val="00DD47E4"/>
    <w:rsid w:val="00DD488F"/>
    <w:rsid w:val="00DD4AFB"/>
    <w:rsid w:val="00DD4D46"/>
    <w:rsid w:val="00DD4DAF"/>
    <w:rsid w:val="00DD50A3"/>
    <w:rsid w:val="00DD5130"/>
    <w:rsid w:val="00DD5349"/>
    <w:rsid w:val="00DD5420"/>
    <w:rsid w:val="00DD5595"/>
    <w:rsid w:val="00DD56DD"/>
    <w:rsid w:val="00DD584B"/>
    <w:rsid w:val="00DD5928"/>
    <w:rsid w:val="00DD5948"/>
    <w:rsid w:val="00DD6030"/>
    <w:rsid w:val="00DD616C"/>
    <w:rsid w:val="00DD6294"/>
    <w:rsid w:val="00DD67E5"/>
    <w:rsid w:val="00DD6A57"/>
    <w:rsid w:val="00DD6DAA"/>
    <w:rsid w:val="00DD6DE4"/>
    <w:rsid w:val="00DD7848"/>
    <w:rsid w:val="00DD7EAF"/>
    <w:rsid w:val="00DE01F6"/>
    <w:rsid w:val="00DE0520"/>
    <w:rsid w:val="00DE0857"/>
    <w:rsid w:val="00DE0CD5"/>
    <w:rsid w:val="00DE0FBE"/>
    <w:rsid w:val="00DE1031"/>
    <w:rsid w:val="00DE13A3"/>
    <w:rsid w:val="00DE1B18"/>
    <w:rsid w:val="00DE1BF6"/>
    <w:rsid w:val="00DE1D5F"/>
    <w:rsid w:val="00DE1E8F"/>
    <w:rsid w:val="00DE1FD6"/>
    <w:rsid w:val="00DE1FDE"/>
    <w:rsid w:val="00DE20F1"/>
    <w:rsid w:val="00DE21F5"/>
    <w:rsid w:val="00DE2411"/>
    <w:rsid w:val="00DE2445"/>
    <w:rsid w:val="00DE2792"/>
    <w:rsid w:val="00DE2C16"/>
    <w:rsid w:val="00DE2EB4"/>
    <w:rsid w:val="00DE34E7"/>
    <w:rsid w:val="00DE357C"/>
    <w:rsid w:val="00DE375E"/>
    <w:rsid w:val="00DE38E9"/>
    <w:rsid w:val="00DE390B"/>
    <w:rsid w:val="00DE3A21"/>
    <w:rsid w:val="00DE3A6C"/>
    <w:rsid w:val="00DE3CE5"/>
    <w:rsid w:val="00DE3DDD"/>
    <w:rsid w:val="00DE4063"/>
    <w:rsid w:val="00DE4144"/>
    <w:rsid w:val="00DE42F3"/>
    <w:rsid w:val="00DE472C"/>
    <w:rsid w:val="00DE4778"/>
    <w:rsid w:val="00DE4B1A"/>
    <w:rsid w:val="00DE56AD"/>
    <w:rsid w:val="00DE56E8"/>
    <w:rsid w:val="00DE5851"/>
    <w:rsid w:val="00DE5853"/>
    <w:rsid w:val="00DE5A62"/>
    <w:rsid w:val="00DE6788"/>
    <w:rsid w:val="00DE686E"/>
    <w:rsid w:val="00DE6EB9"/>
    <w:rsid w:val="00DE722E"/>
    <w:rsid w:val="00DE76A7"/>
    <w:rsid w:val="00DE78CE"/>
    <w:rsid w:val="00DE7B6E"/>
    <w:rsid w:val="00DE7CCD"/>
    <w:rsid w:val="00DF021A"/>
    <w:rsid w:val="00DF027A"/>
    <w:rsid w:val="00DF02D6"/>
    <w:rsid w:val="00DF074F"/>
    <w:rsid w:val="00DF0B23"/>
    <w:rsid w:val="00DF0BD6"/>
    <w:rsid w:val="00DF0D67"/>
    <w:rsid w:val="00DF0EA2"/>
    <w:rsid w:val="00DF0ED5"/>
    <w:rsid w:val="00DF0ED7"/>
    <w:rsid w:val="00DF123F"/>
    <w:rsid w:val="00DF12B3"/>
    <w:rsid w:val="00DF17D8"/>
    <w:rsid w:val="00DF1A16"/>
    <w:rsid w:val="00DF1C08"/>
    <w:rsid w:val="00DF1CF9"/>
    <w:rsid w:val="00DF201F"/>
    <w:rsid w:val="00DF21F4"/>
    <w:rsid w:val="00DF2409"/>
    <w:rsid w:val="00DF2583"/>
    <w:rsid w:val="00DF26B1"/>
    <w:rsid w:val="00DF2865"/>
    <w:rsid w:val="00DF2CE5"/>
    <w:rsid w:val="00DF2E7F"/>
    <w:rsid w:val="00DF3158"/>
    <w:rsid w:val="00DF3219"/>
    <w:rsid w:val="00DF3814"/>
    <w:rsid w:val="00DF3BF6"/>
    <w:rsid w:val="00DF3DA5"/>
    <w:rsid w:val="00DF43D4"/>
    <w:rsid w:val="00DF4400"/>
    <w:rsid w:val="00DF480A"/>
    <w:rsid w:val="00DF4AC4"/>
    <w:rsid w:val="00DF4CAF"/>
    <w:rsid w:val="00DF4FB9"/>
    <w:rsid w:val="00DF52AB"/>
    <w:rsid w:val="00DF52D1"/>
    <w:rsid w:val="00DF56A1"/>
    <w:rsid w:val="00DF5789"/>
    <w:rsid w:val="00DF5984"/>
    <w:rsid w:val="00DF5A45"/>
    <w:rsid w:val="00DF6037"/>
    <w:rsid w:val="00DF630F"/>
    <w:rsid w:val="00DF663B"/>
    <w:rsid w:val="00DF6AC9"/>
    <w:rsid w:val="00DF6BBE"/>
    <w:rsid w:val="00DF6E21"/>
    <w:rsid w:val="00DF70FF"/>
    <w:rsid w:val="00DF71D8"/>
    <w:rsid w:val="00DF7366"/>
    <w:rsid w:val="00E006FB"/>
    <w:rsid w:val="00E00719"/>
    <w:rsid w:val="00E0085F"/>
    <w:rsid w:val="00E00B43"/>
    <w:rsid w:val="00E0109D"/>
    <w:rsid w:val="00E0188B"/>
    <w:rsid w:val="00E0196D"/>
    <w:rsid w:val="00E01CA7"/>
    <w:rsid w:val="00E01D99"/>
    <w:rsid w:val="00E01DFE"/>
    <w:rsid w:val="00E020CB"/>
    <w:rsid w:val="00E02CDD"/>
    <w:rsid w:val="00E02D07"/>
    <w:rsid w:val="00E02E95"/>
    <w:rsid w:val="00E02F1B"/>
    <w:rsid w:val="00E03326"/>
    <w:rsid w:val="00E033BA"/>
    <w:rsid w:val="00E03504"/>
    <w:rsid w:val="00E03692"/>
    <w:rsid w:val="00E037B3"/>
    <w:rsid w:val="00E037C1"/>
    <w:rsid w:val="00E0382F"/>
    <w:rsid w:val="00E03846"/>
    <w:rsid w:val="00E03980"/>
    <w:rsid w:val="00E03DA9"/>
    <w:rsid w:val="00E041EC"/>
    <w:rsid w:val="00E047AD"/>
    <w:rsid w:val="00E0489F"/>
    <w:rsid w:val="00E058EE"/>
    <w:rsid w:val="00E05B26"/>
    <w:rsid w:val="00E05C35"/>
    <w:rsid w:val="00E05F83"/>
    <w:rsid w:val="00E06676"/>
    <w:rsid w:val="00E0669F"/>
    <w:rsid w:val="00E066D2"/>
    <w:rsid w:val="00E066F5"/>
    <w:rsid w:val="00E06A0D"/>
    <w:rsid w:val="00E07009"/>
    <w:rsid w:val="00E0716E"/>
    <w:rsid w:val="00E073BA"/>
    <w:rsid w:val="00E075DE"/>
    <w:rsid w:val="00E0775F"/>
    <w:rsid w:val="00E07AA3"/>
    <w:rsid w:val="00E07AB5"/>
    <w:rsid w:val="00E07DCD"/>
    <w:rsid w:val="00E10A5A"/>
    <w:rsid w:val="00E10E1B"/>
    <w:rsid w:val="00E10EC8"/>
    <w:rsid w:val="00E1117B"/>
    <w:rsid w:val="00E1135E"/>
    <w:rsid w:val="00E1171C"/>
    <w:rsid w:val="00E11D68"/>
    <w:rsid w:val="00E11DB0"/>
    <w:rsid w:val="00E11E45"/>
    <w:rsid w:val="00E120FC"/>
    <w:rsid w:val="00E1213E"/>
    <w:rsid w:val="00E1219F"/>
    <w:rsid w:val="00E1228B"/>
    <w:rsid w:val="00E12742"/>
    <w:rsid w:val="00E12A7B"/>
    <w:rsid w:val="00E12CBB"/>
    <w:rsid w:val="00E12D6C"/>
    <w:rsid w:val="00E12EDF"/>
    <w:rsid w:val="00E13408"/>
    <w:rsid w:val="00E1363C"/>
    <w:rsid w:val="00E1448C"/>
    <w:rsid w:val="00E14B7B"/>
    <w:rsid w:val="00E14CA0"/>
    <w:rsid w:val="00E14D04"/>
    <w:rsid w:val="00E14D30"/>
    <w:rsid w:val="00E14DD1"/>
    <w:rsid w:val="00E15B76"/>
    <w:rsid w:val="00E15DA7"/>
    <w:rsid w:val="00E16431"/>
    <w:rsid w:val="00E16805"/>
    <w:rsid w:val="00E16910"/>
    <w:rsid w:val="00E1695A"/>
    <w:rsid w:val="00E16B28"/>
    <w:rsid w:val="00E16CA5"/>
    <w:rsid w:val="00E16D2F"/>
    <w:rsid w:val="00E171C1"/>
    <w:rsid w:val="00E17961"/>
    <w:rsid w:val="00E17B40"/>
    <w:rsid w:val="00E17D3A"/>
    <w:rsid w:val="00E17D6E"/>
    <w:rsid w:val="00E17F71"/>
    <w:rsid w:val="00E2094D"/>
    <w:rsid w:val="00E20DD3"/>
    <w:rsid w:val="00E2102D"/>
    <w:rsid w:val="00E21224"/>
    <w:rsid w:val="00E2148C"/>
    <w:rsid w:val="00E21834"/>
    <w:rsid w:val="00E21A10"/>
    <w:rsid w:val="00E21BFF"/>
    <w:rsid w:val="00E21C86"/>
    <w:rsid w:val="00E21CE8"/>
    <w:rsid w:val="00E21EAD"/>
    <w:rsid w:val="00E21F8A"/>
    <w:rsid w:val="00E223B3"/>
    <w:rsid w:val="00E22541"/>
    <w:rsid w:val="00E22D6F"/>
    <w:rsid w:val="00E22E87"/>
    <w:rsid w:val="00E2360B"/>
    <w:rsid w:val="00E23C52"/>
    <w:rsid w:val="00E23C67"/>
    <w:rsid w:val="00E23CEF"/>
    <w:rsid w:val="00E23D0D"/>
    <w:rsid w:val="00E23FAE"/>
    <w:rsid w:val="00E24064"/>
    <w:rsid w:val="00E245C3"/>
    <w:rsid w:val="00E246BA"/>
    <w:rsid w:val="00E247DE"/>
    <w:rsid w:val="00E24BC4"/>
    <w:rsid w:val="00E24D7A"/>
    <w:rsid w:val="00E24F76"/>
    <w:rsid w:val="00E2631F"/>
    <w:rsid w:val="00E263EE"/>
    <w:rsid w:val="00E2648C"/>
    <w:rsid w:val="00E2675C"/>
    <w:rsid w:val="00E26A6B"/>
    <w:rsid w:val="00E26D12"/>
    <w:rsid w:val="00E26F6B"/>
    <w:rsid w:val="00E273C1"/>
    <w:rsid w:val="00E275B2"/>
    <w:rsid w:val="00E27665"/>
    <w:rsid w:val="00E278AC"/>
    <w:rsid w:val="00E27BEE"/>
    <w:rsid w:val="00E27CED"/>
    <w:rsid w:val="00E301CA"/>
    <w:rsid w:val="00E301F3"/>
    <w:rsid w:val="00E3052B"/>
    <w:rsid w:val="00E30EEA"/>
    <w:rsid w:val="00E31471"/>
    <w:rsid w:val="00E316BA"/>
    <w:rsid w:val="00E31710"/>
    <w:rsid w:val="00E31859"/>
    <w:rsid w:val="00E31F3E"/>
    <w:rsid w:val="00E32188"/>
    <w:rsid w:val="00E328AB"/>
    <w:rsid w:val="00E328D8"/>
    <w:rsid w:val="00E32B5E"/>
    <w:rsid w:val="00E32CE2"/>
    <w:rsid w:val="00E32CE6"/>
    <w:rsid w:val="00E32D37"/>
    <w:rsid w:val="00E32F10"/>
    <w:rsid w:val="00E33316"/>
    <w:rsid w:val="00E33B59"/>
    <w:rsid w:val="00E33C12"/>
    <w:rsid w:val="00E33F65"/>
    <w:rsid w:val="00E340C1"/>
    <w:rsid w:val="00E34142"/>
    <w:rsid w:val="00E3441A"/>
    <w:rsid w:val="00E34583"/>
    <w:rsid w:val="00E3460C"/>
    <w:rsid w:val="00E3489A"/>
    <w:rsid w:val="00E3495E"/>
    <w:rsid w:val="00E349E8"/>
    <w:rsid w:val="00E34C62"/>
    <w:rsid w:val="00E34E32"/>
    <w:rsid w:val="00E359B8"/>
    <w:rsid w:val="00E35C41"/>
    <w:rsid w:val="00E35CB7"/>
    <w:rsid w:val="00E35F92"/>
    <w:rsid w:val="00E3617F"/>
    <w:rsid w:val="00E3638F"/>
    <w:rsid w:val="00E368F9"/>
    <w:rsid w:val="00E36CE6"/>
    <w:rsid w:val="00E37094"/>
    <w:rsid w:val="00E37667"/>
    <w:rsid w:val="00E37DF4"/>
    <w:rsid w:val="00E4024F"/>
    <w:rsid w:val="00E40398"/>
    <w:rsid w:val="00E406DA"/>
    <w:rsid w:val="00E40ADA"/>
    <w:rsid w:val="00E40B1E"/>
    <w:rsid w:val="00E415FC"/>
    <w:rsid w:val="00E4170E"/>
    <w:rsid w:val="00E41CB6"/>
    <w:rsid w:val="00E42315"/>
    <w:rsid w:val="00E4246E"/>
    <w:rsid w:val="00E43398"/>
    <w:rsid w:val="00E43AA3"/>
    <w:rsid w:val="00E43EB0"/>
    <w:rsid w:val="00E43FB8"/>
    <w:rsid w:val="00E44214"/>
    <w:rsid w:val="00E44A2D"/>
    <w:rsid w:val="00E44A83"/>
    <w:rsid w:val="00E44BFF"/>
    <w:rsid w:val="00E44C59"/>
    <w:rsid w:val="00E453AF"/>
    <w:rsid w:val="00E45478"/>
    <w:rsid w:val="00E4549D"/>
    <w:rsid w:val="00E45BF2"/>
    <w:rsid w:val="00E45DEA"/>
    <w:rsid w:val="00E4677E"/>
    <w:rsid w:val="00E46935"/>
    <w:rsid w:val="00E46AA1"/>
    <w:rsid w:val="00E471D6"/>
    <w:rsid w:val="00E471FF"/>
    <w:rsid w:val="00E47684"/>
    <w:rsid w:val="00E47A76"/>
    <w:rsid w:val="00E500ED"/>
    <w:rsid w:val="00E50366"/>
    <w:rsid w:val="00E50757"/>
    <w:rsid w:val="00E50C4C"/>
    <w:rsid w:val="00E51829"/>
    <w:rsid w:val="00E51A57"/>
    <w:rsid w:val="00E52AE1"/>
    <w:rsid w:val="00E52D7D"/>
    <w:rsid w:val="00E52E0B"/>
    <w:rsid w:val="00E535AA"/>
    <w:rsid w:val="00E53651"/>
    <w:rsid w:val="00E5382B"/>
    <w:rsid w:val="00E53DCD"/>
    <w:rsid w:val="00E54066"/>
    <w:rsid w:val="00E540C1"/>
    <w:rsid w:val="00E54291"/>
    <w:rsid w:val="00E54585"/>
    <w:rsid w:val="00E5459C"/>
    <w:rsid w:val="00E545DA"/>
    <w:rsid w:val="00E5475E"/>
    <w:rsid w:val="00E549C2"/>
    <w:rsid w:val="00E54AB5"/>
    <w:rsid w:val="00E55266"/>
    <w:rsid w:val="00E55537"/>
    <w:rsid w:val="00E557B5"/>
    <w:rsid w:val="00E55814"/>
    <w:rsid w:val="00E55E1B"/>
    <w:rsid w:val="00E55FB3"/>
    <w:rsid w:val="00E56BD8"/>
    <w:rsid w:val="00E56F3C"/>
    <w:rsid w:val="00E574B1"/>
    <w:rsid w:val="00E57AB4"/>
    <w:rsid w:val="00E57B6A"/>
    <w:rsid w:val="00E57D28"/>
    <w:rsid w:val="00E600B9"/>
    <w:rsid w:val="00E602BA"/>
    <w:rsid w:val="00E60952"/>
    <w:rsid w:val="00E60A3B"/>
    <w:rsid w:val="00E614A2"/>
    <w:rsid w:val="00E61819"/>
    <w:rsid w:val="00E61A81"/>
    <w:rsid w:val="00E61E23"/>
    <w:rsid w:val="00E61EA3"/>
    <w:rsid w:val="00E620A6"/>
    <w:rsid w:val="00E6210D"/>
    <w:rsid w:val="00E62171"/>
    <w:rsid w:val="00E62545"/>
    <w:rsid w:val="00E62656"/>
    <w:rsid w:val="00E62768"/>
    <w:rsid w:val="00E62781"/>
    <w:rsid w:val="00E62E62"/>
    <w:rsid w:val="00E62F0B"/>
    <w:rsid w:val="00E635B9"/>
    <w:rsid w:val="00E6448D"/>
    <w:rsid w:val="00E644E9"/>
    <w:rsid w:val="00E6462C"/>
    <w:rsid w:val="00E64745"/>
    <w:rsid w:val="00E64781"/>
    <w:rsid w:val="00E64A14"/>
    <w:rsid w:val="00E64ED7"/>
    <w:rsid w:val="00E6593A"/>
    <w:rsid w:val="00E65BCA"/>
    <w:rsid w:val="00E65F73"/>
    <w:rsid w:val="00E65F80"/>
    <w:rsid w:val="00E660E4"/>
    <w:rsid w:val="00E66309"/>
    <w:rsid w:val="00E66365"/>
    <w:rsid w:val="00E664B9"/>
    <w:rsid w:val="00E66A92"/>
    <w:rsid w:val="00E66FF1"/>
    <w:rsid w:val="00E672A9"/>
    <w:rsid w:val="00E672DE"/>
    <w:rsid w:val="00E67380"/>
    <w:rsid w:val="00E67F46"/>
    <w:rsid w:val="00E70029"/>
    <w:rsid w:val="00E700B0"/>
    <w:rsid w:val="00E700C2"/>
    <w:rsid w:val="00E71702"/>
    <w:rsid w:val="00E7174F"/>
    <w:rsid w:val="00E718FA"/>
    <w:rsid w:val="00E719D3"/>
    <w:rsid w:val="00E71AE3"/>
    <w:rsid w:val="00E720FE"/>
    <w:rsid w:val="00E7210E"/>
    <w:rsid w:val="00E72339"/>
    <w:rsid w:val="00E72A3A"/>
    <w:rsid w:val="00E72A86"/>
    <w:rsid w:val="00E72C29"/>
    <w:rsid w:val="00E72D83"/>
    <w:rsid w:val="00E72DAB"/>
    <w:rsid w:val="00E73270"/>
    <w:rsid w:val="00E73583"/>
    <w:rsid w:val="00E73A50"/>
    <w:rsid w:val="00E73E05"/>
    <w:rsid w:val="00E740F1"/>
    <w:rsid w:val="00E7442B"/>
    <w:rsid w:val="00E748F5"/>
    <w:rsid w:val="00E74BD9"/>
    <w:rsid w:val="00E74CD1"/>
    <w:rsid w:val="00E74DB2"/>
    <w:rsid w:val="00E74EE7"/>
    <w:rsid w:val="00E75023"/>
    <w:rsid w:val="00E75233"/>
    <w:rsid w:val="00E75236"/>
    <w:rsid w:val="00E757D1"/>
    <w:rsid w:val="00E75D1A"/>
    <w:rsid w:val="00E764CF"/>
    <w:rsid w:val="00E76782"/>
    <w:rsid w:val="00E76956"/>
    <w:rsid w:val="00E76A83"/>
    <w:rsid w:val="00E76AE4"/>
    <w:rsid w:val="00E76B6E"/>
    <w:rsid w:val="00E76DB9"/>
    <w:rsid w:val="00E77030"/>
    <w:rsid w:val="00E7723B"/>
    <w:rsid w:val="00E773C5"/>
    <w:rsid w:val="00E776A1"/>
    <w:rsid w:val="00E77744"/>
    <w:rsid w:val="00E777AD"/>
    <w:rsid w:val="00E777D8"/>
    <w:rsid w:val="00E779CB"/>
    <w:rsid w:val="00E80036"/>
    <w:rsid w:val="00E800DF"/>
    <w:rsid w:val="00E808CB"/>
    <w:rsid w:val="00E80B80"/>
    <w:rsid w:val="00E81445"/>
    <w:rsid w:val="00E814BC"/>
    <w:rsid w:val="00E81603"/>
    <w:rsid w:val="00E81756"/>
    <w:rsid w:val="00E818D6"/>
    <w:rsid w:val="00E81A4E"/>
    <w:rsid w:val="00E81A79"/>
    <w:rsid w:val="00E81FF0"/>
    <w:rsid w:val="00E82C70"/>
    <w:rsid w:val="00E82DC8"/>
    <w:rsid w:val="00E8320F"/>
    <w:rsid w:val="00E83541"/>
    <w:rsid w:val="00E8398D"/>
    <w:rsid w:val="00E83C2D"/>
    <w:rsid w:val="00E83D1B"/>
    <w:rsid w:val="00E84AB4"/>
    <w:rsid w:val="00E84B48"/>
    <w:rsid w:val="00E84CC9"/>
    <w:rsid w:val="00E84EBF"/>
    <w:rsid w:val="00E85268"/>
    <w:rsid w:val="00E85432"/>
    <w:rsid w:val="00E8590A"/>
    <w:rsid w:val="00E85931"/>
    <w:rsid w:val="00E85A29"/>
    <w:rsid w:val="00E85BD3"/>
    <w:rsid w:val="00E85F38"/>
    <w:rsid w:val="00E86062"/>
    <w:rsid w:val="00E861A8"/>
    <w:rsid w:val="00E8664F"/>
    <w:rsid w:val="00E86835"/>
    <w:rsid w:val="00E86E71"/>
    <w:rsid w:val="00E86ED2"/>
    <w:rsid w:val="00E87080"/>
    <w:rsid w:val="00E871DB"/>
    <w:rsid w:val="00E87629"/>
    <w:rsid w:val="00E87846"/>
    <w:rsid w:val="00E87853"/>
    <w:rsid w:val="00E90075"/>
    <w:rsid w:val="00E90423"/>
    <w:rsid w:val="00E9047F"/>
    <w:rsid w:val="00E90630"/>
    <w:rsid w:val="00E90AA3"/>
    <w:rsid w:val="00E90C12"/>
    <w:rsid w:val="00E90F1F"/>
    <w:rsid w:val="00E91621"/>
    <w:rsid w:val="00E9187D"/>
    <w:rsid w:val="00E91C47"/>
    <w:rsid w:val="00E91D47"/>
    <w:rsid w:val="00E91FEE"/>
    <w:rsid w:val="00E92935"/>
    <w:rsid w:val="00E93810"/>
    <w:rsid w:val="00E93E04"/>
    <w:rsid w:val="00E94121"/>
    <w:rsid w:val="00E9426C"/>
    <w:rsid w:val="00E94784"/>
    <w:rsid w:val="00E949D3"/>
    <w:rsid w:val="00E94A10"/>
    <w:rsid w:val="00E94AB0"/>
    <w:rsid w:val="00E957FC"/>
    <w:rsid w:val="00E95D01"/>
    <w:rsid w:val="00E95F11"/>
    <w:rsid w:val="00E95F82"/>
    <w:rsid w:val="00E96141"/>
    <w:rsid w:val="00E96473"/>
    <w:rsid w:val="00E96829"/>
    <w:rsid w:val="00E9686D"/>
    <w:rsid w:val="00E96A85"/>
    <w:rsid w:val="00E96BA9"/>
    <w:rsid w:val="00E96D0C"/>
    <w:rsid w:val="00E97172"/>
    <w:rsid w:val="00E9720F"/>
    <w:rsid w:val="00E974DB"/>
    <w:rsid w:val="00E9757C"/>
    <w:rsid w:val="00E9760E"/>
    <w:rsid w:val="00E97928"/>
    <w:rsid w:val="00E979A4"/>
    <w:rsid w:val="00E97A5E"/>
    <w:rsid w:val="00EA0071"/>
    <w:rsid w:val="00EA084B"/>
    <w:rsid w:val="00EA0D57"/>
    <w:rsid w:val="00EA0E45"/>
    <w:rsid w:val="00EA15DF"/>
    <w:rsid w:val="00EA1EAD"/>
    <w:rsid w:val="00EA205B"/>
    <w:rsid w:val="00EA2279"/>
    <w:rsid w:val="00EA2E86"/>
    <w:rsid w:val="00EA3628"/>
    <w:rsid w:val="00EA36AF"/>
    <w:rsid w:val="00EA36D3"/>
    <w:rsid w:val="00EA3702"/>
    <w:rsid w:val="00EA38FA"/>
    <w:rsid w:val="00EA3A96"/>
    <w:rsid w:val="00EA3C89"/>
    <w:rsid w:val="00EA3E9B"/>
    <w:rsid w:val="00EA446D"/>
    <w:rsid w:val="00EA460C"/>
    <w:rsid w:val="00EA4907"/>
    <w:rsid w:val="00EA4974"/>
    <w:rsid w:val="00EA4A2E"/>
    <w:rsid w:val="00EA4BB4"/>
    <w:rsid w:val="00EA4BCD"/>
    <w:rsid w:val="00EA4CE0"/>
    <w:rsid w:val="00EA4EE3"/>
    <w:rsid w:val="00EA52B7"/>
    <w:rsid w:val="00EA5618"/>
    <w:rsid w:val="00EA5AC7"/>
    <w:rsid w:val="00EA6303"/>
    <w:rsid w:val="00EA63E7"/>
    <w:rsid w:val="00EA66CA"/>
    <w:rsid w:val="00EA6795"/>
    <w:rsid w:val="00EA67FD"/>
    <w:rsid w:val="00EA6872"/>
    <w:rsid w:val="00EA69A8"/>
    <w:rsid w:val="00EA6B29"/>
    <w:rsid w:val="00EA6B90"/>
    <w:rsid w:val="00EA6DE9"/>
    <w:rsid w:val="00EA6EA1"/>
    <w:rsid w:val="00EA740F"/>
    <w:rsid w:val="00EA7587"/>
    <w:rsid w:val="00EA7A0F"/>
    <w:rsid w:val="00EB0310"/>
    <w:rsid w:val="00EB04B5"/>
    <w:rsid w:val="00EB06AF"/>
    <w:rsid w:val="00EB07D3"/>
    <w:rsid w:val="00EB1023"/>
    <w:rsid w:val="00EB1073"/>
    <w:rsid w:val="00EB118A"/>
    <w:rsid w:val="00EB14B2"/>
    <w:rsid w:val="00EB17BD"/>
    <w:rsid w:val="00EB199B"/>
    <w:rsid w:val="00EB1BC0"/>
    <w:rsid w:val="00EB210B"/>
    <w:rsid w:val="00EB2248"/>
    <w:rsid w:val="00EB2453"/>
    <w:rsid w:val="00EB269D"/>
    <w:rsid w:val="00EB26A0"/>
    <w:rsid w:val="00EB2979"/>
    <w:rsid w:val="00EB2A4D"/>
    <w:rsid w:val="00EB3434"/>
    <w:rsid w:val="00EB36CB"/>
    <w:rsid w:val="00EB37B0"/>
    <w:rsid w:val="00EB39B4"/>
    <w:rsid w:val="00EB39F9"/>
    <w:rsid w:val="00EB3BCE"/>
    <w:rsid w:val="00EB3EE1"/>
    <w:rsid w:val="00EB3FD7"/>
    <w:rsid w:val="00EB47E5"/>
    <w:rsid w:val="00EB5877"/>
    <w:rsid w:val="00EB5A86"/>
    <w:rsid w:val="00EB5CAD"/>
    <w:rsid w:val="00EB61ED"/>
    <w:rsid w:val="00EB621E"/>
    <w:rsid w:val="00EB65A1"/>
    <w:rsid w:val="00EB6633"/>
    <w:rsid w:val="00EB684B"/>
    <w:rsid w:val="00EB6F79"/>
    <w:rsid w:val="00EB70AC"/>
    <w:rsid w:val="00EB730C"/>
    <w:rsid w:val="00EB7561"/>
    <w:rsid w:val="00EB7939"/>
    <w:rsid w:val="00EB7B45"/>
    <w:rsid w:val="00EB7C89"/>
    <w:rsid w:val="00EC01B1"/>
    <w:rsid w:val="00EC02CC"/>
    <w:rsid w:val="00EC0324"/>
    <w:rsid w:val="00EC03BF"/>
    <w:rsid w:val="00EC076C"/>
    <w:rsid w:val="00EC0DD2"/>
    <w:rsid w:val="00EC0E73"/>
    <w:rsid w:val="00EC13B2"/>
    <w:rsid w:val="00EC14B6"/>
    <w:rsid w:val="00EC1543"/>
    <w:rsid w:val="00EC1CA0"/>
    <w:rsid w:val="00EC23B5"/>
    <w:rsid w:val="00EC2BC2"/>
    <w:rsid w:val="00EC2C2F"/>
    <w:rsid w:val="00EC2CF2"/>
    <w:rsid w:val="00EC2D72"/>
    <w:rsid w:val="00EC2DE4"/>
    <w:rsid w:val="00EC3092"/>
    <w:rsid w:val="00EC3159"/>
    <w:rsid w:val="00EC323A"/>
    <w:rsid w:val="00EC34E3"/>
    <w:rsid w:val="00EC3700"/>
    <w:rsid w:val="00EC37CE"/>
    <w:rsid w:val="00EC3C14"/>
    <w:rsid w:val="00EC3D4A"/>
    <w:rsid w:val="00EC3FFF"/>
    <w:rsid w:val="00EC445B"/>
    <w:rsid w:val="00EC4820"/>
    <w:rsid w:val="00EC4CB5"/>
    <w:rsid w:val="00EC4E83"/>
    <w:rsid w:val="00EC4F05"/>
    <w:rsid w:val="00EC5062"/>
    <w:rsid w:val="00EC53F0"/>
    <w:rsid w:val="00EC581C"/>
    <w:rsid w:val="00EC5DD1"/>
    <w:rsid w:val="00EC6927"/>
    <w:rsid w:val="00EC70F7"/>
    <w:rsid w:val="00EC71C7"/>
    <w:rsid w:val="00EC7EB7"/>
    <w:rsid w:val="00EC7F4A"/>
    <w:rsid w:val="00ED0291"/>
    <w:rsid w:val="00ED0516"/>
    <w:rsid w:val="00ED053F"/>
    <w:rsid w:val="00ED0BC4"/>
    <w:rsid w:val="00ED163A"/>
    <w:rsid w:val="00ED198F"/>
    <w:rsid w:val="00ED1A2D"/>
    <w:rsid w:val="00ED1A3D"/>
    <w:rsid w:val="00ED1BFF"/>
    <w:rsid w:val="00ED241C"/>
    <w:rsid w:val="00ED26AE"/>
    <w:rsid w:val="00ED28D4"/>
    <w:rsid w:val="00ED296D"/>
    <w:rsid w:val="00ED2B38"/>
    <w:rsid w:val="00ED2B49"/>
    <w:rsid w:val="00ED2CDF"/>
    <w:rsid w:val="00ED2F2E"/>
    <w:rsid w:val="00ED3A50"/>
    <w:rsid w:val="00ED4090"/>
    <w:rsid w:val="00ED4348"/>
    <w:rsid w:val="00ED43DA"/>
    <w:rsid w:val="00ED44E1"/>
    <w:rsid w:val="00ED46D7"/>
    <w:rsid w:val="00ED4C1B"/>
    <w:rsid w:val="00ED4FAC"/>
    <w:rsid w:val="00ED529E"/>
    <w:rsid w:val="00ED542F"/>
    <w:rsid w:val="00ED557C"/>
    <w:rsid w:val="00ED60BB"/>
    <w:rsid w:val="00ED66C5"/>
    <w:rsid w:val="00ED687C"/>
    <w:rsid w:val="00ED68AC"/>
    <w:rsid w:val="00ED6A8D"/>
    <w:rsid w:val="00ED6B2E"/>
    <w:rsid w:val="00ED6EBD"/>
    <w:rsid w:val="00ED710B"/>
    <w:rsid w:val="00ED7133"/>
    <w:rsid w:val="00ED746B"/>
    <w:rsid w:val="00ED7515"/>
    <w:rsid w:val="00ED7788"/>
    <w:rsid w:val="00ED7AA4"/>
    <w:rsid w:val="00ED7BF0"/>
    <w:rsid w:val="00ED7ED0"/>
    <w:rsid w:val="00EE0007"/>
    <w:rsid w:val="00EE11F8"/>
    <w:rsid w:val="00EE14A7"/>
    <w:rsid w:val="00EE190E"/>
    <w:rsid w:val="00EE1BEB"/>
    <w:rsid w:val="00EE1DB9"/>
    <w:rsid w:val="00EE1E35"/>
    <w:rsid w:val="00EE2033"/>
    <w:rsid w:val="00EE25B9"/>
    <w:rsid w:val="00EE27E2"/>
    <w:rsid w:val="00EE2819"/>
    <w:rsid w:val="00EE2EC4"/>
    <w:rsid w:val="00EE309F"/>
    <w:rsid w:val="00EE3204"/>
    <w:rsid w:val="00EE38B4"/>
    <w:rsid w:val="00EE392A"/>
    <w:rsid w:val="00EE3A60"/>
    <w:rsid w:val="00EE3B06"/>
    <w:rsid w:val="00EE3B46"/>
    <w:rsid w:val="00EE3EC6"/>
    <w:rsid w:val="00EE3F23"/>
    <w:rsid w:val="00EE4BD4"/>
    <w:rsid w:val="00EE59ED"/>
    <w:rsid w:val="00EE6081"/>
    <w:rsid w:val="00EE60A1"/>
    <w:rsid w:val="00EE6168"/>
    <w:rsid w:val="00EE6853"/>
    <w:rsid w:val="00EE6C9F"/>
    <w:rsid w:val="00EE772B"/>
    <w:rsid w:val="00EE7E5F"/>
    <w:rsid w:val="00EE7FA6"/>
    <w:rsid w:val="00EF01F1"/>
    <w:rsid w:val="00EF0345"/>
    <w:rsid w:val="00EF04B9"/>
    <w:rsid w:val="00EF067D"/>
    <w:rsid w:val="00EF0CF9"/>
    <w:rsid w:val="00EF0FFB"/>
    <w:rsid w:val="00EF105D"/>
    <w:rsid w:val="00EF1537"/>
    <w:rsid w:val="00EF16C6"/>
    <w:rsid w:val="00EF19FD"/>
    <w:rsid w:val="00EF1A9B"/>
    <w:rsid w:val="00EF1CF5"/>
    <w:rsid w:val="00EF2262"/>
    <w:rsid w:val="00EF2380"/>
    <w:rsid w:val="00EF2440"/>
    <w:rsid w:val="00EF24AA"/>
    <w:rsid w:val="00EF24F5"/>
    <w:rsid w:val="00EF2565"/>
    <w:rsid w:val="00EF270D"/>
    <w:rsid w:val="00EF2765"/>
    <w:rsid w:val="00EF27D0"/>
    <w:rsid w:val="00EF28B1"/>
    <w:rsid w:val="00EF2DE8"/>
    <w:rsid w:val="00EF32CD"/>
    <w:rsid w:val="00EF32F6"/>
    <w:rsid w:val="00EF3456"/>
    <w:rsid w:val="00EF4226"/>
    <w:rsid w:val="00EF42A4"/>
    <w:rsid w:val="00EF4580"/>
    <w:rsid w:val="00EF488B"/>
    <w:rsid w:val="00EF490B"/>
    <w:rsid w:val="00EF4A0D"/>
    <w:rsid w:val="00EF4D4A"/>
    <w:rsid w:val="00EF4E98"/>
    <w:rsid w:val="00EF4EF1"/>
    <w:rsid w:val="00EF539F"/>
    <w:rsid w:val="00EF5925"/>
    <w:rsid w:val="00EF5D71"/>
    <w:rsid w:val="00EF662C"/>
    <w:rsid w:val="00EF6861"/>
    <w:rsid w:val="00EF6928"/>
    <w:rsid w:val="00EF69CD"/>
    <w:rsid w:val="00EF6DB5"/>
    <w:rsid w:val="00EF6FA9"/>
    <w:rsid w:val="00EF7405"/>
    <w:rsid w:val="00EF78EA"/>
    <w:rsid w:val="00EF7ED5"/>
    <w:rsid w:val="00F00112"/>
    <w:rsid w:val="00F010A4"/>
    <w:rsid w:val="00F016E4"/>
    <w:rsid w:val="00F017DC"/>
    <w:rsid w:val="00F01CB5"/>
    <w:rsid w:val="00F01E6C"/>
    <w:rsid w:val="00F02075"/>
    <w:rsid w:val="00F02159"/>
    <w:rsid w:val="00F031B6"/>
    <w:rsid w:val="00F03219"/>
    <w:rsid w:val="00F03702"/>
    <w:rsid w:val="00F03A67"/>
    <w:rsid w:val="00F03C06"/>
    <w:rsid w:val="00F03CE6"/>
    <w:rsid w:val="00F04097"/>
    <w:rsid w:val="00F045E2"/>
    <w:rsid w:val="00F04CAD"/>
    <w:rsid w:val="00F04EA7"/>
    <w:rsid w:val="00F051B0"/>
    <w:rsid w:val="00F051B6"/>
    <w:rsid w:val="00F05409"/>
    <w:rsid w:val="00F06034"/>
    <w:rsid w:val="00F06448"/>
    <w:rsid w:val="00F0689B"/>
    <w:rsid w:val="00F068E3"/>
    <w:rsid w:val="00F068FE"/>
    <w:rsid w:val="00F06B2F"/>
    <w:rsid w:val="00F06E52"/>
    <w:rsid w:val="00F06F62"/>
    <w:rsid w:val="00F077E9"/>
    <w:rsid w:val="00F078AE"/>
    <w:rsid w:val="00F07EC3"/>
    <w:rsid w:val="00F07FE8"/>
    <w:rsid w:val="00F100E0"/>
    <w:rsid w:val="00F10625"/>
    <w:rsid w:val="00F1079D"/>
    <w:rsid w:val="00F11081"/>
    <w:rsid w:val="00F11209"/>
    <w:rsid w:val="00F11547"/>
    <w:rsid w:val="00F1188F"/>
    <w:rsid w:val="00F11A95"/>
    <w:rsid w:val="00F11C15"/>
    <w:rsid w:val="00F11C39"/>
    <w:rsid w:val="00F11CEB"/>
    <w:rsid w:val="00F1248F"/>
    <w:rsid w:val="00F1264C"/>
    <w:rsid w:val="00F126D2"/>
    <w:rsid w:val="00F12C6A"/>
    <w:rsid w:val="00F12EF2"/>
    <w:rsid w:val="00F130A4"/>
    <w:rsid w:val="00F13263"/>
    <w:rsid w:val="00F13573"/>
    <w:rsid w:val="00F1398B"/>
    <w:rsid w:val="00F139E1"/>
    <w:rsid w:val="00F13A4A"/>
    <w:rsid w:val="00F13EA0"/>
    <w:rsid w:val="00F140E4"/>
    <w:rsid w:val="00F14107"/>
    <w:rsid w:val="00F14388"/>
    <w:rsid w:val="00F1457D"/>
    <w:rsid w:val="00F14673"/>
    <w:rsid w:val="00F1469A"/>
    <w:rsid w:val="00F1480E"/>
    <w:rsid w:val="00F149A3"/>
    <w:rsid w:val="00F1501B"/>
    <w:rsid w:val="00F15443"/>
    <w:rsid w:val="00F1550B"/>
    <w:rsid w:val="00F15856"/>
    <w:rsid w:val="00F15866"/>
    <w:rsid w:val="00F15BD1"/>
    <w:rsid w:val="00F1643A"/>
    <w:rsid w:val="00F16440"/>
    <w:rsid w:val="00F16469"/>
    <w:rsid w:val="00F16554"/>
    <w:rsid w:val="00F1677E"/>
    <w:rsid w:val="00F16AC1"/>
    <w:rsid w:val="00F16ED0"/>
    <w:rsid w:val="00F172BD"/>
    <w:rsid w:val="00F174DB"/>
    <w:rsid w:val="00F1767B"/>
    <w:rsid w:val="00F17B2F"/>
    <w:rsid w:val="00F17DEB"/>
    <w:rsid w:val="00F20583"/>
    <w:rsid w:val="00F20797"/>
    <w:rsid w:val="00F20976"/>
    <w:rsid w:val="00F20B59"/>
    <w:rsid w:val="00F20E6E"/>
    <w:rsid w:val="00F20E97"/>
    <w:rsid w:val="00F21185"/>
    <w:rsid w:val="00F211C1"/>
    <w:rsid w:val="00F21539"/>
    <w:rsid w:val="00F217CB"/>
    <w:rsid w:val="00F21874"/>
    <w:rsid w:val="00F2199E"/>
    <w:rsid w:val="00F21B43"/>
    <w:rsid w:val="00F21D1A"/>
    <w:rsid w:val="00F21E65"/>
    <w:rsid w:val="00F21EEB"/>
    <w:rsid w:val="00F22268"/>
    <w:rsid w:val="00F2231E"/>
    <w:rsid w:val="00F2259E"/>
    <w:rsid w:val="00F22877"/>
    <w:rsid w:val="00F23077"/>
    <w:rsid w:val="00F234F2"/>
    <w:rsid w:val="00F236E1"/>
    <w:rsid w:val="00F23B1B"/>
    <w:rsid w:val="00F23BD9"/>
    <w:rsid w:val="00F240CE"/>
    <w:rsid w:val="00F240F6"/>
    <w:rsid w:val="00F24486"/>
    <w:rsid w:val="00F24755"/>
    <w:rsid w:val="00F255AC"/>
    <w:rsid w:val="00F25875"/>
    <w:rsid w:val="00F25DBB"/>
    <w:rsid w:val="00F25E7A"/>
    <w:rsid w:val="00F25F15"/>
    <w:rsid w:val="00F25FDD"/>
    <w:rsid w:val="00F266D9"/>
    <w:rsid w:val="00F26877"/>
    <w:rsid w:val="00F268BA"/>
    <w:rsid w:val="00F26E93"/>
    <w:rsid w:val="00F26F42"/>
    <w:rsid w:val="00F272E0"/>
    <w:rsid w:val="00F273BB"/>
    <w:rsid w:val="00F275D4"/>
    <w:rsid w:val="00F30302"/>
    <w:rsid w:val="00F30562"/>
    <w:rsid w:val="00F30952"/>
    <w:rsid w:val="00F30CB3"/>
    <w:rsid w:val="00F30CBE"/>
    <w:rsid w:val="00F30F97"/>
    <w:rsid w:val="00F3163A"/>
    <w:rsid w:val="00F316E3"/>
    <w:rsid w:val="00F317C9"/>
    <w:rsid w:val="00F31A97"/>
    <w:rsid w:val="00F31BB5"/>
    <w:rsid w:val="00F31DDB"/>
    <w:rsid w:val="00F3200C"/>
    <w:rsid w:val="00F3204F"/>
    <w:rsid w:val="00F320EB"/>
    <w:rsid w:val="00F32125"/>
    <w:rsid w:val="00F321E3"/>
    <w:rsid w:val="00F323D2"/>
    <w:rsid w:val="00F32665"/>
    <w:rsid w:val="00F32E30"/>
    <w:rsid w:val="00F32EE7"/>
    <w:rsid w:val="00F330A5"/>
    <w:rsid w:val="00F3344A"/>
    <w:rsid w:val="00F3372C"/>
    <w:rsid w:val="00F33FEC"/>
    <w:rsid w:val="00F3411B"/>
    <w:rsid w:val="00F34636"/>
    <w:rsid w:val="00F35842"/>
    <w:rsid w:val="00F359EB"/>
    <w:rsid w:val="00F36501"/>
    <w:rsid w:val="00F36694"/>
    <w:rsid w:val="00F3684D"/>
    <w:rsid w:val="00F36943"/>
    <w:rsid w:val="00F36CD4"/>
    <w:rsid w:val="00F3703F"/>
    <w:rsid w:val="00F3767D"/>
    <w:rsid w:val="00F37743"/>
    <w:rsid w:val="00F37BA2"/>
    <w:rsid w:val="00F4012C"/>
    <w:rsid w:val="00F4063A"/>
    <w:rsid w:val="00F4093E"/>
    <w:rsid w:val="00F40A54"/>
    <w:rsid w:val="00F4170C"/>
    <w:rsid w:val="00F41879"/>
    <w:rsid w:val="00F41AD5"/>
    <w:rsid w:val="00F41CFF"/>
    <w:rsid w:val="00F41F8F"/>
    <w:rsid w:val="00F42129"/>
    <w:rsid w:val="00F42280"/>
    <w:rsid w:val="00F422EB"/>
    <w:rsid w:val="00F4243B"/>
    <w:rsid w:val="00F42646"/>
    <w:rsid w:val="00F42AC1"/>
    <w:rsid w:val="00F42EA6"/>
    <w:rsid w:val="00F42FD1"/>
    <w:rsid w:val="00F43598"/>
    <w:rsid w:val="00F43626"/>
    <w:rsid w:val="00F436D2"/>
    <w:rsid w:val="00F43757"/>
    <w:rsid w:val="00F43A0D"/>
    <w:rsid w:val="00F43BF4"/>
    <w:rsid w:val="00F43C6F"/>
    <w:rsid w:val="00F43DAD"/>
    <w:rsid w:val="00F44001"/>
    <w:rsid w:val="00F4413B"/>
    <w:rsid w:val="00F44464"/>
    <w:rsid w:val="00F44E67"/>
    <w:rsid w:val="00F45032"/>
    <w:rsid w:val="00F45722"/>
    <w:rsid w:val="00F45F56"/>
    <w:rsid w:val="00F4606E"/>
    <w:rsid w:val="00F461EB"/>
    <w:rsid w:val="00F4667C"/>
    <w:rsid w:val="00F46963"/>
    <w:rsid w:val="00F47047"/>
    <w:rsid w:val="00F4761B"/>
    <w:rsid w:val="00F4786F"/>
    <w:rsid w:val="00F4792C"/>
    <w:rsid w:val="00F47B34"/>
    <w:rsid w:val="00F47B98"/>
    <w:rsid w:val="00F47C30"/>
    <w:rsid w:val="00F47F9B"/>
    <w:rsid w:val="00F50392"/>
    <w:rsid w:val="00F5044B"/>
    <w:rsid w:val="00F50828"/>
    <w:rsid w:val="00F50906"/>
    <w:rsid w:val="00F50AA7"/>
    <w:rsid w:val="00F50C49"/>
    <w:rsid w:val="00F515AB"/>
    <w:rsid w:val="00F517D6"/>
    <w:rsid w:val="00F51F1A"/>
    <w:rsid w:val="00F51FF7"/>
    <w:rsid w:val="00F520A7"/>
    <w:rsid w:val="00F5211D"/>
    <w:rsid w:val="00F521F2"/>
    <w:rsid w:val="00F5288F"/>
    <w:rsid w:val="00F52C19"/>
    <w:rsid w:val="00F52CC2"/>
    <w:rsid w:val="00F53002"/>
    <w:rsid w:val="00F5365A"/>
    <w:rsid w:val="00F53743"/>
    <w:rsid w:val="00F53A09"/>
    <w:rsid w:val="00F53A33"/>
    <w:rsid w:val="00F53B8B"/>
    <w:rsid w:val="00F53C98"/>
    <w:rsid w:val="00F53FA4"/>
    <w:rsid w:val="00F54714"/>
    <w:rsid w:val="00F54BA2"/>
    <w:rsid w:val="00F54C9C"/>
    <w:rsid w:val="00F54F6E"/>
    <w:rsid w:val="00F554CF"/>
    <w:rsid w:val="00F558D4"/>
    <w:rsid w:val="00F55FFC"/>
    <w:rsid w:val="00F56108"/>
    <w:rsid w:val="00F5612C"/>
    <w:rsid w:val="00F569DE"/>
    <w:rsid w:val="00F56BF3"/>
    <w:rsid w:val="00F56F60"/>
    <w:rsid w:val="00F571C3"/>
    <w:rsid w:val="00F576B5"/>
    <w:rsid w:val="00F577C6"/>
    <w:rsid w:val="00F57800"/>
    <w:rsid w:val="00F57A4E"/>
    <w:rsid w:val="00F57D96"/>
    <w:rsid w:val="00F57F76"/>
    <w:rsid w:val="00F603F5"/>
    <w:rsid w:val="00F6083E"/>
    <w:rsid w:val="00F60B70"/>
    <w:rsid w:val="00F61372"/>
    <w:rsid w:val="00F616A6"/>
    <w:rsid w:val="00F6185D"/>
    <w:rsid w:val="00F61D18"/>
    <w:rsid w:val="00F61E8E"/>
    <w:rsid w:val="00F61FC9"/>
    <w:rsid w:val="00F62238"/>
    <w:rsid w:val="00F6223E"/>
    <w:rsid w:val="00F622FD"/>
    <w:rsid w:val="00F62391"/>
    <w:rsid w:val="00F62A2D"/>
    <w:rsid w:val="00F62AC7"/>
    <w:rsid w:val="00F63929"/>
    <w:rsid w:val="00F63A0E"/>
    <w:rsid w:val="00F63B07"/>
    <w:rsid w:val="00F63CED"/>
    <w:rsid w:val="00F63D62"/>
    <w:rsid w:val="00F6416D"/>
    <w:rsid w:val="00F641E6"/>
    <w:rsid w:val="00F642E8"/>
    <w:rsid w:val="00F64AD0"/>
    <w:rsid w:val="00F64B72"/>
    <w:rsid w:val="00F64FC3"/>
    <w:rsid w:val="00F64FE7"/>
    <w:rsid w:val="00F655DB"/>
    <w:rsid w:val="00F658DA"/>
    <w:rsid w:val="00F6592F"/>
    <w:rsid w:val="00F65A96"/>
    <w:rsid w:val="00F65B4B"/>
    <w:rsid w:val="00F65B8A"/>
    <w:rsid w:val="00F65E8C"/>
    <w:rsid w:val="00F663A0"/>
    <w:rsid w:val="00F66455"/>
    <w:rsid w:val="00F664AF"/>
    <w:rsid w:val="00F66F43"/>
    <w:rsid w:val="00F67765"/>
    <w:rsid w:val="00F678E8"/>
    <w:rsid w:val="00F706DC"/>
    <w:rsid w:val="00F70D4F"/>
    <w:rsid w:val="00F70F4A"/>
    <w:rsid w:val="00F70FD0"/>
    <w:rsid w:val="00F7113A"/>
    <w:rsid w:val="00F71278"/>
    <w:rsid w:val="00F712F4"/>
    <w:rsid w:val="00F7132A"/>
    <w:rsid w:val="00F71708"/>
    <w:rsid w:val="00F721EA"/>
    <w:rsid w:val="00F723C0"/>
    <w:rsid w:val="00F7257B"/>
    <w:rsid w:val="00F72B0E"/>
    <w:rsid w:val="00F72BF8"/>
    <w:rsid w:val="00F72D40"/>
    <w:rsid w:val="00F72D4F"/>
    <w:rsid w:val="00F72F42"/>
    <w:rsid w:val="00F731D2"/>
    <w:rsid w:val="00F735B5"/>
    <w:rsid w:val="00F73A5D"/>
    <w:rsid w:val="00F73AC5"/>
    <w:rsid w:val="00F73C9D"/>
    <w:rsid w:val="00F73E94"/>
    <w:rsid w:val="00F73F5D"/>
    <w:rsid w:val="00F74121"/>
    <w:rsid w:val="00F74296"/>
    <w:rsid w:val="00F747B6"/>
    <w:rsid w:val="00F747F7"/>
    <w:rsid w:val="00F74E7A"/>
    <w:rsid w:val="00F74FA0"/>
    <w:rsid w:val="00F750BF"/>
    <w:rsid w:val="00F75181"/>
    <w:rsid w:val="00F75320"/>
    <w:rsid w:val="00F753CF"/>
    <w:rsid w:val="00F757DD"/>
    <w:rsid w:val="00F75913"/>
    <w:rsid w:val="00F75E1F"/>
    <w:rsid w:val="00F76222"/>
    <w:rsid w:val="00F763D2"/>
    <w:rsid w:val="00F767F2"/>
    <w:rsid w:val="00F76D63"/>
    <w:rsid w:val="00F76EF1"/>
    <w:rsid w:val="00F77075"/>
    <w:rsid w:val="00F772BD"/>
    <w:rsid w:val="00F77566"/>
    <w:rsid w:val="00F77748"/>
    <w:rsid w:val="00F77E2A"/>
    <w:rsid w:val="00F80062"/>
    <w:rsid w:val="00F800C5"/>
    <w:rsid w:val="00F804B2"/>
    <w:rsid w:val="00F8050A"/>
    <w:rsid w:val="00F80C8A"/>
    <w:rsid w:val="00F81169"/>
    <w:rsid w:val="00F8119C"/>
    <w:rsid w:val="00F813AF"/>
    <w:rsid w:val="00F813E5"/>
    <w:rsid w:val="00F81CFA"/>
    <w:rsid w:val="00F82251"/>
    <w:rsid w:val="00F82403"/>
    <w:rsid w:val="00F82B0C"/>
    <w:rsid w:val="00F83339"/>
    <w:rsid w:val="00F83651"/>
    <w:rsid w:val="00F839FE"/>
    <w:rsid w:val="00F83D4F"/>
    <w:rsid w:val="00F8427A"/>
    <w:rsid w:val="00F84674"/>
    <w:rsid w:val="00F847FF"/>
    <w:rsid w:val="00F84A38"/>
    <w:rsid w:val="00F84A99"/>
    <w:rsid w:val="00F84CA9"/>
    <w:rsid w:val="00F84CDD"/>
    <w:rsid w:val="00F84E5D"/>
    <w:rsid w:val="00F85338"/>
    <w:rsid w:val="00F855E0"/>
    <w:rsid w:val="00F85A8A"/>
    <w:rsid w:val="00F85E5F"/>
    <w:rsid w:val="00F85FD0"/>
    <w:rsid w:val="00F86505"/>
    <w:rsid w:val="00F866D0"/>
    <w:rsid w:val="00F8681C"/>
    <w:rsid w:val="00F86C07"/>
    <w:rsid w:val="00F87A7C"/>
    <w:rsid w:val="00F87D2B"/>
    <w:rsid w:val="00F87D58"/>
    <w:rsid w:val="00F90500"/>
    <w:rsid w:val="00F909B8"/>
    <w:rsid w:val="00F90ACA"/>
    <w:rsid w:val="00F912CD"/>
    <w:rsid w:val="00F912FF"/>
    <w:rsid w:val="00F913F4"/>
    <w:rsid w:val="00F91578"/>
    <w:rsid w:val="00F919A5"/>
    <w:rsid w:val="00F91C99"/>
    <w:rsid w:val="00F91FBA"/>
    <w:rsid w:val="00F920DF"/>
    <w:rsid w:val="00F92166"/>
    <w:rsid w:val="00F9266C"/>
    <w:rsid w:val="00F92C5C"/>
    <w:rsid w:val="00F93175"/>
    <w:rsid w:val="00F937BA"/>
    <w:rsid w:val="00F94078"/>
    <w:rsid w:val="00F9431A"/>
    <w:rsid w:val="00F943C1"/>
    <w:rsid w:val="00F94493"/>
    <w:rsid w:val="00F94CF3"/>
    <w:rsid w:val="00F9509D"/>
    <w:rsid w:val="00F952D4"/>
    <w:rsid w:val="00F952DE"/>
    <w:rsid w:val="00F957C9"/>
    <w:rsid w:val="00F95A85"/>
    <w:rsid w:val="00F95E86"/>
    <w:rsid w:val="00F95F8D"/>
    <w:rsid w:val="00F96182"/>
    <w:rsid w:val="00F9639F"/>
    <w:rsid w:val="00F963DA"/>
    <w:rsid w:val="00F96403"/>
    <w:rsid w:val="00F9643D"/>
    <w:rsid w:val="00F967F7"/>
    <w:rsid w:val="00F96ACB"/>
    <w:rsid w:val="00F96C9A"/>
    <w:rsid w:val="00F972F3"/>
    <w:rsid w:val="00F9735E"/>
    <w:rsid w:val="00F973AF"/>
    <w:rsid w:val="00F973C6"/>
    <w:rsid w:val="00F97919"/>
    <w:rsid w:val="00F97C27"/>
    <w:rsid w:val="00FA09B0"/>
    <w:rsid w:val="00FA09B4"/>
    <w:rsid w:val="00FA0C7A"/>
    <w:rsid w:val="00FA106A"/>
    <w:rsid w:val="00FA1166"/>
    <w:rsid w:val="00FA1DCD"/>
    <w:rsid w:val="00FA2240"/>
    <w:rsid w:val="00FA27B3"/>
    <w:rsid w:val="00FA2FF6"/>
    <w:rsid w:val="00FA3120"/>
    <w:rsid w:val="00FA3396"/>
    <w:rsid w:val="00FA343C"/>
    <w:rsid w:val="00FA350E"/>
    <w:rsid w:val="00FA4023"/>
    <w:rsid w:val="00FA43A7"/>
    <w:rsid w:val="00FA44D9"/>
    <w:rsid w:val="00FA46C1"/>
    <w:rsid w:val="00FA49C3"/>
    <w:rsid w:val="00FA5B44"/>
    <w:rsid w:val="00FA623C"/>
    <w:rsid w:val="00FA68B5"/>
    <w:rsid w:val="00FA6B63"/>
    <w:rsid w:val="00FA6C5C"/>
    <w:rsid w:val="00FA6CF1"/>
    <w:rsid w:val="00FA75EF"/>
    <w:rsid w:val="00FA7753"/>
    <w:rsid w:val="00FA77BD"/>
    <w:rsid w:val="00FA7E3F"/>
    <w:rsid w:val="00FA7FCA"/>
    <w:rsid w:val="00FB01EC"/>
    <w:rsid w:val="00FB0985"/>
    <w:rsid w:val="00FB0AE6"/>
    <w:rsid w:val="00FB0CC7"/>
    <w:rsid w:val="00FB0CCE"/>
    <w:rsid w:val="00FB117B"/>
    <w:rsid w:val="00FB12A8"/>
    <w:rsid w:val="00FB14D4"/>
    <w:rsid w:val="00FB188E"/>
    <w:rsid w:val="00FB192B"/>
    <w:rsid w:val="00FB1935"/>
    <w:rsid w:val="00FB1A6B"/>
    <w:rsid w:val="00FB1D70"/>
    <w:rsid w:val="00FB20FB"/>
    <w:rsid w:val="00FB21C9"/>
    <w:rsid w:val="00FB240E"/>
    <w:rsid w:val="00FB246A"/>
    <w:rsid w:val="00FB280F"/>
    <w:rsid w:val="00FB2A0D"/>
    <w:rsid w:val="00FB2BE6"/>
    <w:rsid w:val="00FB2CA5"/>
    <w:rsid w:val="00FB2FF6"/>
    <w:rsid w:val="00FB3318"/>
    <w:rsid w:val="00FB3415"/>
    <w:rsid w:val="00FB35FD"/>
    <w:rsid w:val="00FB3A0C"/>
    <w:rsid w:val="00FB4253"/>
    <w:rsid w:val="00FB44B4"/>
    <w:rsid w:val="00FB463B"/>
    <w:rsid w:val="00FB4EAA"/>
    <w:rsid w:val="00FB4F9A"/>
    <w:rsid w:val="00FB529F"/>
    <w:rsid w:val="00FB5A06"/>
    <w:rsid w:val="00FB754F"/>
    <w:rsid w:val="00FB791F"/>
    <w:rsid w:val="00FB7943"/>
    <w:rsid w:val="00FB7C6D"/>
    <w:rsid w:val="00FB7F47"/>
    <w:rsid w:val="00FC04E5"/>
    <w:rsid w:val="00FC0734"/>
    <w:rsid w:val="00FC0957"/>
    <w:rsid w:val="00FC0FE0"/>
    <w:rsid w:val="00FC118B"/>
    <w:rsid w:val="00FC1B2C"/>
    <w:rsid w:val="00FC1CB7"/>
    <w:rsid w:val="00FC1FCE"/>
    <w:rsid w:val="00FC2034"/>
    <w:rsid w:val="00FC247E"/>
    <w:rsid w:val="00FC26AD"/>
    <w:rsid w:val="00FC2DF9"/>
    <w:rsid w:val="00FC2EF3"/>
    <w:rsid w:val="00FC317E"/>
    <w:rsid w:val="00FC328B"/>
    <w:rsid w:val="00FC3BF1"/>
    <w:rsid w:val="00FC3FA0"/>
    <w:rsid w:val="00FC43AF"/>
    <w:rsid w:val="00FC4717"/>
    <w:rsid w:val="00FC49E2"/>
    <w:rsid w:val="00FC4B61"/>
    <w:rsid w:val="00FC503A"/>
    <w:rsid w:val="00FC5254"/>
    <w:rsid w:val="00FC56FB"/>
    <w:rsid w:val="00FC58F4"/>
    <w:rsid w:val="00FC5A8E"/>
    <w:rsid w:val="00FC625A"/>
    <w:rsid w:val="00FC62C3"/>
    <w:rsid w:val="00FC6949"/>
    <w:rsid w:val="00FC6D9B"/>
    <w:rsid w:val="00FC72FD"/>
    <w:rsid w:val="00FC7517"/>
    <w:rsid w:val="00FC799F"/>
    <w:rsid w:val="00FC7DDE"/>
    <w:rsid w:val="00FD0020"/>
    <w:rsid w:val="00FD005B"/>
    <w:rsid w:val="00FD04EE"/>
    <w:rsid w:val="00FD0DC4"/>
    <w:rsid w:val="00FD11D9"/>
    <w:rsid w:val="00FD11F8"/>
    <w:rsid w:val="00FD1438"/>
    <w:rsid w:val="00FD1613"/>
    <w:rsid w:val="00FD1638"/>
    <w:rsid w:val="00FD1ECC"/>
    <w:rsid w:val="00FD1F92"/>
    <w:rsid w:val="00FD2086"/>
    <w:rsid w:val="00FD2291"/>
    <w:rsid w:val="00FD251B"/>
    <w:rsid w:val="00FD2722"/>
    <w:rsid w:val="00FD272A"/>
    <w:rsid w:val="00FD36F8"/>
    <w:rsid w:val="00FD3A2A"/>
    <w:rsid w:val="00FD3C05"/>
    <w:rsid w:val="00FD3FB9"/>
    <w:rsid w:val="00FD4326"/>
    <w:rsid w:val="00FD4BC6"/>
    <w:rsid w:val="00FD5061"/>
    <w:rsid w:val="00FD50F3"/>
    <w:rsid w:val="00FD5135"/>
    <w:rsid w:val="00FD568D"/>
    <w:rsid w:val="00FD59E3"/>
    <w:rsid w:val="00FD5C7D"/>
    <w:rsid w:val="00FD5FF7"/>
    <w:rsid w:val="00FD61CF"/>
    <w:rsid w:val="00FD63C4"/>
    <w:rsid w:val="00FD69F4"/>
    <w:rsid w:val="00FD6A99"/>
    <w:rsid w:val="00FD6AEA"/>
    <w:rsid w:val="00FD6F47"/>
    <w:rsid w:val="00FD6FB2"/>
    <w:rsid w:val="00FD7C2E"/>
    <w:rsid w:val="00FD7D5C"/>
    <w:rsid w:val="00FD7DB4"/>
    <w:rsid w:val="00FD7EB6"/>
    <w:rsid w:val="00FE0963"/>
    <w:rsid w:val="00FE098C"/>
    <w:rsid w:val="00FE0AF5"/>
    <w:rsid w:val="00FE0CB9"/>
    <w:rsid w:val="00FE0D21"/>
    <w:rsid w:val="00FE10A9"/>
    <w:rsid w:val="00FE1199"/>
    <w:rsid w:val="00FE1425"/>
    <w:rsid w:val="00FE14ED"/>
    <w:rsid w:val="00FE162B"/>
    <w:rsid w:val="00FE18D8"/>
    <w:rsid w:val="00FE1E72"/>
    <w:rsid w:val="00FE21C9"/>
    <w:rsid w:val="00FE21E9"/>
    <w:rsid w:val="00FE2966"/>
    <w:rsid w:val="00FE2D16"/>
    <w:rsid w:val="00FE31B2"/>
    <w:rsid w:val="00FE3716"/>
    <w:rsid w:val="00FE37B3"/>
    <w:rsid w:val="00FE3C02"/>
    <w:rsid w:val="00FE3D19"/>
    <w:rsid w:val="00FE3DAA"/>
    <w:rsid w:val="00FE3E0F"/>
    <w:rsid w:val="00FE40EE"/>
    <w:rsid w:val="00FE4192"/>
    <w:rsid w:val="00FE4D74"/>
    <w:rsid w:val="00FE4EBE"/>
    <w:rsid w:val="00FE559F"/>
    <w:rsid w:val="00FE5675"/>
    <w:rsid w:val="00FE5DDE"/>
    <w:rsid w:val="00FE6127"/>
    <w:rsid w:val="00FE6281"/>
    <w:rsid w:val="00FE667E"/>
    <w:rsid w:val="00FE6865"/>
    <w:rsid w:val="00FE6B45"/>
    <w:rsid w:val="00FE6BDE"/>
    <w:rsid w:val="00FE6F3C"/>
    <w:rsid w:val="00FE7473"/>
    <w:rsid w:val="00FE74AB"/>
    <w:rsid w:val="00FE766E"/>
    <w:rsid w:val="00FE771D"/>
    <w:rsid w:val="00FE7783"/>
    <w:rsid w:val="00FE790B"/>
    <w:rsid w:val="00FE7AF1"/>
    <w:rsid w:val="00FF0007"/>
    <w:rsid w:val="00FF03A2"/>
    <w:rsid w:val="00FF0A01"/>
    <w:rsid w:val="00FF0CD1"/>
    <w:rsid w:val="00FF161B"/>
    <w:rsid w:val="00FF1653"/>
    <w:rsid w:val="00FF176C"/>
    <w:rsid w:val="00FF1812"/>
    <w:rsid w:val="00FF231D"/>
    <w:rsid w:val="00FF28FE"/>
    <w:rsid w:val="00FF2BC0"/>
    <w:rsid w:val="00FF2CBA"/>
    <w:rsid w:val="00FF2F39"/>
    <w:rsid w:val="00FF32A9"/>
    <w:rsid w:val="00FF33A2"/>
    <w:rsid w:val="00FF33A9"/>
    <w:rsid w:val="00FF3582"/>
    <w:rsid w:val="00FF3907"/>
    <w:rsid w:val="00FF3BC9"/>
    <w:rsid w:val="00FF3CAC"/>
    <w:rsid w:val="00FF3FAC"/>
    <w:rsid w:val="00FF4016"/>
    <w:rsid w:val="00FF421B"/>
    <w:rsid w:val="00FF4368"/>
    <w:rsid w:val="00FF4478"/>
    <w:rsid w:val="00FF4508"/>
    <w:rsid w:val="00FF4F68"/>
    <w:rsid w:val="00FF503C"/>
    <w:rsid w:val="00FF5044"/>
    <w:rsid w:val="00FF52DE"/>
    <w:rsid w:val="00FF55D8"/>
    <w:rsid w:val="00FF565C"/>
    <w:rsid w:val="00FF5A1D"/>
    <w:rsid w:val="00FF5F0C"/>
    <w:rsid w:val="00FF6002"/>
    <w:rsid w:val="00FF601C"/>
    <w:rsid w:val="00FF6341"/>
    <w:rsid w:val="00FF64BE"/>
    <w:rsid w:val="00FF66D1"/>
    <w:rsid w:val="00FF68EF"/>
    <w:rsid w:val="00FF70B5"/>
    <w:rsid w:val="00FF7189"/>
    <w:rsid w:val="00FF7721"/>
    <w:rsid w:val="00FF7E98"/>
    <w:rsid w:val="00FF7F30"/>
    <w:rsid w:val="011A11A4"/>
    <w:rsid w:val="0135355E"/>
    <w:rsid w:val="01405559"/>
    <w:rsid w:val="014B5B44"/>
    <w:rsid w:val="015B4FE6"/>
    <w:rsid w:val="0182219D"/>
    <w:rsid w:val="018C5F7F"/>
    <w:rsid w:val="01BE4069"/>
    <w:rsid w:val="01BE5800"/>
    <w:rsid w:val="01E46F65"/>
    <w:rsid w:val="01F80A87"/>
    <w:rsid w:val="01FF7E9F"/>
    <w:rsid w:val="02223D56"/>
    <w:rsid w:val="02305B7C"/>
    <w:rsid w:val="0247556A"/>
    <w:rsid w:val="02A8502C"/>
    <w:rsid w:val="02E536DD"/>
    <w:rsid w:val="030E7004"/>
    <w:rsid w:val="0313544C"/>
    <w:rsid w:val="033E4BBF"/>
    <w:rsid w:val="034F33E4"/>
    <w:rsid w:val="035E737B"/>
    <w:rsid w:val="037A0CC5"/>
    <w:rsid w:val="037D3DF5"/>
    <w:rsid w:val="039849B2"/>
    <w:rsid w:val="03A52548"/>
    <w:rsid w:val="03EC60DF"/>
    <w:rsid w:val="03F06C42"/>
    <w:rsid w:val="041B3357"/>
    <w:rsid w:val="04787C5D"/>
    <w:rsid w:val="04C34346"/>
    <w:rsid w:val="04E30437"/>
    <w:rsid w:val="04F03C97"/>
    <w:rsid w:val="051E0BD4"/>
    <w:rsid w:val="05465FD3"/>
    <w:rsid w:val="055558AB"/>
    <w:rsid w:val="05852631"/>
    <w:rsid w:val="05C018BB"/>
    <w:rsid w:val="05D640FE"/>
    <w:rsid w:val="05F41FAA"/>
    <w:rsid w:val="05F45E3B"/>
    <w:rsid w:val="05F9301F"/>
    <w:rsid w:val="062E579C"/>
    <w:rsid w:val="062F07EF"/>
    <w:rsid w:val="063B78DC"/>
    <w:rsid w:val="06971FEE"/>
    <w:rsid w:val="06BF1B73"/>
    <w:rsid w:val="06C123D8"/>
    <w:rsid w:val="06C615A8"/>
    <w:rsid w:val="06FB7E6A"/>
    <w:rsid w:val="0707699B"/>
    <w:rsid w:val="070F7027"/>
    <w:rsid w:val="0741600E"/>
    <w:rsid w:val="076E0F6D"/>
    <w:rsid w:val="07865624"/>
    <w:rsid w:val="07A8116C"/>
    <w:rsid w:val="07D93108"/>
    <w:rsid w:val="07E84F31"/>
    <w:rsid w:val="07F25C3B"/>
    <w:rsid w:val="08150446"/>
    <w:rsid w:val="083772CA"/>
    <w:rsid w:val="0839529D"/>
    <w:rsid w:val="08477B74"/>
    <w:rsid w:val="08507C91"/>
    <w:rsid w:val="085A5FF7"/>
    <w:rsid w:val="085B2677"/>
    <w:rsid w:val="08633A9A"/>
    <w:rsid w:val="08846562"/>
    <w:rsid w:val="08CA13FE"/>
    <w:rsid w:val="08FD1B2B"/>
    <w:rsid w:val="09166702"/>
    <w:rsid w:val="092D4D1C"/>
    <w:rsid w:val="093920B1"/>
    <w:rsid w:val="09974C33"/>
    <w:rsid w:val="09B82947"/>
    <w:rsid w:val="09C923A7"/>
    <w:rsid w:val="0A1D35CB"/>
    <w:rsid w:val="0A8C5FC6"/>
    <w:rsid w:val="0AFA5870"/>
    <w:rsid w:val="0B3A2110"/>
    <w:rsid w:val="0BD62EBC"/>
    <w:rsid w:val="0BF72CEF"/>
    <w:rsid w:val="0BF958C7"/>
    <w:rsid w:val="0C2561A2"/>
    <w:rsid w:val="0C3F3332"/>
    <w:rsid w:val="0C5424C6"/>
    <w:rsid w:val="0C56381E"/>
    <w:rsid w:val="0C5A09A9"/>
    <w:rsid w:val="0C721436"/>
    <w:rsid w:val="0CA75583"/>
    <w:rsid w:val="0CD92ED2"/>
    <w:rsid w:val="0CDB719E"/>
    <w:rsid w:val="0D0429D6"/>
    <w:rsid w:val="0D162A01"/>
    <w:rsid w:val="0D205DEA"/>
    <w:rsid w:val="0D35493D"/>
    <w:rsid w:val="0D56019D"/>
    <w:rsid w:val="0D9F6E9B"/>
    <w:rsid w:val="0E0812B7"/>
    <w:rsid w:val="0E407559"/>
    <w:rsid w:val="0E71409B"/>
    <w:rsid w:val="0E880B10"/>
    <w:rsid w:val="0EAB6A73"/>
    <w:rsid w:val="0EAF16E7"/>
    <w:rsid w:val="0EBB37EE"/>
    <w:rsid w:val="0ED04A7F"/>
    <w:rsid w:val="0F3E3561"/>
    <w:rsid w:val="0F4D0707"/>
    <w:rsid w:val="0FBA2A45"/>
    <w:rsid w:val="0FC41654"/>
    <w:rsid w:val="0FD94037"/>
    <w:rsid w:val="0FDE7285"/>
    <w:rsid w:val="100D1EFF"/>
    <w:rsid w:val="1042721E"/>
    <w:rsid w:val="104C05B8"/>
    <w:rsid w:val="10783709"/>
    <w:rsid w:val="108F5CBF"/>
    <w:rsid w:val="10AD79C5"/>
    <w:rsid w:val="10B464C1"/>
    <w:rsid w:val="10DB4337"/>
    <w:rsid w:val="1122242E"/>
    <w:rsid w:val="1147532F"/>
    <w:rsid w:val="11625F1D"/>
    <w:rsid w:val="118C2ED5"/>
    <w:rsid w:val="11B176E2"/>
    <w:rsid w:val="11B83D31"/>
    <w:rsid w:val="11BE5610"/>
    <w:rsid w:val="11D07A25"/>
    <w:rsid w:val="12582E7C"/>
    <w:rsid w:val="12611297"/>
    <w:rsid w:val="126F5DEF"/>
    <w:rsid w:val="12795B29"/>
    <w:rsid w:val="12C82F5F"/>
    <w:rsid w:val="12CF75E2"/>
    <w:rsid w:val="12F62B63"/>
    <w:rsid w:val="131D00A3"/>
    <w:rsid w:val="132C2BB7"/>
    <w:rsid w:val="1354730D"/>
    <w:rsid w:val="13696837"/>
    <w:rsid w:val="13AA30FE"/>
    <w:rsid w:val="13B31AEC"/>
    <w:rsid w:val="13D604FC"/>
    <w:rsid w:val="13FE3FBA"/>
    <w:rsid w:val="140E1568"/>
    <w:rsid w:val="142217CF"/>
    <w:rsid w:val="14404369"/>
    <w:rsid w:val="145F4995"/>
    <w:rsid w:val="14C9345F"/>
    <w:rsid w:val="152F2A59"/>
    <w:rsid w:val="155F4841"/>
    <w:rsid w:val="15E429C7"/>
    <w:rsid w:val="16CB009A"/>
    <w:rsid w:val="16F74D42"/>
    <w:rsid w:val="173E69E9"/>
    <w:rsid w:val="175005C5"/>
    <w:rsid w:val="175D674F"/>
    <w:rsid w:val="177B7D38"/>
    <w:rsid w:val="17861C35"/>
    <w:rsid w:val="179055A0"/>
    <w:rsid w:val="17B53534"/>
    <w:rsid w:val="17CD2550"/>
    <w:rsid w:val="17DB74D3"/>
    <w:rsid w:val="17EA5768"/>
    <w:rsid w:val="1805209F"/>
    <w:rsid w:val="18114189"/>
    <w:rsid w:val="18177C0B"/>
    <w:rsid w:val="187D753B"/>
    <w:rsid w:val="18B807A5"/>
    <w:rsid w:val="18D70F9E"/>
    <w:rsid w:val="18DE1FBC"/>
    <w:rsid w:val="18F06F2D"/>
    <w:rsid w:val="19117739"/>
    <w:rsid w:val="192835A8"/>
    <w:rsid w:val="19403824"/>
    <w:rsid w:val="19415F0A"/>
    <w:rsid w:val="19466124"/>
    <w:rsid w:val="19AD7F51"/>
    <w:rsid w:val="1A02204B"/>
    <w:rsid w:val="1A057D8D"/>
    <w:rsid w:val="1A7176E9"/>
    <w:rsid w:val="1A9E3747"/>
    <w:rsid w:val="1B820C6E"/>
    <w:rsid w:val="1B8A679C"/>
    <w:rsid w:val="1BA50D14"/>
    <w:rsid w:val="1BA677E7"/>
    <w:rsid w:val="1BED2887"/>
    <w:rsid w:val="1C05769F"/>
    <w:rsid w:val="1C157D87"/>
    <w:rsid w:val="1C352CA3"/>
    <w:rsid w:val="1C510124"/>
    <w:rsid w:val="1C625D30"/>
    <w:rsid w:val="1C7671E3"/>
    <w:rsid w:val="1C777601"/>
    <w:rsid w:val="1C7B6556"/>
    <w:rsid w:val="1C8A493E"/>
    <w:rsid w:val="1CCB6998"/>
    <w:rsid w:val="1CD6623F"/>
    <w:rsid w:val="1CF90898"/>
    <w:rsid w:val="1CFA0FE7"/>
    <w:rsid w:val="1CFA589A"/>
    <w:rsid w:val="1D4824C2"/>
    <w:rsid w:val="1D8C69C4"/>
    <w:rsid w:val="1DEC587F"/>
    <w:rsid w:val="1DF766D6"/>
    <w:rsid w:val="1E110FD6"/>
    <w:rsid w:val="1E1C7C6C"/>
    <w:rsid w:val="1E786F00"/>
    <w:rsid w:val="1E7C1E81"/>
    <w:rsid w:val="1EE26B01"/>
    <w:rsid w:val="1F147CCD"/>
    <w:rsid w:val="1F1F65F5"/>
    <w:rsid w:val="1F227F17"/>
    <w:rsid w:val="1F343C02"/>
    <w:rsid w:val="1FAC7E53"/>
    <w:rsid w:val="200008B3"/>
    <w:rsid w:val="20517FE3"/>
    <w:rsid w:val="20597707"/>
    <w:rsid w:val="20B87907"/>
    <w:rsid w:val="20BA367F"/>
    <w:rsid w:val="20CE2C18"/>
    <w:rsid w:val="211C7E96"/>
    <w:rsid w:val="21577705"/>
    <w:rsid w:val="215A276C"/>
    <w:rsid w:val="215B1B40"/>
    <w:rsid w:val="217C1DAF"/>
    <w:rsid w:val="218220DE"/>
    <w:rsid w:val="21DC5877"/>
    <w:rsid w:val="21FA73E0"/>
    <w:rsid w:val="21FE096D"/>
    <w:rsid w:val="222C76C6"/>
    <w:rsid w:val="22466CF3"/>
    <w:rsid w:val="2253067F"/>
    <w:rsid w:val="22673393"/>
    <w:rsid w:val="22A344E7"/>
    <w:rsid w:val="22C9107A"/>
    <w:rsid w:val="22DE3197"/>
    <w:rsid w:val="22F10EAE"/>
    <w:rsid w:val="230950FD"/>
    <w:rsid w:val="230E0741"/>
    <w:rsid w:val="23A67EEB"/>
    <w:rsid w:val="23B459CF"/>
    <w:rsid w:val="23B6064F"/>
    <w:rsid w:val="23CB5BA3"/>
    <w:rsid w:val="23F63E16"/>
    <w:rsid w:val="24155071"/>
    <w:rsid w:val="243506CB"/>
    <w:rsid w:val="243A32C2"/>
    <w:rsid w:val="243F71F1"/>
    <w:rsid w:val="24EE26FA"/>
    <w:rsid w:val="24FB6014"/>
    <w:rsid w:val="25093A3B"/>
    <w:rsid w:val="251A0B90"/>
    <w:rsid w:val="25236D0D"/>
    <w:rsid w:val="252F645D"/>
    <w:rsid w:val="254338F2"/>
    <w:rsid w:val="254E4396"/>
    <w:rsid w:val="255E2F6B"/>
    <w:rsid w:val="257D2ECD"/>
    <w:rsid w:val="258858A9"/>
    <w:rsid w:val="25E21C3F"/>
    <w:rsid w:val="25F64D5E"/>
    <w:rsid w:val="26262B41"/>
    <w:rsid w:val="26757E2C"/>
    <w:rsid w:val="26790701"/>
    <w:rsid w:val="267970AE"/>
    <w:rsid w:val="273508EE"/>
    <w:rsid w:val="27483692"/>
    <w:rsid w:val="276F6E45"/>
    <w:rsid w:val="27715A3B"/>
    <w:rsid w:val="278066D7"/>
    <w:rsid w:val="27827B0F"/>
    <w:rsid w:val="27886287"/>
    <w:rsid w:val="279458B3"/>
    <w:rsid w:val="279F712B"/>
    <w:rsid w:val="27F53526"/>
    <w:rsid w:val="27F613F5"/>
    <w:rsid w:val="27FA5E76"/>
    <w:rsid w:val="28510862"/>
    <w:rsid w:val="28690FE5"/>
    <w:rsid w:val="288E2BD2"/>
    <w:rsid w:val="28DC50AB"/>
    <w:rsid w:val="28DE3C83"/>
    <w:rsid w:val="28E55271"/>
    <w:rsid w:val="28E7739E"/>
    <w:rsid w:val="2923374B"/>
    <w:rsid w:val="29BD796F"/>
    <w:rsid w:val="29F905D0"/>
    <w:rsid w:val="2A8220BE"/>
    <w:rsid w:val="2AAB5DE7"/>
    <w:rsid w:val="2AAC3644"/>
    <w:rsid w:val="2AC85EFF"/>
    <w:rsid w:val="2B3C1135"/>
    <w:rsid w:val="2B5C7A0C"/>
    <w:rsid w:val="2B5F7125"/>
    <w:rsid w:val="2B8073C2"/>
    <w:rsid w:val="2B8946FF"/>
    <w:rsid w:val="2BB3726F"/>
    <w:rsid w:val="2BFD0516"/>
    <w:rsid w:val="2C0A4741"/>
    <w:rsid w:val="2C624BCB"/>
    <w:rsid w:val="2C804AD2"/>
    <w:rsid w:val="2CF86E08"/>
    <w:rsid w:val="2D37238E"/>
    <w:rsid w:val="2D55232A"/>
    <w:rsid w:val="2D9B15EF"/>
    <w:rsid w:val="2DB61F8F"/>
    <w:rsid w:val="2E304308"/>
    <w:rsid w:val="2E336D9D"/>
    <w:rsid w:val="2E5674BC"/>
    <w:rsid w:val="2E5C2F80"/>
    <w:rsid w:val="2E933762"/>
    <w:rsid w:val="2E960B5C"/>
    <w:rsid w:val="2EB26D79"/>
    <w:rsid w:val="2F16026E"/>
    <w:rsid w:val="2F7145F4"/>
    <w:rsid w:val="2FA50C35"/>
    <w:rsid w:val="30183F1E"/>
    <w:rsid w:val="301C1F55"/>
    <w:rsid w:val="303436A9"/>
    <w:rsid w:val="30580298"/>
    <w:rsid w:val="30646F90"/>
    <w:rsid w:val="30CB0402"/>
    <w:rsid w:val="30DA7865"/>
    <w:rsid w:val="30F1651D"/>
    <w:rsid w:val="310955F2"/>
    <w:rsid w:val="3115225F"/>
    <w:rsid w:val="31197E88"/>
    <w:rsid w:val="31992E3D"/>
    <w:rsid w:val="319D4954"/>
    <w:rsid w:val="31FB7C56"/>
    <w:rsid w:val="321E42BD"/>
    <w:rsid w:val="323B242B"/>
    <w:rsid w:val="324D2681"/>
    <w:rsid w:val="32BD0DAD"/>
    <w:rsid w:val="33116FAD"/>
    <w:rsid w:val="333472C1"/>
    <w:rsid w:val="33A81F62"/>
    <w:rsid w:val="33E34843"/>
    <w:rsid w:val="342C61EA"/>
    <w:rsid w:val="34403E13"/>
    <w:rsid w:val="34457450"/>
    <w:rsid w:val="34BC749F"/>
    <w:rsid w:val="34BD2C73"/>
    <w:rsid w:val="34D348B8"/>
    <w:rsid w:val="34DF325D"/>
    <w:rsid w:val="34E46AC5"/>
    <w:rsid w:val="350E185E"/>
    <w:rsid w:val="35373F98"/>
    <w:rsid w:val="35415CC5"/>
    <w:rsid w:val="35871ED9"/>
    <w:rsid w:val="3606769D"/>
    <w:rsid w:val="36232900"/>
    <w:rsid w:val="36246068"/>
    <w:rsid w:val="363B7932"/>
    <w:rsid w:val="365C615D"/>
    <w:rsid w:val="365E28A7"/>
    <w:rsid w:val="36D15C2A"/>
    <w:rsid w:val="36E36908"/>
    <w:rsid w:val="36F24681"/>
    <w:rsid w:val="36FA4BBC"/>
    <w:rsid w:val="371C1DA0"/>
    <w:rsid w:val="371D61FE"/>
    <w:rsid w:val="372F1B4E"/>
    <w:rsid w:val="374B5AC3"/>
    <w:rsid w:val="37985945"/>
    <w:rsid w:val="37C8447C"/>
    <w:rsid w:val="37F30DCD"/>
    <w:rsid w:val="38187E4F"/>
    <w:rsid w:val="3820445B"/>
    <w:rsid w:val="38210467"/>
    <w:rsid w:val="38401B73"/>
    <w:rsid w:val="384B1D2A"/>
    <w:rsid w:val="38A11129"/>
    <w:rsid w:val="38A75F00"/>
    <w:rsid w:val="38D830D6"/>
    <w:rsid w:val="38F24247"/>
    <w:rsid w:val="39061936"/>
    <w:rsid w:val="39355B41"/>
    <w:rsid w:val="39780BBB"/>
    <w:rsid w:val="399267A7"/>
    <w:rsid w:val="39C04564"/>
    <w:rsid w:val="39D617F2"/>
    <w:rsid w:val="3A711B40"/>
    <w:rsid w:val="3A7F1329"/>
    <w:rsid w:val="3A9974DB"/>
    <w:rsid w:val="3AA163AA"/>
    <w:rsid w:val="3B4E6F37"/>
    <w:rsid w:val="3B731AB5"/>
    <w:rsid w:val="3B833738"/>
    <w:rsid w:val="3B874762"/>
    <w:rsid w:val="3BD6065A"/>
    <w:rsid w:val="3BF02748"/>
    <w:rsid w:val="3C2527C5"/>
    <w:rsid w:val="3C2E0626"/>
    <w:rsid w:val="3C5C6F5B"/>
    <w:rsid w:val="3C84642E"/>
    <w:rsid w:val="3CDA396C"/>
    <w:rsid w:val="3D477BF1"/>
    <w:rsid w:val="3D4E71D1"/>
    <w:rsid w:val="3D6F75C9"/>
    <w:rsid w:val="3DBD343E"/>
    <w:rsid w:val="3DE90F01"/>
    <w:rsid w:val="3DFF703C"/>
    <w:rsid w:val="3E266E35"/>
    <w:rsid w:val="3E5B04D8"/>
    <w:rsid w:val="3E691DE9"/>
    <w:rsid w:val="3EA3149B"/>
    <w:rsid w:val="3EBB73C7"/>
    <w:rsid w:val="3F0062A9"/>
    <w:rsid w:val="3F2A0CE5"/>
    <w:rsid w:val="3F4829A1"/>
    <w:rsid w:val="3F6D6EBE"/>
    <w:rsid w:val="3F7F04D5"/>
    <w:rsid w:val="3F9A23F0"/>
    <w:rsid w:val="40035934"/>
    <w:rsid w:val="40466C07"/>
    <w:rsid w:val="404C221E"/>
    <w:rsid w:val="407041AB"/>
    <w:rsid w:val="4070745F"/>
    <w:rsid w:val="4099578D"/>
    <w:rsid w:val="40A005F0"/>
    <w:rsid w:val="40A50B35"/>
    <w:rsid w:val="40C80671"/>
    <w:rsid w:val="41087697"/>
    <w:rsid w:val="417D76A0"/>
    <w:rsid w:val="417E1386"/>
    <w:rsid w:val="4190159F"/>
    <w:rsid w:val="41A203A0"/>
    <w:rsid w:val="41E522AB"/>
    <w:rsid w:val="41F12821"/>
    <w:rsid w:val="422B6BF4"/>
    <w:rsid w:val="4230334A"/>
    <w:rsid w:val="42347713"/>
    <w:rsid w:val="424B7C13"/>
    <w:rsid w:val="42A94EAA"/>
    <w:rsid w:val="42BE52AF"/>
    <w:rsid w:val="435636B8"/>
    <w:rsid w:val="43982CD1"/>
    <w:rsid w:val="43B00A8F"/>
    <w:rsid w:val="44406BF4"/>
    <w:rsid w:val="448E6CAF"/>
    <w:rsid w:val="44CE6E4A"/>
    <w:rsid w:val="44DB0CD8"/>
    <w:rsid w:val="45085AEB"/>
    <w:rsid w:val="450D568F"/>
    <w:rsid w:val="452545FE"/>
    <w:rsid w:val="4532576B"/>
    <w:rsid w:val="454B391C"/>
    <w:rsid w:val="45511B47"/>
    <w:rsid w:val="459557D9"/>
    <w:rsid w:val="45A15DDB"/>
    <w:rsid w:val="45A3513D"/>
    <w:rsid w:val="45B22926"/>
    <w:rsid w:val="463179A9"/>
    <w:rsid w:val="4681712C"/>
    <w:rsid w:val="468B6718"/>
    <w:rsid w:val="46B0393D"/>
    <w:rsid w:val="46F83AAC"/>
    <w:rsid w:val="473B23EB"/>
    <w:rsid w:val="47480D31"/>
    <w:rsid w:val="476250CF"/>
    <w:rsid w:val="477C7218"/>
    <w:rsid w:val="47B32EAB"/>
    <w:rsid w:val="47C40E8C"/>
    <w:rsid w:val="47F24BFD"/>
    <w:rsid w:val="48390A7E"/>
    <w:rsid w:val="48B1218F"/>
    <w:rsid w:val="48B14AB0"/>
    <w:rsid w:val="48BB286C"/>
    <w:rsid w:val="48D6123C"/>
    <w:rsid w:val="49150F51"/>
    <w:rsid w:val="492D2388"/>
    <w:rsid w:val="49480BD4"/>
    <w:rsid w:val="496E11C3"/>
    <w:rsid w:val="498A2208"/>
    <w:rsid w:val="499F04DF"/>
    <w:rsid w:val="49CB3BFF"/>
    <w:rsid w:val="49E07403"/>
    <w:rsid w:val="4A052F67"/>
    <w:rsid w:val="4A2B4010"/>
    <w:rsid w:val="4AA4619B"/>
    <w:rsid w:val="4AAC5537"/>
    <w:rsid w:val="4AAE7A16"/>
    <w:rsid w:val="4AC62161"/>
    <w:rsid w:val="4ACF7478"/>
    <w:rsid w:val="4AE922E8"/>
    <w:rsid w:val="4B284D77"/>
    <w:rsid w:val="4B661B8A"/>
    <w:rsid w:val="4BB0116C"/>
    <w:rsid w:val="4BCE5075"/>
    <w:rsid w:val="4BEC1507"/>
    <w:rsid w:val="4C017B05"/>
    <w:rsid w:val="4C730C9E"/>
    <w:rsid w:val="4C9857D9"/>
    <w:rsid w:val="4CB93F3C"/>
    <w:rsid w:val="4CD363C9"/>
    <w:rsid w:val="4D622825"/>
    <w:rsid w:val="4D7F6702"/>
    <w:rsid w:val="4DD27ACF"/>
    <w:rsid w:val="4DF76D1C"/>
    <w:rsid w:val="4DFC0584"/>
    <w:rsid w:val="4E1A7ECD"/>
    <w:rsid w:val="4E7818B6"/>
    <w:rsid w:val="4E7D040D"/>
    <w:rsid w:val="4EE7311E"/>
    <w:rsid w:val="4EFB4CDF"/>
    <w:rsid w:val="4F123950"/>
    <w:rsid w:val="4F134C73"/>
    <w:rsid w:val="4F2705FD"/>
    <w:rsid w:val="4F313978"/>
    <w:rsid w:val="4F8545A9"/>
    <w:rsid w:val="4F8E16AF"/>
    <w:rsid w:val="4FDD43E5"/>
    <w:rsid w:val="507519D9"/>
    <w:rsid w:val="50854E71"/>
    <w:rsid w:val="50E0572E"/>
    <w:rsid w:val="50EA0B67"/>
    <w:rsid w:val="50EC442B"/>
    <w:rsid w:val="50F14121"/>
    <w:rsid w:val="517C422B"/>
    <w:rsid w:val="51824CF6"/>
    <w:rsid w:val="51E657D3"/>
    <w:rsid w:val="51F324C4"/>
    <w:rsid w:val="51FA62AC"/>
    <w:rsid w:val="520E0078"/>
    <w:rsid w:val="52102850"/>
    <w:rsid w:val="52127D7D"/>
    <w:rsid w:val="521E31BF"/>
    <w:rsid w:val="5235306E"/>
    <w:rsid w:val="52412A63"/>
    <w:rsid w:val="52484447"/>
    <w:rsid w:val="525672F6"/>
    <w:rsid w:val="52B61649"/>
    <w:rsid w:val="52E31D12"/>
    <w:rsid w:val="5303454C"/>
    <w:rsid w:val="53185E60"/>
    <w:rsid w:val="534179D1"/>
    <w:rsid w:val="53763D4D"/>
    <w:rsid w:val="53B74B2E"/>
    <w:rsid w:val="54135280"/>
    <w:rsid w:val="541B6C3A"/>
    <w:rsid w:val="543730D2"/>
    <w:rsid w:val="54AA3A44"/>
    <w:rsid w:val="54D4021D"/>
    <w:rsid w:val="54D67D81"/>
    <w:rsid w:val="54FE2E33"/>
    <w:rsid w:val="5526139C"/>
    <w:rsid w:val="552B2D26"/>
    <w:rsid w:val="553153C0"/>
    <w:rsid w:val="554E1470"/>
    <w:rsid w:val="55986D51"/>
    <w:rsid w:val="55D3606E"/>
    <w:rsid w:val="55D42624"/>
    <w:rsid w:val="55F86BDC"/>
    <w:rsid w:val="56133CA0"/>
    <w:rsid w:val="56864A04"/>
    <w:rsid w:val="56896656"/>
    <w:rsid w:val="56BD5B9F"/>
    <w:rsid w:val="56CD6F61"/>
    <w:rsid w:val="56DA342C"/>
    <w:rsid w:val="56DD4ABD"/>
    <w:rsid w:val="5703231E"/>
    <w:rsid w:val="57116442"/>
    <w:rsid w:val="572B41B4"/>
    <w:rsid w:val="57886A18"/>
    <w:rsid w:val="578D3493"/>
    <w:rsid w:val="578F2469"/>
    <w:rsid w:val="57BB325E"/>
    <w:rsid w:val="584D20BC"/>
    <w:rsid w:val="586A7A45"/>
    <w:rsid w:val="58914C8B"/>
    <w:rsid w:val="58C83E84"/>
    <w:rsid w:val="58D2797E"/>
    <w:rsid w:val="58E3423E"/>
    <w:rsid w:val="58F23ED5"/>
    <w:rsid w:val="59016040"/>
    <w:rsid w:val="59084281"/>
    <w:rsid w:val="5956205C"/>
    <w:rsid w:val="599637F4"/>
    <w:rsid w:val="599E6CB8"/>
    <w:rsid w:val="59B76362"/>
    <w:rsid w:val="59CF1242"/>
    <w:rsid w:val="59D52E71"/>
    <w:rsid w:val="59E031E2"/>
    <w:rsid w:val="5A545E05"/>
    <w:rsid w:val="5A5B5FB9"/>
    <w:rsid w:val="5A64198B"/>
    <w:rsid w:val="5AA974E8"/>
    <w:rsid w:val="5AD0387F"/>
    <w:rsid w:val="5AE939D9"/>
    <w:rsid w:val="5B2E770A"/>
    <w:rsid w:val="5B800A46"/>
    <w:rsid w:val="5B8340E7"/>
    <w:rsid w:val="5B8D0599"/>
    <w:rsid w:val="5B937814"/>
    <w:rsid w:val="5BA627EA"/>
    <w:rsid w:val="5BAA125C"/>
    <w:rsid w:val="5C254E10"/>
    <w:rsid w:val="5C6E79F1"/>
    <w:rsid w:val="5C8657B1"/>
    <w:rsid w:val="5CA73484"/>
    <w:rsid w:val="5CB66DDB"/>
    <w:rsid w:val="5CCC7BB7"/>
    <w:rsid w:val="5CE5499C"/>
    <w:rsid w:val="5D77243C"/>
    <w:rsid w:val="5DD60CDA"/>
    <w:rsid w:val="5E0B4BE0"/>
    <w:rsid w:val="5E2F13E4"/>
    <w:rsid w:val="5E3D14E6"/>
    <w:rsid w:val="5E6E3037"/>
    <w:rsid w:val="5EC546B7"/>
    <w:rsid w:val="5EE01513"/>
    <w:rsid w:val="5F515511"/>
    <w:rsid w:val="5F703CC5"/>
    <w:rsid w:val="5F815B25"/>
    <w:rsid w:val="5F944AC0"/>
    <w:rsid w:val="5FA9036D"/>
    <w:rsid w:val="5FB20CF3"/>
    <w:rsid w:val="5FB97F54"/>
    <w:rsid w:val="5FE20A6A"/>
    <w:rsid w:val="5FE80DF1"/>
    <w:rsid w:val="5FED079B"/>
    <w:rsid w:val="60394F33"/>
    <w:rsid w:val="6054424F"/>
    <w:rsid w:val="606856F7"/>
    <w:rsid w:val="607754E4"/>
    <w:rsid w:val="607A028C"/>
    <w:rsid w:val="6155027F"/>
    <w:rsid w:val="61870BA9"/>
    <w:rsid w:val="61904268"/>
    <w:rsid w:val="61922827"/>
    <w:rsid w:val="61985AAE"/>
    <w:rsid w:val="619B21A0"/>
    <w:rsid w:val="61A24375"/>
    <w:rsid w:val="61C95215"/>
    <w:rsid w:val="61CF4043"/>
    <w:rsid w:val="620863D2"/>
    <w:rsid w:val="620A2D56"/>
    <w:rsid w:val="62197E84"/>
    <w:rsid w:val="624E318C"/>
    <w:rsid w:val="626058BD"/>
    <w:rsid w:val="628A21AA"/>
    <w:rsid w:val="62D70238"/>
    <w:rsid w:val="630014F2"/>
    <w:rsid w:val="634E5810"/>
    <w:rsid w:val="636310DD"/>
    <w:rsid w:val="63973714"/>
    <w:rsid w:val="639B0124"/>
    <w:rsid w:val="639D71F8"/>
    <w:rsid w:val="63A81226"/>
    <w:rsid w:val="63AA37AD"/>
    <w:rsid w:val="63CE5BCA"/>
    <w:rsid w:val="63E853DA"/>
    <w:rsid w:val="63FC654F"/>
    <w:rsid w:val="641E0DFC"/>
    <w:rsid w:val="64DB0896"/>
    <w:rsid w:val="650A079C"/>
    <w:rsid w:val="651D1C32"/>
    <w:rsid w:val="65506641"/>
    <w:rsid w:val="655D3558"/>
    <w:rsid w:val="65A65CF0"/>
    <w:rsid w:val="65E24C86"/>
    <w:rsid w:val="65E5355A"/>
    <w:rsid w:val="66B477F6"/>
    <w:rsid w:val="66FA60C7"/>
    <w:rsid w:val="673C65F0"/>
    <w:rsid w:val="674A3D4F"/>
    <w:rsid w:val="675940D8"/>
    <w:rsid w:val="677F7E04"/>
    <w:rsid w:val="679006E0"/>
    <w:rsid w:val="67C80B46"/>
    <w:rsid w:val="680E64F1"/>
    <w:rsid w:val="6864772D"/>
    <w:rsid w:val="68A103B2"/>
    <w:rsid w:val="68BC6A3B"/>
    <w:rsid w:val="69092D7D"/>
    <w:rsid w:val="69290CE5"/>
    <w:rsid w:val="692E211D"/>
    <w:rsid w:val="69C53915"/>
    <w:rsid w:val="6A121AD7"/>
    <w:rsid w:val="6A3C248C"/>
    <w:rsid w:val="6A7A2B04"/>
    <w:rsid w:val="6ABA024E"/>
    <w:rsid w:val="6ABC136F"/>
    <w:rsid w:val="6AD23B35"/>
    <w:rsid w:val="6AEA3AFD"/>
    <w:rsid w:val="6B0C7A7D"/>
    <w:rsid w:val="6B7D0AFE"/>
    <w:rsid w:val="6BD040E2"/>
    <w:rsid w:val="6C3226C6"/>
    <w:rsid w:val="6C545FF5"/>
    <w:rsid w:val="6C591BE2"/>
    <w:rsid w:val="6C727F37"/>
    <w:rsid w:val="6C97063E"/>
    <w:rsid w:val="6CC462B9"/>
    <w:rsid w:val="6D226F28"/>
    <w:rsid w:val="6D554232"/>
    <w:rsid w:val="6DE76703"/>
    <w:rsid w:val="6DE85FD7"/>
    <w:rsid w:val="6E0A4A26"/>
    <w:rsid w:val="6E153270"/>
    <w:rsid w:val="6E5A4385"/>
    <w:rsid w:val="6E5E1B6C"/>
    <w:rsid w:val="6E8D32DA"/>
    <w:rsid w:val="6EC627BC"/>
    <w:rsid w:val="6EED5F9B"/>
    <w:rsid w:val="6EEF71D1"/>
    <w:rsid w:val="6EF04F82"/>
    <w:rsid w:val="6F021A16"/>
    <w:rsid w:val="6F0D3F47"/>
    <w:rsid w:val="6F1C43D6"/>
    <w:rsid w:val="6F1D40CE"/>
    <w:rsid w:val="6F3B6D06"/>
    <w:rsid w:val="6F422420"/>
    <w:rsid w:val="6F514777"/>
    <w:rsid w:val="6F6661D2"/>
    <w:rsid w:val="6FCE6181"/>
    <w:rsid w:val="703F2826"/>
    <w:rsid w:val="7051517A"/>
    <w:rsid w:val="706E5A1E"/>
    <w:rsid w:val="70976085"/>
    <w:rsid w:val="70A647A4"/>
    <w:rsid w:val="70B8395F"/>
    <w:rsid w:val="70D85BD1"/>
    <w:rsid w:val="70FE623D"/>
    <w:rsid w:val="71065CAE"/>
    <w:rsid w:val="7113730F"/>
    <w:rsid w:val="715A4658"/>
    <w:rsid w:val="715B338A"/>
    <w:rsid w:val="71695F18"/>
    <w:rsid w:val="716A7ADC"/>
    <w:rsid w:val="718B3849"/>
    <w:rsid w:val="71DE2E53"/>
    <w:rsid w:val="721D27C5"/>
    <w:rsid w:val="721F39FF"/>
    <w:rsid w:val="7262796D"/>
    <w:rsid w:val="727B3A2F"/>
    <w:rsid w:val="729E121E"/>
    <w:rsid w:val="729F6B7B"/>
    <w:rsid w:val="72A2709C"/>
    <w:rsid w:val="72C8265B"/>
    <w:rsid w:val="72E23A7A"/>
    <w:rsid w:val="72F6179B"/>
    <w:rsid w:val="733252F0"/>
    <w:rsid w:val="733C129F"/>
    <w:rsid w:val="735B2E64"/>
    <w:rsid w:val="738003CA"/>
    <w:rsid w:val="7396120A"/>
    <w:rsid w:val="73C56EED"/>
    <w:rsid w:val="73E25E6C"/>
    <w:rsid w:val="74180D50"/>
    <w:rsid w:val="741E3A74"/>
    <w:rsid w:val="746C518B"/>
    <w:rsid w:val="74917CCB"/>
    <w:rsid w:val="74A50A66"/>
    <w:rsid w:val="74C652C4"/>
    <w:rsid w:val="74CC56DC"/>
    <w:rsid w:val="75826D11"/>
    <w:rsid w:val="758D4AB4"/>
    <w:rsid w:val="758E30F3"/>
    <w:rsid w:val="75D12961"/>
    <w:rsid w:val="76254258"/>
    <w:rsid w:val="765941C5"/>
    <w:rsid w:val="76911902"/>
    <w:rsid w:val="76E859B6"/>
    <w:rsid w:val="771A165E"/>
    <w:rsid w:val="773B6CD4"/>
    <w:rsid w:val="77642B72"/>
    <w:rsid w:val="77E302C4"/>
    <w:rsid w:val="77E30949"/>
    <w:rsid w:val="77E36DBE"/>
    <w:rsid w:val="77ED0DBA"/>
    <w:rsid w:val="77F16A53"/>
    <w:rsid w:val="780132C5"/>
    <w:rsid w:val="783525A0"/>
    <w:rsid w:val="784D2AD9"/>
    <w:rsid w:val="786F12BD"/>
    <w:rsid w:val="786F1AA9"/>
    <w:rsid w:val="7872551D"/>
    <w:rsid w:val="78B86EE8"/>
    <w:rsid w:val="7920071D"/>
    <w:rsid w:val="7973709D"/>
    <w:rsid w:val="79B56BC5"/>
    <w:rsid w:val="79C52BC7"/>
    <w:rsid w:val="79C747F6"/>
    <w:rsid w:val="7A2861E8"/>
    <w:rsid w:val="7A36659D"/>
    <w:rsid w:val="7A41719B"/>
    <w:rsid w:val="7A6027C1"/>
    <w:rsid w:val="7A61783D"/>
    <w:rsid w:val="7A854A12"/>
    <w:rsid w:val="7A927EF9"/>
    <w:rsid w:val="7AE87D7A"/>
    <w:rsid w:val="7B007056"/>
    <w:rsid w:val="7B130B37"/>
    <w:rsid w:val="7B237820"/>
    <w:rsid w:val="7B672C31"/>
    <w:rsid w:val="7B690757"/>
    <w:rsid w:val="7B974622"/>
    <w:rsid w:val="7C0A247D"/>
    <w:rsid w:val="7C38637B"/>
    <w:rsid w:val="7C3C1587"/>
    <w:rsid w:val="7C4D62CB"/>
    <w:rsid w:val="7C6B3F7A"/>
    <w:rsid w:val="7C7C6FF4"/>
    <w:rsid w:val="7CA52AE4"/>
    <w:rsid w:val="7CC540AA"/>
    <w:rsid w:val="7CE3371D"/>
    <w:rsid w:val="7D3119EA"/>
    <w:rsid w:val="7D4E72F0"/>
    <w:rsid w:val="7D581DAF"/>
    <w:rsid w:val="7D860B69"/>
    <w:rsid w:val="7DA27F18"/>
    <w:rsid w:val="7DB008BF"/>
    <w:rsid w:val="7DD15417"/>
    <w:rsid w:val="7DED1691"/>
    <w:rsid w:val="7E610A91"/>
    <w:rsid w:val="7E6478FC"/>
    <w:rsid w:val="7E662EAD"/>
    <w:rsid w:val="7E9219F9"/>
    <w:rsid w:val="7EA85A3A"/>
    <w:rsid w:val="7EC14C30"/>
    <w:rsid w:val="7EF87B3E"/>
    <w:rsid w:val="7F1466C2"/>
    <w:rsid w:val="7F474277"/>
    <w:rsid w:val="7F52348C"/>
    <w:rsid w:val="7F671451"/>
    <w:rsid w:val="7F924DA0"/>
    <w:rsid w:val="7FC6022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qFormat="1"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61"/>
    <w:qFormat/>
    <w:uiPriority w:val="9"/>
    <w:pPr>
      <w:keepNext/>
      <w:keepLines/>
      <w:spacing w:before="340" w:after="330" w:line="576" w:lineRule="auto"/>
      <w:outlineLvl w:val="0"/>
    </w:pPr>
    <w:rPr>
      <w:b/>
      <w:bCs/>
      <w:kern w:val="44"/>
      <w:sz w:val="44"/>
      <w:szCs w:val="44"/>
    </w:rPr>
  </w:style>
  <w:style w:type="paragraph" w:styleId="6">
    <w:name w:val="heading 2"/>
    <w:basedOn w:val="1"/>
    <w:next w:val="1"/>
    <w:link w:val="62"/>
    <w:qFormat/>
    <w:uiPriority w:val="0"/>
    <w:pPr>
      <w:keepNext/>
      <w:keepLines/>
      <w:spacing w:before="260" w:after="260" w:line="413" w:lineRule="auto"/>
      <w:outlineLvl w:val="1"/>
    </w:pPr>
    <w:rPr>
      <w:rFonts w:ascii="Arial" w:hAnsi="Arial" w:eastAsia="黑体"/>
      <w:b/>
      <w:bCs/>
      <w:sz w:val="32"/>
      <w:szCs w:val="32"/>
    </w:rPr>
  </w:style>
  <w:style w:type="paragraph" w:styleId="7">
    <w:name w:val="heading 3"/>
    <w:basedOn w:val="1"/>
    <w:next w:val="1"/>
    <w:link w:val="63"/>
    <w:qFormat/>
    <w:uiPriority w:val="0"/>
    <w:pPr>
      <w:keepNext/>
      <w:keepLines/>
      <w:spacing w:before="260" w:after="260" w:line="413" w:lineRule="auto"/>
      <w:outlineLvl w:val="2"/>
    </w:pPr>
    <w:rPr>
      <w:b/>
      <w:bCs/>
      <w:sz w:val="32"/>
      <w:szCs w:val="32"/>
    </w:rPr>
  </w:style>
  <w:style w:type="paragraph" w:styleId="8">
    <w:name w:val="heading 4"/>
    <w:basedOn w:val="1"/>
    <w:next w:val="1"/>
    <w:link w:val="64"/>
    <w:qFormat/>
    <w:uiPriority w:val="0"/>
    <w:pPr>
      <w:keepNext/>
      <w:keepLines/>
      <w:widowControl/>
      <w:spacing w:before="120" w:after="120" w:line="360" w:lineRule="auto"/>
      <w:jc w:val="center"/>
      <w:outlineLvl w:val="3"/>
    </w:pPr>
    <w:rPr>
      <w:rFonts w:ascii="Arial" w:hAnsi="Arial" w:eastAsia="黑体"/>
      <w:kern w:val="0"/>
      <w:sz w:val="28"/>
      <w:szCs w:val="20"/>
    </w:rPr>
  </w:style>
  <w:style w:type="paragraph" w:styleId="9">
    <w:name w:val="heading 5"/>
    <w:basedOn w:val="1"/>
    <w:next w:val="10"/>
    <w:link w:val="65"/>
    <w:qFormat/>
    <w:uiPriority w:val="0"/>
    <w:pPr>
      <w:keepNext/>
      <w:keepLines/>
      <w:spacing w:before="280" w:after="290" w:line="372" w:lineRule="auto"/>
      <w:outlineLvl w:val="4"/>
    </w:pPr>
    <w:rPr>
      <w:b/>
      <w:sz w:val="28"/>
    </w:rPr>
  </w:style>
  <w:style w:type="paragraph" w:styleId="11">
    <w:name w:val="heading 6"/>
    <w:basedOn w:val="1"/>
    <w:next w:val="10"/>
    <w:link w:val="66"/>
    <w:qFormat/>
    <w:uiPriority w:val="0"/>
    <w:pPr>
      <w:keepNext/>
      <w:keepLines/>
      <w:spacing w:before="240" w:after="64" w:line="317" w:lineRule="auto"/>
      <w:outlineLvl w:val="5"/>
    </w:pPr>
    <w:rPr>
      <w:rFonts w:ascii="Arial" w:hAnsi="Arial" w:eastAsia="黑体"/>
      <w:b/>
      <w:sz w:val="24"/>
    </w:rPr>
  </w:style>
  <w:style w:type="paragraph" w:styleId="12">
    <w:name w:val="heading 7"/>
    <w:basedOn w:val="1"/>
    <w:next w:val="10"/>
    <w:link w:val="67"/>
    <w:qFormat/>
    <w:uiPriority w:val="0"/>
    <w:pPr>
      <w:keepNext/>
      <w:keepLines/>
      <w:spacing w:before="240" w:after="64" w:line="317" w:lineRule="auto"/>
      <w:outlineLvl w:val="6"/>
    </w:pPr>
    <w:rPr>
      <w:b/>
      <w:sz w:val="24"/>
    </w:rPr>
  </w:style>
  <w:style w:type="paragraph" w:styleId="13">
    <w:name w:val="heading 8"/>
    <w:basedOn w:val="1"/>
    <w:next w:val="10"/>
    <w:link w:val="68"/>
    <w:qFormat/>
    <w:uiPriority w:val="0"/>
    <w:pPr>
      <w:keepNext/>
      <w:keepLines/>
      <w:spacing w:before="240" w:after="64" w:line="317" w:lineRule="auto"/>
      <w:outlineLvl w:val="7"/>
    </w:pPr>
    <w:rPr>
      <w:rFonts w:ascii="Arial" w:hAnsi="Arial" w:eastAsia="黑体"/>
      <w:sz w:val="24"/>
    </w:rPr>
  </w:style>
  <w:style w:type="paragraph" w:styleId="14">
    <w:name w:val="heading 9"/>
    <w:basedOn w:val="1"/>
    <w:next w:val="10"/>
    <w:link w:val="69"/>
    <w:qFormat/>
    <w:uiPriority w:val="0"/>
    <w:pPr>
      <w:keepNext/>
      <w:keepLines/>
      <w:spacing w:before="240" w:after="64" w:line="317" w:lineRule="auto"/>
      <w:outlineLvl w:val="8"/>
    </w:pPr>
    <w:rPr>
      <w:rFonts w:ascii="Arial" w:hAnsi="Arial" w:eastAsia="黑体"/>
    </w:rPr>
  </w:style>
  <w:style w:type="character" w:default="1" w:styleId="55">
    <w:name w:val="Default Paragraph Font"/>
    <w:unhideWhenUsed/>
    <w:qFormat/>
    <w:uiPriority w:val="1"/>
  </w:style>
  <w:style w:type="table" w:default="1" w:styleId="53">
    <w:name w:val="Normal Table"/>
    <w:unhideWhenUsed/>
    <w:qFormat/>
    <w:uiPriority w:val="99"/>
    <w:tblPr>
      <w:tblCellMar>
        <w:top w:w="0" w:type="dxa"/>
        <w:left w:w="108" w:type="dxa"/>
        <w:bottom w:w="0" w:type="dxa"/>
        <w:right w:w="108" w:type="dxa"/>
      </w:tblCellMar>
    </w:tblPr>
  </w:style>
  <w:style w:type="paragraph" w:styleId="2">
    <w:name w:val="Body Text First Indent 2"/>
    <w:basedOn w:val="3"/>
    <w:link w:val="87"/>
    <w:qFormat/>
    <w:uiPriority w:val="0"/>
    <w:pPr>
      <w:spacing w:after="120"/>
      <w:ind w:left="420" w:leftChars="200" w:firstLine="420" w:firstLineChars="200"/>
    </w:pPr>
    <w:rPr>
      <w:rFonts w:ascii="Times New Roman" w:eastAsia="宋体"/>
      <w:sz w:val="21"/>
      <w:szCs w:val="24"/>
    </w:rPr>
  </w:style>
  <w:style w:type="paragraph" w:styleId="3">
    <w:name w:val="Body Text Indent"/>
    <w:basedOn w:val="1"/>
    <w:next w:val="4"/>
    <w:link w:val="74"/>
    <w:qFormat/>
    <w:uiPriority w:val="0"/>
    <w:pPr>
      <w:ind w:firstLine="830" w:firstLineChars="352"/>
    </w:pPr>
    <w:rPr>
      <w:rFonts w:ascii="仿宋_GB2312" w:eastAsia="仿宋_GB2312"/>
      <w:sz w:val="32"/>
      <w:szCs w:val="20"/>
    </w:rPr>
  </w:style>
  <w:style w:type="paragraph" w:styleId="4">
    <w:name w:val="envelope return"/>
    <w:basedOn w:val="1"/>
    <w:qFormat/>
    <w:uiPriority w:val="99"/>
    <w:rPr>
      <w:rFonts w:ascii="Arial" w:hAnsi="Arial" w:cs="Arial"/>
      <w:kern w:val="1"/>
    </w:rPr>
  </w:style>
  <w:style w:type="paragraph" w:styleId="10">
    <w:name w:val="Normal Indent"/>
    <w:basedOn w:val="1"/>
    <w:qFormat/>
    <w:uiPriority w:val="0"/>
    <w:pPr>
      <w:ind w:firstLine="420"/>
    </w:pPr>
    <w:rPr>
      <w:szCs w:val="20"/>
    </w:rPr>
  </w:style>
  <w:style w:type="paragraph" w:styleId="15">
    <w:name w:val="List 3"/>
    <w:basedOn w:val="1"/>
    <w:qFormat/>
    <w:uiPriority w:val="0"/>
    <w:pPr>
      <w:ind w:left="100" w:leftChars="400" w:hanging="200" w:hangingChars="200"/>
    </w:pPr>
  </w:style>
  <w:style w:type="paragraph" w:styleId="16">
    <w:name w:val="toc 7"/>
    <w:basedOn w:val="1"/>
    <w:next w:val="1"/>
    <w:qFormat/>
    <w:uiPriority w:val="0"/>
    <w:pPr>
      <w:tabs>
        <w:tab w:val="right" w:leader="dot" w:pos="9185"/>
      </w:tabs>
      <w:adjustRightInd w:val="0"/>
      <w:spacing w:line="312" w:lineRule="atLeast"/>
      <w:ind w:left="2520"/>
      <w:textAlignment w:val="baseline"/>
    </w:pPr>
    <w:rPr>
      <w:kern w:val="0"/>
      <w:szCs w:val="20"/>
    </w:rPr>
  </w:style>
  <w:style w:type="paragraph" w:styleId="17">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8">
    <w:name w:val="caption"/>
    <w:basedOn w:val="1"/>
    <w:next w:val="1"/>
    <w:qFormat/>
    <w:uiPriority w:val="0"/>
    <w:pPr>
      <w:spacing w:before="152" w:after="160"/>
    </w:pPr>
    <w:rPr>
      <w:rFonts w:ascii="Arial" w:hAnsi="Arial" w:eastAsia="黑体" w:cs="Arial"/>
      <w:sz w:val="20"/>
      <w:szCs w:val="20"/>
    </w:rPr>
  </w:style>
  <w:style w:type="paragraph" w:styleId="19">
    <w:name w:val="Document Map"/>
    <w:basedOn w:val="1"/>
    <w:link w:val="70"/>
    <w:qFormat/>
    <w:uiPriority w:val="0"/>
    <w:pPr>
      <w:shd w:val="clear" w:color="auto" w:fill="000080"/>
      <w:adjustRightInd w:val="0"/>
      <w:spacing w:line="312" w:lineRule="atLeast"/>
      <w:textAlignment w:val="baseline"/>
    </w:pPr>
    <w:rPr>
      <w:kern w:val="0"/>
      <w:szCs w:val="20"/>
    </w:rPr>
  </w:style>
  <w:style w:type="paragraph" w:styleId="20">
    <w:name w:val="annotation text"/>
    <w:basedOn w:val="1"/>
    <w:link w:val="71"/>
    <w:qFormat/>
    <w:uiPriority w:val="0"/>
    <w:pPr>
      <w:jc w:val="left"/>
    </w:pPr>
  </w:style>
  <w:style w:type="paragraph" w:styleId="21">
    <w:name w:val="Body Text 3"/>
    <w:basedOn w:val="1"/>
    <w:link w:val="72"/>
    <w:qFormat/>
    <w:uiPriority w:val="0"/>
    <w:pPr>
      <w:spacing w:line="500" w:lineRule="exact"/>
    </w:pPr>
    <w:rPr>
      <w:b/>
      <w:bCs/>
      <w:sz w:val="24"/>
    </w:rPr>
  </w:style>
  <w:style w:type="paragraph" w:styleId="22">
    <w:name w:val="Body Text"/>
    <w:basedOn w:val="1"/>
    <w:link w:val="73"/>
    <w:qFormat/>
    <w:uiPriority w:val="0"/>
    <w:pPr>
      <w:spacing w:line="380" w:lineRule="exact"/>
    </w:pPr>
    <w:rPr>
      <w:sz w:val="24"/>
    </w:rPr>
  </w:style>
  <w:style w:type="paragraph" w:styleId="23">
    <w:name w:val="List Number 3"/>
    <w:basedOn w:val="1"/>
    <w:qFormat/>
    <w:uiPriority w:val="0"/>
    <w:pPr>
      <w:tabs>
        <w:tab w:val="left" w:pos="1200"/>
      </w:tabs>
      <w:ind w:left="1200" w:leftChars="400" w:hanging="360" w:hangingChars="200"/>
    </w:pPr>
  </w:style>
  <w:style w:type="paragraph" w:styleId="24">
    <w:name w:val="List 2"/>
    <w:basedOn w:val="1"/>
    <w:qFormat/>
    <w:uiPriority w:val="0"/>
    <w:pPr>
      <w:ind w:left="100" w:leftChars="200" w:hanging="200" w:hangingChars="200"/>
    </w:pPr>
    <w:rPr>
      <w:sz w:val="28"/>
    </w:rPr>
  </w:style>
  <w:style w:type="paragraph" w:styleId="25">
    <w:name w:val="Block Text"/>
    <w:basedOn w:val="1"/>
    <w:qFormat/>
    <w:uiPriority w:val="0"/>
    <w:pPr>
      <w:adjustRightInd w:val="0"/>
      <w:ind w:left="420" w:right="33"/>
      <w:jc w:val="left"/>
      <w:textAlignment w:val="baseline"/>
    </w:pPr>
    <w:rPr>
      <w:kern w:val="0"/>
      <w:sz w:val="24"/>
      <w:szCs w:val="20"/>
    </w:rPr>
  </w:style>
  <w:style w:type="paragraph" w:styleId="26">
    <w:name w:val="toc 5"/>
    <w:basedOn w:val="1"/>
    <w:next w:val="1"/>
    <w:qFormat/>
    <w:uiPriority w:val="0"/>
    <w:pPr>
      <w:tabs>
        <w:tab w:val="right" w:leader="dot" w:pos="9185"/>
      </w:tabs>
      <w:adjustRightInd w:val="0"/>
      <w:spacing w:line="312" w:lineRule="atLeast"/>
      <w:ind w:left="1680"/>
      <w:textAlignment w:val="baseline"/>
    </w:pPr>
    <w:rPr>
      <w:kern w:val="0"/>
      <w:szCs w:val="20"/>
    </w:rPr>
  </w:style>
  <w:style w:type="paragraph" w:styleId="27">
    <w:name w:val="toc 3"/>
    <w:basedOn w:val="1"/>
    <w:next w:val="1"/>
    <w:qFormat/>
    <w:uiPriority w:val="39"/>
    <w:pPr>
      <w:ind w:left="840" w:leftChars="400"/>
    </w:pPr>
  </w:style>
  <w:style w:type="paragraph" w:styleId="28">
    <w:name w:val="Plain Text"/>
    <w:basedOn w:val="1"/>
    <w:next w:val="29"/>
    <w:link w:val="75"/>
    <w:qFormat/>
    <w:uiPriority w:val="0"/>
    <w:rPr>
      <w:rFonts w:ascii="宋体" w:hAnsi="Courier New" w:cs="Courier New"/>
      <w:szCs w:val="21"/>
    </w:rPr>
  </w:style>
  <w:style w:type="paragraph" w:customStyle="1" w:styleId="29">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0">
    <w:name w:val="toc 8"/>
    <w:basedOn w:val="1"/>
    <w:next w:val="1"/>
    <w:qFormat/>
    <w:uiPriority w:val="0"/>
    <w:pPr>
      <w:tabs>
        <w:tab w:val="right" w:leader="dot" w:pos="9185"/>
      </w:tabs>
      <w:adjustRightInd w:val="0"/>
      <w:spacing w:line="312" w:lineRule="atLeast"/>
      <w:ind w:left="2940"/>
      <w:textAlignment w:val="baseline"/>
    </w:pPr>
    <w:rPr>
      <w:kern w:val="0"/>
      <w:szCs w:val="20"/>
    </w:rPr>
  </w:style>
  <w:style w:type="paragraph" w:styleId="31">
    <w:name w:val="Date"/>
    <w:basedOn w:val="1"/>
    <w:next w:val="1"/>
    <w:link w:val="76"/>
    <w:qFormat/>
    <w:uiPriority w:val="0"/>
    <w:pPr>
      <w:ind w:left="100" w:leftChars="2500"/>
    </w:pPr>
    <w:rPr>
      <w:rFonts w:ascii="宋体" w:hAnsi="Courier New"/>
      <w:szCs w:val="21"/>
    </w:rPr>
  </w:style>
  <w:style w:type="paragraph" w:styleId="32">
    <w:name w:val="Body Text Indent 2"/>
    <w:basedOn w:val="1"/>
    <w:link w:val="77"/>
    <w:qFormat/>
    <w:uiPriority w:val="0"/>
    <w:pPr>
      <w:ind w:firstLine="630"/>
    </w:pPr>
    <w:rPr>
      <w:sz w:val="32"/>
      <w:szCs w:val="20"/>
    </w:rPr>
  </w:style>
  <w:style w:type="paragraph" w:styleId="33">
    <w:name w:val="Balloon Text"/>
    <w:basedOn w:val="1"/>
    <w:link w:val="78"/>
    <w:qFormat/>
    <w:uiPriority w:val="0"/>
    <w:rPr>
      <w:sz w:val="18"/>
      <w:szCs w:val="18"/>
    </w:rPr>
  </w:style>
  <w:style w:type="paragraph" w:styleId="34">
    <w:name w:val="footer"/>
    <w:basedOn w:val="1"/>
    <w:link w:val="79"/>
    <w:qFormat/>
    <w:uiPriority w:val="0"/>
    <w:pPr>
      <w:tabs>
        <w:tab w:val="center" w:pos="4153"/>
        <w:tab w:val="right" w:pos="8306"/>
      </w:tabs>
      <w:snapToGrid w:val="0"/>
      <w:jc w:val="left"/>
    </w:pPr>
    <w:rPr>
      <w:sz w:val="18"/>
      <w:szCs w:val="18"/>
    </w:rPr>
  </w:style>
  <w:style w:type="paragraph" w:styleId="35">
    <w:name w:val="header"/>
    <w:basedOn w:val="1"/>
    <w:link w:val="80"/>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qFormat/>
    <w:uiPriority w:val="39"/>
    <w:pPr>
      <w:tabs>
        <w:tab w:val="right" w:leader="dot" w:pos="8398"/>
      </w:tabs>
      <w:spacing w:before="120" w:after="120"/>
      <w:ind w:firstLine="240" w:firstLineChars="100"/>
      <w:jc w:val="left"/>
    </w:pPr>
    <w:rPr>
      <w:rFonts w:ascii="宋体" w:hAnsi="宋体"/>
      <w:b/>
      <w:bCs/>
      <w:caps/>
      <w:sz w:val="24"/>
    </w:rPr>
  </w:style>
  <w:style w:type="paragraph" w:styleId="37">
    <w:name w:val="toc 4"/>
    <w:basedOn w:val="1"/>
    <w:next w:val="1"/>
    <w:qFormat/>
    <w:uiPriority w:val="0"/>
    <w:pPr>
      <w:tabs>
        <w:tab w:val="right" w:leader="dot" w:pos="9185"/>
      </w:tabs>
      <w:adjustRightInd w:val="0"/>
      <w:spacing w:line="312" w:lineRule="atLeast"/>
      <w:ind w:left="1260"/>
      <w:textAlignment w:val="baseline"/>
    </w:pPr>
    <w:rPr>
      <w:kern w:val="0"/>
      <w:szCs w:val="20"/>
    </w:rPr>
  </w:style>
  <w:style w:type="paragraph" w:styleId="38">
    <w:name w:val="List"/>
    <w:basedOn w:val="1"/>
    <w:qFormat/>
    <w:uiPriority w:val="0"/>
    <w:pPr>
      <w:ind w:left="200" w:hanging="200" w:hangingChars="200"/>
    </w:pPr>
    <w:rPr>
      <w:sz w:val="28"/>
    </w:rPr>
  </w:style>
  <w:style w:type="paragraph" w:styleId="39">
    <w:name w:val="toc 6"/>
    <w:basedOn w:val="1"/>
    <w:next w:val="1"/>
    <w:qFormat/>
    <w:uiPriority w:val="0"/>
    <w:pPr>
      <w:tabs>
        <w:tab w:val="right" w:leader="dot" w:pos="9185"/>
      </w:tabs>
      <w:adjustRightInd w:val="0"/>
      <w:spacing w:line="312" w:lineRule="atLeast"/>
      <w:ind w:left="2100"/>
      <w:textAlignment w:val="baseline"/>
    </w:pPr>
    <w:rPr>
      <w:kern w:val="0"/>
      <w:szCs w:val="20"/>
    </w:rPr>
  </w:style>
  <w:style w:type="paragraph" w:styleId="40">
    <w:name w:val="List 5"/>
    <w:basedOn w:val="1"/>
    <w:qFormat/>
    <w:uiPriority w:val="0"/>
    <w:pPr>
      <w:ind w:left="2100" w:hanging="420"/>
    </w:pPr>
    <w:rPr>
      <w:szCs w:val="20"/>
    </w:rPr>
  </w:style>
  <w:style w:type="paragraph" w:styleId="41">
    <w:name w:val="Body Text Indent 3"/>
    <w:basedOn w:val="1"/>
    <w:link w:val="81"/>
    <w:qFormat/>
    <w:uiPriority w:val="0"/>
    <w:pPr>
      <w:spacing w:after="120"/>
      <w:ind w:left="420" w:leftChars="200"/>
    </w:pPr>
    <w:rPr>
      <w:sz w:val="16"/>
      <w:szCs w:val="16"/>
    </w:rPr>
  </w:style>
  <w:style w:type="paragraph" w:styleId="42">
    <w:name w:val="toc 2"/>
    <w:basedOn w:val="1"/>
    <w:next w:val="1"/>
    <w:qFormat/>
    <w:uiPriority w:val="39"/>
    <w:pPr>
      <w:ind w:left="420" w:leftChars="200"/>
    </w:pPr>
  </w:style>
  <w:style w:type="paragraph" w:styleId="43">
    <w:name w:val="toc 9"/>
    <w:basedOn w:val="1"/>
    <w:next w:val="1"/>
    <w:qFormat/>
    <w:uiPriority w:val="0"/>
    <w:pPr>
      <w:tabs>
        <w:tab w:val="right" w:leader="dot" w:pos="9185"/>
      </w:tabs>
      <w:adjustRightInd w:val="0"/>
      <w:spacing w:line="312" w:lineRule="atLeast"/>
      <w:ind w:left="3360"/>
      <w:textAlignment w:val="baseline"/>
    </w:pPr>
    <w:rPr>
      <w:kern w:val="0"/>
      <w:szCs w:val="20"/>
    </w:rPr>
  </w:style>
  <w:style w:type="paragraph" w:styleId="44">
    <w:name w:val="Body Text 2"/>
    <w:basedOn w:val="1"/>
    <w:link w:val="82"/>
    <w:qFormat/>
    <w:uiPriority w:val="0"/>
    <w:pPr>
      <w:spacing w:after="120" w:line="480" w:lineRule="auto"/>
    </w:pPr>
  </w:style>
  <w:style w:type="paragraph" w:styleId="45">
    <w:name w:val="List 4"/>
    <w:basedOn w:val="1"/>
    <w:qFormat/>
    <w:uiPriority w:val="0"/>
    <w:pPr>
      <w:ind w:left="100" w:leftChars="600" w:hanging="200" w:hangingChars="200"/>
    </w:pPr>
  </w:style>
  <w:style w:type="paragraph" w:styleId="46">
    <w:name w:val="List Continue 2"/>
    <w:basedOn w:val="1"/>
    <w:qFormat/>
    <w:uiPriority w:val="0"/>
    <w:pPr>
      <w:spacing w:after="120"/>
      <w:ind w:left="840" w:leftChars="400"/>
    </w:pPr>
  </w:style>
  <w:style w:type="paragraph" w:styleId="47">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48">
    <w:name w:val="Normal (Web)"/>
    <w:basedOn w:val="1"/>
    <w:qFormat/>
    <w:uiPriority w:val="0"/>
    <w:pPr>
      <w:widowControl/>
      <w:spacing w:before="100" w:beforeAutospacing="1" w:after="100" w:afterAutospacing="1"/>
      <w:jc w:val="left"/>
    </w:pPr>
    <w:rPr>
      <w:rFonts w:ascii="宋体" w:hAnsi="宋体"/>
      <w:kern w:val="0"/>
      <w:sz w:val="24"/>
    </w:rPr>
  </w:style>
  <w:style w:type="paragraph" w:styleId="49">
    <w:name w:val="index 1"/>
    <w:basedOn w:val="1"/>
    <w:next w:val="1"/>
    <w:qFormat/>
    <w:uiPriority w:val="0"/>
    <w:pPr>
      <w:spacing w:line="400" w:lineRule="exact"/>
      <w:ind w:firstLine="420" w:firstLineChars="200"/>
    </w:pPr>
    <w:rPr>
      <w:rFonts w:ascii="宋体" w:hAnsi="Courier New"/>
      <w:b/>
      <w:szCs w:val="20"/>
    </w:rPr>
  </w:style>
  <w:style w:type="paragraph" w:styleId="50">
    <w:name w:val="Title"/>
    <w:basedOn w:val="1"/>
    <w:link w:val="84"/>
    <w:qFormat/>
    <w:uiPriority w:val="0"/>
    <w:pPr>
      <w:jc w:val="center"/>
    </w:pPr>
    <w:rPr>
      <w:sz w:val="30"/>
    </w:rPr>
  </w:style>
  <w:style w:type="paragraph" w:styleId="51">
    <w:name w:val="annotation subject"/>
    <w:basedOn w:val="20"/>
    <w:next w:val="20"/>
    <w:link w:val="85"/>
    <w:qFormat/>
    <w:uiPriority w:val="0"/>
    <w:rPr>
      <w:b/>
      <w:bCs/>
    </w:rPr>
  </w:style>
  <w:style w:type="paragraph" w:styleId="52">
    <w:name w:val="Body Text First Indent"/>
    <w:basedOn w:val="22"/>
    <w:link w:val="86"/>
    <w:qFormat/>
    <w:uiPriority w:val="0"/>
    <w:pPr>
      <w:spacing w:after="120" w:line="240" w:lineRule="auto"/>
      <w:ind w:firstLine="420" w:firstLineChars="100"/>
    </w:pPr>
    <w:rPr>
      <w:sz w:val="21"/>
    </w:rPr>
  </w:style>
  <w:style w:type="table" w:styleId="54">
    <w:name w:val="Table Grid"/>
    <w:basedOn w:val="5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6">
    <w:name w:val="Strong"/>
    <w:basedOn w:val="55"/>
    <w:qFormat/>
    <w:uiPriority w:val="0"/>
    <w:rPr>
      <w:b/>
      <w:bCs/>
    </w:rPr>
  </w:style>
  <w:style w:type="character" w:styleId="57">
    <w:name w:val="page number"/>
    <w:qFormat/>
    <w:uiPriority w:val="0"/>
  </w:style>
  <w:style w:type="character" w:styleId="58">
    <w:name w:val="FollowedHyperlink"/>
    <w:qFormat/>
    <w:uiPriority w:val="99"/>
    <w:rPr>
      <w:color w:val="800080"/>
      <w:u w:val="single"/>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character" w:customStyle="1" w:styleId="61">
    <w:name w:val="标题 1 字符1"/>
    <w:link w:val="5"/>
    <w:qFormat/>
    <w:uiPriority w:val="9"/>
    <w:rPr>
      <w:rFonts w:eastAsia="宋体"/>
      <w:b/>
      <w:bCs/>
      <w:kern w:val="44"/>
      <w:sz w:val="44"/>
      <w:szCs w:val="44"/>
      <w:lang w:val="en-US" w:eastAsia="zh-CN" w:bidi="ar-SA"/>
    </w:rPr>
  </w:style>
  <w:style w:type="character" w:customStyle="1" w:styleId="62">
    <w:name w:val="标题 2 字符1"/>
    <w:link w:val="6"/>
    <w:qFormat/>
    <w:uiPriority w:val="0"/>
    <w:rPr>
      <w:rFonts w:ascii="Arial" w:hAnsi="Arial" w:eastAsia="黑体"/>
      <w:b/>
      <w:bCs/>
      <w:kern w:val="2"/>
      <w:sz w:val="32"/>
      <w:szCs w:val="32"/>
    </w:rPr>
  </w:style>
  <w:style w:type="character" w:customStyle="1" w:styleId="63">
    <w:name w:val="标题 3 字符1"/>
    <w:link w:val="7"/>
    <w:qFormat/>
    <w:uiPriority w:val="0"/>
    <w:rPr>
      <w:b/>
      <w:bCs/>
      <w:kern w:val="2"/>
      <w:sz w:val="32"/>
      <w:szCs w:val="32"/>
    </w:rPr>
  </w:style>
  <w:style w:type="character" w:customStyle="1" w:styleId="64">
    <w:name w:val="标题 4 字符1"/>
    <w:link w:val="8"/>
    <w:qFormat/>
    <w:uiPriority w:val="0"/>
    <w:rPr>
      <w:rFonts w:ascii="Arial" w:hAnsi="Arial" w:eastAsia="黑体"/>
      <w:sz w:val="28"/>
    </w:rPr>
  </w:style>
  <w:style w:type="character" w:customStyle="1" w:styleId="65">
    <w:name w:val="标题 5 字符1"/>
    <w:link w:val="9"/>
    <w:qFormat/>
    <w:uiPriority w:val="0"/>
    <w:rPr>
      <w:b/>
      <w:kern w:val="2"/>
      <w:sz w:val="28"/>
      <w:szCs w:val="24"/>
    </w:rPr>
  </w:style>
  <w:style w:type="character" w:customStyle="1" w:styleId="66">
    <w:name w:val="标题 6 字符1"/>
    <w:link w:val="11"/>
    <w:qFormat/>
    <w:uiPriority w:val="0"/>
    <w:rPr>
      <w:rFonts w:ascii="Arial" w:hAnsi="Arial" w:eastAsia="黑体"/>
      <w:b/>
      <w:kern w:val="2"/>
      <w:sz w:val="24"/>
      <w:szCs w:val="24"/>
    </w:rPr>
  </w:style>
  <w:style w:type="character" w:customStyle="1" w:styleId="67">
    <w:name w:val="标题 7 字符1"/>
    <w:link w:val="12"/>
    <w:qFormat/>
    <w:uiPriority w:val="0"/>
    <w:rPr>
      <w:b/>
      <w:kern w:val="2"/>
      <w:sz w:val="24"/>
      <w:szCs w:val="24"/>
    </w:rPr>
  </w:style>
  <w:style w:type="character" w:customStyle="1" w:styleId="68">
    <w:name w:val="标题 8 字符1"/>
    <w:link w:val="13"/>
    <w:qFormat/>
    <w:uiPriority w:val="0"/>
    <w:rPr>
      <w:rFonts w:ascii="Arial" w:hAnsi="Arial" w:eastAsia="黑体"/>
      <w:kern w:val="2"/>
      <w:sz w:val="24"/>
      <w:szCs w:val="24"/>
    </w:rPr>
  </w:style>
  <w:style w:type="character" w:customStyle="1" w:styleId="69">
    <w:name w:val="标题 9 字符1"/>
    <w:link w:val="14"/>
    <w:qFormat/>
    <w:uiPriority w:val="0"/>
    <w:rPr>
      <w:rFonts w:ascii="Arial" w:hAnsi="Arial" w:eastAsia="黑体"/>
      <w:kern w:val="2"/>
      <w:sz w:val="21"/>
      <w:szCs w:val="24"/>
    </w:rPr>
  </w:style>
  <w:style w:type="character" w:customStyle="1" w:styleId="70">
    <w:name w:val="文档结构图 字符1"/>
    <w:link w:val="19"/>
    <w:qFormat/>
    <w:uiPriority w:val="0"/>
    <w:rPr>
      <w:sz w:val="21"/>
      <w:shd w:val="clear" w:color="auto" w:fill="000080"/>
    </w:rPr>
  </w:style>
  <w:style w:type="character" w:customStyle="1" w:styleId="71">
    <w:name w:val="批注文字 字符1"/>
    <w:link w:val="20"/>
    <w:qFormat/>
    <w:uiPriority w:val="0"/>
    <w:rPr>
      <w:kern w:val="2"/>
      <w:sz w:val="21"/>
      <w:szCs w:val="24"/>
    </w:rPr>
  </w:style>
  <w:style w:type="character" w:customStyle="1" w:styleId="72">
    <w:name w:val="正文文本 3 字符1"/>
    <w:link w:val="21"/>
    <w:qFormat/>
    <w:uiPriority w:val="0"/>
    <w:rPr>
      <w:b/>
      <w:bCs/>
      <w:kern w:val="2"/>
      <w:sz w:val="24"/>
      <w:szCs w:val="24"/>
    </w:rPr>
  </w:style>
  <w:style w:type="character" w:customStyle="1" w:styleId="73">
    <w:name w:val="正文文本 字符1"/>
    <w:link w:val="22"/>
    <w:qFormat/>
    <w:uiPriority w:val="99"/>
    <w:rPr>
      <w:kern w:val="2"/>
      <w:sz w:val="24"/>
      <w:szCs w:val="24"/>
    </w:rPr>
  </w:style>
  <w:style w:type="character" w:customStyle="1" w:styleId="74">
    <w:name w:val="正文文本缩进 字符1"/>
    <w:link w:val="3"/>
    <w:qFormat/>
    <w:uiPriority w:val="99"/>
    <w:rPr>
      <w:rFonts w:ascii="仿宋_GB2312" w:eastAsia="仿宋_GB2312"/>
      <w:kern w:val="2"/>
      <w:sz w:val="32"/>
    </w:rPr>
  </w:style>
  <w:style w:type="character" w:customStyle="1" w:styleId="75">
    <w:name w:val="纯文本 字符1"/>
    <w:link w:val="28"/>
    <w:qFormat/>
    <w:uiPriority w:val="99"/>
    <w:rPr>
      <w:rFonts w:ascii="宋体" w:hAnsi="Courier New" w:eastAsia="宋体" w:cs="Courier New"/>
      <w:kern w:val="2"/>
      <w:sz w:val="21"/>
      <w:szCs w:val="21"/>
      <w:lang w:val="en-US" w:eastAsia="zh-CN" w:bidi="ar-SA"/>
    </w:rPr>
  </w:style>
  <w:style w:type="character" w:customStyle="1" w:styleId="76">
    <w:name w:val="日期 字符1"/>
    <w:link w:val="31"/>
    <w:qFormat/>
    <w:uiPriority w:val="0"/>
    <w:rPr>
      <w:rFonts w:ascii="宋体" w:hAnsi="Courier New" w:cs="Courier New"/>
      <w:kern w:val="2"/>
      <w:sz w:val="21"/>
      <w:szCs w:val="21"/>
    </w:rPr>
  </w:style>
  <w:style w:type="character" w:customStyle="1" w:styleId="77">
    <w:name w:val="正文文本缩进 2 字符1"/>
    <w:link w:val="32"/>
    <w:qFormat/>
    <w:uiPriority w:val="0"/>
    <w:rPr>
      <w:kern w:val="2"/>
      <w:sz w:val="32"/>
    </w:rPr>
  </w:style>
  <w:style w:type="character" w:customStyle="1" w:styleId="78">
    <w:name w:val="批注框文本 字符1"/>
    <w:link w:val="33"/>
    <w:qFormat/>
    <w:uiPriority w:val="0"/>
    <w:rPr>
      <w:kern w:val="2"/>
      <w:sz w:val="18"/>
      <w:szCs w:val="18"/>
    </w:rPr>
  </w:style>
  <w:style w:type="character" w:customStyle="1" w:styleId="79">
    <w:name w:val="页脚 字符1"/>
    <w:link w:val="34"/>
    <w:qFormat/>
    <w:uiPriority w:val="0"/>
    <w:rPr>
      <w:kern w:val="2"/>
      <w:sz w:val="18"/>
      <w:szCs w:val="18"/>
    </w:rPr>
  </w:style>
  <w:style w:type="character" w:customStyle="1" w:styleId="80">
    <w:name w:val="页眉 字符1"/>
    <w:link w:val="35"/>
    <w:qFormat/>
    <w:uiPriority w:val="99"/>
    <w:rPr>
      <w:kern w:val="2"/>
      <w:sz w:val="18"/>
      <w:szCs w:val="18"/>
    </w:rPr>
  </w:style>
  <w:style w:type="character" w:customStyle="1" w:styleId="81">
    <w:name w:val="正文文本缩进 3 字符1"/>
    <w:link w:val="41"/>
    <w:qFormat/>
    <w:uiPriority w:val="0"/>
    <w:rPr>
      <w:kern w:val="2"/>
      <w:sz w:val="16"/>
      <w:szCs w:val="16"/>
    </w:rPr>
  </w:style>
  <w:style w:type="character" w:customStyle="1" w:styleId="82">
    <w:name w:val="正文文本 2 字符1"/>
    <w:link w:val="44"/>
    <w:qFormat/>
    <w:uiPriority w:val="0"/>
    <w:rPr>
      <w:kern w:val="2"/>
      <w:sz w:val="21"/>
      <w:szCs w:val="24"/>
    </w:rPr>
  </w:style>
  <w:style w:type="character" w:customStyle="1" w:styleId="83">
    <w:name w:val="HTML 预设格式 字符1"/>
    <w:link w:val="47"/>
    <w:qFormat/>
    <w:uiPriority w:val="0"/>
    <w:rPr>
      <w:rFonts w:ascii="黑体" w:hAnsi="Courier New" w:eastAsia="黑体" w:cs="Courier New"/>
    </w:rPr>
  </w:style>
  <w:style w:type="character" w:customStyle="1" w:styleId="84">
    <w:name w:val="标题 字符1"/>
    <w:link w:val="50"/>
    <w:qFormat/>
    <w:uiPriority w:val="0"/>
    <w:rPr>
      <w:kern w:val="2"/>
      <w:sz w:val="30"/>
      <w:szCs w:val="24"/>
    </w:rPr>
  </w:style>
  <w:style w:type="character" w:customStyle="1" w:styleId="85">
    <w:name w:val="批注主题 字符1"/>
    <w:link w:val="51"/>
    <w:qFormat/>
    <w:uiPriority w:val="0"/>
    <w:rPr>
      <w:b/>
      <w:bCs/>
      <w:kern w:val="2"/>
      <w:sz w:val="21"/>
      <w:szCs w:val="24"/>
    </w:rPr>
  </w:style>
  <w:style w:type="character" w:customStyle="1" w:styleId="86">
    <w:name w:val="正文文本首行缩进 字符1"/>
    <w:link w:val="52"/>
    <w:qFormat/>
    <w:uiPriority w:val="0"/>
    <w:rPr>
      <w:kern w:val="2"/>
      <w:sz w:val="21"/>
      <w:szCs w:val="24"/>
    </w:rPr>
  </w:style>
  <w:style w:type="character" w:customStyle="1" w:styleId="87">
    <w:name w:val="正文文本首行缩进 2 字符1"/>
    <w:link w:val="2"/>
    <w:qFormat/>
    <w:uiPriority w:val="0"/>
    <w:rPr>
      <w:kern w:val="2"/>
      <w:sz w:val="21"/>
      <w:szCs w:val="24"/>
    </w:rPr>
  </w:style>
  <w:style w:type="character" w:customStyle="1" w:styleId="88">
    <w:name w:val="标题 4 字符"/>
    <w:semiHidden/>
    <w:qFormat/>
    <w:uiPriority w:val="9"/>
    <w:rPr>
      <w:rFonts w:ascii="等线 Light" w:hAnsi="等线 Light" w:eastAsia="等线 Light" w:cs="Times New Roman"/>
      <w:b/>
      <w:bCs/>
      <w:kern w:val="2"/>
      <w:sz w:val="28"/>
      <w:szCs w:val="28"/>
    </w:rPr>
  </w:style>
  <w:style w:type="character" w:customStyle="1" w:styleId="89">
    <w:name w:val="HTML 预设格式 字符"/>
    <w:semiHidden/>
    <w:qFormat/>
    <w:uiPriority w:val="99"/>
    <w:rPr>
      <w:rFonts w:ascii="Courier New" w:hAnsi="Courier New" w:cs="Courier New"/>
      <w:kern w:val="2"/>
    </w:rPr>
  </w:style>
  <w:style w:type="character" w:customStyle="1" w:styleId="90">
    <w:name w:val="graytext1"/>
    <w:qFormat/>
    <w:uiPriority w:val="0"/>
    <w:rPr>
      <w:color w:val="666666"/>
    </w:rPr>
  </w:style>
  <w:style w:type="character" w:customStyle="1" w:styleId="91">
    <w:name w:val="标题 6 字符"/>
    <w:semiHidden/>
    <w:qFormat/>
    <w:uiPriority w:val="9"/>
    <w:rPr>
      <w:rFonts w:ascii="等线 Light" w:hAnsi="等线 Light" w:eastAsia="等线 Light" w:cs="Times New Roman"/>
      <w:b/>
      <w:bCs/>
      <w:kern w:val="2"/>
      <w:sz w:val="24"/>
      <w:szCs w:val="24"/>
    </w:rPr>
  </w:style>
  <w:style w:type="character" w:customStyle="1" w:styleId="92">
    <w:name w:val="white"/>
    <w:qFormat/>
    <w:uiPriority w:val="0"/>
  </w:style>
  <w:style w:type="character" w:customStyle="1" w:styleId="93">
    <w:name w:val="text11"/>
    <w:qFormat/>
    <w:uiPriority w:val="0"/>
    <w:rPr>
      <w:rFonts w:hint="default" w:ascii="Verdana" w:hAnsi="Verdana"/>
      <w:color w:val="4E4E4E"/>
      <w:sz w:val="18"/>
      <w:szCs w:val="18"/>
    </w:rPr>
  </w:style>
  <w:style w:type="character" w:customStyle="1" w:styleId="94">
    <w:name w:val="gray12"/>
    <w:qFormat/>
    <w:uiPriority w:val="0"/>
  </w:style>
  <w:style w:type="character" w:customStyle="1" w:styleId="95">
    <w:name w:val="font01"/>
    <w:qFormat/>
    <w:uiPriority w:val="0"/>
    <w:rPr>
      <w:rFonts w:hint="eastAsia" w:ascii="宋体" w:hAnsi="宋体" w:eastAsia="宋体"/>
      <w:color w:val="000000"/>
      <w:sz w:val="22"/>
      <w:szCs w:val="22"/>
      <w:u w:val="none"/>
    </w:rPr>
  </w:style>
  <w:style w:type="character" w:customStyle="1" w:styleId="96">
    <w:name w:val="mark8"/>
    <w:qFormat/>
    <w:uiPriority w:val="0"/>
    <w:rPr>
      <w:b/>
      <w:bCs/>
      <w:sz w:val="21"/>
      <w:szCs w:val="21"/>
    </w:rPr>
  </w:style>
  <w:style w:type="character" w:customStyle="1" w:styleId="97">
    <w:name w:val="纯文本 Char1"/>
    <w:qFormat/>
    <w:uiPriority w:val="0"/>
    <w:rPr>
      <w:rFonts w:ascii="宋体" w:hAnsi="Courier New" w:eastAsia="宋体" w:cs="Courier New"/>
      <w:kern w:val="2"/>
      <w:sz w:val="21"/>
      <w:szCs w:val="21"/>
      <w:lang w:val="en-US" w:eastAsia="zh-CN" w:bidi="ar-SA"/>
    </w:rPr>
  </w:style>
  <w:style w:type="character" w:customStyle="1" w:styleId="98">
    <w:name w:val="short_text1"/>
    <w:qFormat/>
    <w:uiPriority w:val="0"/>
    <w:rPr>
      <w:sz w:val="26"/>
    </w:rPr>
  </w:style>
  <w:style w:type="character" w:customStyle="1" w:styleId="99">
    <w:name w:val="1ji Char"/>
    <w:link w:val="100"/>
    <w:qFormat/>
    <w:uiPriority w:val="0"/>
    <w:rPr>
      <w:rFonts w:ascii="宋体" w:hAnsi="宋体" w:eastAsia="宋体"/>
      <w:b/>
      <w:bCs/>
      <w:kern w:val="44"/>
      <w:sz w:val="36"/>
      <w:szCs w:val="44"/>
      <w:lang w:val="en-US" w:eastAsia="zh-CN" w:bidi="ar-SA"/>
    </w:rPr>
  </w:style>
  <w:style w:type="paragraph" w:customStyle="1" w:styleId="100">
    <w:name w:val="1ji"/>
    <w:basedOn w:val="5"/>
    <w:link w:val="99"/>
    <w:qFormat/>
    <w:uiPriority w:val="0"/>
    <w:pPr>
      <w:keepLines w:val="0"/>
      <w:widowControl/>
      <w:spacing w:before="0" w:after="0" w:line="240" w:lineRule="auto"/>
      <w:jc w:val="center"/>
    </w:pPr>
    <w:rPr>
      <w:rFonts w:ascii="宋体" w:hAnsi="宋体"/>
      <w:sz w:val="36"/>
    </w:rPr>
  </w:style>
  <w:style w:type="character" w:customStyle="1" w:styleId="101">
    <w:name w:val="标题 7 字符"/>
    <w:semiHidden/>
    <w:qFormat/>
    <w:uiPriority w:val="9"/>
    <w:rPr>
      <w:b/>
      <w:bCs/>
      <w:kern w:val="2"/>
      <w:sz w:val="24"/>
      <w:szCs w:val="24"/>
    </w:rPr>
  </w:style>
  <w:style w:type="character" w:customStyle="1" w:styleId="102">
    <w:name w:val="批注主题 字符"/>
    <w:qFormat/>
    <w:uiPriority w:val="0"/>
    <w:rPr>
      <w:b/>
      <w:bCs/>
      <w:kern w:val="2"/>
      <w:sz w:val="21"/>
      <w:szCs w:val="24"/>
    </w:rPr>
  </w:style>
  <w:style w:type="character" w:customStyle="1" w:styleId="103">
    <w:name w:val="正文文本首行缩进 字符"/>
    <w:semiHidden/>
    <w:qFormat/>
    <w:uiPriority w:val="99"/>
  </w:style>
  <w:style w:type="character" w:customStyle="1" w:styleId="104">
    <w:name w:val="f151"/>
    <w:qFormat/>
    <w:uiPriority w:val="0"/>
    <w:rPr>
      <w:sz w:val="23"/>
      <w:szCs w:val="23"/>
    </w:rPr>
  </w:style>
  <w:style w:type="character" w:customStyle="1" w:styleId="105">
    <w:name w:val="标题 5 字符"/>
    <w:semiHidden/>
    <w:qFormat/>
    <w:uiPriority w:val="9"/>
    <w:rPr>
      <w:b/>
      <w:bCs/>
      <w:kern w:val="2"/>
      <w:sz w:val="28"/>
      <w:szCs w:val="28"/>
    </w:rPr>
  </w:style>
  <w:style w:type="character" w:customStyle="1" w:styleId="106">
    <w:name w:val="content2"/>
    <w:qFormat/>
    <w:uiPriority w:val="0"/>
  </w:style>
  <w:style w:type="character" w:customStyle="1" w:styleId="107">
    <w:name w:val="062"/>
    <w:qFormat/>
    <w:uiPriority w:val="0"/>
    <w:rPr>
      <w:rFonts w:ascii="宋体" w:hAnsi="宋体"/>
      <w:b/>
      <w:bCs/>
      <w:sz w:val="32"/>
    </w:rPr>
  </w:style>
  <w:style w:type="character" w:customStyle="1" w:styleId="108">
    <w:name w:val="正文文本缩进 字符"/>
    <w:semiHidden/>
    <w:qFormat/>
    <w:uiPriority w:val="99"/>
    <w:rPr>
      <w:kern w:val="2"/>
      <w:sz w:val="21"/>
      <w:szCs w:val="24"/>
    </w:rPr>
  </w:style>
  <w:style w:type="character" w:customStyle="1" w:styleId="109">
    <w:name w:val="small"/>
    <w:qFormat/>
    <w:uiPriority w:val="0"/>
  </w:style>
  <w:style w:type="character" w:customStyle="1" w:styleId="110">
    <w:name w:val="页眉 字符"/>
    <w:semiHidden/>
    <w:qFormat/>
    <w:uiPriority w:val="99"/>
    <w:rPr>
      <w:kern w:val="2"/>
      <w:sz w:val="18"/>
      <w:szCs w:val="18"/>
    </w:rPr>
  </w:style>
  <w:style w:type="character" w:customStyle="1" w:styleId="111">
    <w:name w:val="标题 字符"/>
    <w:qFormat/>
    <w:uiPriority w:val="10"/>
    <w:rPr>
      <w:rFonts w:ascii="等线 Light" w:hAnsi="等线 Light" w:eastAsia="等线 Light" w:cs="Times New Roman"/>
      <w:b/>
      <w:bCs/>
      <w:kern w:val="2"/>
      <w:sz w:val="32"/>
      <w:szCs w:val="32"/>
    </w:rPr>
  </w:style>
  <w:style w:type="character" w:customStyle="1" w:styleId="112">
    <w:name w:val="批注文字 字符"/>
    <w:qFormat/>
    <w:uiPriority w:val="0"/>
    <w:rPr>
      <w:kern w:val="2"/>
      <w:sz w:val="21"/>
      <w:szCs w:val="24"/>
    </w:rPr>
  </w:style>
  <w:style w:type="character" w:customStyle="1" w:styleId="113">
    <w:name w:val="标题 2 字符"/>
    <w:semiHidden/>
    <w:qFormat/>
    <w:uiPriority w:val="9"/>
    <w:rPr>
      <w:rFonts w:ascii="等线 Light" w:hAnsi="等线 Light" w:eastAsia="等线 Light" w:cs="Times New Roman"/>
      <w:b/>
      <w:bCs/>
      <w:kern w:val="2"/>
      <w:sz w:val="32"/>
      <w:szCs w:val="32"/>
    </w:rPr>
  </w:style>
  <w:style w:type="character" w:customStyle="1" w:styleId="114">
    <w:name w:val="文档结构图 字符"/>
    <w:semiHidden/>
    <w:qFormat/>
    <w:uiPriority w:val="99"/>
    <w:rPr>
      <w:rFonts w:ascii="Microsoft YaHei UI" w:eastAsia="Microsoft YaHei UI"/>
      <w:kern w:val="2"/>
      <w:sz w:val="18"/>
      <w:szCs w:val="18"/>
    </w:rPr>
  </w:style>
  <w:style w:type="character" w:customStyle="1" w:styleId="115">
    <w:name w:val="z-窗体顶端 字符1"/>
    <w:link w:val="116"/>
    <w:qFormat/>
    <w:uiPriority w:val="0"/>
    <w:rPr>
      <w:rFonts w:ascii="Arial"/>
      <w:vanish/>
      <w:kern w:val="2"/>
      <w:sz w:val="16"/>
      <w:szCs w:val="24"/>
    </w:rPr>
  </w:style>
  <w:style w:type="paragraph" w:customStyle="1" w:styleId="116">
    <w:name w:val="z-窗体顶端1"/>
    <w:basedOn w:val="1"/>
    <w:next w:val="1"/>
    <w:link w:val="115"/>
    <w:qFormat/>
    <w:uiPriority w:val="0"/>
    <w:pPr>
      <w:pBdr>
        <w:bottom w:val="single" w:color="auto" w:sz="6" w:space="1"/>
      </w:pBdr>
      <w:jc w:val="center"/>
    </w:pPr>
    <w:rPr>
      <w:rFonts w:ascii="Arial"/>
      <w:vanish/>
      <w:sz w:val="16"/>
    </w:rPr>
  </w:style>
  <w:style w:type="character" w:customStyle="1" w:styleId="117">
    <w:name w:val="highlight"/>
    <w:qFormat/>
    <w:uiPriority w:val="0"/>
  </w:style>
  <w:style w:type="character" w:customStyle="1" w:styleId="118">
    <w:name w:val="1051"/>
    <w:qFormat/>
    <w:uiPriority w:val="0"/>
    <w:rPr>
      <w:sz w:val="21"/>
      <w:szCs w:val="21"/>
    </w:rPr>
  </w:style>
  <w:style w:type="character" w:customStyle="1" w:styleId="119">
    <w:name w:val="批注框文本 字符"/>
    <w:semiHidden/>
    <w:qFormat/>
    <w:uiPriority w:val="99"/>
    <w:rPr>
      <w:kern w:val="2"/>
      <w:sz w:val="18"/>
      <w:szCs w:val="18"/>
    </w:rPr>
  </w:style>
  <w:style w:type="character" w:customStyle="1" w:styleId="120">
    <w:name w:val="style21"/>
    <w:qFormat/>
    <w:uiPriority w:val="0"/>
    <w:rPr>
      <w:sz w:val="17"/>
      <w:szCs w:val="17"/>
    </w:rPr>
  </w:style>
  <w:style w:type="character" w:customStyle="1" w:styleId="121">
    <w:name w:val="正文文本 3 字符"/>
    <w:semiHidden/>
    <w:qFormat/>
    <w:uiPriority w:val="99"/>
    <w:rPr>
      <w:kern w:val="2"/>
      <w:sz w:val="16"/>
      <w:szCs w:val="16"/>
    </w:rPr>
  </w:style>
  <w:style w:type="character" w:customStyle="1" w:styleId="122">
    <w:name w:val="unnamed3"/>
    <w:qFormat/>
    <w:uiPriority w:val="0"/>
  </w:style>
  <w:style w:type="character" w:customStyle="1" w:styleId="123">
    <w:name w:val="fd"/>
    <w:qFormat/>
    <w:uiPriority w:val="0"/>
  </w:style>
  <w:style w:type="character" w:customStyle="1" w:styleId="124">
    <w:name w:val="标题 9 字符"/>
    <w:semiHidden/>
    <w:qFormat/>
    <w:uiPriority w:val="9"/>
    <w:rPr>
      <w:rFonts w:ascii="等线 Light" w:hAnsi="等线 Light" w:eastAsia="等线 Light" w:cs="Times New Roman"/>
      <w:kern w:val="2"/>
      <w:sz w:val="21"/>
      <w:szCs w:val="21"/>
    </w:rPr>
  </w:style>
  <w:style w:type="character" w:customStyle="1" w:styleId="125">
    <w:name w:val="正文文本缩进 2 字符"/>
    <w:semiHidden/>
    <w:qFormat/>
    <w:uiPriority w:val="99"/>
    <w:rPr>
      <w:kern w:val="2"/>
      <w:sz w:val="21"/>
      <w:szCs w:val="24"/>
    </w:rPr>
  </w:style>
  <w:style w:type="character" w:customStyle="1" w:styleId="126">
    <w:name w:val="z-窗体顶端 字符"/>
    <w:semiHidden/>
    <w:qFormat/>
    <w:uiPriority w:val="99"/>
    <w:rPr>
      <w:rFonts w:ascii="Arial" w:hAnsi="Arial" w:cs="Arial"/>
      <w:vanish/>
      <w:kern w:val="2"/>
      <w:sz w:val="16"/>
      <w:szCs w:val="16"/>
    </w:rPr>
  </w:style>
  <w:style w:type="character" w:customStyle="1" w:styleId="127">
    <w:name w:val="case31"/>
    <w:qFormat/>
    <w:uiPriority w:val="0"/>
    <w:rPr>
      <w:rFonts w:hint="default"/>
      <w:sz w:val="21"/>
      <w:szCs w:val="21"/>
    </w:rPr>
  </w:style>
  <w:style w:type="character" w:customStyle="1" w:styleId="128">
    <w:name w:val="标题3 Char"/>
    <w:link w:val="129"/>
    <w:qFormat/>
    <w:uiPriority w:val="0"/>
    <w:rPr>
      <w:rFonts w:ascii="宋体" w:hAnsi="宋体"/>
      <w:b/>
      <w:bCs/>
      <w:kern w:val="44"/>
      <w:sz w:val="24"/>
      <w:szCs w:val="24"/>
    </w:rPr>
  </w:style>
  <w:style w:type="paragraph" w:customStyle="1" w:styleId="129">
    <w:name w:val="标题3"/>
    <w:basedOn w:val="5"/>
    <w:link w:val="128"/>
    <w:qFormat/>
    <w:uiPriority w:val="0"/>
    <w:pPr>
      <w:spacing w:before="0" w:beforeLines="50" w:after="0" w:afterLines="50" w:line="400" w:lineRule="exact"/>
    </w:pPr>
    <w:rPr>
      <w:rFonts w:ascii="宋体" w:hAnsi="宋体"/>
      <w:sz w:val="24"/>
      <w:szCs w:val="24"/>
    </w:rPr>
  </w:style>
  <w:style w:type="character" w:customStyle="1" w:styleId="130">
    <w:name w:val="标题 3 字符"/>
    <w:semiHidden/>
    <w:qFormat/>
    <w:uiPriority w:val="9"/>
    <w:rPr>
      <w:b/>
      <w:bCs/>
      <w:kern w:val="2"/>
      <w:sz w:val="32"/>
      <w:szCs w:val="32"/>
    </w:rPr>
  </w:style>
  <w:style w:type="character" w:customStyle="1" w:styleId="131">
    <w:name w:val="正文文本 2 字符"/>
    <w:semiHidden/>
    <w:qFormat/>
    <w:uiPriority w:val="99"/>
    <w:rPr>
      <w:kern w:val="2"/>
      <w:sz w:val="21"/>
      <w:szCs w:val="24"/>
    </w:rPr>
  </w:style>
  <w:style w:type="character" w:customStyle="1" w:styleId="132">
    <w:name w:val="标题 1 字符"/>
    <w:qFormat/>
    <w:uiPriority w:val="9"/>
    <w:rPr>
      <w:b/>
      <w:bCs/>
      <w:kern w:val="44"/>
      <w:sz w:val="44"/>
      <w:szCs w:val="44"/>
    </w:rPr>
  </w:style>
  <w:style w:type="character" w:customStyle="1" w:styleId="133">
    <w:name w:val="页脚 字符"/>
    <w:qFormat/>
    <w:uiPriority w:val="99"/>
    <w:rPr>
      <w:kern w:val="2"/>
      <w:sz w:val="18"/>
      <w:szCs w:val="18"/>
    </w:rPr>
  </w:style>
  <w:style w:type="character" w:customStyle="1" w:styleId="134">
    <w:name w:val="正文文本首行缩进 2 字符"/>
    <w:semiHidden/>
    <w:qFormat/>
    <w:uiPriority w:val="99"/>
  </w:style>
  <w:style w:type="character" w:customStyle="1" w:styleId="135">
    <w:name w:val="apple-converted-space"/>
    <w:qFormat/>
    <w:uiPriority w:val="0"/>
  </w:style>
  <w:style w:type="character" w:customStyle="1" w:styleId="136">
    <w:name w:val="日期 字符"/>
    <w:semiHidden/>
    <w:qFormat/>
    <w:uiPriority w:val="99"/>
    <w:rPr>
      <w:kern w:val="2"/>
      <w:sz w:val="21"/>
      <w:szCs w:val="24"/>
    </w:rPr>
  </w:style>
  <w:style w:type="character" w:customStyle="1" w:styleId="137">
    <w:name w:val="纯文本 字符"/>
    <w:qFormat/>
    <w:uiPriority w:val="99"/>
    <w:rPr>
      <w:rFonts w:ascii="等线" w:hAnsi="Courier New" w:eastAsia="等线" w:cs="Courier New"/>
      <w:kern w:val="2"/>
      <w:sz w:val="21"/>
      <w:szCs w:val="24"/>
    </w:rPr>
  </w:style>
  <w:style w:type="character" w:customStyle="1" w:styleId="138">
    <w:name w:val="style11"/>
    <w:qFormat/>
    <w:uiPriority w:val="0"/>
    <w:rPr>
      <w:rFonts w:hint="default" w:ascii="Arial" w:hAnsi="Arial" w:cs="Arial"/>
    </w:rPr>
  </w:style>
  <w:style w:type="character" w:customStyle="1" w:styleId="139">
    <w:name w:val="标题 8 字符"/>
    <w:semiHidden/>
    <w:qFormat/>
    <w:uiPriority w:val="9"/>
    <w:rPr>
      <w:rFonts w:ascii="等线 Light" w:hAnsi="等线 Light" w:eastAsia="等线 Light" w:cs="Times New Roman"/>
      <w:kern w:val="2"/>
      <w:sz w:val="24"/>
      <w:szCs w:val="24"/>
    </w:rPr>
  </w:style>
  <w:style w:type="character" w:customStyle="1" w:styleId="140">
    <w:name w:val="正文文本缩进 3 字符"/>
    <w:semiHidden/>
    <w:qFormat/>
    <w:uiPriority w:val="99"/>
    <w:rPr>
      <w:kern w:val="2"/>
      <w:sz w:val="16"/>
      <w:szCs w:val="16"/>
    </w:rPr>
  </w:style>
  <w:style w:type="character" w:customStyle="1" w:styleId="141">
    <w:name w:val="正文文本 字符"/>
    <w:semiHidden/>
    <w:qFormat/>
    <w:uiPriority w:val="99"/>
    <w:rPr>
      <w:kern w:val="2"/>
      <w:sz w:val="21"/>
      <w:szCs w:val="24"/>
    </w:rPr>
  </w:style>
  <w:style w:type="paragraph" w:customStyle="1" w:styleId="142">
    <w:name w:val="Char Char Char Char Char Char Char"/>
    <w:basedOn w:val="1"/>
    <w:qFormat/>
    <w:uiPriority w:val="0"/>
  </w:style>
  <w:style w:type="paragraph" w:customStyle="1" w:styleId="143">
    <w:name w:val="缺省文本"/>
    <w:basedOn w:val="1"/>
    <w:qFormat/>
    <w:uiPriority w:val="0"/>
    <w:pPr>
      <w:autoSpaceDE w:val="0"/>
      <w:autoSpaceDN w:val="0"/>
      <w:adjustRightInd w:val="0"/>
      <w:spacing w:line="360" w:lineRule="auto"/>
      <w:jc w:val="left"/>
    </w:pPr>
    <w:rPr>
      <w:kern w:val="0"/>
      <w:sz w:val="24"/>
      <w:szCs w:val="20"/>
    </w:rPr>
  </w:style>
  <w:style w:type="paragraph" w:customStyle="1" w:styleId="144">
    <w:name w:val="TOC 标题1"/>
    <w:basedOn w:val="5"/>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45">
    <w:name w:val="paragraphindent"/>
    <w:basedOn w:val="1"/>
    <w:qFormat/>
    <w:uiPriority w:val="0"/>
    <w:pPr>
      <w:widowControl/>
      <w:spacing w:before="100" w:beforeAutospacing="1" w:after="100" w:afterAutospacing="1"/>
      <w:jc w:val="left"/>
    </w:pPr>
    <w:rPr>
      <w:rFonts w:ascii="宋体" w:hAnsi="宋体" w:cs="宋体"/>
      <w:kern w:val="0"/>
      <w:sz w:val="24"/>
    </w:rPr>
  </w:style>
  <w:style w:type="paragraph" w:customStyle="1" w:styleId="146">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47">
    <w:name w:val="Char Char Char"/>
    <w:basedOn w:val="19"/>
    <w:qFormat/>
    <w:uiPriority w:val="0"/>
    <w:pPr>
      <w:adjustRightInd/>
      <w:spacing w:line="240" w:lineRule="auto"/>
      <w:textAlignment w:val="auto"/>
    </w:pPr>
    <w:rPr>
      <w:rFonts w:ascii="Tahoma" w:hAnsi="Tahoma"/>
      <w:kern w:val="2"/>
      <w:sz w:val="24"/>
      <w:szCs w:val="24"/>
    </w:rPr>
  </w:style>
  <w:style w:type="paragraph" w:customStyle="1" w:styleId="148">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49">
    <w:name w:val="_Style 109"/>
    <w:basedOn w:val="1"/>
    <w:next w:val="150"/>
    <w:qFormat/>
    <w:uiPriority w:val="34"/>
    <w:pPr>
      <w:ind w:firstLine="420" w:firstLineChars="200"/>
    </w:pPr>
    <w:rPr>
      <w:rFonts w:ascii="Calibri" w:hAnsi="Calibri"/>
      <w:szCs w:val="22"/>
    </w:rPr>
  </w:style>
  <w:style w:type="paragraph" w:styleId="150">
    <w:name w:val="List Paragraph"/>
    <w:basedOn w:val="1"/>
    <w:qFormat/>
    <w:uiPriority w:val="99"/>
    <w:pPr>
      <w:ind w:firstLine="420" w:firstLineChars="200"/>
    </w:pPr>
    <w:rPr>
      <w:rFonts w:ascii="Calibri" w:hAnsi="Calibri"/>
      <w:szCs w:val="22"/>
    </w:rPr>
  </w:style>
  <w:style w:type="paragraph" w:customStyle="1" w:styleId="151">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2">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153">
    <w:name w:val="2-2ji"/>
    <w:basedOn w:val="6"/>
    <w:qFormat/>
    <w:uiPriority w:val="0"/>
    <w:pPr>
      <w:adjustRightInd w:val="0"/>
      <w:spacing w:before="0" w:after="0" w:line="360" w:lineRule="auto"/>
      <w:jc w:val="center"/>
      <w:textAlignment w:val="baseline"/>
    </w:pPr>
    <w:rPr>
      <w:rFonts w:ascii="宋体" w:hAnsi="宋体" w:eastAsia="宋体"/>
      <w:bCs w:val="0"/>
      <w:kern w:val="0"/>
      <w:sz w:val="36"/>
    </w:rPr>
  </w:style>
  <w:style w:type="paragraph" w:customStyle="1" w:styleId="154">
    <w:name w:val="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55">
    <w:name w:val="Char Char Char Char Char Char Char1"/>
    <w:basedOn w:val="1"/>
    <w:qFormat/>
    <w:uiPriority w:val="0"/>
  </w:style>
  <w:style w:type="paragraph" w:customStyle="1" w:styleId="156">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57">
    <w:name w:val="xl31"/>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158">
    <w:name w:val="tgt1"/>
    <w:basedOn w:val="1"/>
    <w:qFormat/>
    <w:uiPriority w:val="0"/>
    <w:pPr>
      <w:widowControl/>
      <w:spacing w:after="150"/>
      <w:jc w:val="left"/>
    </w:pPr>
    <w:rPr>
      <w:rFonts w:ascii="宋体" w:hAnsi="宋体" w:cs="宋体"/>
      <w:kern w:val="0"/>
      <w:sz w:val="24"/>
    </w:rPr>
  </w:style>
  <w:style w:type="paragraph" w:customStyle="1" w:styleId="159">
    <w:name w:val="444"/>
    <w:basedOn w:val="1"/>
    <w:qFormat/>
    <w:uiPriority w:val="0"/>
    <w:pPr>
      <w:adjustRightInd w:val="0"/>
      <w:spacing w:line="312" w:lineRule="atLeast"/>
      <w:jc w:val="center"/>
      <w:textAlignment w:val="baseline"/>
    </w:pPr>
    <w:rPr>
      <w:b/>
      <w:kern w:val="0"/>
      <w:sz w:val="36"/>
      <w:szCs w:val="36"/>
    </w:rPr>
  </w:style>
  <w:style w:type="paragraph" w:customStyle="1" w:styleId="160">
    <w:name w:val="表格"/>
    <w:basedOn w:val="1"/>
    <w:qFormat/>
    <w:uiPriority w:val="0"/>
    <w:pPr>
      <w:spacing w:line="400" w:lineRule="exact"/>
    </w:pPr>
    <w:rPr>
      <w:sz w:val="24"/>
    </w:rPr>
  </w:style>
  <w:style w:type="paragraph" w:customStyle="1" w:styleId="161">
    <w:name w:val="F2"/>
    <w:basedOn w:val="1"/>
    <w:qFormat/>
    <w:uiPriority w:val="0"/>
    <w:pPr>
      <w:autoSpaceDE w:val="0"/>
      <w:autoSpaceDN w:val="0"/>
      <w:adjustRightInd w:val="0"/>
      <w:ind w:firstLine="601"/>
      <w:textAlignment w:val="baseline"/>
    </w:pPr>
    <w:rPr>
      <w:kern w:val="0"/>
      <w:sz w:val="24"/>
      <w:szCs w:val="20"/>
    </w:rPr>
  </w:style>
  <w:style w:type="paragraph" w:customStyle="1" w:styleId="162">
    <w:name w:val="2ji"/>
    <w:basedOn w:val="6"/>
    <w:qFormat/>
    <w:uiPriority w:val="0"/>
    <w:pPr>
      <w:adjustRightInd w:val="0"/>
      <w:spacing w:before="0" w:after="0" w:line="360" w:lineRule="auto"/>
      <w:textAlignment w:val="baseline"/>
    </w:pPr>
    <w:rPr>
      <w:rFonts w:ascii="宋体" w:hAnsi="宋体" w:eastAsia="宋体"/>
      <w:kern w:val="0"/>
      <w:sz w:val="21"/>
      <w:szCs w:val="21"/>
    </w:rPr>
  </w:style>
  <w:style w:type="paragraph" w:customStyle="1" w:styleId="163">
    <w:name w:val="Char Char Char1"/>
    <w:basedOn w:val="19"/>
    <w:qFormat/>
    <w:uiPriority w:val="0"/>
    <w:pPr>
      <w:adjustRightInd/>
      <w:spacing w:line="240" w:lineRule="auto"/>
      <w:textAlignment w:val="auto"/>
    </w:pPr>
    <w:rPr>
      <w:rFonts w:ascii="Tahoma" w:hAnsi="Tahoma"/>
      <w:kern w:val="2"/>
      <w:sz w:val="24"/>
      <w:szCs w:val="24"/>
    </w:rPr>
  </w:style>
  <w:style w:type="paragraph" w:customStyle="1" w:styleId="164">
    <w:name w:val="样式 标题 3 + (中文) 黑体 小四 非加粗 段前: 7.8 磅 段后: 0 磅 行距: 固定值 20 磅"/>
    <w:basedOn w:val="7"/>
    <w:qFormat/>
    <w:uiPriority w:val="0"/>
    <w:pPr>
      <w:spacing w:before="0" w:after="0" w:line="400" w:lineRule="exact"/>
    </w:pPr>
    <w:rPr>
      <w:rFonts w:eastAsia="黑体" w:cs="宋体"/>
      <w:b w:val="0"/>
      <w:bCs w:val="0"/>
      <w:sz w:val="24"/>
      <w:szCs w:val="20"/>
    </w:rPr>
  </w:style>
  <w:style w:type="paragraph" w:customStyle="1" w:styleId="165">
    <w:name w:val="Char21"/>
    <w:basedOn w:val="1"/>
    <w:qFormat/>
    <w:uiPriority w:val="0"/>
    <w:pPr>
      <w:widowControl/>
      <w:spacing w:after="160" w:line="240" w:lineRule="exact"/>
      <w:jc w:val="left"/>
    </w:pPr>
    <w:rPr>
      <w:rFonts w:ascii="Verdana" w:hAnsi="Verdana"/>
      <w:kern w:val="0"/>
      <w:szCs w:val="20"/>
      <w:lang w:eastAsia="en-US"/>
    </w:rPr>
  </w:style>
  <w:style w:type="paragraph" w:customStyle="1" w:styleId="166">
    <w:name w:val="次小点说明 Char"/>
    <w:basedOn w:val="10"/>
    <w:qFormat/>
    <w:uiPriority w:val="0"/>
    <w:pPr>
      <w:ind w:firstLine="0"/>
    </w:pPr>
    <w:rPr>
      <w:sz w:val="24"/>
      <w:szCs w:val="24"/>
    </w:rPr>
  </w:style>
  <w:style w:type="paragraph" w:customStyle="1" w:styleId="167">
    <w:name w:val="Char3"/>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168">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pPr>
    <w:rPr>
      <w:kern w:val="0"/>
      <w:szCs w:val="21"/>
    </w:rPr>
  </w:style>
  <w:style w:type="paragraph" w:customStyle="1" w:styleId="169">
    <w:name w:val="Char Char Char Char Char Char Char Char Char Char Char Char Char"/>
    <w:basedOn w:val="19"/>
    <w:qFormat/>
    <w:uiPriority w:val="0"/>
    <w:pPr>
      <w:adjustRightInd/>
      <w:spacing w:line="240" w:lineRule="auto"/>
      <w:textAlignment w:val="auto"/>
    </w:pPr>
    <w:rPr>
      <w:rFonts w:ascii="Tahoma" w:hAnsi="Tahoma"/>
      <w:kern w:val="2"/>
      <w:sz w:val="24"/>
      <w:szCs w:val="24"/>
    </w:rPr>
  </w:style>
  <w:style w:type="paragraph" w:customStyle="1" w:styleId="170">
    <w:name w:val="Char Char Char Char Char Char Char Char Char Char Char Char Char Char Char Char1"/>
    <w:basedOn w:val="1"/>
    <w:qFormat/>
    <w:uiPriority w:val="0"/>
    <w:pPr>
      <w:tabs>
        <w:tab w:val="left" w:pos="360"/>
      </w:tabs>
      <w:spacing w:line="360" w:lineRule="auto"/>
      <w:ind w:left="482" w:firstLine="200" w:firstLineChars="200"/>
    </w:pPr>
    <w:rPr>
      <w:rFonts w:ascii="宋体"/>
      <w:sz w:val="24"/>
    </w:rPr>
  </w:style>
  <w:style w:type="paragraph" w:customStyle="1" w:styleId="171">
    <w:name w:val="xl3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72">
    <w:name w:val="样式1"/>
    <w:basedOn w:val="1"/>
    <w:qFormat/>
    <w:uiPriority w:val="0"/>
    <w:pPr>
      <w:spacing w:before="120" w:after="120" w:line="300" w:lineRule="auto"/>
    </w:pPr>
    <w:rPr>
      <w:rFonts w:ascii="宋体" w:hAnsi="宋体"/>
      <w:b/>
      <w:sz w:val="24"/>
      <w:szCs w:val="20"/>
    </w:rPr>
  </w:style>
  <w:style w:type="paragraph" w:customStyle="1" w:styleId="173">
    <w:name w:val="Char Char Char Char Char Char Char Char Char Char Char Char Char1"/>
    <w:basedOn w:val="19"/>
    <w:qFormat/>
    <w:uiPriority w:val="0"/>
    <w:pPr>
      <w:adjustRightInd/>
      <w:spacing w:line="240" w:lineRule="auto"/>
      <w:textAlignment w:val="auto"/>
    </w:pPr>
    <w:rPr>
      <w:rFonts w:ascii="Tahoma" w:hAnsi="Tahoma"/>
      <w:kern w:val="2"/>
      <w:sz w:val="24"/>
      <w:szCs w:val="24"/>
    </w:rPr>
  </w:style>
  <w:style w:type="paragraph" w:customStyle="1" w:styleId="174">
    <w:name w:val="默认段落字体 Para Char"/>
    <w:basedOn w:val="1"/>
    <w:qFormat/>
    <w:uiPriority w:val="0"/>
    <w:pPr>
      <w:adjustRightInd w:val="0"/>
      <w:spacing w:line="360" w:lineRule="auto"/>
    </w:pPr>
    <w:rPr>
      <w:kern w:val="0"/>
      <w:sz w:val="24"/>
      <w:szCs w:val="20"/>
    </w:rPr>
  </w:style>
  <w:style w:type="paragraph" w:customStyle="1" w:styleId="175">
    <w:name w:val="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6">
    <w:name w:val="a9"/>
    <w:basedOn w:val="1"/>
    <w:qFormat/>
    <w:uiPriority w:val="0"/>
    <w:pPr>
      <w:widowControl/>
      <w:spacing w:before="100" w:beforeAutospacing="1" w:after="100" w:afterAutospacing="1"/>
      <w:jc w:val="left"/>
    </w:pPr>
    <w:rPr>
      <w:rFonts w:ascii="宋体" w:hAnsi="宋体" w:cs="宋体"/>
      <w:kern w:val="0"/>
      <w:sz w:val="24"/>
    </w:rPr>
  </w:style>
  <w:style w:type="paragraph" w:customStyle="1" w:styleId="177">
    <w:name w:val="xl2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178">
    <w:name w:val="Char4"/>
    <w:basedOn w:val="1"/>
    <w:qFormat/>
    <w:uiPriority w:val="0"/>
    <w:pPr>
      <w:tabs>
        <w:tab w:val="left" w:pos="360"/>
      </w:tabs>
      <w:ind w:left="252" w:hanging="252" w:hangingChars="140"/>
    </w:pPr>
    <w:rPr>
      <w:rFonts w:ascii="宋体"/>
      <w:sz w:val="18"/>
      <w:szCs w:val="18"/>
    </w:rPr>
  </w:style>
  <w:style w:type="paragraph" w:customStyle="1" w:styleId="179">
    <w:name w:val="Char Char Char Char Char Char1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80">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8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182">
    <w:name w:val="正文首行缩进两字符"/>
    <w:basedOn w:val="1"/>
    <w:qFormat/>
    <w:uiPriority w:val="0"/>
    <w:pPr>
      <w:spacing w:line="360" w:lineRule="auto"/>
      <w:ind w:firstLine="200" w:firstLineChars="200"/>
    </w:pPr>
  </w:style>
  <w:style w:type="paragraph" w:customStyle="1" w:styleId="183">
    <w:name w:val="正文段"/>
    <w:basedOn w:val="1"/>
    <w:qFormat/>
    <w:uiPriority w:val="0"/>
    <w:pPr>
      <w:widowControl/>
      <w:snapToGrid w:val="0"/>
      <w:spacing w:after="156" w:afterLines="50"/>
      <w:ind w:firstLine="200" w:firstLineChars="200"/>
    </w:pPr>
    <w:rPr>
      <w:kern w:val="0"/>
      <w:sz w:val="24"/>
      <w:szCs w:val="20"/>
    </w:rPr>
  </w:style>
  <w:style w:type="paragraph" w:customStyle="1" w:styleId="184">
    <w:name w:val="默认段落字体 Para Char Char Char Char Char Char Char Char Char1 Char Char Char Char"/>
    <w:basedOn w:val="1"/>
    <w:qFormat/>
    <w:uiPriority w:val="0"/>
    <w:rPr>
      <w:rFonts w:ascii="Tahoma" w:hAnsi="Tahoma"/>
      <w:sz w:val="24"/>
      <w:szCs w:val="20"/>
    </w:rPr>
  </w:style>
  <w:style w:type="paragraph" w:customStyle="1" w:styleId="185">
    <w:name w:val="样式 标题 2 + Times New Roman 四号 非加粗 段前: 5 磅 段后: 0 磅 行距: 固定值 20..."/>
    <w:basedOn w:val="6"/>
    <w:qFormat/>
    <w:uiPriority w:val="0"/>
    <w:pPr>
      <w:spacing w:before="100" w:after="0" w:line="400" w:lineRule="exact"/>
    </w:pPr>
    <w:rPr>
      <w:rFonts w:ascii="Times New Roman" w:hAnsi="Times New Roman" w:cs="宋体"/>
      <w:b w:val="0"/>
      <w:bCs w:val="0"/>
      <w:sz w:val="28"/>
      <w:szCs w:val="20"/>
    </w:rPr>
  </w:style>
  <w:style w:type="paragraph" w:customStyle="1" w:styleId="186">
    <w:name w:val="1"/>
    <w:basedOn w:val="1"/>
    <w:next w:val="28"/>
    <w:qFormat/>
    <w:uiPriority w:val="0"/>
    <w:rPr>
      <w:rFonts w:ascii="宋体" w:hAnsi="Courier New"/>
      <w:szCs w:val="20"/>
    </w:rPr>
  </w:style>
  <w:style w:type="paragraph" w:customStyle="1" w:styleId="187">
    <w:name w:val="Char1"/>
    <w:basedOn w:val="1"/>
    <w:qFormat/>
    <w:uiPriority w:val="0"/>
    <w:rPr>
      <w:szCs w:val="21"/>
    </w:rPr>
  </w:style>
  <w:style w:type="paragraph" w:customStyle="1" w:styleId="188">
    <w:name w:val="五号正文（标准）"/>
    <w:basedOn w:val="1"/>
    <w:qFormat/>
    <w:uiPriority w:val="0"/>
    <w:pPr>
      <w:spacing w:line="360" w:lineRule="auto"/>
      <w:ind w:right="55" w:firstLine="560" w:firstLineChars="200"/>
    </w:pPr>
    <w:rPr>
      <w:rFonts w:eastAsia="仿宋_GB2312"/>
      <w:sz w:val="28"/>
      <w:szCs w:val="20"/>
    </w:rPr>
  </w:style>
  <w:style w:type="paragraph" w:customStyle="1" w:styleId="189">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0">
    <w:name w:val="Char Char Char2"/>
    <w:basedOn w:val="1"/>
    <w:qFormat/>
    <w:uiPriority w:val="0"/>
    <w:rPr>
      <w:rFonts w:ascii="Tahoma" w:hAnsi="Tahoma"/>
      <w:sz w:val="24"/>
      <w:szCs w:val="20"/>
    </w:rPr>
  </w:style>
  <w:style w:type="paragraph" w:customStyle="1" w:styleId="191">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4"/>
    </w:rPr>
  </w:style>
  <w:style w:type="paragraph" w:customStyle="1" w:styleId="192">
    <w:name w:val="List Paragraph1"/>
    <w:basedOn w:val="1"/>
    <w:qFormat/>
    <w:uiPriority w:val="0"/>
    <w:pPr>
      <w:ind w:firstLine="420" w:firstLineChars="200"/>
    </w:pPr>
    <w:rPr>
      <w:rFonts w:ascii="Calibri" w:hAnsi="Calibri"/>
      <w:szCs w:val="22"/>
    </w:rPr>
  </w:style>
  <w:style w:type="paragraph" w:customStyle="1" w:styleId="193">
    <w:name w:val="样式 首行缩进:  2 字符"/>
    <w:basedOn w:val="1"/>
    <w:qFormat/>
    <w:uiPriority w:val="0"/>
    <w:pPr>
      <w:spacing w:line="400" w:lineRule="exact"/>
      <w:ind w:firstLine="200" w:firstLineChars="200"/>
    </w:pPr>
    <w:rPr>
      <w:rFonts w:cs="宋体"/>
      <w:sz w:val="24"/>
    </w:rPr>
  </w:style>
  <w:style w:type="paragraph" w:customStyle="1" w:styleId="194">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195">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6">
    <w:name w:val="Char Char Char Char Char Char1 Char1"/>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197">
    <w:name w:val="修订1"/>
    <w:unhideWhenUsed/>
    <w:qFormat/>
    <w:uiPriority w:val="99"/>
    <w:rPr>
      <w:rFonts w:ascii="Times New Roman" w:hAnsi="Times New Roman" w:eastAsia="宋体" w:cs="Times New Roman"/>
      <w:kern w:val="2"/>
      <w:sz w:val="21"/>
      <w:szCs w:val="24"/>
      <w:lang w:val="en-US" w:eastAsia="zh-CN" w:bidi="ar-SA"/>
    </w:rPr>
  </w:style>
  <w:style w:type="character" w:customStyle="1" w:styleId="198">
    <w:name w:val="未处理的提及1"/>
    <w:unhideWhenUsed/>
    <w:qFormat/>
    <w:uiPriority w:val="99"/>
    <w:rPr>
      <w:color w:val="605E5C"/>
      <w:shd w:val="clear" w:color="auto" w:fill="E1DFDD"/>
    </w:rPr>
  </w:style>
  <w:style w:type="character" w:customStyle="1" w:styleId="199">
    <w:name w:val="批注文字 Char"/>
    <w:qFormat/>
    <w:uiPriority w:val="0"/>
    <w:rPr>
      <w:kern w:val="2"/>
      <w:sz w:val="21"/>
      <w:szCs w:val="24"/>
    </w:rPr>
  </w:style>
  <w:style w:type="character" w:styleId="200">
    <w:name w:val="Placeholder Text"/>
    <w:unhideWhenUsed/>
    <w:qFormat/>
    <w:uiPriority w:val="99"/>
    <w:rPr>
      <w:color w:val="808080"/>
    </w:rPr>
  </w:style>
  <w:style w:type="paragraph" w:customStyle="1" w:styleId="201">
    <w:name w:val="正文-2字符首行缩进"/>
    <w:basedOn w:val="1"/>
    <w:link w:val="202"/>
    <w:qFormat/>
    <w:uiPriority w:val="0"/>
    <w:pPr>
      <w:widowControl/>
      <w:spacing w:line="360" w:lineRule="auto"/>
      <w:ind w:firstLine="200" w:firstLineChars="200"/>
    </w:pPr>
    <w:rPr>
      <w:rFonts w:ascii="仿宋_GB2312" w:hAnsi="Calibri" w:eastAsia="仿宋_GB2312"/>
      <w:kern w:val="0"/>
      <w:sz w:val="28"/>
      <w:szCs w:val="22"/>
    </w:rPr>
  </w:style>
  <w:style w:type="character" w:customStyle="1" w:styleId="202">
    <w:name w:val="正文-2字符首行缩进 Char"/>
    <w:link w:val="201"/>
    <w:qFormat/>
    <w:uiPriority w:val="0"/>
    <w:rPr>
      <w:rFonts w:ascii="仿宋_GB2312" w:hAnsi="Calibri" w:eastAsia="仿宋_GB2312"/>
      <w:sz w:val="28"/>
      <w:szCs w:val="22"/>
    </w:rPr>
  </w:style>
  <w:style w:type="paragraph" w:customStyle="1" w:styleId="203">
    <w:name w:val="列出段落1"/>
    <w:basedOn w:val="1"/>
    <w:qFormat/>
    <w:uiPriority w:val="99"/>
    <w:pPr>
      <w:ind w:firstLine="420" w:firstLineChars="200"/>
    </w:pPr>
    <w:rPr>
      <w:rFonts w:ascii="等线" w:hAnsi="等线" w:eastAsia="等线" w:cs="Times New Roman"/>
    </w:rPr>
  </w:style>
  <w:style w:type="character" w:customStyle="1" w:styleId="204">
    <w:name w:val="未处理的提及2"/>
    <w:unhideWhenUsed/>
    <w:qFormat/>
    <w:uiPriority w:val="99"/>
    <w:rPr>
      <w:color w:val="605E5C"/>
      <w:shd w:val="clear" w:color="auto" w:fill="E1DFDD"/>
    </w:rPr>
  </w:style>
  <w:style w:type="character" w:customStyle="1" w:styleId="205">
    <w:name w:val="标题 2 Char"/>
    <w:qFormat/>
    <w:uiPriority w:val="0"/>
    <w:rPr>
      <w:rFonts w:ascii="Arial" w:hAnsi="Arial" w:eastAsia="黑体"/>
      <w:b/>
      <w:bCs/>
      <w:kern w:val="2"/>
      <w:sz w:val="32"/>
      <w:szCs w:val="32"/>
    </w:rPr>
  </w:style>
  <w:style w:type="character" w:customStyle="1" w:styleId="206">
    <w:name w:val="15"/>
    <w:qFormat/>
    <w:uiPriority w:val="0"/>
    <w:rPr>
      <w:rFonts w:hint="eastAsia" w:ascii="宋体" w:hAnsi="宋体" w:eastAsia="宋体"/>
      <w:color w:val="000000"/>
      <w:spacing w:val="0"/>
      <w:sz w:val="22"/>
      <w:szCs w:val="22"/>
    </w:rPr>
  </w:style>
  <w:style w:type="character" w:customStyle="1" w:styleId="207">
    <w:name w:val="批注文字 字符2"/>
    <w:qFormat/>
    <w:uiPriority w:val="0"/>
    <w:rPr>
      <w:kern w:val="2"/>
      <w:sz w:val="21"/>
      <w:szCs w:val="24"/>
    </w:rPr>
  </w:style>
  <w:style w:type="paragraph" w:customStyle="1" w:styleId="208">
    <w:name w:val="reader-word-layer"/>
    <w:basedOn w:val="1"/>
    <w:qFormat/>
    <w:uiPriority w:val="0"/>
    <w:pPr>
      <w:widowControl/>
      <w:spacing w:before="100" w:beforeAutospacing="1" w:after="100" w:afterAutospacing="1"/>
      <w:jc w:val="left"/>
    </w:pPr>
    <w:rPr>
      <w:rFonts w:ascii="宋体" w:hAnsi="宋体" w:cs="宋体"/>
      <w:kern w:val="0"/>
      <w:sz w:val="24"/>
    </w:rPr>
  </w:style>
  <w:style w:type="character" w:customStyle="1" w:styleId="209">
    <w:name w:val="Unresolved Mention"/>
    <w:unhideWhenUsed/>
    <w:qFormat/>
    <w:uiPriority w:val="99"/>
    <w:rPr>
      <w:color w:val="605E5C"/>
      <w:shd w:val="clear" w:color="auto" w:fill="E1DFDD"/>
    </w:rPr>
  </w:style>
  <w:style w:type="paragraph" w:customStyle="1" w:styleId="210">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11">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paragraph" w:customStyle="1" w:styleId="212">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213">
    <w:name w:val="Table Text"/>
    <w:basedOn w:val="1"/>
    <w:semiHidden/>
    <w:qFormat/>
    <w:uiPriority w:val="0"/>
    <w:rPr>
      <w:rFonts w:ascii="宋体" w:hAnsi="宋体" w:eastAsia="宋体" w:cs="宋体"/>
      <w:sz w:val="18"/>
      <w:szCs w:val="18"/>
      <w:lang w:val="en-US" w:eastAsia="en-US" w:bidi="ar-SA"/>
    </w:rPr>
  </w:style>
  <w:style w:type="table" w:customStyle="1" w:styleId="214">
    <w:name w:val="Table Normal"/>
    <w:semiHidden/>
    <w:unhideWhenUsed/>
    <w:qFormat/>
    <w:uiPriority w:val="0"/>
    <w:tblPr>
      <w:tblCellMar>
        <w:top w:w="0" w:type="dxa"/>
        <w:left w:w="0" w:type="dxa"/>
        <w:bottom w:w="0" w:type="dxa"/>
        <w:right w:w="0" w:type="dxa"/>
      </w:tblCellMar>
    </w:tblPr>
  </w:style>
  <w:style w:type="paragraph" w:customStyle="1" w:styleId="215">
    <w:name w:val="表格文字"/>
    <w:basedOn w:val="1"/>
    <w:qFormat/>
    <w:uiPriority w:val="0"/>
    <w:pPr>
      <w:spacing w:before="25" w:after="25"/>
      <w:jc w:val="left"/>
    </w:pPr>
    <w:rPr>
      <w:bCs/>
      <w:spacing w:val="10"/>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86</Pages>
  <Words>16622</Words>
  <Characters>20202</Characters>
  <Lines>668</Lines>
  <Paragraphs>188</Paragraphs>
  <TotalTime>62</TotalTime>
  <ScaleCrop>false</ScaleCrop>
  <LinksUpToDate>false</LinksUpToDate>
  <CharactersWithSpaces>20909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2023-12-25T01:44:00Z</dcterms:created>
  <dc:creator>微软用户</dc:creator>
  <cp:lastModifiedBy>橘子味的味</cp:lastModifiedBy>
  <cp:lastPrinted>2016-03-22T07:52:00Z</cp:lastPrinted>
  <dcterms:modified xsi:type="dcterms:W3CDTF">2026-09-14T07:50:35Z</dcterms:modified>
  <dc:title>桂财采〔2009〕 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Subject">
    <vt:lpwstr/>
  </property>
  <property fmtid="{D5CDD505-2E9C-101B-9397-08002B2CF9AE}" pid="4" name="Keywords">
    <vt:lpwstr/>
  </property>
  <property fmtid="{D5CDD505-2E9C-101B-9397-08002B2CF9AE}" pid="5" name="_Author">
    <vt:lpwstr>微软用户</vt:lpwstr>
  </property>
  <property fmtid="{D5CDD505-2E9C-101B-9397-08002B2CF9AE}" pid="6" name="_Category">
    <vt:lpwstr/>
  </property>
  <property fmtid="{D5CDD505-2E9C-101B-9397-08002B2CF9AE}" pid="7" name="Slides">
    <vt:lpwstr>0</vt:lpwstr>
  </property>
  <property fmtid="{D5CDD505-2E9C-101B-9397-08002B2CF9AE}" pid="8" name="Categories">
    <vt:lpwstr/>
  </property>
  <property fmtid="{D5CDD505-2E9C-101B-9397-08002B2CF9AE}" pid="9" name="Approval Level">
    <vt:lpwstr/>
  </property>
  <property fmtid="{D5CDD505-2E9C-101B-9397-08002B2CF9AE}" pid="10" name="_Comments">
    <vt:lpwstr/>
  </property>
  <property fmtid="{D5CDD505-2E9C-101B-9397-08002B2CF9AE}" pid="11" name="Assigned To">
    <vt:lpwstr/>
  </property>
  <property fmtid="{D5CDD505-2E9C-101B-9397-08002B2CF9AE}" pid="12" name="ContentTypeId">
    <vt:lpwstr>0x010100766A5C3ADF4EA94E9357209EBD74570E</vt:lpwstr>
  </property>
  <property fmtid="{D5CDD505-2E9C-101B-9397-08002B2CF9AE}" pid="13" name="ICV">
    <vt:lpwstr>A557F2A921C440459B072AF6DA03491F_13</vt:lpwstr>
  </property>
  <property fmtid="{D5CDD505-2E9C-101B-9397-08002B2CF9AE}" pid="14" name="KSOTemplateDocerSaveRecord">
    <vt:lpwstr>eyJoZGlkIjoiMWJmYmVhMGQ2YWQwOTc0ZDFkYmVkZTE0NzFkNThlYzIiLCJ1c2VySWQiOiIxMDQzNDI1NzAzIn0=</vt:lpwstr>
  </property>
</Properties>
</file>