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25D6B9">
      <w:pPr>
        <w:spacing w:line="360" w:lineRule="auto"/>
        <w:jc w:val="center"/>
        <w:rPr>
          <w:rFonts w:hint="eastAsia"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广西同泽工程项目管理股份有限公司</w:t>
      </w:r>
    </w:p>
    <w:p w14:paraId="47AB79BB">
      <w:pPr>
        <w:spacing w:line="360" w:lineRule="auto"/>
        <w:jc w:val="center"/>
        <w:rPr>
          <w:rFonts w:hint="eastAsia" w:ascii="方正小标宋简体" w:hAnsi="方正小标宋简体" w:eastAsia="方正小标宋简体" w:cs="方正小标宋简体"/>
          <w:b/>
          <w:color w:val="auto"/>
          <w:sz w:val="44"/>
          <w:szCs w:val="44"/>
          <w:highlight w:val="none"/>
        </w:rPr>
      </w:pPr>
      <w:r>
        <w:rPr>
          <w:rFonts w:hint="eastAsia" w:ascii="宋体" w:hAnsi="宋体" w:cs="宋体"/>
          <w:color w:val="auto"/>
          <w:highlight w:val="none"/>
        </w:rPr>
        <w:drawing>
          <wp:inline distT="0" distB="0" distL="114300" distR="114300">
            <wp:extent cx="2223135" cy="1630045"/>
            <wp:effectExtent l="0" t="0" r="12065" b="8255"/>
            <wp:docPr id="1" name="图片 1" descr="C:\Users\Administrator\Documents\Tencent Files\84425129\Image\C2C\Image4\6]1@G9C5R~CC}}01UDG]T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Tencent Files\84425129\Image\C2C\Image4\6]1@G9C5R~CC}}01UDG]TP5.png"/>
                    <pic:cNvPicPr>
                      <a:picLocks noChangeAspect="1"/>
                    </pic:cNvPicPr>
                  </pic:nvPicPr>
                  <pic:blipFill>
                    <a:blip r:embed="rId19"/>
                    <a:stretch>
                      <a:fillRect/>
                    </a:stretch>
                  </pic:blipFill>
                  <pic:spPr>
                    <a:xfrm>
                      <a:off x="0" y="0"/>
                      <a:ext cx="2223135" cy="1630045"/>
                    </a:xfrm>
                    <a:prstGeom prst="rect">
                      <a:avLst/>
                    </a:prstGeom>
                    <a:noFill/>
                    <a:ln>
                      <a:noFill/>
                    </a:ln>
                  </pic:spPr>
                </pic:pic>
              </a:graphicData>
            </a:graphic>
          </wp:inline>
        </w:drawing>
      </w:r>
    </w:p>
    <w:p w14:paraId="1869E4F6">
      <w:pPr>
        <w:snapToGrid w:val="0"/>
        <w:spacing w:before="120"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120"/>
          <w:szCs w:val="120"/>
          <w:highlight w:val="none"/>
        </w:rPr>
        <w:t>招 标 文 件</w:t>
      </w:r>
    </w:p>
    <w:p w14:paraId="318165AB">
      <w:pPr>
        <w:snapToGrid w:val="0"/>
        <w:spacing w:before="120" w:beforeLines="50" w:line="360" w:lineRule="auto"/>
        <w:jc w:val="center"/>
        <w:rPr>
          <w:rFonts w:hint="eastAsia"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w:t>
      </w:r>
    </w:p>
    <w:p w14:paraId="4C2622B8">
      <w:pPr>
        <w:snapToGrid w:val="0"/>
        <w:spacing w:line="360" w:lineRule="auto"/>
        <w:rPr>
          <w:rFonts w:hint="eastAsia" w:ascii="仿宋_GB2312" w:hAnsi="宋体" w:eastAsia="仿宋_GB2312"/>
          <w:color w:val="auto"/>
          <w:sz w:val="30"/>
          <w:szCs w:val="72"/>
          <w:highlight w:val="none"/>
        </w:rPr>
      </w:pPr>
    </w:p>
    <w:p w14:paraId="6E0EBF43">
      <w:pPr>
        <w:pStyle w:val="18"/>
        <w:snapToGrid w:val="0"/>
        <w:spacing w:line="480" w:lineRule="auto"/>
        <w:ind w:firstLine="1205" w:firstLineChars="4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lang w:eastAsia="zh-CN"/>
        </w:rPr>
        <w:t>2026年云平台基础设施运维服务项目（核心区云平台设备运维、软件运维、数字证书系统运维）</w:t>
      </w:r>
    </w:p>
    <w:p w14:paraId="661E3205">
      <w:pPr>
        <w:pStyle w:val="18"/>
        <w:snapToGrid w:val="0"/>
        <w:spacing w:line="480" w:lineRule="auto"/>
        <w:ind w:firstLine="1125" w:firstLineChars="393"/>
        <w:rPr>
          <w:rFonts w:hint="eastAsia" w:ascii="宋体" w:hAnsi="宋体" w:cs="宋体"/>
          <w:b/>
          <w:bCs/>
          <w:color w:val="auto"/>
          <w:w w:val="95"/>
          <w:sz w:val="30"/>
          <w:szCs w:val="30"/>
          <w:highlight w:val="none"/>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：GXZC2026-G3-002420-GXTZ</w:t>
      </w:r>
    </w:p>
    <w:p w14:paraId="2A73CC2D">
      <w:pPr>
        <w:pStyle w:val="18"/>
        <w:snapToGrid w:val="0"/>
        <w:spacing w:line="480" w:lineRule="auto"/>
        <w:ind w:firstLine="1125" w:firstLineChars="393"/>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 购 人：广西壮族自治区医疗保障局</w:t>
      </w:r>
    </w:p>
    <w:p w14:paraId="376CB0D1">
      <w:pPr>
        <w:pStyle w:val="18"/>
        <w:snapToGrid w:val="0"/>
        <w:spacing w:line="480" w:lineRule="auto"/>
        <w:ind w:firstLine="1125" w:firstLineChars="393"/>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采购代理机构：广西同泽工程项目管理股份有限公司</w:t>
      </w:r>
    </w:p>
    <w:p w14:paraId="5FC80CED">
      <w:pPr>
        <w:pStyle w:val="18"/>
        <w:snapToGrid w:val="0"/>
        <w:spacing w:line="360" w:lineRule="auto"/>
        <w:ind w:firstLine="1125" w:firstLineChars="393"/>
        <w:rPr>
          <w:rFonts w:hint="eastAsia" w:ascii="仿宋_GB2312" w:hAnsi="宋体" w:eastAsia="仿宋_GB2312"/>
          <w:b/>
          <w:bCs/>
          <w:color w:val="auto"/>
          <w:w w:val="95"/>
          <w:sz w:val="30"/>
          <w:szCs w:val="30"/>
          <w:highlight w:val="none"/>
        </w:rPr>
      </w:pPr>
    </w:p>
    <w:p w14:paraId="18A4D97C">
      <w:pPr>
        <w:pStyle w:val="18"/>
        <w:snapToGrid w:val="0"/>
        <w:spacing w:line="360" w:lineRule="auto"/>
        <w:ind w:firstLine="1125" w:firstLineChars="393"/>
        <w:rPr>
          <w:rFonts w:hint="eastAsia" w:ascii="仿宋_GB2312" w:hAnsi="宋体" w:eastAsia="仿宋_GB2312"/>
          <w:b/>
          <w:bCs/>
          <w:color w:val="auto"/>
          <w:w w:val="95"/>
          <w:sz w:val="30"/>
          <w:szCs w:val="30"/>
          <w:highlight w:val="none"/>
        </w:rPr>
      </w:pPr>
    </w:p>
    <w:p w14:paraId="0738276B">
      <w:pPr>
        <w:pStyle w:val="18"/>
        <w:snapToGrid w:val="0"/>
        <w:spacing w:line="360" w:lineRule="auto"/>
        <w:ind w:firstLine="841" w:firstLineChars="294"/>
        <w:rPr>
          <w:rFonts w:ascii="仿宋_GB2312" w:eastAsia="仿宋_GB2312"/>
          <w:color w:val="auto"/>
          <w:highlight w:val="none"/>
        </w:rPr>
      </w:pPr>
      <w:r>
        <w:rPr>
          <w:rFonts w:hint="eastAsia" w:ascii="仿宋_GB2312" w:hAnsi="宋体" w:eastAsia="仿宋_GB2312"/>
          <w:b/>
          <w:bCs/>
          <w:color w:val="auto"/>
          <w:w w:val="95"/>
          <w:sz w:val="30"/>
          <w:szCs w:val="30"/>
          <w:highlight w:val="none"/>
        </w:rPr>
        <w:t xml:space="preserve">        </w:t>
      </w:r>
      <w:r>
        <w:rPr>
          <w:rFonts w:hint="eastAsia" w:hAnsi="宋体" w:cs="宋体"/>
          <w:b/>
          <w:bCs/>
          <w:color w:val="auto"/>
          <w:w w:val="95"/>
          <w:sz w:val="30"/>
          <w:szCs w:val="30"/>
          <w:highlight w:val="none"/>
        </w:rPr>
        <w:t xml:space="preserve">        2026年  月  日</w:t>
      </w:r>
    </w:p>
    <w:p w14:paraId="104CDE49">
      <w:pPr>
        <w:pStyle w:val="18"/>
        <w:spacing w:before="120" w:after="120" w:line="360" w:lineRule="auto"/>
        <w:jc w:val="center"/>
        <w:rPr>
          <w:rFonts w:hint="eastAsia" w:ascii="仿宋_GB2312" w:hAnsi="宋体" w:eastAsia="仿宋_GB2312"/>
          <w:color w:val="auto"/>
          <w:highlight w:val="none"/>
        </w:rPr>
        <w:sectPr>
          <w:headerReference r:id="rId3" w:type="first"/>
          <w:footerReference r:id="rId5" w:type="first"/>
          <w:footerReference r:id="rId4" w:type="default"/>
          <w:pgSz w:w="11906" w:h="16838"/>
          <w:pgMar w:top="993" w:right="1133" w:bottom="1246" w:left="1418" w:header="851" w:footer="992" w:gutter="0"/>
          <w:cols w:space="720" w:num="1"/>
          <w:titlePg/>
          <w:docGrid w:linePitch="312" w:charSpace="0"/>
        </w:sectPr>
      </w:pPr>
    </w:p>
    <w:p w14:paraId="6FF842A6">
      <w:pPr>
        <w:pStyle w:val="18"/>
        <w:spacing w:before="120" w:after="120" w:line="360" w:lineRule="auto"/>
        <w:jc w:val="center"/>
        <w:rPr>
          <w:rFonts w:hint="eastAsia" w:ascii="仿宋_GB2312" w:hAnsi="宋体" w:eastAsia="仿宋_GB2312"/>
          <w:color w:val="auto"/>
          <w:highlight w:val="none"/>
        </w:rPr>
      </w:pPr>
    </w:p>
    <w:p w14:paraId="2221D9FC">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07B45FCF">
      <w:pPr>
        <w:spacing w:line="400" w:lineRule="exact"/>
        <w:jc w:val="center"/>
        <w:rPr>
          <w:rFonts w:hint="eastAsia" w:ascii="宋体" w:hAnsi="宋体"/>
          <w:b/>
          <w:color w:val="auto"/>
          <w:sz w:val="44"/>
          <w:szCs w:val="44"/>
          <w:highlight w:val="none"/>
        </w:rPr>
      </w:pPr>
    </w:p>
    <w:p w14:paraId="2DCC31B6">
      <w:pPr>
        <w:pStyle w:val="25"/>
        <w:tabs>
          <w:tab w:val="right" w:leader="dot" w:pos="8398"/>
        </w:tabs>
        <w:ind w:firstLine="320" w:firstLineChars="100"/>
        <w:rPr>
          <w:rFonts w:hint="eastAsia" w:ascii="等线" w:hAnsi="等线" w:eastAsia="等线"/>
          <w:b w:val="0"/>
          <w:bCs w:val="0"/>
          <w:caps w:val="0"/>
          <w:color w:val="auto"/>
          <w:sz w:val="32"/>
          <w:szCs w:val="32"/>
          <w:highlight w:val="none"/>
        </w:rPr>
      </w:pPr>
      <w:r>
        <w:rPr>
          <w:rFonts w:ascii="仿宋_GB2312" w:eastAsia="仿宋_GB2312"/>
          <w:b w:val="0"/>
          <w:color w:val="auto"/>
          <w:sz w:val="32"/>
          <w:szCs w:val="32"/>
          <w:highlight w:val="none"/>
        </w:rPr>
        <w:fldChar w:fldCharType="begin"/>
      </w:r>
      <w:r>
        <w:rPr>
          <w:rFonts w:ascii="仿宋_GB2312" w:eastAsia="仿宋_GB2312"/>
          <w:b w:val="0"/>
          <w:color w:val="auto"/>
          <w:sz w:val="32"/>
          <w:szCs w:val="32"/>
          <w:highlight w:val="none"/>
        </w:rPr>
        <w:instrText xml:space="preserve"> </w:instrText>
      </w:r>
      <w:r>
        <w:rPr>
          <w:rFonts w:hint="eastAsia" w:ascii="仿宋_GB2312" w:eastAsia="仿宋_GB2312"/>
          <w:b w:val="0"/>
          <w:color w:val="auto"/>
          <w:sz w:val="32"/>
          <w:szCs w:val="32"/>
          <w:highlight w:val="none"/>
        </w:rPr>
        <w:instrText xml:space="preserve">TOC \o "1-2" \h \z \u</w:instrText>
      </w:r>
      <w:r>
        <w:rPr>
          <w:rFonts w:ascii="仿宋_GB2312" w:eastAsia="仿宋_GB2312"/>
          <w:b w:val="0"/>
          <w:color w:val="auto"/>
          <w:sz w:val="32"/>
          <w:szCs w:val="32"/>
          <w:highlight w:val="none"/>
        </w:rPr>
        <w:instrText xml:space="preserve"> </w:instrText>
      </w:r>
      <w:r>
        <w:rPr>
          <w:rFonts w:ascii="仿宋_GB2312" w:eastAsia="仿宋_GB2312"/>
          <w:b w:val="0"/>
          <w:color w:val="auto"/>
          <w:sz w:val="32"/>
          <w:szCs w:val="32"/>
          <w:highlight w:val="none"/>
        </w:rPr>
        <w:fldChar w:fldCharType="separate"/>
      </w:r>
      <w:r>
        <w:rPr>
          <w:color w:val="auto"/>
          <w:highlight w:val="none"/>
        </w:rPr>
        <w:fldChar w:fldCharType="begin"/>
      </w:r>
      <w:r>
        <w:rPr>
          <w:color w:val="auto"/>
          <w:highlight w:val="none"/>
        </w:rPr>
        <w:instrText xml:space="preserve"> HYPERLINK \l "_Toc187937693" </w:instrText>
      </w:r>
      <w:r>
        <w:rPr>
          <w:color w:val="auto"/>
          <w:highlight w:val="none"/>
        </w:rPr>
        <w:fldChar w:fldCharType="separate"/>
      </w:r>
      <w:r>
        <w:rPr>
          <w:rStyle w:val="42"/>
          <w:color w:val="auto"/>
          <w:sz w:val="32"/>
          <w:szCs w:val="32"/>
          <w:highlight w:val="none"/>
        </w:rPr>
        <w:t>第一章  招标公告</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_Toc187937693 \h </w:instrText>
      </w:r>
      <w:r>
        <w:rPr>
          <w:color w:val="auto"/>
          <w:sz w:val="32"/>
          <w:szCs w:val="32"/>
          <w:highlight w:val="none"/>
        </w:rPr>
        <w:fldChar w:fldCharType="separate"/>
      </w:r>
      <w:r>
        <w:rPr>
          <w:color w:val="auto"/>
          <w:sz w:val="32"/>
          <w:szCs w:val="32"/>
          <w:highlight w:val="none"/>
        </w:rPr>
        <w:t>3</w:t>
      </w:r>
      <w:r>
        <w:rPr>
          <w:color w:val="auto"/>
          <w:sz w:val="32"/>
          <w:szCs w:val="32"/>
          <w:highlight w:val="none"/>
        </w:rPr>
        <w:fldChar w:fldCharType="end"/>
      </w:r>
      <w:r>
        <w:rPr>
          <w:color w:val="auto"/>
          <w:sz w:val="32"/>
          <w:szCs w:val="32"/>
          <w:highlight w:val="none"/>
        </w:rPr>
        <w:fldChar w:fldCharType="end"/>
      </w:r>
    </w:p>
    <w:p w14:paraId="0D9BDEB9">
      <w:pPr>
        <w:pStyle w:val="25"/>
        <w:tabs>
          <w:tab w:val="right" w:leader="dot" w:pos="8398"/>
        </w:tabs>
        <w:ind w:firstLine="241"/>
        <w:rPr>
          <w:rFonts w:hint="eastAsia" w:ascii="等线" w:hAnsi="等线" w:eastAsia="等线"/>
          <w:b w:val="0"/>
          <w:bCs w:val="0"/>
          <w:caps w:val="0"/>
          <w:color w:val="auto"/>
          <w:sz w:val="32"/>
          <w:szCs w:val="32"/>
          <w:highlight w:val="none"/>
        </w:rPr>
      </w:pPr>
      <w:r>
        <w:rPr>
          <w:color w:val="auto"/>
          <w:highlight w:val="none"/>
        </w:rPr>
        <w:fldChar w:fldCharType="begin"/>
      </w:r>
      <w:r>
        <w:rPr>
          <w:color w:val="auto"/>
          <w:highlight w:val="none"/>
        </w:rPr>
        <w:instrText xml:space="preserve"> HYPERLINK \l "_Toc187937694" </w:instrText>
      </w:r>
      <w:r>
        <w:rPr>
          <w:color w:val="auto"/>
          <w:highlight w:val="none"/>
        </w:rPr>
        <w:fldChar w:fldCharType="separate"/>
      </w:r>
      <w:r>
        <w:rPr>
          <w:rStyle w:val="42"/>
          <w:color w:val="auto"/>
          <w:sz w:val="32"/>
          <w:szCs w:val="32"/>
          <w:highlight w:val="none"/>
        </w:rPr>
        <w:t>第二章  采购需求</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_Toc187937694 \h </w:instrText>
      </w:r>
      <w:r>
        <w:rPr>
          <w:color w:val="auto"/>
          <w:sz w:val="32"/>
          <w:szCs w:val="32"/>
          <w:highlight w:val="none"/>
        </w:rPr>
        <w:fldChar w:fldCharType="separate"/>
      </w:r>
      <w:r>
        <w:rPr>
          <w:color w:val="auto"/>
          <w:sz w:val="32"/>
          <w:szCs w:val="32"/>
          <w:highlight w:val="none"/>
        </w:rPr>
        <w:t>7</w:t>
      </w:r>
      <w:r>
        <w:rPr>
          <w:color w:val="auto"/>
          <w:sz w:val="32"/>
          <w:szCs w:val="32"/>
          <w:highlight w:val="none"/>
        </w:rPr>
        <w:fldChar w:fldCharType="end"/>
      </w:r>
      <w:r>
        <w:rPr>
          <w:color w:val="auto"/>
          <w:sz w:val="32"/>
          <w:szCs w:val="32"/>
          <w:highlight w:val="none"/>
        </w:rPr>
        <w:fldChar w:fldCharType="end"/>
      </w:r>
    </w:p>
    <w:p w14:paraId="2FBC1D40">
      <w:pPr>
        <w:pStyle w:val="25"/>
        <w:tabs>
          <w:tab w:val="right" w:leader="dot" w:pos="8398"/>
        </w:tabs>
        <w:ind w:firstLine="241"/>
        <w:rPr>
          <w:rFonts w:hint="eastAsia" w:ascii="等线" w:hAnsi="等线" w:eastAsia="等线"/>
          <w:b w:val="0"/>
          <w:bCs w:val="0"/>
          <w:caps w:val="0"/>
          <w:color w:val="auto"/>
          <w:sz w:val="32"/>
          <w:szCs w:val="32"/>
          <w:highlight w:val="none"/>
        </w:rPr>
      </w:pPr>
      <w:r>
        <w:rPr>
          <w:color w:val="auto"/>
          <w:highlight w:val="none"/>
        </w:rPr>
        <w:fldChar w:fldCharType="begin"/>
      </w:r>
      <w:r>
        <w:rPr>
          <w:color w:val="auto"/>
          <w:highlight w:val="none"/>
        </w:rPr>
        <w:instrText xml:space="preserve"> HYPERLINK \l "_Toc187937695" </w:instrText>
      </w:r>
      <w:r>
        <w:rPr>
          <w:color w:val="auto"/>
          <w:highlight w:val="none"/>
        </w:rPr>
        <w:fldChar w:fldCharType="separate"/>
      </w:r>
      <w:r>
        <w:rPr>
          <w:rStyle w:val="42"/>
          <w:color w:val="auto"/>
          <w:sz w:val="32"/>
          <w:szCs w:val="32"/>
          <w:highlight w:val="none"/>
        </w:rPr>
        <w:t>第三章  投标人须知</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_Toc187937695 \h </w:instrText>
      </w:r>
      <w:r>
        <w:rPr>
          <w:color w:val="auto"/>
          <w:sz w:val="32"/>
          <w:szCs w:val="32"/>
          <w:highlight w:val="none"/>
        </w:rPr>
        <w:fldChar w:fldCharType="separate"/>
      </w:r>
      <w:r>
        <w:rPr>
          <w:color w:val="auto"/>
          <w:sz w:val="32"/>
          <w:szCs w:val="32"/>
          <w:highlight w:val="none"/>
        </w:rPr>
        <w:t>15</w:t>
      </w:r>
      <w:r>
        <w:rPr>
          <w:color w:val="auto"/>
          <w:sz w:val="32"/>
          <w:szCs w:val="32"/>
          <w:highlight w:val="none"/>
        </w:rPr>
        <w:fldChar w:fldCharType="end"/>
      </w:r>
      <w:r>
        <w:rPr>
          <w:color w:val="auto"/>
          <w:sz w:val="32"/>
          <w:szCs w:val="32"/>
          <w:highlight w:val="none"/>
        </w:rPr>
        <w:fldChar w:fldCharType="end"/>
      </w:r>
    </w:p>
    <w:p w14:paraId="5EBAE302">
      <w:pPr>
        <w:pStyle w:val="25"/>
        <w:tabs>
          <w:tab w:val="right" w:leader="dot" w:pos="8398"/>
        </w:tabs>
        <w:ind w:firstLine="241"/>
        <w:rPr>
          <w:rFonts w:hint="eastAsia" w:ascii="等线" w:hAnsi="等线" w:eastAsia="等线"/>
          <w:b w:val="0"/>
          <w:bCs w:val="0"/>
          <w:caps w:val="0"/>
          <w:color w:val="auto"/>
          <w:sz w:val="32"/>
          <w:szCs w:val="32"/>
          <w:highlight w:val="none"/>
        </w:rPr>
      </w:pPr>
      <w:r>
        <w:rPr>
          <w:color w:val="auto"/>
          <w:highlight w:val="none"/>
        </w:rPr>
        <w:fldChar w:fldCharType="begin"/>
      </w:r>
      <w:r>
        <w:rPr>
          <w:color w:val="auto"/>
          <w:highlight w:val="none"/>
        </w:rPr>
        <w:instrText xml:space="preserve"> HYPERLINK \l "_Toc187937696" </w:instrText>
      </w:r>
      <w:r>
        <w:rPr>
          <w:color w:val="auto"/>
          <w:highlight w:val="none"/>
        </w:rPr>
        <w:fldChar w:fldCharType="separate"/>
      </w:r>
      <w:r>
        <w:rPr>
          <w:rStyle w:val="42"/>
          <w:color w:val="auto"/>
          <w:sz w:val="32"/>
          <w:szCs w:val="32"/>
          <w:highlight w:val="none"/>
        </w:rPr>
        <w:t>第四章  评标方法及评标标准</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_Toc187937696 \h </w:instrText>
      </w:r>
      <w:r>
        <w:rPr>
          <w:color w:val="auto"/>
          <w:sz w:val="32"/>
          <w:szCs w:val="32"/>
          <w:highlight w:val="none"/>
        </w:rPr>
        <w:fldChar w:fldCharType="separate"/>
      </w:r>
      <w:r>
        <w:rPr>
          <w:color w:val="auto"/>
          <w:sz w:val="32"/>
          <w:szCs w:val="32"/>
          <w:highlight w:val="none"/>
        </w:rPr>
        <w:t>38</w:t>
      </w:r>
      <w:r>
        <w:rPr>
          <w:color w:val="auto"/>
          <w:sz w:val="32"/>
          <w:szCs w:val="32"/>
          <w:highlight w:val="none"/>
        </w:rPr>
        <w:fldChar w:fldCharType="end"/>
      </w:r>
      <w:r>
        <w:rPr>
          <w:color w:val="auto"/>
          <w:sz w:val="32"/>
          <w:szCs w:val="32"/>
          <w:highlight w:val="none"/>
        </w:rPr>
        <w:fldChar w:fldCharType="end"/>
      </w:r>
    </w:p>
    <w:p w14:paraId="42A3BDDC">
      <w:pPr>
        <w:pStyle w:val="25"/>
        <w:tabs>
          <w:tab w:val="right" w:leader="dot" w:pos="8398"/>
        </w:tabs>
        <w:ind w:firstLine="241"/>
        <w:rPr>
          <w:rFonts w:hint="eastAsia" w:ascii="等线" w:hAnsi="等线" w:eastAsia="等线"/>
          <w:b w:val="0"/>
          <w:bCs w:val="0"/>
          <w:caps w:val="0"/>
          <w:color w:val="auto"/>
          <w:sz w:val="32"/>
          <w:szCs w:val="32"/>
          <w:highlight w:val="none"/>
        </w:rPr>
      </w:pPr>
      <w:r>
        <w:rPr>
          <w:color w:val="auto"/>
          <w:highlight w:val="none"/>
        </w:rPr>
        <w:fldChar w:fldCharType="begin"/>
      </w:r>
      <w:r>
        <w:rPr>
          <w:color w:val="auto"/>
          <w:highlight w:val="none"/>
        </w:rPr>
        <w:instrText xml:space="preserve"> HYPERLINK \l "_Toc187937697" </w:instrText>
      </w:r>
      <w:r>
        <w:rPr>
          <w:color w:val="auto"/>
          <w:highlight w:val="none"/>
        </w:rPr>
        <w:fldChar w:fldCharType="separate"/>
      </w:r>
      <w:r>
        <w:rPr>
          <w:rStyle w:val="42"/>
          <w:color w:val="auto"/>
          <w:sz w:val="32"/>
          <w:szCs w:val="32"/>
          <w:highlight w:val="none"/>
        </w:rPr>
        <w:t>第五章  拟签订的合同文本</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_Toc187937697 \h </w:instrText>
      </w:r>
      <w:r>
        <w:rPr>
          <w:color w:val="auto"/>
          <w:sz w:val="32"/>
          <w:szCs w:val="32"/>
          <w:highlight w:val="none"/>
        </w:rPr>
        <w:fldChar w:fldCharType="separate"/>
      </w:r>
      <w:r>
        <w:rPr>
          <w:color w:val="auto"/>
          <w:sz w:val="32"/>
          <w:szCs w:val="32"/>
          <w:highlight w:val="none"/>
        </w:rPr>
        <w:t>51</w:t>
      </w:r>
      <w:r>
        <w:rPr>
          <w:color w:val="auto"/>
          <w:sz w:val="32"/>
          <w:szCs w:val="32"/>
          <w:highlight w:val="none"/>
        </w:rPr>
        <w:fldChar w:fldCharType="end"/>
      </w:r>
      <w:r>
        <w:rPr>
          <w:color w:val="auto"/>
          <w:sz w:val="32"/>
          <w:szCs w:val="32"/>
          <w:highlight w:val="none"/>
        </w:rPr>
        <w:fldChar w:fldCharType="end"/>
      </w:r>
    </w:p>
    <w:p w14:paraId="1EB77D9C">
      <w:pPr>
        <w:pStyle w:val="25"/>
        <w:tabs>
          <w:tab w:val="right" w:leader="dot" w:pos="8398"/>
        </w:tabs>
        <w:ind w:firstLine="241"/>
        <w:rPr>
          <w:rFonts w:hint="eastAsia" w:ascii="等线" w:hAnsi="等线" w:eastAsia="等线"/>
          <w:b w:val="0"/>
          <w:bCs w:val="0"/>
          <w:caps w:val="0"/>
          <w:color w:val="auto"/>
          <w:sz w:val="32"/>
          <w:szCs w:val="32"/>
          <w:highlight w:val="none"/>
        </w:rPr>
      </w:pPr>
      <w:r>
        <w:rPr>
          <w:color w:val="auto"/>
          <w:highlight w:val="none"/>
        </w:rPr>
        <w:fldChar w:fldCharType="begin"/>
      </w:r>
      <w:r>
        <w:rPr>
          <w:color w:val="auto"/>
          <w:highlight w:val="none"/>
        </w:rPr>
        <w:instrText xml:space="preserve"> HYPERLINK \l "_Toc187937698" </w:instrText>
      </w:r>
      <w:r>
        <w:rPr>
          <w:color w:val="auto"/>
          <w:highlight w:val="none"/>
        </w:rPr>
        <w:fldChar w:fldCharType="separate"/>
      </w:r>
      <w:r>
        <w:rPr>
          <w:rStyle w:val="42"/>
          <w:color w:val="auto"/>
          <w:sz w:val="32"/>
          <w:szCs w:val="32"/>
          <w:highlight w:val="none"/>
        </w:rPr>
        <w:t>第六章　投标文件格式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_Toc187937698 \h </w:instrText>
      </w:r>
      <w:r>
        <w:rPr>
          <w:color w:val="auto"/>
          <w:sz w:val="32"/>
          <w:szCs w:val="32"/>
          <w:highlight w:val="none"/>
        </w:rPr>
        <w:fldChar w:fldCharType="separate"/>
      </w:r>
      <w:r>
        <w:rPr>
          <w:color w:val="auto"/>
          <w:sz w:val="32"/>
          <w:szCs w:val="32"/>
          <w:highlight w:val="none"/>
        </w:rPr>
        <w:t>56</w:t>
      </w:r>
      <w:r>
        <w:rPr>
          <w:color w:val="auto"/>
          <w:sz w:val="32"/>
          <w:szCs w:val="32"/>
          <w:highlight w:val="none"/>
        </w:rPr>
        <w:fldChar w:fldCharType="end"/>
      </w:r>
      <w:r>
        <w:rPr>
          <w:color w:val="auto"/>
          <w:sz w:val="32"/>
          <w:szCs w:val="32"/>
          <w:highlight w:val="none"/>
        </w:rPr>
        <w:fldChar w:fldCharType="end"/>
      </w:r>
    </w:p>
    <w:p w14:paraId="005A979A">
      <w:pPr>
        <w:tabs>
          <w:tab w:val="right" w:leader="dot" w:pos="8789"/>
        </w:tabs>
        <w:snapToGrid w:val="0"/>
        <w:spacing w:line="500" w:lineRule="atLeast"/>
        <w:rPr>
          <w:rFonts w:hint="eastAsia" w:ascii="仿宋_GB2312" w:hAnsi="宋体" w:eastAsia="仿宋_GB2312"/>
          <w:color w:val="auto"/>
          <w:sz w:val="24"/>
          <w:highlight w:val="none"/>
        </w:rPr>
      </w:pPr>
      <w:r>
        <w:rPr>
          <w:rFonts w:ascii="仿宋_GB2312" w:hAnsi="宋体" w:eastAsia="仿宋_GB2312"/>
          <w:color w:val="auto"/>
          <w:sz w:val="32"/>
          <w:szCs w:val="32"/>
          <w:highlight w:val="none"/>
        </w:rPr>
        <w:fldChar w:fldCharType="end"/>
      </w:r>
    </w:p>
    <w:p w14:paraId="2E769ED3">
      <w:pPr>
        <w:spacing w:before="120" w:beforeLines="50" w:line="480" w:lineRule="exact"/>
        <w:rPr>
          <w:rFonts w:hint="eastAsia" w:ascii="仿宋_GB2312" w:hAnsi="宋体" w:eastAsia="仿宋_GB2312"/>
          <w:color w:val="auto"/>
          <w:sz w:val="30"/>
          <w:highlight w:val="none"/>
        </w:rPr>
      </w:pPr>
    </w:p>
    <w:p w14:paraId="17B7E11E">
      <w:pPr>
        <w:rPr>
          <w:color w:val="auto"/>
          <w:highlight w:val="none"/>
        </w:rPr>
      </w:pPr>
    </w:p>
    <w:p w14:paraId="0444034F">
      <w:pPr>
        <w:spacing w:before="120" w:beforeLines="50" w:line="480" w:lineRule="exact"/>
        <w:rPr>
          <w:rFonts w:hint="eastAsia" w:ascii="仿宋_GB2312" w:hAnsi="宋体" w:eastAsia="仿宋_GB2312"/>
          <w:color w:val="auto"/>
          <w:sz w:val="30"/>
          <w:highlight w:val="none"/>
        </w:rPr>
      </w:pPr>
    </w:p>
    <w:p w14:paraId="403FA525">
      <w:pPr>
        <w:spacing w:before="120" w:beforeLines="50" w:line="480" w:lineRule="exact"/>
        <w:rPr>
          <w:rFonts w:hint="eastAsia" w:ascii="仿宋_GB2312" w:hAnsi="宋体" w:eastAsia="仿宋_GB2312"/>
          <w:color w:val="auto"/>
          <w:sz w:val="30"/>
          <w:highlight w:val="none"/>
        </w:rPr>
      </w:pPr>
    </w:p>
    <w:p w14:paraId="64AF662A">
      <w:pPr>
        <w:pStyle w:val="13"/>
        <w:rPr>
          <w:rFonts w:hint="eastAsia" w:ascii="宋体" w:hAnsi="宋体" w:cs="宋体"/>
          <w:b/>
          <w:bCs/>
          <w:color w:val="auto"/>
          <w:highlight w:val="none"/>
        </w:rPr>
      </w:pPr>
      <w:bookmarkStart w:id="0" w:name="_Toc254970489"/>
      <w:bookmarkStart w:id="1" w:name="_Toc254970630"/>
    </w:p>
    <w:p w14:paraId="37EF3E69">
      <w:pPr>
        <w:pStyle w:val="4"/>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b w:val="0"/>
          <w:bCs w:val="0"/>
          <w:color w:val="auto"/>
          <w:highlight w:val="none"/>
        </w:rPr>
        <w:sectPr>
          <w:pgSz w:w="11906" w:h="16838"/>
          <w:pgMar w:top="993" w:right="1133" w:bottom="1246" w:left="1418" w:header="851" w:footer="992" w:gutter="0"/>
          <w:cols w:space="720" w:num="1"/>
          <w:titlePg/>
          <w:docGrid w:linePitch="312" w:charSpace="0"/>
        </w:sectPr>
      </w:pPr>
      <w:bookmarkStart w:id="2" w:name="_Toc187937693"/>
    </w:p>
    <w:p w14:paraId="703A2439">
      <w:pPr>
        <w:pStyle w:val="4"/>
        <w:keepNext w:val="0"/>
        <w:keepLines w:val="0"/>
        <w:tabs>
          <w:tab w:val="left" w:pos="0"/>
          <w:tab w:val="left" w:pos="3165"/>
          <w:tab w:val="center" w:pos="4153"/>
        </w:tabs>
        <w:autoSpaceDE w:val="0"/>
        <w:autoSpaceDN w:val="0"/>
        <w:adjustRightInd w:val="0"/>
        <w:spacing w:before="0" w:after="0" w:line="360" w:lineRule="auto"/>
        <w:jc w:val="center"/>
        <w:rPr>
          <w:color w:val="auto"/>
          <w:highlight w:val="none"/>
        </w:rPr>
      </w:pPr>
      <w:r>
        <w:rPr>
          <w:rFonts w:hint="eastAsia"/>
          <w:color w:val="auto"/>
          <w:highlight w:val="none"/>
        </w:rPr>
        <w:t>第一章</w:t>
      </w:r>
      <w:bookmarkEnd w:id="0"/>
      <w:bookmarkEnd w:id="1"/>
      <w:bookmarkStart w:id="3" w:name="_Toc28359001"/>
      <w:bookmarkStart w:id="4" w:name="_Toc35393789"/>
      <w:r>
        <w:rPr>
          <w:rFonts w:hint="eastAsia"/>
          <w:color w:val="auto"/>
          <w:highlight w:val="none"/>
        </w:rPr>
        <w:t xml:space="preserve"> 招标公告</w:t>
      </w:r>
      <w:bookmarkEnd w:id="2"/>
      <w:bookmarkEnd w:id="3"/>
      <w:bookmarkEnd w:id="4"/>
    </w:p>
    <w:p w14:paraId="018C95F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项目概况</w:t>
      </w:r>
    </w:p>
    <w:p w14:paraId="096311B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2026年云平台基础设施运维服务项目（核心区云平台设备运维、软件运维、数字证书系统运维）</w:t>
      </w:r>
      <w:r>
        <w:rPr>
          <w:rFonts w:hint="eastAsia" w:ascii="宋体" w:hAnsi="宋体"/>
          <w:color w:val="auto"/>
          <w:szCs w:val="21"/>
          <w:highlight w:val="none"/>
        </w:rPr>
        <w:t>招标项目的潜在投标人应在</w:t>
      </w:r>
      <w:r>
        <w:rPr>
          <w:rFonts w:ascii="宋体" w:hAnsi="宋体"/>
          <w:color w:val="auto"/>
          <w:szCs w:val="21"/>
          <w:highlight w:val="none"/>
        </w:rPr>
        <w:t>广西政府采购云平台</w:t>
      </w:r>
      <w:r>
        <w:rPr>
          <w:rFonts w:hint="eastAsia" w:ascii="宋体" w:hAnsi="宋体"/>
          <w:color w:val="auto"/>
          <w:szCs w:val="21"/>
          <w:highlight w:val="none"/>
        </w:rPr>
        <w:t>（</w:t>
      </w:r>
      <w:r>
        <w:rPr>
          <w:rFonts w:ascii="宋体" w:hAnsi="宋体"/>
          <w:bCs/>
          <w:color w:val="auto"/>
          <w:szCs w:val="21"/>
          <w:highlight w:val="none"/>
        </w:rPr>
        <w:t>https://www.gcy.zfcg.gxzf.gov.cn/</w:t>
      </w:r>
      <w:r>
        <w:rPr>
          <w:rFonts w:hint="eastAsia" w:ascii="宋体" w:hAnsi="宋体"/>
          <w:color w:val="auto"/>
          <w:szCs w:val="21"/>
          <w:highlight w:val="none"/>
        </w:rPr>
        <w:t>）获取（下载）招标文件，并于</w:t>
      </w:r>
      <w:r>
        <w:rPr>
          <w:rFonts w:ascii="宋体" w:hAnsi="宋体"/>
          <w:color w:val="auto"/>
          <w:szCs w:val="21"/>
          <w:highlight w:val="none"/>
          <w:u w:val="single"/>
        </w:rPr>
        <w:t xml:space="preserve"> 202</w:t>
      </w:r>
      <w:r>
        <w:rPr>
          <w:rFonts w:hint="eastAsia" w:ascii="宋体" w:hAnsi="宋体"/>
          <w:color w:val="auto"/>
          <w:szCs w:val="21"/>
          <w:highlight w:val="none"/>
          <w:u w:val="single"/>
        </w:rPr>
        <w:t>6</w:t>
      </w:r>
      <w:r>
        <w:rPr>
          <w:rFonts w:hint="eastAsia" w:ascii="宋体" w:hAnsi="宋体"/>
          <w:bCs/>
          <w:color w:val="auto"/>
          <w:szCs w:val="21"/>
          <w:highlight w:val="none"/>
          <w:u w:val="single"/>
        </w:rPr>
        <w:t>年  月   日9时30分（</w:t>
      </w:r>
      <w:r>
        <w:rPr>
          <w:rFonts w:hint="eastAsia" w:ascii="宋体" w:hAnsi="宋体"/>
          <w:bCs/>
          <w:color w:val="auto"/>
          <w:szCs w:val="21"/>
          <w:highlight w:val="none"/>
        </w:rPr>
        <w:t>北京时间）前按要求递交（上传）投标</w:t>
      </w:r>
      <w:r>
        <w:rPr>
          <w:rFonts w:ascii="宋体" w:hAnsi="宋体"/>
          <w:bCs/>
          <w:color w:val="auto"/>
          <w:szCs w:val="21"/>
          <w:highlight w:val="none"/>
        </w:rPr>
        <w:t>文件</w:t>
      </w:r>
      <w:r>
        <w:rPr>
          <w:rFonts w:hint="eastAsia" w:ascii="宋体" w:hAnsi="宋体"/>
          <w:color w:val="auto"/>
          <w:szCs w:val="21"/>
          <w:highlight w:val="none"/>
        </w:rPr>
        <w:t>。</w:t>
      </w:r>
      <w:bookmarkStart w:id="162" w:name="_GoBack"/>
      <w:bookmarkEnd w:id="162"/>
    </w:p>
    <w:p w14:paraId="38AB1DD4">
      <w:pPr>
        <w:spacing w:line="360" w:lineRule="auto"/>
        <w:rPr>
          <w:rFonts w:hint="eastAsia" w:ascii="宋体" w:hAnsi="宋体"/>
          <w:color w:val="auto"/>
          <w:szCs w:val="21"/>
          <w:highlight w:val="none"/>
        </w:rPr>
      </w:pPr>
    </w:p>
    <w:p w14:paraId="17A42187">
      <w:pPr>
        <w:spacing w:line="360" w:lineRule="auto"/>
        <w:rPr>
          <w:rFonts w:hint="eastAsia" w:ascii="黑体" w:hAnsi="黑体" w:eastAsia="黑体"/>
          <w:b/>
          <w:bCs/>
          <w:color w:val="auto"/>
          <w:sz w:val="24"/>
          <w:highlight w:val="none"/>
        </w:rPr>
      </w:pPr>
      <w:bookmarkStart w:id="5" w:name="_Toc28359079"/>
      <w:bookmarkStart w:id="6" w:name="_Toc35393621"/>
      <w:bookmarkStart w:id="7" w:name="_Toc35393790"/>
      <w:bookmarkStart w:id="8" w:name="_Toc28359002"/>
      <w:bookmarkStart w:id="9" w:name="_Hlk24379207"/>
      <w:r>
        <w:rPr>
          <w:rFonts w:hint="eastAsia" w:ascii="黑体" w:hAnsi="黑体" w:eastAsia="黑体"/>
          <w:b/>
          <w:bCs/>
          <w:color w:val="auto"/>
          <w:sz w:val="24"/>
          <w:highlight w:val="none"/>
        </w:rPr>
        <w:t>一、项目基本情况</w:t>
      </w:r>
      <w:bookmarkEnd w:id="5"/>
      <w:bookmarkEnd w:id="6"/>
      <w:bookmarkEnd w:id="7"/>
      <w:bookmarkEnd w:id="8"/>
    </w:p>
    <w:bookmarkEnd w:id="9"/>
    <w:p w14:paraId="0EA6E93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1.项目编号：GXZC2026-G3-002420-GXTZ（采购计划编号：广西政采[2026]11419号-001</w:t>
      </w:r>
      <w:r>
        <w:rPr>
          <w:rFonts w:hint="eastAsia" w:ascii="宋体" w:hAnsi="宋体"/>
          <w:color w:val="auto"/>
          <w:szCs w:val="21"/>
          <w:highlight w:val="none"/>
          <w:lang w:eastAsia="zh-CN"/>
        </w:rPr>
        <w:t>、</w:t>
      </w:r>
      <w:r>
        <w:rPr>
          <w:rFonts w:hint="eastAsia" w:ascii="宋体" w:hAnsi="宋体"/>
          <w:color w:val="auto"/>
          <w:szCs w:val="21"/>
          <w:highlight w:val="none"/>
        </w:rPr>
        <w:t>广西政采[2026]11419号-00</w:t>
      </w:r>
      <w:r>
        <w:rPr>
          <w:rFonts w:hint="eastAsia" w:ascii="宋体" w:hAnsi="宋体"/>
          <w:color w:val="auto"/>
          <w:szCs w:val="21"/>
          <w:highlight w:val="none"/>
          <w:lang w:val="en-US" w:eastAsia="zh-CN"/>
        </w:rPr>
        <w:t>2</w:t>
      </w:r>
      <w:r>
        <w:rPr>
          <w:rFonts w:hint="eastAsia" w:ascii="宋体" w:hAnsi="宋体"/>
          <w:color w:val="auto"/>
          <w:szCs w:val="21"/>
          <w:highlight w:val="none"/>
        </w:rPr>
        <w:t>）</w:t>
      </w:r>
    </w:p>
    <w:p w14:paraId="344D0300">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2026年云平台基础设施运维服务项目（核心区云平台设备运维、软件运维、数字证书系统运维）</w:t>
      </w:r>
    </w:p>
    <w:p w14:paraId="0978D6B1">
      <w:pPr>
        <w:spacing w:line="360" w:lineRule="auto"/>
        <w:ind w:firstLine="422"/>
        <w:jc w:val="left"/>
        <w:rPr>
          <w:rFonts w:hint="eastAsia" w:ascii="宋体" w:hAnsi="宋体"/>
          <w:color w:val="auto"/>
          <w:szCs w:val="21"/>
          <w:highlight w:val="none"/>
        </w:rPr>
      </w:pPr>
      <w:r>
        <w:rPr>
          <w:rFonts w:hint="eastAsia" w:ascii="宋体" w:hAnsi="宋体"/>
          <w:color w:val="auto"/>
          <w:szCs w:val="21"/>
          <w:highlight w:val="none"/>
        </w:rPr>
        <w:t>3.预算金额：3882900.00元</w:t>
      </w:r>
    </w:p>
    <w:p w14:paraId="7BD106E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4.采购需求：</w:t>
      </w:r>
    </w:p>
    <w:p w14:paraId="1D0304D8">
      <w:pPr>
        <w:pStyle w:val="28"/>
        <w:spacing w:line="360" w:lineRule="auto"/>
        <w:ind w:firstLine="420" w:firstLineChars="200"/>
        <w:rPr>
          <w:rStyle w:val="43"/>
          <w:rFonts w:hint="eastAsia" w:eastAsia="宋体"/>
          <w:color w:val="auto"/>
          <w:highlight w:val="none"/>
          <w:lang w:eastAsia="zh-CN"/>
        </w:rPr>
      </w:pPr>
      <w:r>
        <w:rPr>
          <w:rFonts w:hint="eastAsia" w:ascii="宋体" w:hAnsi="宋体"/>
          <w:color w:val="auto"/>
          <w:sz w:val="21"/>
          <w:szCs w:val="21"/>
          <w:highlight w:val="none"/>
        </w:rPr>
        <w:t>标项名称：</w:t>
      </w:r>
      <w:r>
        <w:rPr>
          <w:rStyle w:val="43"/>
          <w:rFonts w:hint="eastAsia"/>
          <w:color w:val="auto"/>
          <w:highlight w:val="none"/>
          <w:lang w:eastAsia="zh-CN"/>
        </w:rPr>
        <w:t>2026年云平台基础设施运维服务项目（核心区云平台设备运维、软件运维、数字证书系统运维）</w:t>
      </w:r>
    </w:p>
    <w:p w14:paraId="17DD9109">
      <w:pPr>
        <w:pStyle w:val="28"/>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数量：1</w:t>
      </w:r>
    </w:p>
    <w:p w14:paraId="2A11D373">
      <w:pPr>
        <w:pStyle w:val="28"/>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预算金额</w:t>
      </w:r>
      <w:r>
        <w:rPr>
          <w:rFonts w:hint="eastAsia" w:ascii="宋体" w:hAnsi="宋体" w:eastAsia="宋体" w:cs="Times New Roman"/>
          <w:color w:val="auto"/>
          <w:kern w:val="2"/>
          <w:sz w:val="21"/>
          <w:szCs w:val="21"/>
          <w:highlight w:val="none"/>
          <w:lang w:val="en-US" w:eastAsia="zh-CN" w:bidi="ar-SA"/>
        </w:rPr>
        <w:t>（元）：3882900.00元</w:t>
      </w:r>
    </w:p>
    <w:p w14:paraId="08E999B4">
      <w:pPr>
        <w:pStyle w:val="28"/>
        <w:spacing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简要规格描述或项目基本概况介绍、用途：</w:t>
      </w:r>
      <w:r>
        <w:rPr>
          <w:rStyle w:val="43"/>
          <w:rFonts w:hint="eastAsia"/>
          <w:color w:val="auto"/>
          <w:highlight w:val="none"/>
          <w:lang w:eastAsia="zh-CN"/>
        </w:rPr>
        <w:t>2026年云平台基础设施运维服务项目（核心区云平台设备运维、软件运维、数字证书系统运维）</w:t>
      </w:r>
      <w:r>
        <w:rPr>
          <w:rFonts w:hint="eastAsia" w:ascii="宋体" w:hAnsi="宋体"/>
          <w:color w:val="auto"/>
          <w:sz w:val="21"/>
          <w:szCs w:val="21"/>
          <w:highlight w:val="none"/>
        </w:rPr>
        <w:t>1项。如需进一步了解详细内容，详见</w:t>
      </w:r>
      <w:r>
        <w:rPr>
          <w:rStyle w:val="43"/>
          <w:rFonts w:hint="eastAsia"/>
          <w:color w:val="auto"/>
          <w:highlight w:val="none"/>
        </w:rPr>
        <w:t>招标文件</w:t>
      </w:r>
      <w:r>
        <w:rPr>
          <w:rFonts w:hint="eastAsia" w:ascii="宋体" w:hAnsi="宋体"/>
          <w:color w:val="auto"/>
          <w:sz w:val="21"/>
          <w:szCs w:val="21"/>
          <w:highlight w:val="none"/>
        </w:rPr>
        <w:t>。</w:t>
      </w:r>
    </w:p>
    <w:p w14:paraId="04BA4757">
      <w:pPr>
        <w:pStyle w:val="28"/>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最高限价（如</w:t>
      </w:r>
      <w:r>
        <w:rPr>
          <w:rFonts w:hint="eastAsia" w:ascii="宋体" w:hAnsi="宋体" w:eastAsia="宋体" w:cs="Times New Roman"/>
          <w:color w:val="auto"/>
          <w:kern w:val="2"/>
          <w:sz w:val="21"/>
          <w:szCs w:val="21"/>
          <w:highlight w:val="none"/>
          <w:lang w:val="en-US" w:eastAsia="zh-CN" w:bidi="ar-SA"/>
        </w:rPr>
        <w:t>有）：3882900.00元</w:t>
      </w:r>
    </w:p>
    <w:p w14:paraId="794F89E0">
      <w:pPr>
        <w:pStyle w:val="28"/>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合同履约期限：至合同签订之日起一年。</w:t>
      </w:r>
    </w:p>
    <w:p w14:paraId="7B695C32">
      <w:pPr>
        <w:pStyle w:val="28"/>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本标项（否）接受联合体投标</w:t>
      </w:r>
    </w:p>
    <w:p w14:paraId="1402D3E4">
      <w:pPr>
        <w:pStyle w:val="28"/>
        <w:rPr>
          <w:color w:val="auto"/>
          <w:highlight w:val="none"/>
        </w:rPr>
      </w:pPr>
    </w:p>
    <w:p w14:paraId="4B8790B1">
      <w:pPr>
        <w:spacing w:line="360" w:lineRule="auto"/>
        <w:rPr>
          <w:rFonts w:hint="eastAsia" w:ascii="黑体" w:hAnsi="黑体" w:eastAsia="黑体"/>
          <w:b/>
          <w:bCs/>
          <w:color w:val="auto"/>
          <w:sz w:val="24"/>
          <w:highlight w:val="none"/>
        </w:rPr>
      </w:pPr>
      <w:bookmarkStart w:id="10" w:name="_Toc28359003"/>
      <w:bookmarkStart w:id="11" w:name="_Toc35393622"/>
      <w:bookmarkStart w:id="12" w:name="_Toc28359080"/>
      <w:bookmarkStart w:id="13" w:name="_Toc35393791"/>
      <w:r>
        <w:rPr>
          <w:rFonts w:hint="eastAsia" w:ascii="黑体" w:hAnsi="黑体" w:eastAsia="黑体"/>
          <w:b/>
          <w:bCs/>
          <w:color w:val="auto"/>
          <w:sz w:val="24"/>
          <w:highlight w:val="none"/>
        </w:rPr>
        <w:t>二、申请人的资格要求：</w:t>
      </w:r>
      <w:bookmarkEnd w:id="10"/>
      <w:bookmarkEnd w:id="11"/>
      <w:bookmarkEnd w:id="12"/>
      <w:bookmarkEnd w:id="13"/>
    </w:p>
    <w:p w14:paraId="2AC6BF5A">
      <w:pPr>
        <w:spacing w:line="360" w:lineRule="auto"/>
        <w:ind w:firstLine="420" w:firstLineChars="200"/>
        <w:rPr>
          <w:rFonts w:hint="eastAsia" w:ascii="宋体" w:hAnsi="宋体"/>
          <w:color w:val="auto"/>
          <w:szCs w:val="21"/>
          <w:highlight w:val="none"/>
        </w:rPr>
      </w:pPr>
      <w:bookmarkStart w:id="14" w:name="_Hlk51746371"/>
      <w:bookmarkStart w:id="15" w:name="_Toc28359081"/>
      <w:bookmarkStart w:id="16" w:name="_Toc35393792"/>
      <w:bookmarkStart w:id="17" w:name="_Toc35393623"/>
      <w:bookmarkStart w:id="18" w:name="_Toc28359004"/>
      <w:r>
        <w:rPr>
          <w:rFonts w:hint="eastAsia" w:ascii="宋体" w:hAnsi="宋体"/>
          <w:color w:val="auto"/>
          <w:szCs w:val="21"/>
          <w:highlight w:val="none"/>
        </w:rPr>
        <w:t>1.满足《中华人民共和国政府采购法》第二十二条规定；</w:t>
      </w:r>
    </w:p>
    <w:p w14:paraId="25A7AC80">
      <w:pPr>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.落实政府采购政策需满足的资格要求：□专门面向中小企业采购的项目（供应商应为中小微企业或监狱企业或残疾人福利性单位）；</w:t>
      </w:r>
    </w:p>
    <w:p w14:paraId="2C9164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☑非专门面向中小企业采购的项目。；</w:t>
      </w:r>
    </w:p>
    <w:p w14:paraId="60DA657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3.本项目的特定资格要求：无</w:t>
      </w:r>
    </w:p>
    <w:bookmarkEnd w:id="14"/>
    <w:p w14:paraId="35735FFF">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5"/>
      <w:bookmarkEnd w:id="16"/>
      <w:bookmarkEnd w:id="17"/>
      <w:bookmarkEnd w:id="18"/>
    </w:p>
    <w:p w14:paraId="26368458">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w:t>
      </w:r>
      <w:r>
        <w:rPr>
          <w:rFonts w:ascii="宋体" w:hAnsi="宋体" w:cs="宋体"/>
          <w:bCs/>
          <w:color w:val="auto"/>
          <w:kern w:val="0"/>
          <w:szCs w:val="21"/>
          <w:highlight w:val="none"/>
        </w:rPr>
        <w:t xml:space="preserve"> </w:t>
      </w:r>
      <w:r>
        <w:rPr>
          <w:rFonts w:ascii="宋体" w:hAnsi="宋体"/>
          <w:color w:val="auto"/>
          <w:szCs w:val="21"/>
          <w:highlight w:val="none"/>
          <w:u w:val="single"/>
        </w:rPr>
        <w:t>202</w:t>
      </w:r>
      <w:r>
        <w:rPr>
          <w:rFonts w:hint="eastAsia" w:ascii="宋体" w:hAnsi="宋体"/>
          <w:color w:val="auto"/>
          <w:szCs w:val="21"/>
          <w:highlight w:val="none"/>
          <w:u w:val="single"/>
        </w:rPr>
        <w:t>6</w:t>
      </w:r>
      <w:r>
        <w:rPr>
          <w:rFonts w:hint="eastAsia" w:ascii="宋体" w:hAnsi="宋体"/>
          <w:bCs/>
          <w:color w:val="auto"/>
          <w:szCs w:val="21"/>
          <w:highlight w:val="none"/>
          <w:u w:val="single"/>
        </w:rPr>
        <w:t>年  月   日</w:t>
      </w:r>
      <w:r>
        <w:rPr>
          <w:rFonts w:hint="eastAsia" w:ascii="宋体" w:hAnsi="宋体" w:cs="宋体"/>
          <w:bCs/>
          <w:color w:val="auto"/>
          <w:kern w:val="0"/>
          <w:szCs w:val="21"/>
          <w:highlight w:val="none"/>
        </w:rPr>
        <w:t>至</w:t>
      </w:r>
      <w:r>
        <w:rPr>
          <w:rFonts w:ascii="宋体" w:hAnsi="宋体"/>
          <w:color w:val="auto"/>
          <w:szCs w:val="21"/>
          <w:highlight w:val="none"/>
          <w:u w:val="single"/>
        </w:rPr>
        <w:t>202</w:t>
      </w:r>
      <w:r>
        <w:rPr>
          <w:rFonts w:hint="eastAsia" w:ascii="宋体" w:hAnsi="宋体"/>
          <w:color w:val="auto"/>
          <w:szCs w:val="21"/>
          <w:highlight w:val="none"/>
          <w:u w:val="single"/>
        </w:rPr>
        <w:t>6</w:t>
      </w:r>
      <w:r>
        <w:rPr>
          <w:rFonts w:hint="eastAsia" w:ascii="宋体" w:hAnsi="宋体"/>
          <w:bCs/>
          <w:color w:val="auto"/>
          <w:szCs w:val="21"/>
          <w:highlight w:val="none"/>
          <w:u w:val="single"/>
        </w:rPr>
        <w:t>年  月   日</w:t>
      </w:r>
      <w:r>
        <w:rPr>
          <w:rFonts w:hint="eastAsia" w:ascii="宋体" w:hAnsi="宋体" w:cs="宋体"/>
          <w:bCs/>
          <w:color w:val="auto"/>
          <w:kern w:val="0"/>
          <w:szCs w:val="21"/>
          <w:highlight w:val="none"/>
        </w:rPr>
        <w:t>，</w:t>
      </w:r>
      <w:r>
        <w:rPr>
          <w:rFonts w:hint="eastAsia" w:ascii="宋体" w:hAnsi="宋体" w:cs="宋体"/>
          <w:bCs/>
          <w:color w:val="auto"/>
          <w:highlight w:val="none"/>
        </w:rPr>
        <w:t>每天上午</w:t>
      </w:r>
      <w:r>
        <w:rPr>
          <w:rFonts w:hint="eastAsia" w:ascii="宋体" w:hAnsi="宋体" w:cs="宋体"/>
          <w:bCs/>
          <w:color w:val="auto"/>
          <w:highlight w:val="none"/>
          <w:u w:val="single"/>
        </w:rPr>
        <w:t>00:00至11:59</w:t>
      </w:r>
      <w:r>
        <w:rPr>
          <w:rFonts w:hint="eastAsia" w:ascii="宋体" w:hAnsi="宋体" w:cs="宋体"/>
          <w:bCs/>
          <w:color w:val="auto"/>
          <w:highlight w:val="none"/>
        </w:rPr>
        <w:t>，</w:t>
      </w:r>
      <w:r>
        <w:rPr>
          <w:rFonts w:hint="eastAsia" w:ascii="宋体" w:hAnsi="宋体" w:cs="宋体"/>
          <w:bCs/>
          <w:color w:val="auto"/>
          <w:highlight w:val="none"/>
          <w:u w:val="single"/>
        </w:rPr>
        <w:t>下午12:00至23:59</w:t>
      </w:r>
      <w:r>
        <w:rPr>
          <w:rFonts w:hint="eastAsia" w:ascii="宋体" w:hAnsi="宋体" w:cs="宋体"/>
          <w:bCs/>
          <w:color w:val="auto"/>
          <w:highlight w:val="none"/>
        </w:rPr>
        <w:t>（</w:t>
      </w:r>
      <w:r>
        <w:rPr>
          <w:rFonts w:hint="eastAsia" w:ascii="宋体" w:hAnsi="宋体" w:cs="宋体"/>
          <w:bCs/>
          <w:color w:val="auto"/>
          <w:kern w:val="0"/>
          <w:szCs w:val="21"/>
          <w:highlight w:val="none"/>
        </w:rPr>
        <w:t>北京时间，法定节假日除外</w:t>
      </w:r>
      <w:r>
        <w:rPr>
          <w:rFonts w:hint="eastAsia" w:ascii="宋体" w:hAnsi="宋体" w:cs="宋体"/>
          <w:bCs/>
          <w:color w:val="auto"/>
          <w:highlight w:val="none"/>
        </w:rPr>
        <w:t>）</w:t>
      </w:r>
    </w:p>
    <w:p w14:paraId="147FDB1E">
      <w:pPr>
        <w:spacing w:line="360" w:lineRule="auto"/>
        <w:ind w:firstLine="420" w:firstLineChars="200"/>
        <w:rPr>
          <w:rFonts w:hint="eastAsia" w:ascii="宋体" w:hAnsi="宋体"/>
          <w:color w:val="auto"/>
          <w:szCs w:val="21"/>
          <w:highlight w:val="none"/>
        </w:rPr>
      </w:pPr>
      <w:r>
        <w:rPr>
          <w:rFonts w:hint="eastAsia" w:ascii="宋体" w:hAnsi="宋体" w:cs="宋体"/>
          <w:bCs/>
          <w:color w:val="auto"/>
          <w:kern w:val="0"/>
          <w:szCs w:val="21"/>
          <w:highlight w:val="none"/>
        </w:rPr>
        <w:t>2.地点：</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0805DBC1">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ascii="宋体" w:hAnsi="宋体"/>
          <w:color w:val="auto"/>
          <w:szCs w:val="21"/>
          <w:highlight w:val="none"/>
        </w:rPr>
        <w:t>广西政府采购云平台</w:t>
      </w:r>
      <w:r>
        <w:rPr>
          <w:rFonts w:hint="eastAsia" w:ascii="宋体" w:hAnsi="宋体"/>
          <w:color w:val="auto"/>
          <w:szCs w:val="21"/>
          <w:highlight w:val="none"/>
        </w:rPr>
        <w:t>（</w:t>
      </w:r>
      <w:r>
        <w:rPr>
          <w:rFonts w:ascii="宋体" w:hAnsi="宋体"/>
          <w:bCs/>
          <w:color w:val="auto"/>
          <w:szCs w:val="21"/>
          <w:highlight w:val="none"/>
        </w:rPr>
        <w:t>https://www.gcy.zfcg.gxzf.gov.cn/</w:t>
      </w:r>
      <w:r>
        <w:rPr>
          <w:rFonts w:hint="eastAsia" w:ascii="宋体" w:hAnsi="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olor w:val="auto"/>
          <w:szCs w:val="21"/>
          <w:highlight w:val="none"/>
        </w:rPr>
        <w:t>电子投标文件制作需要基于</w:t>
      </w:r>
      <w:r>
        <w:rPr>
          <w:rFonts w:ascii="宋体" w:hAnsi="宋体"/>
          <w:color w:val="auto"/>
          <w:szCs w:val="21"/>
          <w:highlight w:val="none"/>
        </w:rPr>
        <w:t>广西政府采购云平台</w:t>
      </w:r>
      <w:r>
        <w:rPr>
          <w:rFonts w:hint="eastAsia" w:ascii="宋体" w:hAnsi="宋体"/>
          <w:color w:val="auto"/>
          <w:szCs w:val="21"/>
          <w:highlight w:val="none"/>
        </w:rPr>
        <w:t>获取的招标文件编制，</w:t>
      </w:r>
      <w:r>
        <w:rPr>
          <w:rFonts w:hint="eastAsia" w:ascii="宋体" w:hAnsi="宋体" w:cs="宋体"/>
          <w:bCs/>
          <w:color w:val="auto"/>
          <w:kern w:val="0"/>
          <w:szCs w:val="21"/>
          <w:highlight w:val="none"/>
        </w:rPr>
        <w:t>通过其他方式获取招标文件的，将有可能导致供应商无法在</w:t>
      </w:r>
      <w:r>
        <w:rPr>
          <w:rFonts w:ascii="宋体" w:hAnsi="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63CC24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4.</w:t>
      </w:r>
      <w:r>
        <w:rPr>
          <w:rFonts w:hint="eastAsia" w:ascii="宋体" w:hAnsi="宋体" w:cs="宋体"/>
          <w:bCs/>
          <w:color w:val="auto"/>
          <w:kern w:val="0"/>
          <w:szCs w:val="21"/>
          <w:highlight w:val="none"/>
        </w:rPr>
        <w:t>售价：</w:t>
      </w:r>
      <w:r>
        <w:rPr>
          <w:rFonts w:hint="eastAsia" w:ascii="宋体" w:hAnsi="宋体"/>
          <w:color w:val="auto"/>
          <w:szCs w:val="21"/>
          <w:highlight w:val="none"/>
        </w:rPr>
        <w:t>0元</w:t>
      </w:r>
    </w:p>
    <w:p w14:paraId="298EDAC4">
      <w:pPr>
        <w:spacing w:line="360" w:lineRule="auto"/>
        <w:rPr>
          <w:rFonts w:hint="eastAsia" w:ascii="黑体" w:hAnsi="黑体" w:eastAsia="黑体"/>
          <w:b/>
          <w:bCs/>
          <w:color w:val="auto"/>
          <w:sz w:val="24"/>
          <w:highlight w:val="none"/>
        </w:rPr>
      </w:pPr>
      <w:bookmarkStart w:id="19" w:name="_Toc28359005"/>
      <w:bookmarkStart w:id="20" w:name="_Toc28359082"/>
      <w:bookmarkStart w:id="21" w:name="_Toc35393793"/>
      <w:bookmarkStart w:id="22" w:name="_Toc35393624"/>
      <w:r>
        <w:rPr>
          <w:rFonts w:hint="eastAsia" w:ascii="黑体" w:hAnsi="黑体" w:eastAsia="黑体"/>
          <w:b/>
          <w:bCs/>
          <w:color w:val="auto"/>
          <w:sz w:val="24"/>
          <w:highlight w:val="none"/>
        </w:rPr>
        <w:t>四、提交投标文件</w:t>
      </w:r>
      <w:bookmarkEnd w:id="19"/>
      <w:bookmarkEnd w:id="20"/>
      <w:r>
        <w:rPr>
          <w:rFonts w:hint="eastAsia" w:ascii="黑体" w:hAnsi="黑体" w:eastAsia="黑体"/>
          <w:b/>
          <w:bCs/>
          <w:color w:val="auto"/>
          <w:sz w:val="24"/>
          <w:highlight w:val="none"/>
        </w:rPr>
        <w:t>截止时间、开标时间和地点</w:t>
      </w:r>
      <w:bookmarkEnd w:id="21"/>
      <w:bookmarkEnd w:id="22"/>
    </w:p>
    <w:p w14:paraId="686B49D9">
      <w:pPr>
        <w:spacing w:line="360" w:lineRule="auto"/>
        <w:ind w:firstLine="420" w:firstLineChars="200"/>
        <w:rPr>
          <w:rFonts w:hint="eastAsia" w:ascii="宋体" w:hAnsi="宋体"/>
          <w:bCs/>
          <w:color w:val="auto"/>
          <w:szCs w:val="21"/>
          <w:highlight w:val="none"/>
        </w:rPr>
      </w:pPr>
      <w:bookmarkStart w:id="23" w:name="_Toc35393625"/>
      <w:bookmarkStart w:id="24" w:name="_Toc35393794"/>
      <w:bookmarkStart w:id="25" w:name="_Toc28359084"/>
      <w:bookmarkStart w:id="26" w:name="_Toc28359007"/>
      <w:r>
        <w:rPr>
          <w:rFonts w:hint="eastAsia" w:ascii="宋体" w:hAnsi="宋体"/>
          <w:bCs/>
          <w:color w:val="auto"/>
          <w:szCs w:val="21"/>
          <w:highlight w:val="none"/>
        </w:rPr>
        <w:t>1.</w:t>
      </w:r>
      <w:r>
        <w:rPr>
          <w:rFonts w:ascii="宋体" w:hAnsi="宋体"/>
          <w:color w:val="auto"/>
          <w:szCs w:val="21"/>
          <w:highlight w:val="none"/>
          <w:u w:val="single"/>
        </w:rPr>
        <w:t>202</w:t>
      </w:r>
      <w:r>
        <w:rPr>
          <w:rFonts w:hint="eastAsia" w:ascii="宋体" w:hAnsi="宋体"/>
          <w:color w:val="auto"/>
          <w:szCs w:val="21"/>
          <w:highlight w:val="none"/>
          <w:u w:val="single"/>
        </w:rPr>
        <w:t>6</w:t>
      </w:r>
      <w:r>
        <w:rPr>
          <w:rFonts w:hint="eastAsia" w:ascii="宋体" w:hAnsi="宋体"/>
          <w:bCs/>
          <w:color w:val="auto"/>
          <w:szCs w:val="21"/>
          <w:highlight w:val="none"/>
          <w:u w:val="single"/>
        </w:rPr>
        <w:t>年  月   日</w:t>
      </w:r>
      <w:r>
        <w:rPr>
          <w:rFonts w:hint="eastAsia" w:ascii="宋体" w:hAnsi="宋体"/>
          <w:bCs/>
          <w:color w:val="auto"/>
          <w:szCs w:val="21"/>
          <w:highlight w:val="none"/>
        </w:rPr>
        <w:t>9时30分（北京时间）</w:t>
      </w:r>
    </w:p>
    <w:p w14:paraId="76FCEF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2.地点：广西政府采购云平台 （https ://www.gcy.zfcg.gxzf.gov.cn/）</w:t>
      </w:r>
    </w:p>
    <w:p w14:paraId="608E79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3.投标地点：</w:t>
      </w:r>
      <w:r>
        <w:rPr>
          <w:rFonts w:ascii="宋体" w:hAnsi="宋体"/>
          <w:color w:val="auto"/>
          <w:szCs w:val="21"/>
          <w:highlight w:val="none"/>
        </w:rPr>
        <w:t>广西政府采购云平台</w:t>
      </w:r>
      <w:r>
        <w:rPr>
          <w:rFonts w:hint="eastAsia" w:ascii="宋体" w:hAnsi="宋体"/>
          <w:color w:val="auto"/>
          <w:szCs w:val="21"/>
          <w:highlight w:val="none"/>
        </w:rPr>
        <w:t>（</w:t>
      </w:r>
      <w:r>
        <w:rPr>
          <w:rFonts w:ascii="宋体" w:hAnsi="宋体"/>
          <w:bCs/>
          <w:color w:val="auto"/>
          <w:szCs w:val="21"/>
          <w:highlight w:val="none"/>
        </w:rPr>
        <w:t>https://www.gcy.zfcg.gxzf.gov.cn/</w:t>
      </w:r>
      <w:r>
        <w:rPr>
          <w:rFonts w:hint="eastAsia" w:ascii="宋体" w:hAnsi="宋体"/>
          <w:color w:val="auto"/>
          <w:szCs w:val="21"/>
          <w:highlight w:val="none"/>
        </w:rPr>
        <w:t>）</w:t>
      </w:r>
    </w:p>
    <w:p w14:paraId="54E9212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4.开标地点：</w:t>
      </w:r>
      <w:r>
        <w:rPr>
          <w:rFonts w:ascii="宋体" w:hAnsi="宋体"/>
          <w:color w:val="auto"/>
          <w:szCs w:val="21"/>
          <w:highlight w:val="none"/>
        </w:rPr>
        <w:t>广西政府采购云平台</w:t>
      </w:r>
      <w:r>
        <w:rPr>
          <w:rFonts w:hint="eastAsia" w:ascii="宋体" w:hAnsi="宋体"/>
          <w:color w:val="auto"/>
          <w:szCs w:val="21"/>
          <w:highlight w:val="none"/>
        </w:rPr>
        <w:t>电子开标大厅</w:t>
      </w:r>
    </w:p>
    <w:p w14:paraId="0EA92EF5">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3"/>
      <w:bookmarkEnd w:id="24"/>
      <w:bookmarkEnd w:id="25"/>
      <w:bookmarkEnd w:id="26"/>
    </w:p>
    <w:p w14:paraId="0B7B2E6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0FB0884E">
      <w:pPr>
        <w:spacing w:line="360" w:lineRule="auto"/>
        <w:rPr>
          <w:rFonts w:hint="eastAsia" w:ascii="黑体" w:hAnsi="黑体" w:eastAsia="黑体"/>
          <w:b/>
          <w:bCs/>
          <w:color w:val="auto"/>
          <w:sz w:val="24"/>
          <w:highlight w:val="none"/>
        </w:rPr>
      </w:pPr>
      <w:bookmarkStart w:id="27" w:name="_Toc35393795"/>
      <w:bookmarkStart w:id="28" w:name="_Toc35393626"/>
      <w:r>
        <w:rPr>
          <w:rFonts w:hint="eastAsia" w:ascii="黑体" w:hAnsi="黑体" w:eastAsia="黑体"/>
          <w:b/>
          <w:bCs/>
          <w:color w:val="auto"/>
          <w:sz w:val="24"/>
          <w:highlight w:val="none"/>
        </w:rPr>
        <w:t>六、其他补充事宜</w:t>
      </w:r>
      <w:bookmarkEnd w:id="27"/>
      <w:bookmarkEnd w:id="28"/>
    </w:p>
    <w:p w14:paraId="0269CC1E">
      <w:pPr>
        <w:spacing w:line="360" w:lineRule="auto"/>
        <w:ind w:firstLine="420" w:firstLineChars="200"/>
        <w:rPr>
          <w:rFonts w:hint="eastAsia" w:ascii="宋体" w:hAnsi="宋体" w:cs="宋体"/>
          <w:color w:val="auto"/>
          <w:kern w:val="0"/>
          <w:szCs w:val="21"/>
          <w:highlight w:val="none"/>
        </w:rPr>
      </w:pPr>
      <w:bookmarkStart w:id="29" w:name="_Hlk37429585"/>
      <w:bookmarkStart w:id="30" w:name="_Hlk37429595"/>
      <w:bookmarkStart w:id="31" w:name="_Toc28359008"/>
      <w:bookmarkStart w:id="32" w:name="_Toc35393796"/>
      <w:bookmarkStart w:id="33" w:name="_Toc35393627"/>
      <w:bookmarkStart w:id="34" w:name="_Toc28359085"/>
      <w:r>
        <w:rPr>
          <w:rFonts w:hint="eastAsia" w:ascii="宋体" w:hAnsi="宋体" w:cs="宋体"/>
          <w:color w:val="auto"/>
          <w:kern w:val="0"/>
          <w:szCs w:val="21"/>
          <w:highlight w:val="none"/>
        </w:rPr>
        <w:t>1.投标保证金（人民币）：30000.00元。</w:t>
      </w:r>
    </w:p>
    <w:p w14:paraId="2FC83BB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bookmarkEnd w:id="29"/>
      <w:bookmarkEnd w:id="30"/>
      <w:bookmarkStart w:id="35" w:name="_Hlk37429674"/>
      <w:r>
        <w:rPr>
          <w:rFonts w:hint="eastAsia" w:ascii="宋体" w:hAnsi="宋体" w:cs="宋体"/>
          <w:color w:val="auto"/>
          <w:kern w:val="0"/>
          <w:szCs w:val="21"/>
          <w:highlight w:val="none"/>
        </w:rPr>
        <w:t>中国政府采购网（http://www.ccgp.gov.cn）、广西壮族自治区政府采购网（http://zfcg.gxzf.gov.cn）、广西壮族自治区公共资源交易中心（http://gxggzy.gxzf.gov.cn/）。</w:t>
      </w:r>
    </w:p>
    <w:p w14:paraId="2FA7CAC1">
      <w:pPr>
        <w:spacing w:line="360" w:lineRule="auto"/>
        <w:ind w:firstLine="424" w:firstLineChars="202"/>
        <w:rPr>
          <w:rFonts w:hint="eastAsia" w:ascii="宋体" w:hAnsi="宋体" w:cs="宋体"/>
          <w:color w:val="auto"/>
          <w:kern w:val="0"/>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531A0E7A">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9AA394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02646CA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61A81E6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09A40F7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35"/>
    <w:p w14:paraId="75F15CB5">
      <w:pPr>
        <w:widowControl/>
        <w:spacing w:line="360" w:lineRule="auto"/>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4.投标人</w:t>
      </w:r>
      <w:r>
        <w:rPr>
          <w:rFonts w:hint="eastAsia" w:ascii="宋体" w:hAnsi="宋体"/>
          <w:color w:val="auto"/>
          <w:szCs w:val="21"/>
          <w:highlight w:val="none"/>
        </w:rPr>
        <w:t>投标注意事项</w:t>
      </w:r>
    </w:p>
    <w:p w14:paraId="477E72DB">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w:t>
      </w:r>
      <w:r>
        <w:rPr>
          <w:rFonts w:hint="eastAsia" w:ascii="宋体" w:hAnsi="宋体"/>
          <w:color w:val="auto"/>
          <w:szCs w:val="21"/>
          <w:highlight w:val="none"/>
        </w:rPr>
        <w:t>广西政府采购云平台</w:t>
      </w:r>
      <w:r>
        <w:rPr>
          <w:rFonts w:hint="eastAsia" w:ascii="宋体" w:hAnsi="宋体"/>
          <w:b/>
          <w:color w:val="auto"/>
          <w:szCs w:val="21"/>
          <w:highlight w:val="none"/>
        </w:rPr>
        <w:t>提交电子投标文件时，请填写参加远程开标活动经办人联系方式。</w:t>
      </w:r>
      <w:r>
        <w:rPr>
          <w:rFonts w:hint="eastAsia" w:ascii="宋体" w:hAnsi="宋体"/>
          <w:color w:val="auto"/>
          <w:szCs w:val="21"/>
          <w:highlight w:val="none"/>
        </w:rPr>
        <w:t>投标人登录广西政府采购云平台，依次进入“服务中心-项目采购-操作流程-电子招投标-</w:t>
      </w:r>
      <w:r>
        <w:rPr>
          <w:color w:val="auto"/>
          <w:highlight w:val="none"/>
        </w:rPr>
        <w:t>政府采购项目电子交易管理操作指南-供应商</w:t>
      </w:r>
      <w:r>
        <w:rPr>
          <w:rFonts w:hint="eastAsia" w:ascii="宋体" w:hAnsi="宋体"/>
          <w:color w:val="auto"/>
          <w:szCs w:val="21"/>
          <w:highlight w:val="none"/>
        </w:rPr>
        <w:t>”查看电子投标具体操作流程。</w:t>
      </w:r>
    </w:p>
    <w:p w14:paraId="59091300">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C2ABFDD">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1F0F6B76">
      <w:pPr>
        <w:spacing w:line="360" w:lineRule="auto"/>
        <w:ind w:firstLine="424" w:firstLineChars="202"/>
        <w:rPr>
          <w:rFonts w:hint="eastAsia" w:ascii="宋体" w:hAnsi="宋体" w:cs="宋体"/>
          <w:color w:val="auto"/>
          <w:kern w:val="0"/>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2D9A501B">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1"/>
      <w:bookmarkEnd w:id="32"/>
      <w:bookmarkEnd w:id="33"/>
      <w:bookmarkEnd w:id="34"/>
    </w:p>
    <w:p w14:paraId="13FFE52B">
      <w:pPr>
        <w:spacing w:line="400" w:lineRule="exact"/>
        <w:ind w:firstLine="567" w:firstLineChars="270"/>
        <w:jc w:val="left"/>
        <w:rPr>
          <w:rFonts w:hint="eastAsia" w:ascii="宋体" w:hAnsi="宋体" w:cs="宋体"/>
          <w:color w:val="auto"/>
          <w:kern w:val="0"/>
          <w:szCs w:val="21"/>
          <w:highlight w:val="none"/>
        </w:rPr>
      </w:pPr>
      <w:r>
        <w:rPr>
          <w:rFonts w:hint="eastAsia" w:ascii="宋体" w:hAnsi="宋体" w:cs="宋体"/>
          <w:color w:val="auto"/>
          <w:highlight w:val="none"/>
        </w:rPr>
        <w:t>1.采购人信息</w:t>
      </w:r>
    </w:p>
    <w:p w14:paraId="5B074F6D">
      <w:pPr>
        <w:spacing w:line="400" w:lineRule="exact"/>
        <w:ind w:firstLine="567" w:firstLineChars="270"/>
        <w:jc w:val="left"/>
        <w:rPr>
          <w:rFonts w:hint="eastAsia" w:ascii="宋体" w:hAnsi="宋体"/>
          <w:color w:val="auto"/>
          <w:highlight w:val="none"/>
        </w:rPr>
      </w:pPr>
      <w:r>
        <w:rPr>
          <w:rFonts w:hint="eastAsia" w:ascii="宋体" w:hAnsi="宋体"/>
          <w:color w:val="auto"/>
          <w:highlight w:val="none"/>
        </w:rPr>
        <w:t>名 称：广西壮族自治区医疗保障局　</w:t>
      </w:r>
    </w:p>
    <w:p w14:paraId="427EFA44">
      <w:pPr>
        <w:spacing w:line="400" w:lineRule="exact"/>
        <w:ind w:firstLine="567" w:firstLineChars="270"/>
        <w:jc w:val="left"/>
        <w:rPr>
          <w:rFonts w:hint="eastAsia" w:ascii="宋体" w:hAnsi="宋体"/>
          <w:color w:val="auto"/>
          <w:highlight w:val="none"/>
          <w:u w:val="single"/>
        </w:rPr>
      </w:pPr>
      <w:r>
        <w:rPr>
          <w:rFonts w:hint="eastAsia" w:ascii="宋体" w:hAnsi="宋体"/>
          <w:color w:val="auto"/>
          <w:highlight w:val="none"/>
        </w:rPr>
        <w:t>地址：南宁市青秀区星湖路26号</w:t>
      </w:r>
    </w:p>
    <w:p w14:paraId="1C53CB3C">
      <w:pPr>
        <w:spacing w:line="400" w:lineRule="exact"/>
        <w:ind w:firstLine="567" w:firstLineChars="270"/>
        <w:jc w:val="left"/>
        <w:rPr>
          <w:rFonts w:hint="eastAsia" w:ascii="宋体" w:hAnsi="宋体"/>
          <w:color w:val="auto"/>
          <w:highlight w:val="none"/>
        </w:rPr>
      </w:pPr>
      <w:r>
        <w:rPr>
          <w:rFonts w:hint="eastAsia" w:ascii="宋体" w:hAnsi="宋体"/>
          <w:color w:val="auto"/>
          <w:highlight w:val="none"/>
        </w:rPr>
        <w:t>项目联系人：</w:t>
      </w:r>
      <w:r>
        <w:rPr>
          <w:rFonts w:hint="eastAsia" w:ascii="宋体" w:hAnsi="宋体" w:cs="宋体"/>
          <w:color w:val="auto"/>
          <w:kern w:val="0"/>
          <w:szCs w:val="21"/>
          <w:highlight w:val="none"/>
        </w:rPr>
        <w:t>李老师</w:t>
      </w:r>
    </w:p>
    <w:p w14:paraId="55A8900B">
      <w:pPr>
        <w:spacing w:line="400" w:lineRule="exact"/>
        <w:ind w:firstLine="567" w:firstLineChars="270"/>
        <w:jc w:val="left"/>
        <w:rPr>
          <w:rFonts w:hint="eastAsia" w:ascii="宋体" w:hAnsi="宋体"/>
          <w:color w:val="auto"/>
          <w:highlight w:val="none"/>
          <w:u w:val="single"/>
        </w:rPr>
      </w:pPr>
      <w:r>
        <w:rPr>
          <w:rFonts w:hint="eastAsia" w:ascii="宋体" w:hAnsi="宋体" w:cs="宋体"/>
          <w:color w:val="auto"/>
          <w:highlight w:val="none"/>
        </w:rPr>
        <w:t>联系</w:t>
      </w:r>
      <w:r>
        <w:rPr>
          <w:rFonts w:hint="eastAsia" w:ascii="宋体" w:hAnsi="宋体"/>
          <w:color w:val="auto"/>
          <w:highlight w:val="none"/>
        </w:rPr>
        <w:t>方式：</w:t>
      </w:r>
      <w:bookmarkStart w:id="36" w:name="_Toc28359086"/>
      <w:bookmarkStart w:id="37" w:name="_Toc28359009"/>
      <w:r>
        <w:rPr>
          <w:rFonts w:hint="eastAsia" w:ascii="宋体" w:hAnsi="宋体" w:cs="宋体"/>
          <w:color w:val="auto"/>
          <w:kern w:val="0"/>
          <w:szCs w:val="21"/>
          <w:highlight w:val="none"/>
        </w:rPr>
        <w:t>0771-5893831</w:t>
      </w:r>
      <w:r>
        <w:rPr>
          <w:rFonts w:hint="eastAsia"/>
          <w:color w:val="auto"/>
          <w:highlight w:val="none"/>
        </w:rPr>
        <w:t xml:space="preserve">  </w:t>
      </w:r>
    </w:p>
    <w:bookmarkEnd w:id="36"/>
    <w:bookmarkEnd w:id="37"/>
    <w:p w14:paraId="3EAAC845">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2.采购代理机构信息</w:t>
      </w:r>
    </w:p>
    <w:p w14:paraId="38D1C37A">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名 称：广西同泽工程项目管理股份有限公司　　</w:t>
      </w:r>
    </w:p>
    <w:p w14:paraId="6244F2F0">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szCs w:val="21"/>
          <w:highlight w:val="none"/>
        </w:rPr>
        <w:t>广西南宁市良庆区凯旋路16号广西裕达集团南宁五象总部基地广东大厦十八楼</w:t>
      </w:r>
      <w:r>
        <w:rPr>
          <w:rFonts w:hint="eastAsia" w:ascii="宋体" w:hAnsi="宋体" w:cs="宋体"/>
          <w:color w:val="auto"/>
          <w:highlight w:val="none"/>
        </w:rPr>
        <w:t>　　</w:t>
      </w:r>
    </w:p>
    <w:p w14:paraId="0A28D64E">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联系方式：</w:t>
      </w:r>
      <w:r>
        <w:rPr>
          <w:rFonts w:hint="eastAsia" w:ascii="宋体" w:hAnsi="宋体" w:cs="宋体"/>
          <w:color w:val="auto"/>
          <w:kern w:val="0"/>
          <w:szCs w:val="21"/>
          <w:highlight w:val="none"/>
        </w:rPr>
        <w:t>0771-</w:t>
      </w:r>
      <w:r>
        <w:rPr>
          <w:rFonts w:hint="eastAsia" w:ascii="宋体" w:hAnsi="宋体" w:cs="宋体"/>
          <w:color w:val="auto"/>
          <w:szCs w:val="21"/>
          <w:highlight w:val="none"/>
        </w:rPr>
        <w:t>5590176</w:t>
      </w:r>
    </w:p>
    <w:p w14:paraId="5BB21E24">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3.项目联系方式</w:t>
      </w:r>
    </w:p>
    <w:p w14:paraId="5B3B2092">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项目联系人：陆珍花、奉云、谭晓妮、农英民</w:t>
      </w:r>
    </w:p>
    <w:p w14:paraId="065D648C">
      <w:pPr>
        <w:snapToGrid w:val="0"/>
        <w:spacing w:line="400" w:lineRule="exact"/>
        <w:ind w:firstLine="630" w:firstLineChars="300"/>
        <w:rPr>
          <w:rFonts w:hint="eastAsia" w:ascii="宋体" w:hAnsi="宋体" w:cs="宋体"/>
          <w:color w:val="auto"/>
          <w:highlight w:val="none"/>
        </w:rPr>
      </w:pPr>
      <w:r>
        <w:rPr>
          <w:rFonts w:hint="eastAsia" w:ascii="宋体" w:hAnsi="宋体" w:cs="宋体"/>
          <w:color w:val="auto"/>
          <w:highlight w:val="none"/>
        </w:rPr>
        <w:t>联系</w:t>
      </w:r>
      <w:r>
        <w:rPr>
          <w:rFonts w:hint="eastAsia" w:ascii="宋体" w:hAnsi="宋体"/>
          <w:color w:val="auto"/>
          <w:highlight w:val="none"/>
        </w:rPr>
        <w:t>方式：</w:t>
      </w:r>
      <w:r>
        <w:rPr>
          <w:rFonts w:hint="eastAsia" w:ascii="宋体" w:hAnsi="宋体" w:cs="宋体"/>
          <w:color w:val="auto"/>
          <w:kern w:val="0"/>
          <w:szCs w:val="21"/>
          <w:highlight w:val="none"/>
        </w:rPr>
        <w:t>0771-</w:t>
      </w:r>
      <w:r>
        <w:rPr>
          <w:rFonts w:hint="eastAsia" w:ascii="宋体" w:hAnsi="宋体" w:cs="宋体"/>
          <w:color w:val="auto"/>
          <w:szCs w:val="21"/>
          <w:highlight w:val="none"/>
        </w:rPr>
        <w:t>5590176</w:t>
      </w:r>
    </w:p>
    <w:p w14:paraId="47E70ABA">
      <w:pPr>
        <w:spacing w:line="360" w:lineRule="auto"/>
        <w:rPr>
          <w:rFonts w:hint="eastAsia" w:ascii="宋体" w:hAnsi="宋体"/>
          <w:color w:val="auto"/>
          <w:szCs w:val="21"/>
          <w:highlight w:val="none"/>
        </w:rPr>
      </w:pPr>
    </w:p>
    <w:p w14:paraId="0593606F">
      <w:pPr>
        <w:pStyle w:val="4"/>
        <w:keepNext w:val="0"/>
        <w:keepLines w:val="0"/>
        <w:tabs>
          <w:tab w:val="left" w:pos="0"/>
          <w:tab w:val="left" w:pos="3165"/>
          <w:tab w:val="center" w:pos="4153"/>
        </w:tabs>
        <w:autoSpaceDE w:val="0"/>
        <w:autoSpaceDN w:val="0"/>
        <w:adjustRightInd w:val="0"/>
        <w:spacing w:before="0" w:after="0" w:line="360" w:lineRule="auto"/>
        <w:jc w:val="center"/>
        <w:rPr>
          <w:color w:val="auto"/>
          <w:highlight w:val="none"/>
        </w:rPr>
      </w:pPr>
      <w:r>
        <w:rPr>
          <w:rFonts w:ascii="仿宋_GB2312" w:hAnsi="宋体" w:eastAsia="仿宋_GB2312"/>
          <w:color w:val="auto"/>
          <w:sz w:val="24"/>
          <w:szCs w:val="20"/>
          <w:highlight w:val="none"/>
        </w:rPr>
        <w:br w:type="page"/>
      </w:r>
      <w:bookmarkStart w:id="38" w:name="_Toc187937694"/>
      <w:r>
        <w:rPr>
          <w:rFonts w:hint="eastAsia"/>
          <w:color w:val="auto"/>
          <w:highlight w:val="none"/>
        </w:rPr>
        <w:t>第二章  采购需求</w:t>
      </w:r>
      <w:bookmarkEnd w:id="38"/>
    </w:p>
    <w:p w14:paraId="01E73428">
      <w:pPr>
        <w:spacing w:line="360" w:lineRule="auto"/>
        <w:jc w:val="left"/>
        <w:rPr>
          <w:rFonts w:hint="eastAsia" w:ascii="宋体" w:hAnsi="宋体" w:cs="宋体"/>
          <w:color w:val="auto"/>
          <w:szCs w:val="21"/>
          <w:highlight w:val="none"/>
        </w:rPr>
      </w:pPr>
      <w:bookmarkStart w:id="39" w:name="_Toc254970490"/>
      <w:bookmarkStart w:id="40" w:name="_Toc254970631"/>
    </w:p>
    <w:p w14:paraId="1DC88DFE">
      <w:pPr>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31FC0A3D">
      <w:pPr>
        <w:spacing w:line="380" w:lineRule="exact"/>
        <w:ind w:firstLine="420" w:firstLineChars="200"/>
        <w:jc w:val="left"/>
        <w:rPr>
          <w:rFonts w:hint="eastAsia" w:ascii="宋体" w:hAnsi="宋体" w:cs="宋体"/>
          <w:color w:val="auto"/>
          <w:szCs w:val="21"/>
          <w:highlight w:val="none"/>
        </w:rPr>
      </w:pPr>
      <w:r>
        <w:rPr>
          <w:rFonts w:hint="eastAsia"/>
          <w:color w:val="auto"/>
          <w:highlight w:val="none"/>
        </w:rPr>
        <w:t>1</w:t>
      </w:r>
      <w:r>
        <w:rPr>
          <w:rFonts w:hint="eastAsia" w:ascii="宋体" w:hAnsi="宋体" w:cs="宋体"/>
          <w:color w:val="auto"/>
          <w:szCs w:val="21"/>
          <w:highlight w:val="none"/>
        </w:rPr>
        <w:t>.</w:t>
      </w:r>
      <w:r>
        <w:rPr>
          <w:rFonts w:hint="eastAsia"/>
          <w:color w:val="auto"/>
          <w:highlight w:val="none"/>
        </w:rPr>
        <w:t xml:space="preserve"> 为落实政府采购政策需满足的要求，</w:t>
      </w:r>
      <w:r>
        <w:rPr>
          <w:rFonts w:hint="eastAsia" w:ascii="宋体" w:hAnsi="宋体" w:cs="宋体"/>
          <w:color w:val="auto"/>
          <w:szCs w:val="21"/>
          <w:highlight w:val="none"/>
        </w:rPr>
        <w:t>本招标文件所称中小企业必须符合《政府采购促进中小企业发展管理办法》（财库〔2020〕46号）的规定。</w:t>
      </w:r>
    </w:p>
    <w:p w14:paraId="2D21A326">
      <w:pPr>
        <w:spacing w:line="38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7E7CAC3D">
      <w:pPr>
        <w:spacing w:line="38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w:t>
      </w:r>
    </w:p>
    <w:p w14:paraId="0FE88C49">
      <w:pPr>
        <w:spacing w:line="380" w:lineRule="exact"/>
        <w:ind w:firstLine="424" w:firstLineChars="202"/>
        <w:jc w:val="left"/>
        <w:rPr>
          <w:rStyle w:val="43"/>
          <w:color w:val="auto"/>
          <w:highlight w:val="none"/>
        </w:rPr>
      </w:pPr>
      <w:r>
        <w:rPr>
          <w:rFonts w:hint="eastAsia" w:ascii="宋体" w:hAnsi="宋体" w:cs="宋体"/>
          <w:color w:val="auto"/>
          <w:szCs w:val="21"/>
          <w:highlight w:val="none"/>
        </w:rPr>
        <w:t>4.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b/>
          <w:bCs/>
          <w:color w:val="auto"/>
          <w:szCs w:val="21"/>
          <w:highlight w:val="none"/>
        </w:rPr>
        <w:t>否则将作无效响应处理</w:t>
      </w:r>
      <w:r>
        <w:rPr>
          <w:rFonts w:hint="eastAsia" w:ascii="宋体" w:hAnsi="宋体"/>
          <w:color w:val="auto"/>
          <w:szCs w:val="21"/>
          <w:highlight w:val="none"/>
        </w:rPr>
        <w:t>。</w:t>
      </w:r>
      <w:r>
        <w:rPr>
          <w:rFonts w:hint="eastAsia"/>
          <w:color w:val="auto"/>
          <w:highlight w:val="none"/>
        </w:rPr>
        <w:t>对于重要技术条款或技术参数应当在投标文件中提供技术支持资料，技术支持资料以招标文件中规定的形式为准，</w:t>
      </w:r>
      <w:r>
        <w:rPr>
          <w:rFonts w:hint="eastAsia"/>
          <w:b/>
          <w:bCs/>
          <w:color w:val="auto"/>
          <w:highlight w:val="none"/>
        </w:rPr>
        <w:t>否则将视为无效技术支持资料</w:t>
      </w:r>
      <w:r>
        <w:rPr>
          <w:rFonts w:hint="eastAsia"/>
          <w:color w:val="auto"/>
          <w:highlight w:val="none"/>
        </w:rPr>
        <w:t>。</w:t>
      </w:r>
    </w:p>
    <w:p w14:paraId="675A8430">
      <w:pPr>
        <w:spacing w:line="380" w:lineRule="exact"/>
        <w:ind w:firstLine="308" w:firstLineChars="147"/>
        <w:jc w:val="left"/>
        <w:rPr>
          <w:color w:val="auto"/>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p w14:paraId="168E2412">
      <w:pPr>
        <w:spacing w:line="380" w:lineRule="exact"/>
        <w:ind w:firstLine="310" w:firstLineChars="147"/>
        <w:jc w:val="left"/>
        <w:rPr>
          <w:b/>
          <w:bCs/>
          <w:color w:val="auto"/>
          <w:highlight w:val="none"/>
        </w:rPr>
      </w:pPr>
      <w:r>
        <w:rPr>
          <w:rFonts w:hint="eastAsia"/>
          <w:b/>
          <w:bCs/>
          <w:color w:val="auto"/>
          <w:highlight w:val="none"/>
        </w:rPr>
        <w:t>6.所属行业：软件和信息技术服务业</w:t>
      </w:r>
    </w:p>
    <w:p w14:paraId="660A78F7">
      <w:pPr>
        <w:spacing w:line="360" w:lineRule="auto"/>
        <w:ind w:firstLine="211" w:firstLineChars="100"/>
        <w:jc w:val="left"/>
        <w:rPr>
          <w:rFonts w:hint="eastAsia" w:ascii="宋体" w:hAnsi="宋体" w:cs="Arial"/>
          <w:bCs/>
          <w:color w:val="auto"/>
          <w:szCs w:val="21"/>
          <w:highlight w:val="none"/>
          <w:u w:val="single"/>
        </w:rPr>
      </w:pPr>
      <w:r>
        <w:rPr>
          <w:rFonts w:hint="eastAsia" w:ascii="宋体" w:hAnsi="宋体"/>
          <w:b/>
          <w:color w:val="auto"/>
          <w:szCs w:val="21"/>
          <w:highlight w:val="none"/>
        </w:rPr>
        <w:t xml:space="preserve"> </w:t>
      </w:r>
    </w:p>
    <w:tbl>
      <w:tblPr>
        <w:tblStyle w:val="36"/>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099"/>
        <w:gridCol w:w="556"/>
        <w:gridCol w:w="708"/>
        <w:gridCol w:w="709"/>
        <w:gridCol w:w="6206"/>
      </w:tblGrid>
      <w:tr w14:paraId="7EED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3ACF7EF0">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项号</w:t>
            </w: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4545838C">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服务名称</w:t>
            </w:r>
          </w:p>
        </w:tc>
        <w:tc>
          <w:tcPr>
            <w:tcW w:w="708" w:type="dxa"/>
            <w:tcBorders>
              <w:top w:val="single" w:color="auto" w:sz="4" w:space="0"/>
              <w:left w:val="single" w:color="auto" w:sz="4" w:space="0"/>
              <w:bottom w:val="single" w:color="auto" w:sz="4" w:space="0"/>
              <w:right w:val="single" w:color="auto" w:sz="4" w:space="0"/>
            </w:tcBorders>
            <w:vAlign w:val="center"/>
          </w:tcPr>
          <w:p w14:paraId="16D45AD8">
            <w:pPr>
              <w:spacing w:line="400" w:lineRule="exact"/>
              <w:jc w:val="center"/>
              <w:rPr>
                <w:rFonts w:hint="eastAsia" w:ascii="宋体" w:hAnsi="宋体"/>
                <w:b/>
                <w:color w:val="auto"/>
                <w:szCs w:val="21"/>
                <w:highlight w:val="none"/>
              </w:rPr>
            </w:pPr>
            <w:r>
              <w:rPr>
                <w:rFonts w:ascii="宋体" w:hAnsi="宋体"/>
                <w:b/>
                <w:color w:val="auto"/>
                <w:szCs w:val="21"/>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6BADC0CC">
            <w:pPr>
              <w:spacing w:line="400" w:lineRule="exact"/>
              <w:jc w:val="center"/>
              <w:rPr>
                <w:rFonts w:hint="eastAsia" w:ascii="宋体" w:hAnsi="宋体"/>
                <w:b/>
                <w:color w:val="auto"/>
                <w:szCs w:val="21"/>
                <w:highlight w:val="none"/>
              </w:rPr>
            </w:pPr>
            <w:r>
              <w:rPr>
                <w:rFonts w:ascii="宋体" w:hAnsi="宋体"/>
                <w:b/>
                <w:color w:val="auto"/>
                <w:szCs w:val="21"/>
                <w:highlight w:val="none"/>
              </w:rPr>
              <w:t>单位</w:t>
            </w:r>
          </w:p>
        </w:tc>
        <w:tc>
          <w:tcPr>
            <w:tcW w:w="6206" w:type="dxa"/>
            <w:tcBorders>
              <w:top w:val="single" w:color="auto" w:sz="4" w:space="0"/>
              <w:left w:val="single" w:color="auto" w:sz="4" w:space="0"/>
              <w:bottom w:val="single" w:color="auto" w:sz="4" w:space="0"/>
              <w:right w:val="single" w:color="auto" w:sz="4" w:space="0"/>
            </w:tcBorders>
            <w:vAlign w:val="center"/>
          </w:tcPr>
          <w:p w14:paraId="03CA3206">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内容和要求</w:t>
            </w:r>
          </w:p>
        </w:tc>
      </w:tr>
      <w:tr w14:paraId="65B0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7F97F6CF">
            <w:pPr>
              <w:numPr>
                <w:ilvl w:val="0"/>
                <w:numId w:val="1"/>
              </w:numPr>
              <w:spacing w:line="400" w:lineRule="exact"/>
              <w:jc w:val="center"/>
              <w:rPr>
                <w:rFonts w:hint="eastAsia" w:ascii="宋体" w:hAnsi="宋体"/>
                <w:b/>
                <w:color w:val="auto"/>
                <w:szCs w:val="21"/>
                <w:highlight w:val="none"/>
              </w:rPr>
            </w:pP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03E44FED">
            <w:pPr>
              <w:spacing w:line="40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2026年云平台基础设施运维服务项目（核心区云平台设备运维、软件运维、数字证书系统运维）</w:t>
            </w:r>
          </w:p>
        </w:tc>
        <w:tc>
          <w:tcPr>
            <w:tcW w:w="708" w:type="dxa"/>
            <w:tcBorders>
              <w:top w:val="single" w:color="auto" w:sz="4" w:space="0"/>
              <w:left w:val="single" w:color="auto" w:sz="4" w:space="0"/>
              <w:bottom w:val="single" w:color="auto" w:sz="4" w:space="0"/>
              <w:right w:val="single" w:color="auto" w:sz="4" w:space="0"/>
            </w:tcBorders>
            <w:vAlign w:val="center"/>
          </w:tcPr>
          <w:p w14:paraId="68DAD9CA">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709" w:type="dxa"/>
            <w:tcBorders>
              <w:top w:val="single" w:color="auto" w:sz="4" w:space="0"/>
              <w:left w:val="single" w:color="auto" w:sz="4" w:space="0"/>
              <w:bottom w:val="single" w:color="auto" w:sz="4" w:space="0"/>
              <w:right w:val="single" w:color="auto" w:sz="4" w:space="0"/>
            </w:tcBorders>
            <w:vAlign w:val="center"/>
          </w:tcPr>
          <w:p w14:paraId="2EE1F80B">
            <w:pPr>
              <w:spacing w:line="40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206" w:type="dxa"/>
            <w:tcBorders>
              <w:top w:val="single" w:color="auto" w:sz="4" w:space="0"/>
              <w:left w:val="single" w:color="auto" w:sz="4" w:space="0"/>
              <w:right w:val="single" w:color="auto" w:sz="4" w:space="0"/>
            </w:tcBorders>
          </w:tcPr>
          <w:p w14:paraId="2DF599C9">
            <w:pPr>
              <w:pStyle w:val="129"/>
              <w:adjustRightInd w:val="0"/>
              <w:snapToGrid w:val="0"/>
              <w:ind w:firstLine="379" w:firstLineChars="180"/>
              <w:outlineLvl w:val="1"/>
              <w:rPr>
                <w:rFonts w:hint="eastAsia"/>
                <w:b/>
                <w:color w:val="auto"/>
                <w:szCs w:val="28"/>
                <w:highlight w:val="none"/>
              </w:rPr>
            </w:pPr>
            <w:r>
              <w:rPr>
                <w:rFonts w:hint="eastAsia"/>
                <w:b/>
                <w:color w:val="auto"/>
                <w:szCs w:val="28"/>
                <w:highlight w:val="none"/>
              </w:rPr>
              <w:t>（一）数字证书系统运维需求</w:t>
            </w:r>
          </w:p>
          <w:p w14:paraId="42197B0D">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针对数字证书系统中涉及的硬件产品提供运维与技术支持服务。</w:t>
            </w:r>
          </w:p>
          <w:p w14:paraId="6692830D">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1.硬件保修服务</w:t>
            </w:r>
          </w:p>
          <w:p w14:paraId="1DBA880E">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提供1年的软硬件保修维护服务。</w:t>
            </w:r>
          </w:p>
          <w:p w14:paraId="18023E01">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2.软件升级服务</w:t>
            </w:r>
          </w:p>
          <w:p w14:paraId="291179B1">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提供免费升级和补丁更新服务，保证采购人能够及时获得相关服务和技术文档的更新。技术文档包括了操作手册、产品说明、系统架构、应急处理、规章制度等。定期对密码设备的系统微码、补丁、操作系统的版本进行检查，对于即将或已经到期的软硬件版本及时通知管理部门。</w:t>
            </w:r>
          </w:p>
          <w:p w14:paraId="1E76402A">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3.技术支持服务</w:t>
            </w:r>
          </w:p>
          <w:p w14:paraId="39883BF6">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提供7x24小时远程或现场技术支持服务。服务范围应包括但不限于：技术咨询、配置指导、故障诊断、性能调优、应急响应等。</w:t>
            </w:r>
          </w:p>
          <w:p w14:paraId="3A7128C1">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4.接口开发与维护支持服务</w:t>
            </w:r>
          </w:p>
          <w:p w14:paraId="22354C88">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提供与密码设备API接口相关的开发支持。包括：提供最新的API开发文档与技术规范、解答接口调用过程中的技术难题、协助排查因接口使用不当或版本变更导致的集成故障，并在业务系统或密码设备升级时，提供接口兼容性评估与适配指导。</w:t>
            </w:r>
          </w:p>
          <w:p w14:paraId="71C5BDC4">
            <w:pPr>
              <w:pStyle w:val="129"/>
              <w:adjustRightInd w:val="0"/>
              <w:snapToGrid w:val="0"/>
              <w:ind w:firstLine="379" w:firstLineChars="180"/>
              <w:outlineLvl w:val="2"/>
              <w:rPr>
                <w:rFonts w:hint="eastAsia"/>
                <w:bCs/>
                <w:color w:val="auto"/>
                <w:szCs w:val="28"/>
                <w:highlight w:val="none"/>
              </w:rPr>
            </w:pPr>
            <w:r>
              <w:rPr>
                <w:rFonts w:hint="eastAsia"/>
                <w:b/>
                <w:color w:val="auto"/>
                <w:highlight w:val="none"/>
              </w:rPr>
              <w:t>▲</w:t>
            </w:r>
            <w:r>
              <w:rPr>
                <w:rFonts w:hint="eastAsia"/>
                <w:bCs/>
                <w:color w:val="auto"/>
                <w:szCs w:val="28"/>
                <w:highlight w:val="none"/>
              </w:rPr>
              <w:t>5.原厂维修服务</w:t>
            </w:r>
          </w:p>
          <w:p w14:paraId="4A0E0987">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当设备硬件（如密码卡、主板、电源、风扇等）发生故障时，供应商提供专业的原厂维修服务，使用经过原厂认证、测试的专用配件进行更换。</w:t>
            </w:r>
          </w:p>
          <w:p w14:paraId="17906DAA">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6.备机替换服务</w:t>
            </w:r>
          </w:p>
          <w:p w14:paraId="1ACBE2A2">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当设备发生重大软硬件故障，且无法在业务允许的时间窗口内修复时，供应商能够提供相同型号或兼容型号的备机进行紧急替换，以最短时间恢复业务运行。</w:t>
            </w:r>
          </w:p>
          <w:p w14:paraId="1AC22C75">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7.咨询服务</w:t>
            </w:r>
          </w:p>
          <w:p w14:paraId="2630428C">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供应商提供技术咨询服务，针对业务量的发展情况，对系统制定改进计划。遇到生产系统出现问题，在查明原因给出分析报告的同时，制定解决方案和计划。</w:t>
            </w:r>
          </w:p>
          <w:p w14:paraId="2475B79F">
            <w:pPr>
              <w:pStyle w:val="129"/>
              <w:numPr>
                <w:ilvl w:val="0"/>
                <w:numId w:val="2"/>
              </w:numPr>
              <w:adjustRightInd w:val="0"/>
              <w:snapToGrid w:val="0"/>
              <w:ind w:firstLine="378" w:firstLineChars="180"/>
              <w:outlineLvl w:val="1"/>
              <w:rPr>
                <w:rFonts w:hint="eastAsia"/>
                <w:bCs/>
                <w:color w:val="auto"/>
                <w:szCs w:val="28"/>
                <w:highlight w:val="none"/>
              </w:rPr>
            </w:pPr>
            <w:r>
              <w:rPr>
                <w:rFonts w:hint="eastAsia"/>
                <w:bCs/>
                <w:color w:val="auto"/>
                <w:szCs w:val="28"/>
                <w:highlight w:val="none"/>
              </w:rPr>
              <w:t>核心业务区云平台设备运维需求</w:t>
            </w:r>
          </w:p>
          <w:p w14:paraId="53122288">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1.服务器运维需求</w:t>
            </w:r>
          </w:p>
          <w:p w14:paraId="79C39817">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针对核心业务区云平台中涉及的服务器硬件产品提供运维与技术支持服务。</w:t>
            </w:r>
          </w:p>
          <w:p w14:paraId="5FAE9EA4">
            <w:pPr>
              <w:widowControl/>
              <w:numPr>
                <w:ilvl w:val="0"/>
                <w:numId w:val="3"/>
              </w:numPr>
              <w:adjustRightInd w:val="0"/>
              <w:snapToGrid w:val="0"/>
              <w:ind w:firstLine="560"/>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服务期限</w:t>
            </w:r>
          </w:p>
          <w:p w14:paraId="4908F62F">
            <w:pPr>
              <w:widowControl/>
              <w:adjustRightInd w:val="0"/>
              <w:snapToGrid w:val="0"/>
              <w:ind w:firstLine="378" w:firstLineChars="180"/>
              <w:rPr>
                <w:rFonts w:hint="eastAsia" w:ascii="宋体" w:hAnsi="宋体" w:cs="宋体"/>
                <w:bCs/>
                <w:color w:val="auto"/>
                <w:kern w:val="0"/>
                <w:szCs w:val="28"/>
                <w:highlight w:val="none"/>
              </w:rPr>
            </w:pPr>
            <w:r>
              <w:rPr>
                <w:rFonts w:hint="eastAsia" w:ascii="宋体" w:hAnsi="宋体" w:cs="宋体"/>
                <w:bCs/>
                <w:color w:val="auto"/>
                <w:szCs w:val="28"/>
                <w:highlight w:val="none"/>
              </w:rPr>
              <w:t>提供1年的软硬件保修维护服务</w:t>
            </w:r>
            <w:r>
              <w:rPr>
                <w:rFonts w:hint="eastAsia" w:ascii="宋体" w:hAnsi="宋体" w:cs="宋体"/>
                <w:bCs/>
                <w:color w:val="auto"/>
                <w:kern w:val="0"/>
                <w:szCs w:val="28"/>
                <w:highlight w:val="none"/>
              </w:rPr>
              <w:t>。</w:t>
            </w:r>
          </w:p>
          <w:p w14:paraId="77D94588">
            <w:pPr>
              <w:widowControl/>
              <w:numPr>
                <w:ilvl w:val="0"/>
                <w:numId w:val="3"/>
              </w:numPr>
              <w:adjustRightInd w:val="0"/>
              <w:snapToGrid w:val="0"/>
              <w:ind w:firstLine="560"/>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提供原厂维修与配件供应</w:t>
            </w:r>
          </w:p>
          <w:p w14:paraId="654D7827">
            <w:pPr>
              <w:widowControl/>
              <w:adjustRightInd w:val="0"/>
              <w:snapToGrid w:val="0"/>
              <w:ind w:firstLine="378" w:firstLineChars="180"/>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服务期间，提供原厂7×24小时技术服务，提供免费硬件原厂现场服务，如更换故障配件、设备未知故障排查修复、升级设备固件版本等</w:t>
            </w:r>
          </w:p>
          <w:p w14:paraId="680752D9">
            <w:pPr>
              <w:widowControl/>
              <w:numPr>
                <w:ilvl w:val="0"/>
                <w:numId w:val="3"/>
              </w:numPr>
              <w:adjustRightInd w:val="0"/>
              <w:snapToGrid w:val="0"/>
              <w:ind w:firstLine="560"/>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提供故障处置服务</w:t>
            </w:r>
          </w:p>
          <w:p w14:paraId="7C023122">
            <w:pPr>
              <w:widowControl/>
              <w:adjustRightInd w:val="0"/>
              <w:snapToGrid w:val="0"/>
              <w:ind w:firstLine="560"/>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提供7×24小时故障报修热线电话，设备发生故障时段可拨打热线电话进行故障报修。热线电话需保持畅通，保证7×24小时的故障响应。发生硬件故障或出现故障告警时，致电服务热线报修后30分钟内响应，通过电话进行故障的初步诊断后，尽快到达现场进行维修或备件更换。如需更换备件，必须免费提供设备厂商合法原厂正品备件。</w:t>
            </w:r>
          </w:p>
          <w:p w14:paraId="7B23F18A">
            <w:pPr>
              <w:widowControl/>
              <w:numPr>
                <w:ilvl w:val="0"/>
                <w:numId w:val="3"/>
              </w:numPr>
              <w:adjustRightInd w:val="0"/>
              <w:snapToGrid w:val="0"/>
              <w:ind w:firstLine="560"/>
              <w:outlineLvl w:val="3"/>
              <w:rPr>
                <w:rFonts w:hint="eastAsia" w:ascii="宋体" w:hAnsi="宋体" w:cs="宋体"/>
                <w:bCs/>
                <w:color w:val="auto"/>
                <w:kern w:val="0"/>
                <w:szCs w:val="28"/>
                <w:highlight w:val="none"/>
              </w:rPr>
            </w:pPr>
            <w:r>
              <w:rPr>
                <w:rFonts w:hint="eastAsia" w:ascii="宋体"/>
                <w:b/>
                <w:color w:val="auto"/>
                <w:szCs w:val="21"/>
                <w:highlight w:val="none"/>
              </w:rPr>
              <w:t>▲</w:t>
            </w:r>
            <w:r>
              <w:rPr>
                <w:rFonts w:hint="eastAsia" w:ascii="宋体" w:hAnsi="宋体" w:cs="宋体"/>
                <w:bCs/>
                <w:color w:val="auto"/>
                <w:kern w:val="0"/>
                <w:szCs w:val="28"/>
                <w:highlight w:val="none"/>
              </w:rPr>
              <w:t>提供主动技术支持服务</w:t>
            </w:r>
          </w:p>
          <w:p w14:paraId="2CF635A4">
            <w:pPr>
              <w:widowControl/>
              <w:adjustRightInd w:val="0"/>
              <w:snapToGrid w:val="0"/>
              <w:ind w:firstLine="560"/>
              <w:rPr>
                <w:rFonts w:hint="eastAsia" w:ascii="宋体" w:hAnsi="宋体" w:cs="宋体"/>
                <w:bCs/>
                <w:color w:val="auto"/>
                <w:kern w:val="0"/>
                <w:szCs w:val="28"/>
                <w:highlight w:val="none"/>
              </w:rPr>
            </w:pPr>
            <w:r>
              <w:rPr>
                <w:rFonts w:hint="eastAsia" w:ascii="宋体" w:hAnsi="宋体" w:cs="宋体"/>
                <w:bCs/>
                <w:color w:val="auto"/>
                <w:kern w:val="0"/>
                <w:szCs w:val="28"/>
                <w:highlight w:val="none"/>
              </w:rPr>
              <w:t>通过主动运维服务提前发现和解决问题,确保系统7×24小时运行，具体服务内容包括但不限于：系统故障定位和排错、操作系统安装与升级、操作系统补丁的更新、服务器微码升级、系统备份和系统恢复、数据备份和数据恢复、CPU与内存升级扩容、替换故障硬盘、RAID重建、更换电源与风扇等易损件、更换主板和其他故障板卡、更换服务器和磁盘阵列中的各类到期电池、系统参数的调整优化、系统日志的检查和清除、系统盘的镜像检查、双机软件的状态检测、系统目录空间状态使用的监测、系统运行状态的监测、安装新版本Linux系统、在新版本Linux系统上调试系统配置、对已安装的新版本Linux系统进行测、维保设备（软件）范围内其它软件的升级服务。</w:t>
            </w:r>
          </w:p>
          <w:p w14:paraId="7C74ADD0">
            <w:pPr>
              <w:widowControl/>
              <w:numPr>
                <w:ilvl w:val="0"/>
                <w:numId w:val="3"/>
              </w:numPr>
              <w:adjustRightInd w:val="0"/>
              <w:snapToGrid w:val="0"/>
              <w:ind w:firstLine="560"/>
              <w:outlineLvl w:val="3"/>
              <w:rPr>
                <w:rFonts w:hint="eastAsia" w:ascii="宋体" w:hAnsi="宋体" w:cs="宋体"/>
                <w:bCs/>
                <w:color w:val="auto"/>
                <w:kern w:val="0"/>
                <w:szCs w:val="28"/>
                <w:highlight w:val="none"/>
              </w:rPr>
            </w:pPr>
            <w:r>
              <w:rPr>
                <w:rFonts w:hint="eastAsia" w:ascii="宋体"/>
                <w:b/>
                <w:color w:val="auto"/>
                <w:szCs w:val="21"/>
                <w:highlight w:val="none"/>
              </w:rPr>
              <w:t>▲</w:t>
            </w:r>
            <w:r>
              <w:rPr>
                <w:rFonts w:hint="eastAsia" w:ascii="宋体" w:hAnsi="宋体" w:cs="宋体"/>
                <w:bCs/>
                <w:color w:val="auto"/>
                <w:kern w:val="0"/>
                <w:szCs w:val="28"/>
                <w:highlight w:val="none"/>
              </w:rPr>
              <w:t>提供服务器年度维护服务</w:t>
            </w:r>
          </w:p>
          <w:p w14:paraId="233D1194">
            <w:pPr>
              <w:pStyle w:val="129"/>
              <w:tabs>
                <w:tab w:val="left" w:pos="0"/>
              </w:tabs>
              <w:adjustRightInd w:val="0"/>
              <w:snapToGrid w:val="0"/>
              <w:ind w:firstLine="560"/>
              <w:rPr>
                <w:rFonts w:hint="eastAsia"/>
                <w:bCs/>
                <w:color w:val="auto"/>
                <w:szCs w:val="28"/>
                <w:highlight w:val="none"/>
              </w:rPr>
            </w:pPr>
            <w:r>
              <w:rPr>
                <w:rFonts w:hint="eastAsia"/>
                <w:bCs/>
                <w:color w:val="auto"/>
                <w:szCs w:val="28"/>
                <w:highlight w:val="none"/>
              </w:rPr>
              <w:t>提供每个季度一次定期上门设备巡检，提前发现故障隐患，减少故障造成的宕机时间。在服务期间，机器硬件的损坏由供应商提供免费更换，采购人不再支付任何其它费用。</w:t>
            </w:r>
          </w:p>
          <w:p w14:paraId="78D82EE8">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2.存储设备运维需求</w:t>
            </w:r>
          </w:p>
          <w:p w14:paraId="188C79D0">
            <w:pPr>
              <w:widowControl/>
              <w:adjustRightInd w:val="0"/>
              <w:snapToGrid w:val="0"/>
              <w:ind w:firstLine="560"/>
              <w:rPr>
                <w:rFonts w:hint="eastAsia" w:ascii="宋体" w:hAnsi="宋体" w:cs="宋体"/>
                <w:bCs/>
                <w:color w:val="auto"/>
                <w:kern w:val="0"/>
                <w:szCs w:val="28"/>
                <w:highlight w:val="none"/>
              </w:rPr>
            </w:pPr>
            <w:r>
              <w:rPr>
                <w:rFonts w:hint="eastAsia" w:ascii="宋体" w:hAnsi="宋体" w:cs="宋体"/>
                <w:bCs/>
                <w:color w:val="auto"/>
                <w:kern w:val="0"/>
                <w:szCs w:val="28"/>
                <w:highlight w:val="none"/>
              </w:rPr>
              <w:t>针对云平台存储设备提供主动运维服务，提前发现和解决问题，确保系统7×24小时运行。具体服务内容包括但不限于：</w:t>
            </w:r>
          </w:p>
          <w:p w14:paraId="6029DA08">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设备故障定位和排错。</w:t>
            </w:r>
          </w:p>
          <w:p w14:paraId="409E4AF5">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设备软件版本升级。</w:t>
            </w:r>
          </w:p>
          <w:p w14:paraId="13AE81FB">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配置状态检测。</w:t>
            </w:r>
          </w:p>
          <w:p w14:paraId="28BD4005">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更换电源与风扇等易损构件。</w:t>
            </w:r>
          </w:p>
          <w:p w14:paraId="7F4DBE61">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系统使用状态检测。</w:t>
            </w:r>
          </w:p>
          <w:p w14:paraId="648D82C7">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系统日志分析和监控。</w:t>
            </w:r>
          </w:p>
          <w:p w14:paraId="23DEE9BB">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为信息中心的存储设备产品提供日常维修与维护服务。</w:t>
            </w:r>
          </w:p>
          <w:p w14:paraId="39B971D1">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应急保障方案，综合分析客户数据中心服务器的软硬件配置、应用情况，在第一次巡检后向招标方提供安全、可靠、切实可行的应急方案。</w:t>
            </w:r>
          </w:p>
          <w:p w14:paraId="1A503253">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为客户的存储管理软件配置与备份策略审核等提供技术支持服务。</w:t>
            </w:r>
          </w:p>
          <w:p w14:paraId="11A75400">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帮助客户对存储系统进行性能分析，包括磁盘读写性能、数据存储备份安全性、I/O性能等。</w:t>
            </w:r>
          </w:p>
          <w:p w14:paraId="5B4E402B">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根据客户信息系统发展需求规划新的存储备份系统与容灾系统。</w:t>
            </w:r>
          </w:p>
          <w:p w14:paraId="640085FD">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highlight w:val="none"/>
              </w:rPr>
            </w:pPr>
            <w:r>
              <w:rPr>
                <w:rFonts w:hint="eastAsia" w:ascii="宋体" w:hAnsi="宋体" w:cs="宋体"/>
                <w:bCs/>
                <w:color w:val="auto"/>
                <w:kern w:val="0"/>
                <w:szCs w:val="28"/>
                <w:highlight w:val="none"/>
              </w:rPr>
              <w:t>为客户提供存储信息生命周期整体规划，保障用户数据的生命力。</w:t>
            </w:r>
          </w:p>
          <w:p w14:paraId="032128FC">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3.网络设备运维需求</w:t>
            </w:r>
          </w:p>
          <w:p w14:paraId="2A2DF881">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szCs w:val="28"/>
                <w:highlight w:val="none"/>
              </w:rPr>
            </w:pPr>
            <w:r>
              <w:rPr>
                <w:rFonts w:hint="eastAsia" w:ascii="宋体" w:hAnsi="宋体" w:cs="宋体"/>
                <w:bCs/>
                <w:color w:val="auto"/>
                <w:kern w:val="0"/>
                <w:szCs w:val="28"/>
                <w:highlight w:val="none"/>
              </w:rPr>
              <w:t>网络巡检服务</w:t>
            </w:r>
          </w:p>
          <w:p w14:paraId="40A3461B">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在维护服务期间，与主机和存储紧密配合，每个季度一次现场巡检服务。</w:t>
            </w:r>
          </w:p>
          <w:p w14:paraId="52C55119">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网络环境与设备物理状况巡检</w:t>
            </w:r>
          </w:p>
          <w:p w14:paraId="76C51D5F">
            <w:pPr>
              <w:pStyle w:val="129"/>
              <w:numPr>
                <w:ilvl w:val="0"/>
                <w:numId w:val="6"/>
              </w:numPr>
              <w:adjustRightInd w:val="0"/>
              <w:snapToGrid w:val="0"/>
              <w:ind w:firstLine="420" w:firstLineChars="200"/>
              <w:rPr>
                <w:rFonts w:hint="eastAsia"/>
                <w:bCs/>
                <w:color w:val="auto"/>
                <w:szCs w:val="28"/>
                <w:highlight w:val="none"/>
              </w:rPr>
            </w:pPr>
            <w:r>
              <w:rPr>
                <w:rFonts w:hint="eastAsia"/>
                <w:bCs/>
                <w:color w:val="auto"/>
                <w:szCs w:val="28"/>
                <w:highlight w:val="none"/>
              </w:rPr>
              <w:t>环境检查巡检。包括UPS电源、地线、空调、散热、物理安全性。</w:t>
            </w:r>
          </w:p>
          <w:p w14:paraId="0304B7EE">
            <w:pPr>
              <w:pStyle w:val="129"/>
              <w:numPr>
                <w:ilvl w:val="0"/>
                <w:numId w:val="6"/>
              </w:numPr>
              <w:adjustRightInd w:val="0"/>
              <w:snapToGrid w:val="0"/>
              <w:ind w:firstLine="420" w:firstLineChars="200"/>
              <w:rPr>
                <w:rFonts w:hint="eastAsia"/>
                <w:bCs/>
                <w:color w:val="auto"/>
                <w:szCs w:val="28"/>
                <w:highlight w:val="none"/>
              </w:rPr>
            </w:pPr>
            <w:r>
              <w:rPr>
                <w:rFonts w:hint="eastAsia"/>
                <w:bCs/>
                <w:color w:val="auto"/>
                <w:szCs w:val="28"/>
                <w:highlight w:val="none"/>
              </w:rPr>
              <w:t>物理状况巡检。包括设备机体、外观、风扇、风道及过滤器、状态指示灯、电源、VIP模块、广域网端口、局域网端口等。</w:t>
            </w:r>
          </w:p>
          <w:p w14:paraId="6710E705">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硬件部分巡检检查</w:t>
            </w:r>
          </w:p>
          <w:p w14:paraId="0E7BA88D">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设备连接状况检查；</w:t>
            </w:r>
          </w:p>
          <w:p w14:paraId="38FDEBC2">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设备物理安全（电源冗余、机房环境、线缆）；</w:t>
            </w:r>
          </w:p>
          <w:p w14:paraId="004A56B5">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设备本身冗余性检查，包括引擎的冗余、电源的冗余；</w:t>
            </w:r>
          </w:p>
          <w:p w14:paraId="3EED2071">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设备系统及板卡指示灯状态检查分析；</w:t>
            </w:r>
          </w:p>
          <w:p w14:paraId="2A025BDB">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端口描述，端口安全性，不使用的端口建议关闭，端口性能检查；</w:t>
            </w:r>
          </w:p>
          <w:p w14:paraId="378AA964">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电源稳定性和线路检查；</w:t>
            </w:r>
          </w:p>
          <w:p w14:paraId="5D912A15">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设备有关的软件、硬件和BUG信息收集；</w:t>
            </w:r>
          </w:p>
          <w:p w14:paraId="25084FC8">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系统运行状态、性能检查和优化，包括CPU利用率、Mem使用率、Buffer分配、Crash分析；</w:t>
            </w:r>
          </w:p>
          <w:p w14:paraId="4AE97190">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设备扩容服务检查分析与支持；</w:t>
            </w:r>
          </w:p>
          <w:p w14:paraId="78B68D35">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设备物理检查（包括机体、风扇、风道及过滤器等）与清洁；</w:t>
            </w:r>
          </w:p>
          <w:p w14:paraId="0E5419AD">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检查如发现损坏的或有隐患的部件将及时更换；</w:t>
            </w:r>
          </w:p>
          <w:p w14:paraId="4B69B938">
            <w:pPr>
              <w:pStyle w:val="129"/>
              <w:numPr>
                <w:ilvl w:val="0"/>
                <w:numId w:val="7"/>
              </w:numPr>
              <w:adjustRightInd w:val="0"/>
              <w:snapToGrid w:val="0"/>
              <w:ind w:firstLine="420" w:firstLineChars="200"/>
              <w:rPr>
                <w:rFonts w:hint="eastAsia"/>
                <w:bCs/>
                <w:color w:val="auto"/>
                <w:szCs w:val="28"/>
                <w:highlight w:val="none"/>
              </w:rPr>
            </w:pPr>
            <w:r>
              <w:rPr>
                <w:rFonts w:hint="eastAsia"/>
                <w:bCs/>
                <w:color w:val="auto"/>
                <w:szCs w:val="28"/>
                <w:highlight w:val="none"/>
              </w:rPr>
              <w:t>系统硬件运行情况综合分析。</w:t>
            </w:r>
          </w:p>
          <w:p w14:paraId="31F37C1A">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软件部分巡检检查</w:t>
            </w:r>
          </w:p>
          <w:p w14:paraId="64ECB45B">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网络架构标准化、可扩展性、可用性、可靠性、高性能性、安全性及可管理性等检查；</w:t>
            </w:r>
          </w:p>
          <w:p w14:paraId="67CFE8C3">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系统的使用管理支持及相关升级服务；</w:t>
            </w:r>
          </w:p>
          <w:p w14:paraId="2E217BA6">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检查系统日志分析报告（show Log）以及其他记录文件；</w:t>
            </w:r>
          </w:p>
          <w:p w14:paraId="55915DFA">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安全性配置分析；</w:t>
            </w:r>
          </w:p>
          <w:p w14:paraId="44CF3562">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管理性配置分析：设备上SNMP、LOGGING设置，NTP配置；</w:t>
            </w:r>
          </w:p>
          <w:p w14:paraId="5C3FCA37">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网络层：路由分发配置、静态路由配置；</w:t>
            </w:r>
          </w:p>
          <w:p w14:paraId="163D831D">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网络系统通讯状态检查；</w:t>
            </w:r>
          </w:p>
          <w:p w14:paraId="50DBAEEC">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路由协议学习管理、质量服务（QOS）；</w:t>
            </w:r>
          </w:p>
          <w:p w14:paraId="16D28734">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检查网络流量、通讯流量控制、网络访问安全、通讯数据类型的转发、VLAN划分等；</w:t>
            </w:r>
          </w:p>
          <w:p w14:paraId="259985D9">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当前系统配置采集及系统更改信息归档；</w:t>
            </w:r>
          </w:p>
          <w:p w14:paraId="0DB092E7">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将发现有隐患的系统问题及时排除；</w:t>
            </w:r>
          </w:p>
          <w:p w14:paraId="4A005CD1">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重要事件现场支持服务（例如割接、设备搬迁、现网测试、组网方案等）；</w:t>
            </w:r>
          </w:p>
          <w:p w14:paraId="0AF5A0E9">
            <w:pPr>
              <w:pStyle w:val="129"/>
              <w:numPr>
                <w:ilvl w:val="0"/>
                <w:numId w:val="8"/>
              </w:numPr>
              <w:adjustRightInd w:val="0"/>
              <w:snapToGrid w:val="0"/>
              <w:ind w:firstLine="420" w:firstLineChars="200"/>
              <w:rPr>
                <w:rFonts w:hint="eastAsia"/>
                <w:bCs/>
                <w:color w:val="auto"/>
                <w:szCs w:val="28"/>
                <w:highlight w:val="none"/>
              </w:rPr>
            </w:pPr>
            <w:r>
              <w:rPr>
                <w:rFonts w:hint="eastAsia"/>
                <w:bCs/>
                <w:color w:val="auto"/>
                <w:szCs w:val="28"/>
                <w:highlight w:val="none"/>
              </w:rPr>
              <w:t>结合系统软硬件运行状况，进行网络整体拓扑结构化分析。</w:t>
            </w:r>
          </w:p>
          <w:p w14:paraId="0C2ABC1A">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网络设备维护服务</w:t>
            </w:r>
          </w:p>
          <w:p w14:paraId="5E7EE06C">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在系统维护期间，根据中心网络设备的情况与需求，与主机紧密结合，提供7×24小时技术维护服务，服务内容如下：</w:t>
            </w:r>
          </w:p>
          <w:p w14:paraId="44748B2A">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7×24小时远程或现场故障诊断和排除服务；</w:t>
            </w:r>
          </w:p>
          <w:p w14:paraId="460BB4BB">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系统在线连接信息咨询服务；</w:t>
            </w:r>
          </w:p>
          <w:p w14:paraId="4A21480B">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系统微码的使用管理支持服务；</w:t>
            </w:r>
          </w:p>
          <w:p w14:paraId="79D5AD3A">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软件补丁升级服务（操作系统）；</w:t>
            </w:r>
          </w:p>
          <w:p w14:paraId="1563851B">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配置文档备份与恢复服务；</w:t>
            </w:r>
          </w:p>
          <w:p w14:paraId="25F61A2D">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7×24热线服务；</w:t>
            </w:r>
          </w:p>
          <w:p w14:paraId="6D57011E">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重要事件现场支持服务（例如割接、设备搬迁、现网测试、组网方案等）；</w:t>
            </w:r>
          </w:p>
          <w:p w14:paraId="3DD2D4C2">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定期的预防性维护；</w:t>
            </w:r>
          </w:p>
          <w:p w14:paraId="5C38EFDD">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现场备件更换服务；</w:t>
            </w:r>
          </w:p>
          <w:p w14:paraId="0F56E5E0">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技术培训服务；</w:t>
            </w:r>
          </w:p>
          <w:p w14:paraId="13BD8E21">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协助网络结构优化方案设计服务；</w:t>
            </w:r>
          </w:p>
          <w:p w14:paraId="6A0253F7">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协助网络安全设计及优化系统服务；</w:t>
            </w:r>
          </w:p>
          <w:p w14:paraId="765C0B9C">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配合中心网络地址空间规划与优化设计服务；</w:t>
            </w:r>
          </w:p>
          <w:p w14:paraId="44365A8E">
            <w:pPr>
              <w:pStyle w:val="129"/>
              <w:numPr>
                <w:ilvl w:val="0"/>
                <w:numId w:val="9"/>
              </w:numPr>
              <w:adjustRightInd w:val="0"/>
              <w:snapToGrid w:val="0"/>
              <w:ind w:firstLine="420" w:firstLineChars="200"/>
              <w:rPr>
                <w:rFonts w:hint="eastAsia"/>
                <w:bCs/>
                <w:color w:val="auto"/>
                <w:szCs w:val="28"/>
                <w:highlight w:val="none"/>
              </w:rPr>
            </w:pPr>
            <w:r>
              <w:rPr>
                <w:rFonts w:hint="eastAsia"/>
                <w:bCs/>
                <w:color w:val="auto"/>
                <w:szCs w:val="28"/>
                <w:highlight w:val="none"/>
              </w:rPr>
              <w:t>配合网络系统性能优化设计服务。</w:t>
            </w:r>
          </w:p>
          <w:p w14:paraId="743CCF3A">
            <w:pPr>
              <w:pStyle w:val="129"/>
              <w:adjustRightInd w:val="0"/>
              <w:snapToGrid w:val="0"/>
              <w:ind w:firstLine="378" w:firstLineChars="180"/>
              <w:outlineLvl w:val="1"/>
              <w:rPr>
                <w:rFonts w:hint="eastAsia"/>
                <w:bCs/>
                <w:color w:val="auto"/>
                <w:szCs w:val="28"/>
                <w:highlight w:val="none"/>
              </w:rPr>
            </w:pPr>
            <w:r>
              <w:rPr>
                <w:rFonts w:hint="eastAsia"/>
                <w:bCs/>
                <w:color w:val="auto"/>
                <w:szCs w:val="28"/>
                <w:highlight w:val="none"/>
              </w:rPr>
              <w:t>（三）核心业务区云平台软件运维需求</w:t>
            </w:r>
          </w:p>
          <w:p w14:paraId="5BE6D583">
            <w:pPr>
              <w:pStyle w:val="129"/>
              <w:adjustRightInd w:val="0"/>
              <w:snapToGrid w:val="0"/>
              <w:ind w:firstLine="379" w:firstLineChars="180"/>
              <w:rPr>
                <w:rFonts w:hint="eastAsia"/>
                <w:bCs/>
                <w:color w:val="auto"/>
                <w:szCs w:val="28"/>
                <w:highlight w:val="none"/>
              </w:rPr>
            </w:pPr>
            <w:r>
              <w:rPr>
                <w:rFonts w:hint="eastAsia"/>
                <w:b/>
                <w:color w:val="auto"/>
                <w:highlight w:val="none"/>
              </w:rPr>
              <w:t>▲</w:t>
            </w:r>
            <w:r>
              <w:rPr>
                <w:rFonts w:hint="eastAsia"/>
                <w:bCs/>
                <w:color w:val="auto"/>
                <w:szCs w:val="28"/>
                <w:highlight w:val="none"/>
              </w:rPr>
              <w:t>提供核心业务区云平台软件运维服务，运维人员4人。</w:t>
            </w:r>
          </w:p>
          <w:p w14:paraId="4199DCBB">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1.核心业务区云平台运维服务需求</w:t>
            </w:r>
          </w:p>
          <w:p w14:paraId="46B5B91E">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提供云平台基础运维服务，包括资源运营、平台巡检、平台变更、应急响应、风险治理、权限管控、产品监控、缺陷修复、安全护网和等保测评复评等。</w:t>
            </w:r>
          </w:p>
          <w:p w14:paraId="448B7CCE">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资源运营</w:t>
            </w:r>
          </w:p>
          <w:p w14:paraId="363FBA90">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通过现场运维人员和远程技术专家提供云平台资源运营工作，充分利用云计算弹性和自动化技术能力，以资源精细化管理提升云资源利用率，有效支撑业务部署和开展。</w:t>
            </w:r>
          </w:p>
          <w:p w14:paraId="45E4E3FA">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b/>
                <w:color w:val="auto"/>
                <w:szCs w:val="21"/>
                <w:highlight w:val="none"/>
              </w:rPr>
              <w:t>▲</w:t>
            </w:r>
            <w:r>
              <w:rPr>
                <w:rFonts w:hint="eastAsia" w:ascii="宋体" w:hAnsi="宋体" w:cs="宋体"/>
                <w:bCs/>
                <w:color w:val="auto"/>
                <w:kern w:val="0"/>
                <w:szCs w:val="28"/>
                <w:highlight w:val="none"/>
              </w:rPr>
              <w:t>平台巡检</w:t>
            </w:r>
          </w:p>
          <w:p w14:paraId="790ADA77">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通过现场运维人员实施和远程技术专家远程协助进行平台巡检工作，具体包括以下服务内容：基于每日常态化例行化巡检工作，主动发现隐患，预防故障发生，保障平台健康度；保障系统稳定运行、各项服务正常使用，解决系统运行中出现的问题、提供技术支持服务，定期对部署的系统理性巡检，检查日志是否有异常，若出现异常及时处理，检查定时任务是否正常，业务经办是否正常，接口使用是否正常等，确保系统在运行过程中无问题。该项服务工作通过及时识别异常事件，确保云平台产品和业务平稳运行，降低潜在业务风险。</w:t>
            </w:r>
          </w:p>
          <w:p w14:paraId="306BEF9B">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平台变更</w:t>
            </w:r>
          </w:p>
          <w:p w14:paraId="37D3E833">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平台变更服务内容主要包括由现场运维人员编写适配现场环境的变更技术方案，远程技术专家审核变更方案和风险评估，申请采购人授权和提交变更流程。每一个非只读操作都需要通过变更完成，规范变更流程，确保云平台变更安全可控，零重大变更事故。</w:t>
            </w:r>
          </w:p>
          <w:p w14:paraId="577FACAA">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b/>
                <w:color w:val="auto"/>
                <w:szCs w:val="21"/>
                <w:highlight w:val="none"/>
              </w:rPr>
              <w:t>▲</w:t>
            </w:r>
            <w:r>
              <w:rPr>
                <w:rFonts w:hint="eastAsia" w:ascii="宋体" w:hAnsi="宋体" w:cs="宋体"/>
                <w:bCs/>
                <w:color w:val="auto"/>
                <w:kern w:val="0"/>
                <w:szCs w:val="28"/>
                <w:highlight w:val="none"/>
              </w:rPr>
              <w:t>应急响应</w:t>
            </w:r>
          </w:p>
          <w:p w14:paraId="580FE22E">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应急事件发生后，现场运维人员快速响应并组织应急值班长、项目组关键干系人（项目服务经理、远程技术专家等）、后端技术支持和研发团队，依据应急流程启动应急响应，通过快速定位、隔离、事件解决，最小化业务影响。</w:t>
            </w:r>
          </w:p>
          <w:p w14:paraId="7464D22E">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风险治理</w:t>
            </w:r>
          </w:p>
          <w:p w14:paraId="5AE015E3">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现场运维人员通过例行主动风险点治理排查，避免已知风险影响业务，降低业务隐患，提升业务可靠性。经排查后，对属于不涉及风险项进行关闭，如涉及风险项，评估影响并排期组织修复，通过闭环管理已知风险，降低平台脆弱性。</w:t>
            </w:r>
          </w:p>
          <w:p w14:paraId="61B483F3">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权限管控</w:t>
            </w:r>
          </w:p>
          <w:p w14:paraId="6536DCFD">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权限管控操作由现场运维人员完成，针对云平台关键计算资源、数据库资源、存储资源、大数据资源、安全资源等十余款重点产品和运营控制台各类型账户进行权限管控，并经远程技术专家和研发团队确认，通过落实最小权限原则，防止越权操作与数据泄露。</w:t>
            </w:r>
          </w:p>
          <w:p w14:paraId="04C8BC57">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产品监控</w:t>
            </w:r>
          </w:p>
          <w:p w14:paraId="23EE14B2">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对全平台进行从底层云产品组件、各类型云产品实例、到上层应用的监控，并且通过开发部署监控工具有效提升监控准确率和运维效率。该项服务工作实现从基础设施到业务指标的全栈可观测性。</w:t>
            </w:r>
          </w:p>
          <w:p w14:paraId="7F9CC840">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缺陷修复</w:t>
            </w:r>
          </w:p>
          <w:p w14:paraId="3CBB4C6A">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针对云平台产品功能缺陷等内容，及时安排驻场运维跟进修复，提升产品可用性和监控告警准确率，消除已知缺陷引发的业务风险，保障云平台可用性。协助ISV定位各种应用异常或缺陷引发的业务异常，并推动修复，提升业务连续性。该项服务工作对已经上线的系统做好运维支撑服务，对使用过程中出现的缺陷性问题及时修复，确保云平台功能正常运行，确保用户业务能够正常办理。</w:t>
            </w:r>
          </w:p>
          <w:p w14:paraId="786F6070">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b/>
                <w:color w:val="auto"/>
                <w:szCs w:val="21"/>
                <w:highlight w:val="none"/>
              </w:rPr>
              <w:t>▲</w:t>
            </w:r>
            <w:r>
              <w:rPr>
                <w:rFonts w:hint="eastAsia" w:ascii="宋体" w:hAnsi="宋体" w:cs="宋体"/>
                <w:bCs/>
                <w:color w:val="auto"/>
                <w:kern w:val="0"/>
                <w:szCs w:val="28"/>
                <w:highlight w:val="none"/>
              </w:rPr>
              <w:t>安全护网</w:t>
            </w:r>
          </w:p>
          <w:p w14:paraId="63D39209">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针对国家和自治区组织的各类型安全护网，安全护网工作开始前提前制定云平台安全护网整体方案，对云平台产品安全能力进行梳理，对已知安全漏洞逐一安排加固修复，及时更新升级安全产品规则库等配置。同时对云平台租户侧应用进行安全评估，协助ISV进行安全加固工作。安全护网期间组织运维人员进行值班保障，进行云平台安全事件监控分析和应急处置。</w:t>
            </w:r>
          </w:p>
          <w:p w14:paraId="46964C18">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等保测评复核</w:t>
            </w:r>
          </w:p>
          <w:p w14:paraId="0EF212FB">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运维团队协助等保测评方调研云平台，提供答疑和技术支持，配合编写测评报告，提供相关证明材料。针对测评复核结果进行评估，并对异常事项安排修复。该项服务工作确保平台持续满足等保三级要求。每年预计投入4人月工作量。</w:t>
            </w:r>
          </w:p>
          <w:p w14:paraId="77CEEDFD">
            <w:pPr>
              <w:pStyle w:val="129"/>
              <w:adjustRightInd w:val="0"/>
              <w:snapToGrid w:val="0"/>
              <w:ind w:firstLine="378" w:firstLineChars="180"/>
              <w:outlineLvl w:val="2"/>
              <w:rPr>
                <w:rFonts w:hint="eastAsia"/>
                <w:bCs/>
                <w:color w:val="auto"/>
                <w:szCs w:val="28"/>
                <w:highlight w:val="none"/>
              </w:rPr>
            </w:pPr>
            <w:r>
              <w:rPr>
                <w:rFonts w:hint="eastAsia"/>
                <w:bCs/>
                <w:color w:val="auto"/>
                <w:szCs w:val="28"/>
                <w:highlight w:val="none"/>
              </w:rPr>
              <w:t>2.核心业务区云平台业务保障服务需求</w:t>
            </w:r>
          </w:p>
          <w:p w14:paraId="588CF5B3">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云平台业务保障服务是基于云平台，面向医保信息平台核心业务连续性和高可用性需求，提供主动式、专业化保障支撑，包括专项重保、咨询答疑、性能优化、中间件专项支持、数据库专项支持、备份策略制定与恢复演练以及故障演练。通过该服务，有效提升系统稳定性、响应效率与容灾能力，确保医保信息平台在重大活动、高峰访问或突发事件期间持续稳定运行，降低运营风险、保障服务质量，支撑医保业务高效、安全、合规开展。</w:t>
            </w:r>
          </w:p>
          <w:p w14:paraId="32BAB85C">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b/>
                <w:color w:val="auto"/>
                <w:szCs w:val="21"/>
                <w:highlight w:val="none"/>
              </w:rPr>
              <w:t>▲</w:t>
            </w:r>
            <w:r>
              <w:rPr>
                <w:rFonts w:hint="eastAsia" w:ascii="宋体" w:hAnsi="宋体" w:cs="宋体"/>
                <w:bCs/>
                <w:color w:val="auto"/>
                <w:kern w:val="0"/>
                <w:szCs w:val="28"/>
                <w:highlight w:val="none"/>
              </w:rPr>
              <w:t>专项重保</w:t>
            </w:r>
          </w:p>
          <w:p w14:paraId="403F5D37">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现场运维人员联合二线技术专家、后端工单和产品研发团队提供专项保障服务，比如业务系统发版更新上线、重要时间节点（如两会、五一、国庆、年终结算、春节）等制定组织保障阵型、沟通机制、应急措施，并提供值班保障。</w:t>
            </w:r>
          </w:p>
          <w:p w14:paraId="59E7DEDF">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该项服务工作支撑重大政策上线、节假日、年终结算等关键时期稳定运行。在节假日、跨年度、重大活动等时间点对系统的业务规则、重要参数配置以及数据同步的执行情况进行重点检查，确保平台正常运行。</w:t>
            </w:r>
          </w:p>
          <w:p w14:paraId="2F5DED53">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咨询答疑</w:t>
            </w:r>
          </w:p>
          <w:p w14:paraId="41665A9A">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驻场运维团队和二线技术专家针对医保局和ISV在云平台产品功能、架构设计等方面提出的操作方法、疑难问题等日常咨询以及需求进行解答，并提供运维实践和产品使用优化。</w:t>
            </w:r>
          </w:p>
          <w:p w14:paraId="0EAE8A6F">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性能优化</w:t>
            </w:r>
          </w:p>
          <w:p w14:paraId="5901788C">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驻场运维团队针对医保局和ISV在云平台产品选型、资源规格、容量评估、应用高可用架构设计、数据库性能优化等方面展开技术交流和业务验证。对平台及系统使用过程中存在响应时间长的模块，及时分析处理，确保平台使用及业务系统的高效流畅。该项服务工作在于持续提升系统响应速度与资源效率。</w:t>
            </w:r>
          </w:p>
          <w:p w14:paraId="287A83DA">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中间件专项支持</w:t>
            </w:r>
          </w:p>
          <w:p w14:paraId="7F2118BC">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驻场运维团队针对医保局和ISV在医保HSAF设计场景下的云平台中间件产品使用、EDAS微服务改造实践、灰度发布、应用限流降级、ARMS全链路监控、MQ消费异常、CSB性能提升等十多个场景里提供专家技术服务，配合业务测试验证等工作。及时排查由于系统环境（虚拟机、中间件）出现的问题，快速定位问题并协助对应的厂商解决问题。该项服务工作用于保障消息队列、edas、API网关等中间件的稳定运行。</w:t>
            </w:r>
          </w:p>
          <w:p w14:paraId="33BEDCA2">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数据库专项支持</w:t>
            </w:r>
          </w:p>
          <w:p w14:paraId="3C2301E7">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在医保系统中，数据库是基金安全的“账本”，更是千万群众的“生命线”。我们以“零丢失、零中断、零泄露”为准则，构建覆盖“高可用–备份–性能–安全–合规”全维度的数据库治理体系，保医保核心数据库的高可用、高性能、高安全。</w:t>
            </w:r>
          </w:p>
          <w:p w14:paraId="260CC699">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驻场运维团队针对医保业务重度使用数据库技术场景特点，提供分布式数据库架构设计，产品使用，分库分表、索引优化等方面提供支持。联合ISV共同提升数据库使用和治理能力。确保核心数据库的高可用、高性能、高安全。</w:t>
            </w:r>
          </w:p>
          <w:p w14:paraId="532BA097">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备份策略制定与恢复</w:t>
            </w:r>
          </w:p>
          <w:p w14:paraId="4BBCA5DC">
            <w:pPr>
              <w:pStyle w:val="129"/>
              <w:adjustRightInd w:val="0"/>
              <w:snapToGrid w:val="0"/>
              <w:ind w:firstLine="378" w:firstLineChars="180"/>
              <w:rPr>
                <w:rFonts w:hint="eastAsia"/>
                <w:bCs/>
                <w:color w:val="auto"/>
                <w:szCs w:val="28"/>
                <w:highlight w:val="none"/>
              </w:rPr>
            </w:pPr>
            <w:r>
              <w:rPr>
                <w:rFonts w:hint="eastAsia"/>
                <w:bCs/>
                <w:color w:val="auto"/>
                <w:szCs w:val="28"/>
                <w:highlight w:val="none"/>
              </w:rPr>
              <w:t>根据云平台资源和业务使用情况，针对例如ecs快照、rds备份、oss备份策略、元数据库备份、云盾审计日志等内容定制合理的备份策略和备份任务优化，并定期进行备份恢复演练，确保数据安全，定期对备份系统和数据进行服务测试，确保主系统出现问题时，备份系统能够及时切换使用。该项服务工作确保数据可安全备份、可安全恢复，满足PRO/RTO要求。</w:t>
            </w:r>
          </w:p>
          <w:p w14:paraId="1F33BD12">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highlight w:val="none"/>
              </w:rPr>
            </w:pPr>
            <w:r>
              <w:rPr>
                <w:rFonts w:hint="eastAsia" w:ascii="宋体" w:hAnsi="宋体" w:cs="宋体"/>
                <w:bCs/>
                <w:color w:val="auto"/>
                <w:kern w:val="0"/>
                <w:szCs w:val="28"/>
                <w:highlight w:val="none"/>
              </w:rPr>
              <w:t>故障演练</w:t>
            </w:r>
          </w:p>
          <w:p w14:paraId="1EE90E58">
            <w:pPr>
              <w:ind w:firstLine="420" w:firstLineChars="200"/>
              <w:rPr>
                <w:rFonts w:hint="eastAsia" w:ascii="宋体" w:hAnsi="宋体" w:cs="宋体"/>
                <w:bCs/>
                <w:color w:val="auto"/>
                <w:szCs w:val="28"/>
                <w:highlight w:val="none"/>
              </w:rPr>
            </w:pPr>
            <w:r>
              <w:rPr>
                <w:rFonts w:hint="eastAsia" w:ascii="宋体" w:hAnsi="宋体" w:cs="宋体"/>
                <w:bCs/>
                <w:color w:val="auto"/>
                <w:szCs w:val="28"/>
                <w:highlight w:val="none"/>
              </w:rPr>
              <w:t>故障演练服务由驻场运维团队基于全国医保云产品运维最佳实践，贴合医保业务实际场景，针对重点使用产品（例如数据库、中间件、大数据等）、重点业务系统开展常态化定期故障演练。包括产品和场景选择，方案制定、风险评估、演练实施等，并对演练结果进行总结分析，优化故障应急流程。该项服务工作实现提升运维服务能力和业务保障水平的目标，确保云平台功能的可用性，验证高可用与灾备能力，提升应急响应实战水平。</w:t>
            </w:r>
          </w:p>
          <w:p w14:paraId="6DD7FF49">
            <w:pPr>
              <w:pStyle w:val="129"/>
              <w:adjustRightInd w:val="0"/>
              <w:snapToGrid w:val="0"/>
              <w:ind w:firstLine="378" w:firstLineChars="180"/>
              <w:rPr>
                <w:rFonts w:hint="eastAsia"/>
                <w:bCs/>
                <w:color w:val="auto"/>
                <w:highlight w:val="none"/>
              </w:rPr>
            </w:pPr>
            <w:r>
              <w:rPr>
                <w:rFonts w:hint="eastAsia"/>
                <w:bCs/>
                <w:color w:val="auto"/>
                <w:highlight w:val="none"/>
              </w:rPr>
              <w:t>（三）成果要求</w:t>
            </w:r>
          </w:p>
          <w:p w14:paraId="12699200">
            <w:pPr>
              <w:pStyle w:val="129"/>
              <w:adjustRightInd w:val="0"/>
              <w:ind w:firstLine="378" w:firstLineChars="180"/>
              <w:rPr>
                <w:rFonts w:hint="eastAsia"/>
                <w:bCs/>
                <w:color w:val="auto"/>
                <w:highlight w:val="none"/>
              </w:rPr>
            </w:pPr>
            <w:r>
              <w:rPr>
                <w:rFonts w:hint="eastAsia"/>
                <w:bCs/>
                <w:color w:val="auto"/>
                <w:highlight w:val="none"/>
              </w:rPr>
              <w:t>严格执行国家医保局和广西壮族自治区医保局印发的关于医保信息平台运维相关规范和指导文件，在不同时间周期（每月、每季度、每半年、每年）出具交付成果，制定成果文件质量保障措施，确保交付物符合实际需要，文字严谨，数据真实可靠，内容详实，工作成果物包含但不限于以下文件：</w:t>
            </w:r>
          </w:p>
          <w:tbl>
            <w:tblPr>
              <w:tblStyle w:val="36"/>
              <w:tblW w:w="6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580"/>
              <w:gridCol w:w="999"/>
              <w:gridCol w:w="1237"/>
              <w:gridCol w:w="744"/>
              <w:gridCol w:w="2032"/>
            </w:tblGrid>
            <w:tr w14:paraId="3D88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blHeader/>
              </w:trPr>
              <w:tc>
                <w:tcPr>
                  <w:tcW w:w="383" w:type="pct"/>
                  <w:noWrap/>
                  <w:vAlign w:val="center"/>
                </w:tcPr>
                <w:p w14:paraId="7712D4DA">
                  <w:pPr>
                    <w:pStyle w:val="129"/>
                    <w:adjustRightInd w:val="0"/>
                    <w:snapToGrid w:val="0"/>
                    <w:jc w:val="center"/>
                    <w:rPr>
                      <w:rFonts w:hint="eastAsia"/>
                      <w:bCs/>
                      <w:color w:val="auto"/>
                      <w:highlight w:val="none"/>
                    </w:rPr>
                  </w:pPr>
                  <w:r>
                    <w:rPr>
                      <w:rFonts w:hint="eastAsia"/>
                      <w:bCs/>
                      <w:color w:val="auto"/>
                      <w:highlight w:val="none"/>
                      <w:lang w:bidi="ar"/>
                    </w:rPr>
                    <w:t>序号</w:t>
                  </w:r>
                </w:p>
              </w:tc>
              <w:tc>
                <w:tcPr>
                  <w:tcW w:w="479" w:type="pct"/>
                  <w:noWrap/>
                  <w:vAlign w:val="center"/>
                </w:tcPr>
                <w:p w14:paraId="287C9AA5">
                  <w:pPr>
                    <w:pStyle w:val="129"/>
                    <w:adjustRightInd w:val="0"/>
                    <w:snapToGrid w:val="0"/>
                    <w:jc w:val="center"/>
                    <w:rPr>
                      <w:rFonts w:hint="eastAsia"/>
                      <w:bCs/>
                      <w:color w:val="auto"/>
                      <w:highlight w:val="none"/>
                    </w:rPr>
                  </w:pPr>
                  <w:r>
                    <w:rPr>
                      <w:rFonts w:hint="eastAsia"/>
                      <w:bCs/>
                      <w:color w:val="auto"/>
                      <w:highlight w:val="none"/>
                      <w:lang w:bidi="ar"/>
                    </w:rPr>
                    <w:t>类别</w:t>
                  </w:r>
                </w:p>
              </w:tc>
              <w:tc>
                <w:tcPr>
                  <w:tcW w:w="825" w:type="pct"/>
                  <w:noWrap/>
                  <w:vAlign w:val="center"/>
                </w:tcPr>
                <w:p w14:paraId="4F4571B3">
                  <w:pPr>
                    <w:pStyle w:val="129"/>
                    <w:adjustRightInd w:val="0"/>
                    <w:snapToGrid w:val="0"/>
                    <w:jc w:val="center"/>
                    <w:rPr>
                      <w:rFonts w:hint="eastAsia"/>
                      <w:bCs/>
                      <w:color w:val="auto"/>
                      <w:highlight w:val="none"/>
                    </w:rPr>
                  </w:pPr>
                  <w:r>
                    <w:rPr>
                      <w:rFonts w:hint="eastAsia"/>
                      <w:bCs/>
                      <w:color w:val="auto"/>
                      <w:highlight w:val="none"/>
                      <w:lang w:bidi="ar"/>
                    </w:rPr>
                    <w:t>服务分类</w:t>
                  </w:r>
                </w:p>
              </w:tc>
              <w:tc>
                <w:tcPr>
                  <w:tcW w:w="1020" w:type="pct"/>
                  <w:noWrap/>
                  <w:vAlign w:val="center"/>
                </w:tcPr>
                <w:p w14:paraId="3627BDFD">
                  <w:pPr>
                    <w:pStyle w:val="129"/>
                    <w:adjustRightInd w:val="0"/>
                    <w:snapToGrid w:val="0"/>
                    <w:ind w:firstLine="378" w:firstLineChars="180"/>
                    <w:rPr>
                      <w:rFonts w:hint="eastAsia"/>
                      <w:bCs/>
                      <w:color w:val="auto"/>
                      <w:highlight w:val="none"/>
                    </w:rPr>
                  </w:pPr>
                  <w:r>
                    <w:rPr>
                      <w:rFonts w:hint="eastAsia"/>
                      <w:bCs/>
                      <w:color w:val="auto"/>
                      <w:highlight w:val="none"/>
                      <w:lang w:bidi="ar"/>
                    </w:rPr>
                    <w:t>服务内容</w:t>
                  </w:r>
                </w:p>
              </w:tc>
              <w:tc>
                <w:tcPr>
                  <w:tcW w:w="614" w:type="pct"/>
                  <w:noWrap/>
                  <w:vAlign w:val="center"/>
                </w:tcPr>
                <w:p w14:paraId="2DB06435">
                  <w:pPr>
                    <w:pStyle w:val="129"/>
                    <w:adjustRightInd w:val="0"/>
                    <w:snapToGrid w:val="0"/>
                    <w:rPr>
                      <w:rFonts w:hint="eastAsia"/>
                      <w:bCs/>
                      <w:color w:val="auto"/>
                      <w:highlight w:val="none"/>
                    </w:rPr>
                  </w:pPr>
                  <w:r>
                    <w:rPr>
                      <w:rFonts w:hint="eastAsia"/>
                      <w:bCs/>
                      <w:color w:val="auto"/>
                      <w:highlight w:val="none"/>
                      <w:lang w:bidi="ar"/>
                    </w:rPr>
                    <w:t>频次</w:t>
                  </w:r>
                </w:p>
              </w:tc>
              <w:tc>
                <w:tcPr>
                  <w:tcW w:w="1676" w:type="pct"/>
                  <w:noWrap/>
                  <w:vAlign w:val="center"/>
                </w:tcPr>
                <w:p w14:paraId="6301222A">
                  <w:pPr>
                    <w:pStyle w:val="129"/>
                    <w:adjustRightInd w:val="0"/>
                    <w:snapToGrid w:val="0"/>
                    <w:ind w:firstLine="378" w:firstLineChars="180"/>
                    <w:rPr>
                      <w:rFonts w:hint="eastAsia"/>
                      <w:bCs/>
                      <w:color w:val="auto"/>
                      <w:highlight w:val="none"/>
                    </w:rPr>
                  </w:pPr>
                  <w:r>
                    <w:rPr>
                      <w:rFonts w:hint="eastAsia"/>
                      <w:bCs/>
                      <w:color w:val="auto"/>
                      <w:highlight w:val="none"/>
                      <w:lang w:bidi="ar"/>
                    </w:rPr>
                    <w:t>工作交付物</w:t>
                  </w:r>
                </w:p>
              </w:tc>
            </w:tr>
            <w:tr w14:paraId="4234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39D9A43C">
                  <w:pPr>
                    <w:pStyle w:val="129"/>
                    <w:adjustRightInd w:val="0"/>
                    <w:snapToGrid w:val="0"/>
                    <w:jc w:val="center"/>
                    <w:rPr>
                      <w:rFonts w:hint="eastAsia"/>
                      <w:bCs/>
                      <w:color w:val="auto"/>
                      <w:highlight w:val="none"/>
                    </w:rPr>
                  </w:pPr>
                  <w:r>
                    <w:rPr>
                      <w:rFonts w:hint="eastAsia"/>
                      <w:bCs/>
                      <w:color w:val="auto"/>
                      <w:highlight w:val="none"/>
                      <w:lang w:bidi="ar"/>
                    </w:rPr>
                    <w:t>1</w:t>
                  </w:r>
                </w:p>
              </w:tc>
              <w:tc>
                <w:tcPr>
                  <w:tcW w:w="479" w:type="pct"/>
                  <w:vMerge w:val="restart"/>
                  <w:vAlign w:val="center"/>
                </w:tcPr>
                <w:p w14:paraId="6D7E6F61">
                  <w:pPr>
                    <w:pStyle w:val="129"/>
                    <w:adjustRightInd w:val="0"/>
                    <w:snapToGrid w:val="0"/>
                    <w:jc w:val="center"/>
                    <w:rPr>
                      <w:rFonts w:hint="eastAsia"/>
                      <w:bCs/>
                      <w:color w:val="auto"/>
                      <w:highlight w:val="none"/>
                    </w:rPr>
                  </w:pPr>
                  <w:r>
                    <w:rPr>
                      <w:rFonts w:hint="eastAsia"/>
                      <w:bCs/>
                      <w:color w:val="auto"/>
                      <w:highlight w:val="none"/>
                      <w:lang w:bidi="ar"/>
                    </w:rPr>
                    <w:t>服务成果</w:t>
                  </w:r>
                </w:p>
              </w:tc>
              <w:tc>
                <w:tcPr>
                  <w:tcW w:w="825" w:type="pct"/>
                  <w:vAlign w:val="center"/>
                </w:tcPr>
                <w:p w14:paraId="2683D76C">
                  <w:pPr>
                    <w:pStyle w:val="129"/>
                    <w:adjustRightInd w:val="0"/>
                    <w:snapToGrid w:val="0"/>
                    <w:jc w:val="center"/>
                    <w:rPr>
                      <w:rFonts w:hint="eastAsia"/>
                      <w:bCs/>
                      <w:color w:val="auto"/>
                      <w:highlight w:val="none"/>
                      <w:lang w:bidi="ar"/>
                    </w:rPr>
                  </w:pPr>
                  <w:r>
                    <w:rPr>
                      <w:rFonts w:hint="eastAsia"/>
                      <w:bCs/>
                      <w:color w:val="auto"/>
                      <w:highlight w:val="none"/>
                      <w:lang w:bidi="ar"/>
                    </w:rPr>
                    <w:t>组织管理</w:t>
                  </w:r>
                </w:p>
              </w:tc>
              <w:tc>
                <w:tcPr>
                  <w:tcW w:w="1020" w:type="pct"/>
                  <w:vAlign w:val="center"/>
                </w:tcPr>
                <w:p w14:paraId="2AEC1564">
                  <w:pPr>
                    <w:pStyle w:val="129"/>
                    <w:adjustRightInd w:val="0"/>
                    <w:snapToGrid w:val="0"/>
                    <w:rPr>
                      <w:rFonts w:hint="eastAsia"/>
                      <w:bCs/>
                      <w:color w:val="auto"/>
                      <w:highlight w:val="none"/>
                      <w:lang w:bidi="ar"/>
                    </w:rPr>
                  </w:pPr>
                  <w:r>
                    <w:rPr>
                      <w:rFonts w:hint="eastAsia"/>
                      <w:bCs/>
                      <w:color w:val="auto"/>
                      <w:highlight w:val="none"/>
                      <w:lang w:bidi="ar"/>
                    </w:rPr>
                    <w:t>运维实施方案</w:t>
                  </w:r>
                </w:p>
              </w:tc>
              <w:tc>
                <w:tcPr>
                  <w:tcW w:w="614" w:type="pct"/>
                  <w:vAlign w:val="center"/>
                </w:tcPr>
                <w:p w14:paraId="3DFD57EC">
                  <w:pPr>
                    <w:pStyle w:val="129"/>
                    <w:adjustRightInd w:val="0"/>
                    <w:snapToGrid w:val="0"/>
                    <w:rPr>
                      <w:rFonts w:hint="eastAsia"/>
                      <w:bCs/>
                      <w:color w:val="auto"/>
                      <w:highlight w:val="none"/>
                      <w:lang w:bidi="ar"/>
                    </w:rPr>
                  </w:pPr>
                  <w:r>
                    <w:rPr>
                      <w:rFonts w:hint="eastAsia"/>
                      <w:bCs/>
                      <w:color w:val="auto"/>
                      <w:highlight w:val="none"/>
                      <w:lang w:bidi="ar"/>
                    </w:rPr>
                    <w:t>一次性</w:t>
                  </w:r>
                </w:p>
              </w:tc>
              <w:tc>
                <w:tcPr>
                  <w:tcW w:w="1676" w:type="pct"/>
                  <w:vAlign w:val="center"/>
                </w:tcPr>
                <w:p w14:paraId="3B22D439">
                  <w:pPr>
                    <w:pStyle w:val="129"/>
                    <w:adjustRightInd w:val="0"/>
                    <w:snapToGrid w:val="0"/>
                    <w:rPr>
                      <w:rFonts w:hint="eastAsia"/>
                      <w:bCs/>
                      <w:color w:val="auto"/>
                      <w:highlight w:val="none"/>
                      <w:lang w:bidi="ar"/>
                    </w:rPr>
                  </w:pPr>
                  <w:r>
                    <w:rPr>
                      <w:rFonts w:hint="eastAsia"/>
                      <w:bCs/>
                      <w:color w:val="auto"/>
                      <w:highlight w:val="none"/>
                      <w:lang w:bidi="ar"/>
                    </w:rPr>
                    <w:t>《系统运维实施方案》</w:t>
                  </w:r>
                </w:p>
              </w:tc>
            </w:tr>
            <w:tr w14:paraId="2B41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3" w:type="pct"/>
                  <w:vAlign w:val="center"/>
                </w:tcPr>
                <w:p w14:paraId="6E5C82E2">
                  <w:pPr>
                    <w:pStyle w:val="129"/>
                    <w:adjustRightInd w:val="0"/>
                    <w:snapToGrid w:val="0"/>
                    <w:jc w:val="center"/>
                    <w:rPr>
                      <w:rFonts w:hint="eastAsia"/>
                      <w:bCs/>
                      <w:color w:val="auto"/>
                      <w:highlight w:val="none"/>
                      <w:lang w:bidi="ar"/>
                    </w:rPr>
                  </w:pPr>
                  <w:r>
                    <w:rPr>
                      <w:rFonts w:hint="eastAsia"/>
                      <w:bCs/>
                      <w:color w:val="auto"/>
                      <w:highlight w:val="none"/>
                      <w:lang w:bidi="ar"/>
                    </w:rPr>
                    <w:t>2</w:t>
                  </w:r>
                </w:p>
              </w:tc>
              <w:tc>
                <w:tcPr>
                  <w:tcW w:w="479" w:type="pct"/>
                  <w:vMerge w:val="continue"/>
                  <w:vAlign w:val="center"/>
                </w:tcPr>
                <w:p w14:paraId="6E1614EE">
                  <w:pPr>
                    <w:pStyle w:val="129"/>
                    <w:adjustRightInd w:val="0"/>
                    <w:snapToGrid w:val="0"/>
                    <w:ind w:firstLine="378" w:firstLineChars="180"/>
                    <w:rPr>
                      <w:rFonts w:hint="eastAsia"/>
                      <w:bCs/>
                      <w:color w:val="auto"/>
                      <w:highlight w:val="none"/>
                      <w:lang w:bidi="ar"/>
                    </w:rPr>
                  </w:pPr>
                </w:p>
              </w:tc>
              <w:tc>
                <w:tcPr>
                  <w:tcW w:w="825" w:type="pct"/>
                  <w:vAlign w:val="center"/>
                </w:tcPr>
                <w:p w14:paraId="602DDFFA">
                  <w:pPr>
                    <w:pStyle w:val="129"/>
                    <w:adjustRightInd w:val="0"/>
                    <w:snapToGrid w:val="0"/>
                    <w:jc w:val="center"/>
                    <w:rPr>
                      <w:rFonts w:hint="eastAsia"/>
                      <w:bCs/>
                      <w:color w:val="auto"/>
                      <w:highlight w:val="none"/>
                      <w:lang w:bidi="ar"/>
                    </w:rPr>
                  </w:pPr>
                  <w:r>
                    <w:rPr>
                      <w:rFonts w:hint="eastAsia"/>
                      <w:bCs/>
                      <w:color w:val="auto"/>
                      <w:highlight w:val="none"/>
                      <w:lang w:bidi="ar"/>
                    </w:rPr>
                    <w:t>组织管理</w:t>
                  </w:r>
                </w:p>
              </w:tc>
              <w:tc>
                <w:tcPr>
                  <w:tcW w:w="1020" w:type="pct"/>
                  <w:vAlign w:val="center"/>
                </w:tcPr>
                <w:p w14:paraId="5AF65ADA">
                  <w:pPr>
                    <w:pStyle w:val="129"/>
                    <w:adjustRightInd w:val="0"/>
                    <w:snapToGrid w:val="0"/>
                    <w:rPr>
                      <w:rFonts w:hint="eastAsia"/>
                      <w:bCs/>
                      <w:color w:val="auto"/>
                      <w:highlight w:val="none"/>
                      <w:lang w:bidi="ar"/>
                    </w:rPr>
                  </w:pPr>
                  <w:r>
                    <w:rPr>
                      <w:rFonts w:hint="eastAsia"/>
                      <w:bCs/>
                      <w:color w:val="auto"/>
                      <w:highlight w:val="none"/>
                      <w:lang w:bidi="ar"/>
                    </w:rPr>
                    <w:t>运维人员分工</w:t>
                  </w:r>
                </w:p>
              </w:tc>
              <w:tc>
                <w:tcPr>
                  <w:tcW w:w="614" w:type="pct"/>
                  <w:vAlign w:val="center"/>
                </w:tcPr>
                <w:p w14:paraId="38083FA7">
                  <w:pPr>
                    <w:pStyle w:val="129"/>
                    <w:adjustRightInd w:val="0"/>
                    <w:snapToGrid w:val="0"/>
                    <w:rPr>
                      <w:rFonts w:hint="eastAsia"/>
                      <w:bCs/>
                      <w:color w:val="auto"/>
                      <w:highlight w:val="none"/>
                      <w:lang w:bidi="ar"/>
                    </w:rPr>
                  </w:pPr>
                  <w:r>
                    <w:rPr>
                      <w:rFonts w:hint="eastAsia"/>
                      <w:bCs/>
                      <w:color w:val="auto"/>
                      <w:highlight w:val="none"/>
                      <w:lang w:bidi="ar"/>
                    </w:rPr>
                    <w:t>一次性</w:t>
                  </w:r>
                </w:p>
              </w:tc>
              <w:tc>
                <w:tcPr>
                  <w:tcW w:w="1676" w:type="pct"/>
                  <w:vAlign w:val="center"/>
                </w:tcPr>
                <w:p w14:paraId="2F7EB712">
                  <w:pPr>
                    <w:pStyle w:val="129"/>
                    <w:adjustRightInd w:val="0"/>
                    <w:snapToGrid w:val="0"/>
                    <w:rPr>
                      <w:rFonts w:hint="eastAsia"/>
                      <w:bCs/>
                      <w:color w:val="auto"/>
                      <w:highlight w:val="none"/>
                      <w:lang w:bidi="ar"/>
                    </w:rPr>
                  </w:pPr>
                  <w:r>
                    <w:rPr>
                      <w:rFonts w:hint="eastAsia"/>
                      <w:bCs/>
                      <w:color w:val="auto"/>
                      <w:highlight w:val="none"/>
                      <w:lang w:bidi="ar"/>
                    </w:rPr>
                    <w:t>《运维团队职责分工表》</w:t>
                  </w:r>
                </w:p>
              </w:tc>
            </w:tr>
            <w:tr w14:paraId="2BAE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1D085E19">
                  <w:pPr>
                    <w:pStyle w:val="129"/>
                    <w:adjustRightInd w:val="0"/>
                    <w:snapToGrid w:val="0"/>
                    <w:jc w:val="center"/>
                    <w:rPr>
                      <w:rFonts w:hint="eastAsia"/>
                      <w:bCs/>
                      <w:color w:val="auto"/>
                      <w:highlight w:val="none"/>
                    </w:rPr>
                  </w:pPr>
                  <w:r>
                    <w:rPr>
                      <w:rFonts w:hint="eastAsia"/>
                      <w:bCs/>
                      <w:color w:val="auto"/>
                      <w:highlight w:val="none"/>
                    </w:rPr>
                    <w:t>3</w:t>
                  </w:r>
                </w:p>
              </w:tc>
              <w:tc>
                <w:tcPr>
                  <w:tcW w:w="479" w:type="pct"/>
                  <w:vMerge w:val="continue"/>
                  <w:vAlign w:val="center"/>
                </w:tcPr>
                <w:p w14:paraId="650E9B7A">
                  <w:pPr>
                    <w:pStyle w:val="129"/>
                    <w:adjustRightInd w:val="0"/>
                    <w:snapToGrid w:val="0"/>
                    <w:ind w:firstLine="378" w:firstLineChars="180"/>
                    <w:rPr>
                      <w:rFonts w:hint="eastAsia"/>
                      <w:bCs/>
                      <w:color w:val="auto"/>
                      <w:highlight w:val="none"/>
                    </w:rPr>
                  </w:pPr>
                </w:p>
              </w:tc>
              <w:tc>
                <w:tcPr>
                  <w:tcW w:w="825" w:type="pct"/>
                  <w:vAlign w:val="center"/>
                </w:tcPr>
                <w:p w14:paraId="7C6F9293">
                  <w:pPr>
                    <w:pStyle w:val="129"/>
                    <w:adjustRightInd w:val="0"/>
                    <w:snapToGrid w:val="0"/>
                    <w:jc w:val="center"/>
                    <w:rPr>
                      <w:rFonts w:hint="eastAsia"/>
                      <w:bCs/>
                      <w:color w:val="auto"/>
                      <w:highlight w:val="none"/>
                    </w:rPr>
                  </w:pPr>
                  <w:r>
                    <w:rPr>
                      <w:rFonts w:hint="eastAsia"/>
                      <w:bCs/>
                      <w:color w:val="auto"/>
                      <w:highlight w:val="none"/>
                    </w:rPr>
                    <w:t>运行测试</w:t>
                  </w:r>
                </w:p>
              </w:tc>
              <w:tc>
                <w:tcPr>
                  <w:tcW w:w="1020" w:type="pct"/>
                  <w:vAlign w:val="center"/>
                </w:tcPr>
                <w:p w14:paraId="5F5709E3">
                  <w:pPr>
                    <w:pStyle w:val="129"/>
                    <w:adjustRightInd w:val="0"/>
                    <w:snapToGrid w:val="0"/>
                    <w:rPr>
                      <w:rFonts w:hint="eastAsia"/>
                      <w:bCs/>
                      <w:color w:val="auto"/>
                      <w:highlight w:val="none"/>
                    </w:rPr>
                  </w:pPr>
                  <w:r>
                    <w:rPr>
                      <w:rFonts w:hint="eastAsia"/>
                      <w:bCs/>
                      <w:color w:val="auto"/>
                      <w:highlight w:val="none"/>
                    </w:rPr>
                    <w:t>系统运行分析</w:t>
                  </w:r>
                </w:p>
              </w:tc>
              <w:tc>
                <w:tcPr>
                  <w:tcW w:w="614" w:type="pct"/>
                  <w:vAlign w:val="center"/>
                </w:tcPr>
                <w:p w14:paraId="2923264D">
                  <w:pPr>
                    <w:pStyle w:val="129"/>
                    <w:adjustRightInd w:val="0"/>
                    <w:snapToGrid w:val="0"/>
                    <w:rPr>
                      <w:rFonts w:hint="eastAsia"/>
                      <w:bCs/>
                      <w:color w:val="auto"/>
                      <w:highlight w:val="none"/>
                    </w:rPr>
                  </w:pPr>
                  <w:r>
                    <w:rPr>
                      <w:rFonts w:hint="eastAsia"/>
                      <w:bCs/>
                      <w:color w:val="auto"/>
                      <w:highlight w:val="none"/>
                    </w:rPr>
                    <w:t>每季度</w:t>
                  </w:r>
                </w:p>
              </w:tc>
              <w:tc>
                <w:tcPr>
                  <w:tcW w:w="1676" w:type="pct"/>
                  <w:vAlign w:val="center"/>
                </w:tcPr>
                <w:p w14:paraId="448133D6">
                  <w:pPr>
                    <w:pStyle w:val="129"/>
                    <w:adjustRightInd w:val="0"/>
                    <w:snapToGrid w:val="0"/>
                    <w:rPr>
                      <w:rFonts w:hint="eastAsia"/>
                      <w:bCs/>
                      <w:color w:val="auto"/>
                      <w:highlight w:val="none"/>
                      <w:lang w:bidi="ar"/>
                    </w:rPr>
                  </w:pPr>
                  <w:r>
                    <w:rPr>
                      <w:rFonts w:hint="eastAsia"/>
                      <w:bCs/>
                      <w:color w:val="auto"/>
                      <w:highlight w:val="none"/>
                      <w:lang w:bidi="ar"/>
                    </w:rPr>
                    <w:t>《系统运行分析报告》</w:t>
                  </w:r>
                </w:p>
              </w:tc>
            </w:tr>
            <w:tr w14:paraId="186E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5CA8643C">
                  <w:pPr>
                    <w:pStyle w:val="129"/>
                    <w:adjustRightInd w:val="0"/>
                    <w:snapToGrid w:val="0"/>
                    <w:jc w:val="center"/>
                    <w:rPr>
                      <w:rFonts w:hint="eastAsia"/>
                      <w:bCs/>
                      <w:color w:val="auto"/>
                      <w:highlight w:val="none"/>
                    </w:rPr>
                  </w:pPr>
                  <w:r>
                    <w:rPr>
                      <w:rFonts w:hint="eastAsia"/>
                      <w:bCs/>
                      <w:color w:val="auto"/>
                      <w:highlight w:val="none"/>
                    </w:rPr>
                    <w:t>4</w:t>
                  </w:r>
                </w:p>
              </w:tc>
              <w:tc>
                <w:tcPr>
                  <w:tcW w:w="479" w:type="pct"/>
                  <w:vMerge w:val="continue"/>
                  <w:vAlign w:val="center"/>
                </w:tcPr>
                <w:p w14:paraId="431A2A23">
                  <w:pPr>
                    <w:pStyle w:val="129"/>
                    <w:adjustRightInd w:val="0"/>
                    <w:snapToGrid w:val="0"/>
                    <w:ind w:firstLine="378" w:firstLineChars="180"/>
                    <w:rPr>
                      <w:rFonts w:hint="eastAsia"/>
                      <w:bCs/>
                      <w:color w:val="auto"/>
                      <w:highlight w:val="none"/>
                    </w:rPr>
                  </w:pPr>
                </w:p>
              </w:tc>
              <w:tc>
                <w:tcPr>
                  <w:tcW w:w="825" w:type="pct"/>
                  <w:vAlign w:val="center"/>
                </w:tcPr>
                <w:p w14:paraId="5DCF6079">
                  <w:pPr>
                    <w:pStyle w:val="129"/>
                    <w:adjustRightInd w:val="0"/>
                    <w:snapToGrid w:val="0"/>
                    <w:jc w:val="center"/>
                    <w:rPr>
                      <w:rFonts w:hint="eastAsia"/>
                      <w:bCs/>
                      <w:color w:val="auto"/>
                      <w:highlight w:val="none"/>
                    </w:rPr>
                  </w:pPr>
                  <w:r>
                    <w:rPr>
                      <w:rFonts w:hint="eastAsia"/>
                      <w:bCs/>
                      <w:color w:val="auto"/>
                      <w:highlight w:val="none"/>
                      <w:lang w:bidi="ar"/>
                    </w:rPr>
                    <w:t>系统运维</w:t>
                  </w:r>
                </w:p>
              </w:tc>
              <w:tc>
                <w:tcPr>
                  <w:tcW w:w="1020" w:type="pct"/>
                  <w:vAlign w:val="center"/>
                </w:tcPr>
                <w:p w14:paraId="77B4E10A">
                  <w:pPr>
                    <w:pStyle w:val="129"/>
                    <w:adjustRightInd w:val="0"/>
                    <w:snapToGrid w:val="0"/>
                    <w:rPr>
                      <w:rFonts w:hint="eastAsia"/>
                      <w:bCs/>
                      <w:color w:val="auto"/>
                      <w:highlight w:val="none"/>
                    </w:rPr>
                  </w:pPr>
                  <w:r>
                    <w:rPr>
                      <w:rFonts w:hint="eastAsia"/>
                      <w:bCs/>
                      <w:color w:val="auto"/>
                      <w:highlight w:val="none"/>
                      <w:lang w:bidi="ar"/>
                    </w:rPr>
                    <w:t>日常巡检与监控</w:t>
                  </w:r>
                </w:p>
              </w:tc>
              <w:tc>
                <w:tcPr>
                  <w:tcW w:w="614" w:type="pct"/>
                  <w:vAlign w:val="center"/>
                </w:tcPr>
                <w:p w14:paraId="712A29BA">
                  <w:pPr>
                    <w:pStyle w:val="129"/>
                    <w:adjustRightInd w:val="0"/>
                    <w:snapToGrid w:val="0"/>
                    <w:rPr>
                      <w:rFonts w:hint="eastAsia"/>
                      <w:bCs/>
                      <w:color w:val="auto"/>
                      <w:highlight w:val="none"/>
                    </w:rPr>
                  </w:pPr>
                  <w:r>
                    <w:rPr>
                      <w:rFonts w:hint="eastAsia"/>
                      <w:bCs/>
                      <w:color w:val="auto"/>
                      <w:highlight w:val="none"/>
                      <w:lang w:bidi="ar"/>
                    </w:rPr>
                    <w:t>每周/次</w:t>
                  </w:r>
                </w:p>
              </w:tc>
              <w:tc>
                <w:tcPr>
                  <w:tcW w:w="1676" w:type="pct"/>
                  <w:vAlign w:val="center"/>
                </w:tcPr>
                <w:p w14:paraId="798FB064">
                  <w:pPr>
                    <w:pStyle w:val="129"/>
                    <w:adjustRightInd w:val="0"/>
                    <w:snapToGrid w:val="0"/>
                    <w:rPr>
                      <w:rFonts w:hint="eastAsia"/>
                      <w:bCs/>
                      <w:color w:val="auto"/>
                      <w:highlight w:val="none"/>
                      <w:lang w:bidi="ar"/>
                    </w:rPr>
                  </w:pPr>
                  <w:r>
                    <w:rPr>
                      <w:rFonts w:hint="eastAsia"/>
                      <w:bCs/>
                      <w:color w:val="auto"/>
                      <w:highlight w:val="none"/>
                      <w:lang w:bidi="ar"/>
                    </w:rPr>
                    <w:t>《系统运维巡检报告》</w:t>
                  </w:r>
                </w:p>
              </w:tc>
            </w:tr>
            <w:tr w14:paraId="0650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6EE89804">
                  <w:pPr>
                    <w:pStyle w:val="129"/>
                    <w:adjustRightInd w:val="0"/>
                    <w:snapToGrid w:val="0"/>
                    <w:jc w:val="center"/>
                    <w:rPr>
                      <w:rFonts w:hint="eastAsia"/>
                      <w:bCs/>
                      <w:color w:val="auto"/>
                      <w:highlight w:val="none"/>
                    </w:rPr>
                  </w:pPr>
                  <w:r>
                    <w:rPr>
                      <w:rFonts w:hint="eastAsia"/>
                      <w:bCs/>
                      <w:color w:val="auto"/>
                      <w:highlight w:val="none"/>
                    </w:rPr>
                    <w:t>5</w:t>
                  </w:r>
                </w:p>
              </w:tc>
              <w:tc>
                <w:tcPr>
                  <w:tcW w:w="479" w:type="pct"/>
                  <w:vMerge w:val="continue"/>
                  <w:vAlign w:val="center"/>
                </w:tcPr>
                <w:p w14:paraId="6C1CD613">
                  <w:pPr>
                    <w:pStyle w:val="129"/>
                    <w:adjustRightInd w:val="0"/>
                    <w:snapToGrid w:val="0"/>
                    <w:ind w:firstLine="378" w:firstLineChars="180"/>
                    <w:rPr>
                      <w:rFonts w:hint="eastAsia"/>
                      <w:bCs/>
                      <w:color w:val="auto"/>
                      <w:highlight w:val="none"/>
                    </w:rPr>
                  </w:pPr>
                </w:p>
              </w:tc>
              <w:tc>
                <w:tcPr>
                  <w:tcW w:w="825" w:type="pct"/>
                  <w:vAlign w:val="center"/>
                </w:tcPr>
                <w:p w14:paraId="294D8439">
                  <w:pPr>
                    <w:pStyle w:val="129"/>
                    <w:adjustRightInd w:val="0"/>
                    <w:snapToGrid w:val="0"/>
                    <w:jc w:val="center"/>
                    <w:rPr>
                      <w:rFonts w:hint="eastAsia"/>
                      <w:bCs/>
                      <w:color w:val="auto"/>
                      <w:highlight w:val="none"/>
                    </w:rPr>
                  </w:pPr>
                  <w:r>
                    <w:rPr>
                      <w:rFonts w:hint="eastAsia"/>
                      <w:bCs/>
                      <w:color w:val="auto"/>
                      <w:highlight w:val="none"/>
                      <w:lang w:bidi="ar"/>
                    </w:rPr>
                    <w:t>质量保障</w:t>
                  </w:r>
                </w:p>
              </w:tc>
              <w:tc>
                <w:tcPr>
                  <w:tcW w:w="1020" w:type="pct"/>
                  <w:vAlign w:val="center"/>
                </w:tcPr>
                <w:p w14:paraId="1DD65926">
                  <w:pPr>
                    <w:pStyle w:val="129"/>
                    <w:adjustRightInd w:val="0"/>
                    <w:snapToGrid w:val="0"/>
                    <w:rPr>
                      <w:rFonts w:hint="eastAsia"/>
                      <w:bCs/>
                      <w:color w:val="auto"/>
                      <w:highlight w:val="none"/>
                    </w:rPr>
                  </w:pPr>
                  <w:r>
                    <w:rPr>
                      <w:rFonts w:hint="eastAsia"/>
                      <w:bCs/>
                      <w:color w:val="auto"/>
                      <w:highlight w:val="none"/>
                      <w:lang w:bidi="ar"/>
                    </w:rPr>
                    <w:t>运维质量分析</w:t>
                  </w:r>
                </w:p>
              </w:tc>
              <w:tc>
                <w:tcPr>
                  <w:tcW w:w="614" w:type="pct"/>
                  <w:vAlign w:val="center"/>
                </w:tcPr>
                <w:p w14:paraId="4326C37F">
                  <w:pPr>
                    <w:pStyle w:val="129"/>
                    <w:adjustRightInd w:val="0"/>
                    <w:snapToGrid w:val="0"/>
                    <w:rPr>
                      <w:rFonts w:hint="eastAsia"/>
                      <w:bCs/>
                      <w:color w:val="auto"/>
                      <w:highlight w:val="none"/>
                    </w:rPr>
                  </w:pPr>
                  <w:r>
                    <w:rPr>
                      <w:rFonts w:hint="eastAsia"/>
                      <w:bCs/>
                      <w:color w:val="auto"/>
                      <w:highlight w:val="none"/>
                      <w:lang w:bidi="ar"/>
                    </w:rPr>
                    <w:t>季度/次</w:t>
                  </w:r>
                </w:p>
              </w:tc>
              <w:tc>
                <w:tcPr>
                  <w:tcW w:w="1676" w:type="pct"/>
                  <w:vAlign w:val="center"/>
                </w:tcPr>
                <w:p w14:paraId="4126BDEC">
                  <w:pPr>
                    <w:pStyle w:val="129"/>
                    <w:adjustRightInd w:val="0"/>
                    <w:snapToGrid w:val="0"/>
                    <w:rPr>
                      <w:rFonts w:hint="eastAsia"/>
                      <w:bCs/>
                      <w:color w:val="auto"/>
                      <w:highlight w:val="none"/>
                      <w:lang w:bidi="ar"/>
                    </w:rPr>
                  </w:pPr>
                  <w:r>
                    <w:rPr>
                      <w:rFonts w:hint="eastAsia"/>
                      <w:bCs/>
                      <w:color w:val="auto"/>
                      <w:highlight w:val="none"/>
                      <w:lang w:bidi="ar"/>
                    </w:rPr>
                    <w:t>《运维质量分析报告》</w:t>
                  </w:r>
                </w:p>
              </w:tc>
            </w:tr>
            <w:tr w14:paraId="7058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6679A7F2">
                  <w:pPr>
                    <w:pStyle w:val="129"/>
                    <w:adjustRightInd w:val="0"/>
                    <w:snapToGrid w:val="0"/>
                    <w:jc w:val="center"/>
                    <w:rPr>
                      <w:rFonts w:hint="eastAsia"/>
                      <w:bCs/>
                      <w:color w:val="auto"/>
                      <w:highlight w:val="none"/>
                    </w:rPr>
                  </w:pPr>
                  <w:r>
                    <w:rPr>
                      <w:rFonts w:hint="eastAsia"/>
                      <w:bCs/>
                      <w:color w:val="auto"/>
                      <w:highlight w:val="none"/>
                    </w:rPr>
                    <w:t>6</w:t>
                  </w:r>
                </w:p>
              </w:tc>
              <w:tc>
                <w:tcPr>
                  <w:tcW w:w="479" w:type="pct"/>
                  <w:vMerge w:val="continue"/>
                  <w:vAlign w:val="center"/>
                </w:tcPr>
                <w:p w14:paraId="642CD5DD">
                  <w:pPr>
                    <w:pStyle w:val="129"/>
                    <w:adjustRightInd w:val="0"/>
                    <w:snapToGrid w:val="0"/>
                    <w:ind w:firstLine="378" w:firstLineChars="180"/>
                    <w:rPr>
                      <w:rFonts w:hint="eastAsia"/>
                      <w:bCs/>
                      <w:color w:val="auto"/>
                      <w:highlight w:val="none"/>
                    </w:rPr>
                  </w:pPr>
                </w:p>
              </w:tc>
              <w:tc>
                <w:tcPr>
                  <w:tcW w:w="825" w:type="pct"/>
                  <w:vAlign w:val="center"/>
                </w:tcPr>
                <w:p w14:paraId="27156F28">
                  <w:pPr>
                    <w:pStyle w:val="129"/>
                    <w:adjustRightInd w:val="0"/>
                    <w:snapToGrid w:val="0"/>
                    <w:jc w:val="center"/>
                    <w:rPr>
                      <w:rFonts w:hint="eastAsia"/>
                      <w:bCs/>
                      <w:color w:val="auto"/>
                      <w:highlight w:val="none"/>
                      <w:lang w:bidi="ar"/>
                    </w:rPr>
                  </w:pPr>
                  <w:r>
                    <w:rPr>
                      <w:rFonts w:hint="eastAsia"/>
                      <w:bCs/>
                      <w:color w:val="auto"/>
                      <w:highlight w:val="none"/>
                      <w:lang w:bidi="ar"/>
                    </w:rPr>
                    <w:t>故障处理报告</w:t>
                  </w:r>
                </w:p>
              </w:tc>
              <w:tc>
                <w:tcPr>
                  <w:tcW w:w="1020" w:type="pct"/>
                  <w:vAlign w:val="center"/>
                </w:tcPr>
                <w:p w14:paraId="7C560C46">
                  <w:pPr>
                    <w:pStyle w:val="129"/>
                    <w:adjustRightInd w:val="0"/>
                    <w:snapToGrid w:val="0"/>
                    <w:rPr>
                      <w:rFonts w:hint="eastAsia"/>
                      <w:bCs/>
                      <w:color w:val="auto"/>
                      <w:highlight w:val="none"/>
                      <w:lang w:bidi="ar"/>
                    </w:rPr>
                  </w:pPr>
                  <w:r>
                    <w:rPr>
                      <w:rFonts w:hint="eastAsia"/>
                      <w:bCs/>
                      <w:color w:val="auto"/>
                      <w:highlight w:val="none"/>
                      <w:lang w:bidi="ar"/>
                    </w:rPr>
                    <w:t>故障处理报告</w:t>
                  </w:r>
                </w:p>
              </w:tc>
              <w:tc>
                <w:tcPr>
                  <w:tcW w:w="614" w:type="pct"/>
                  <w:vAlign w:val="center"/>
                </w:tcPr>
                <w:p w14:paraId="0C21C2DB">
                  <w:pPr>
                    <w:pStyle w:val="129"/>
                    <w:adjustRightInd w:val="0"/>
                    <w:snapToGrid w:val="0"/>
                    <w:rPr>
                      <w:rFonts w:hint="eastAsia"/>
                      <w:bCs/>
                      <w:color w:val="auto"/>
                      <w:highlight w:val="none"/>
                      <w:lang w:bidi="ar"/>
                    </w:rPr>
                  </w:pPr>
                  <w:r>
                    <w:rPr>
                      <w:rFonts w:hint="eastAsia"/>
                      <w:bCs/>
                      <w:color w:val="auto"/>
                      <w:highlight w:val="none"/>
                      <w:lang w:bidi="ar"/>
                    </w:rPr>
                    <w:t>月/次</w:t>
                  </w:r>
                </w:p>
              </w:tc>
              <w:tc>
                <w:tcPr>
                  <w:tcW w:w="1676" w:type="pct"/>
                  <w:vAlign w:val="center"/>
                </w:tcPr>
                <w:p w14:paraId="063D14EB">
                  <w:pPr>
                    <w:pStyle w:val="129"/>
                    <w:adjustRightInd w:val="0"/>
                    <w:snapToGrid w:val="0"/>
                    <w:rPr>
                      <w:rFonts w:hint="eastAsia"/>
                      <w:bCs/>
                      <w:color w:val="auto"/>
                      <w:highlight w:val="none"/>
                      <w:lang w:bidi="ar"/>
                    </w:rPr>
                  </w:pPr>
                  <w:r>
                    <w:rPr>
                      <w:rFonts w:hint="eastAsia"/>
                      <w:bCs/>
                      <w:color w:val="auto"/>
                      <w:highlight w:val="none"/>
                      <w:lang w:bidi="ar"/>
                    </w:rPr>
                    <w:t>《系统运维故障处理报告》</w:t>
                  </w:r>
                </w:p>
              </w:tc>
            </w:tr>
            <w:tr w14:paraId="034D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383" w:type="pct"/>
                  <w:vAlign w:val="center"/>
                </w:tcPr>
                <w:p w14:paraId="010A3805">
                  <w:pPr>
                    <w:pStyle w:val="129"/>
                    <w:adjustRightInd w:val="0"/>
                    <w:snapToGrid w:val="0"/>
                    <w:jc w:val="center"/>
                    <w:rPr>
                      <w:rFonts w:hint="eastAsia"/>
                      <w:bCs/>
                      <w:color w:val="auto"/>
                      <w:highlight w:val="none"/>
                      <w:lang w:bidi="ar"/>
                    </w:rPr>
                  </w:pPr>
                  <w:r>
                    <w:rPr>
                      <w:rFonts w:hint="eastAsia"/>
                      <w:bCs/>
                      <w:color w:val="auto"/>
                      <w:highlight w:val="none"/>
                      <w:lang w:bidi="ar"/>
                    </w:rPr>
                    <w:t>7</w:t>
                  </w:r>
                </w:p>
              </w:tc>
              <w:tc>
                <w:tcPr>
                  <w:tcW w:w="479" w:type="pct"/>
                  <w:vMerge w:val="continue"/>
                  <w:vAlign w:val="center"/>
                </w:tcPr>
                <w:p w14:paraId="0013BA10">
                  <w:pPr>
                    <w:pStyle w:val="129"/>
                    <w:adjustRightInd w:val="0"/>
                    <w:snapToGrid w:val="0"/>
                    <w:ind w:firstLine="378" w:firstLineChars="180"/>
                    <w:rPr>
                      <w:rFonts w:hint="eastAsia"/>
                      <w:bCs/>
                      <w:color w:val="auto"/>
                      <w:highlight w:val="none"/>
                    </w:rPr>
                  </w:pPr>
                </w:p>
              </w:tc>
              <w:tc>
                <w:tcPr>
                  <w:tcW w:w="825" w:type="pct"/>
                  <w:vAlign w:val="center"/>
                </w:tcPr>
                <w:p w14:paraId="0FD5ABAB">
                  <w:pPr>
                    <w:pStyle w:val="129"/>
                    <w:adjustRightInd w:val="0"/>
                    <w:snapToGrid w:val="0"/>
                    <w:jc w:val="center"/>
                    <w:rPr>
                      <w:rFonts w:hint="eastAsia"/>
                      <w:bCs/>
                      <w:color w:val="auto"/>
                      <w:highlight w:val="none"/>
                      <w:lang w:bidi="ar"/>
                    </w:rPr>
                  </w:pPr>
                  <w:r>
                    <w:rPr>
                      <w:rFonts w:hint="eastAsia"/>
                      <w:bCs/>
                      <w:color w:val="auto"/>
                      <w:highlight w:val="none"/>
                      <w:lang w:bidi="ar"/>
                    </w:rPr>
                    <w:t>策略管理</w:t>
                  </w:r>
                </w:p>
              </w:tc>
              <w:tc>
                <w:tcPr>
                  <w:tcW w:w="1020" w:type="pct"/>
                  <w:vAlign w:val="center"/>
                </w:tcPr>
                <w:p w14:paraId="13277269">
                  <w:pPr>
                    <w:pStyle w:val="129"/>
                    <w:adjustRightInd w:val="0"/>
                    <w:snapToGrid w:val="0"/>
                    <w:rPr>
                      <w:rFonts w:hint="eastAsia"/>
                      <w:bCs/>
                      <w:color w:val="auto"/>
                      <w:highlight w:val="none"/>
                      <w:lang w:bidi="ar"/>
                    </w:rPr>
                  </w:pPr>
                  <w:r>
                    <w:rPr>
                      <w:rFonts w:hint="eastAsia"/>
                      <w:bCs/>
                      <w:color w:val="auto"/>
                      <w:highlight w:val="none"/>
                      <w:lang w:bidi="ar"/>
                    </w:rPr>
                    <w:t>策略配置方案</w:t>
                  </w:r>
                </w:p>
              </w:tc>
              <w:tc>
                <w:tcPr>
                  <w:tcW w:w="614" w:type="pct"/>
                  <w:vAlign w:val="center"/>
                </w:tcPr>
                <w:p w14:paraId="6B5CE4BA">
                  <w:pPr>
                    <w:pStyle w:val="129"/>
                    <w:adjustRightInd w:val="0"/>
                    <w:snapToGrid w:val="0"/>
                    <w:rPr>
                      <w:rFonts w:hint="eastAsia"/>
                      <w:bCs/>
                      <w:color w:val="auto"/>
                      <w:highlight w:val="none"/>
                      <w:lang w:bidi="ar"/>
                    </w:rPr>
                  </w:pPr>
                  <w:r>
                    <w:rPr>
                      <w:rFonts w:hint="eastAsia"/>
                      <w:bCs/>
                      <w:color w:val="auto"/>
                      <w:highlight w:val="none"/>
                      <w:lang w:bidi="ar"/>
                    </w:rPr>
                    <w:t>季度/次</w:t>
                  </w:r>
                </w:p>
              </w:tc>
              <w:tc>
                <w:tcPr>
                  <w:tcW w:w="1676" w:type="pct"/>
                  <w:vAlign w:val="center"/>
                </w:tcPr>
                <w:p w14:paraId="65BF9F42">
                  <w:pPr>
                    <w:pStyle w:val="129"/>
                    <w:adjustRightInd w:val="0"/>
                    <w:snapToGrid w:val="0"/>
                    <w:rPr>
                      <w:rFonts w:hint="eastAsia"/>
                      <w:bCs/>
                      <w:color w:val="auto"/>
                      <w:highlight w:val="none"/>
                      <w:lang w:bidi="ar"/>
                    </w:rPr>
                  </w:pPr>
                  <w:r>
                    <w:rPr>
                      <w:rFonts w:hint="eastAsia"/>
                      <w:bCs/>
                      <w:color w:val="auto"/>
                      <w:highlight w:val="none"/>
                      <w:lang w:bidi="ar"/>
                    </w:rPr>
                    <w:t>《策略配置方案》</w:t>
                  </w:r>
                </w:p>
              </w:tc>
            </w:tr>
          </w:tbl>
          <w:p w14:paraId="54052D8A">
            <w:pPr>
              <w:ind w:firstLine="420" w:firstLineChars="200"/>
              <w:rPr>
                <w:rFonts w:hint="eastAsia" w:ascii="宋体" w:hAnsi="宋体" w:cs="宋体"/>
                <w:bCs/>
                <w:color w:val="auto"/>
                <w:szCs w:val="28"/>
                <w:highlight w:val="none"/>
              </w:rPr>
            </w:pPr>
          </w:p>
        </w:tc>
      </w:tr>
      <w:tr w14:paraId="7220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4E321371">
            <w:pPr>
              <w:spacing w:line="400" w:lineRule="exact"/>
              <w:rPr>
                <w:rFonts w:hint="eastAsia" w:ascii="宋体" w:hAnsi="宋体"/>
                <w:color w:val="auto"/>
                <w:szCs w:val="21"/>
                <w:highlight w:val="none"/>
              </w:rPr>
            </w:pPr>
            <w:r>
              <w:rPr>
                <w:rFonts w:hint="eastAsia" w:ascii="宋体" w:hAnsi="宋体"/>
                <w:b/>
                <w:color w:val="auto"/>
                <w:szCs w:val="21"/>
                <w:highlight w:val="none"/>
              </w:rPr>
              <w:t>商务要求表</w:t>
            </w:r>
          </w:p>
        </w:tc>
      </w:tr>
      <w:tr w14:paraId="6E09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6B2DEDD1">
            <w:pPr>
              <w:spacing w:line="360" w:lineRule="auto"/>
              <w:rPr>
                <w:rFonts w:hint="eastAsia" w:ascii="宋体" w:hAnsi="宋体"/>
                <w:color w:val="auto"/>
                <w:szCs w:val="21"/>
                <w:highlight w:val="none"/>
              </w:rPr>
            </w:pPr>
            <w:r>
              <w:rPr>
                <w:rFonts w:hint="eastAsia" w:ascii="宋体" w:hAnsi="宋体"/>
                <w:color w:val="auto"/>
                <w:szCs w:val="21"/>
                <w:highlight w:val="none"/>
              </w:rPr>
              <w:t>（一）合同签订期限</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5C095B8B">
            <w:pPr>
              <w:spacing w:line="360" w:lineRule="auto"/>
              <w:rPr>
                <w:rFonts w:hint="eastAsia" w:ascii="宋体" w:hAnsi="宋体"/>
                <w:color w:val="auto"/>
                <w:szCs w:val="21"/>
                <w:highlight w:val="none"/>
              </w:rPr>
            </w:pPr>
            <w:r>
              <w:rPr>
                <w:rFonts w:hint="eastAsia" w:ascii="宋体" w:hAnsi="宋体"/>
                <w:color w:val="auto"/>
                <w:szCs w:val="21"/>
                <w:highlight w:val="none"/>
              </w:rPr>
              <w:t>自中标通知书发出之日起25个日历日内。</w:t>
            </w:r>
          </w:p>
        </w:tc>
      </w:tr>
      <w:tr w14:paraId="1035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06BCDD6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（二）报价要求</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16865B1D">
            <w:pPr>
              <w:spacing w:line="360" w:lineRule="auto"/>
              <w:rPr>
                <w:rFonts w:hint="eastAsia" w:ascii="宋体" w:hAnsi="宋体"/>
                <w:color w:val="auto"/>
                <w:szCs w:val="21"/>
                <w:highlight w:val="none"/>
              </w:rPr>
            </w:pPr>
            <w:r>
              <w:rPr>
                <w:rFonts w:hint="eastAsia" w:ascii="宋体" w:hAnsi="宋体"/>
                <w:color w:val="auto"/>
                <w:szCs w:val="21"/>
                <w:highlight w:val="none"/>
              </w:rPr>
              <w:t>本服务项目报价为人民币含税价，总价包干，合同履行过程中，采购人不再支付任何费用。包括但不限于：</w:t>
            </w:r>
          </w:p>
          <w:p w14:paraId="3B621ED5">
            <w:pPr>
              <w:spacing w:line="360" w:lineRule="auto"/>
              <w:rPr>
                <w:rFonts w:hint="eastAsia" w:ascii="宋体" w:hAnsi="宋体"/>
                <w:color w:val="auto"/>
                <w:szCs w:val="21"/>
                <w:highlight w:val="none"/>
              </w:rPr>
            </w:pPr>
            <w:r>
              <w:rPr>
                <w:rFonts w:hint="eastAsia" w:ascii="宋体" w:hAnsi="宋体"/>
                <w:color w:val="auto"/>
                <w:szCs w:val="21"/>
                <w:highlight w:val="none"/>
              </w:rPr>
              <w:t>1.服务的费用，包括技术支持、培训、运维服务、驻场服务（如有）、交通费、差旅费、住宿费、伙食费、通讯费等；</w:t>
            </w:r>
          </w:p>
          <w:p w14:paraId="3E45AD2B">
            <w:pPr>
              <w:spacing w:line="360" w:lineRule="auto"/>
              <w:rPr>
                <w:rFonts w:hint="eastAsia" w:ascii="宋体" w:hAnsi="宋体"/>
                <w:color w:val="auto"/>
                <w:szCs w:val="21"/>
                <w:highlight w:val="none"/>
              </w:rPr>
            </w:pPr>
            <w:r>
              <w:rPr>
                <w:rFonts w:hint="eastAsia" w:ascii="宋体" w:hAnsi="宋体"/>
                <w:color w:val="auto"/>
                <w:szCs w:val="21"/>
                <w:highlight w:val="none"/>
              </w:rPr>
              <w:t>2.必要的代理服务费、保险费用和各项税金；</w:t>
            </w:r>
          </w:p>
          <w:p w14:paraId="121111A8">
            <w:pPr>
              <w:spacing w:line="360" w:lineRule="auto"/>
              <w:rPr>
                <w:rFonts w:hint="eastAsia" w:ascii="宋体" w:hAnsi="宋体"/>
                <w:color w:val="auto"/>
                <w:szCs w:val="21"/>
                <w:highlight w:val="none"/>
              </w:rPr>
            </w:pPr>
            <w:r>
              <w:rPr>
                <w:rFonts w:hint="eastAsia" w:ascii="宋体" w:hAnsi="宋体"/>
                <w:color w:val="auto"/>
                <w:szCs w:val="21"/>
                <w:highlight w:val="none"/>
              </w:rPr>
              <w:t>3.服务时所需的备品和备件的费用；</w:t>
            </w:r>
          </w:p>
          <w:p w14:paraId="33DF1500">
            <w:pPr>
              <w:spacing w:line="360" w:lineRule="auto"/>
              <w:rPr>
                <w:rFonts w:hint="eastAsia" w:ascii="宋体" w:hAnsi="宋体"/>
                <w:color w:val="auto"/>
                <w:szCs w:val="21"/>
                <w:highlight w:val="none"/>
              </w:rPr>
            </w:pPr>
            <w:r>
              <w:rPr>
                <w:rFonts w:hint="eastAsia" w:ascii="宋体" w:hAnsi="宋体"/>
                <w:color w:val="auto"/>
                <w:szCs w:val="21"/>
                <w:highlight w:val="none"/>
              </w:rPr>
              <w:t>4.根据合同规定，履行合同可能产生的其他费用。</w:t>
            </w:r>
          </w:p>
        </w:tc>
      </w:tr>
      <w:tr w14:paraId="2915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6E6E7F02">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（三）服务期限和地点</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200B636B">
            <w:pPr>
              <w:spacing w:line="360" w:lineRule="auto"/>
              <w:rPr>
                <w:rFonts w:hint="eastAsia" w:ascii="宋体" w:hAnsi="宋体" w:cs="宋体"/>
                <w:bCs/>
                <w:color w:val="auto"/>
                <w:kern w:val="0"/>
                <w:szCs w:val="21"/>
                <w:highlight w:val="none"/>
              </w:rPr>
            </w:pPr>
            <w:r>
              <w:rPr>
                <w:rFonts w:hint="eastAsia" w:ascii="宋体" w:hAnsi="宋体"/>
                <w:color w:val="auto"/>
                <w:szCs w:val="21"/>
                <w:highlight w:val="none"/>
              </w:rPr>
              <w:t>合同履约期限：至合同签订之日起一年。</w:t>
            </w:r>
          </w:p>
          <w:p w14:paraId="6FF1C4BA">
            <w:pPr>
              <w:spacing w:line="360" w:lineRule="auto"/>
              <w:rPr>
                <w:rFonts w:hint="eastAsia" w:ascii="宋体" w:hAnsi="宋体"/>
                <w:color w:val="auto"/>
                <w:szCs w:val="21"/>
                <w:highlight w:val="none"/>
              </w:rPr>
            </w:pPr>
            <w:r>
              <w:rPr>
                <w:rFonts w:hint="eastAsia" w:ascii="宋体" w:hAnsi="宋体"/>
                <w:color w:val="auto"/>
                <w:szCs w:val="21"/>
                <w:highlight w:val="none"/>
              </w:rPr>
              <w:t>地点：采购人指定地点。</w:t>
            </w:r>
          </w:p>
        </w:tc>
      </w:tr>
      <w:tr w14:paraId="2D72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283A098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（四）服务要求</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558CB31F">
            <w:pPr>
              <w:spacing w:line="360" w:lineRule="auto"/>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.中标</w:t>
            </w:r>
            <w:r>
              <w:rPr>
                <w:rFonts w:ascii="宋体" w:hAnsi="宋体"/>
                <w:color w:val="auto"/>
                <w:szCs w:val="21"/>
                <w:highlight w:val="none"/>
              </w:rPr>
              <w:t>供应商须确保响应文件中的拟投入本项目实施人员信息真实、有效。</w:t>
            </w:r>
            <w:r>
              <w:rPr>
                <w:rFonts w:hint="eastAsia" w:ascii="宋体" w:hAnsi="宋体"/>
                <w:color w:val="auto"/>
                <w:szCs w:val="21"/>
                <w:highlight w:val="none"/>
              </w:rPr>
              <w:t>中标</w:t>
            </w:r>
            <w:r>
              <w:rPr>
                <w:rFonts w:ascii="宋体" w:hAnsi="宋体"/>
                <w:color w:val="auto"/>
                <w:szCs w:val="21"/>
                <w:highlight w:val="none"/>
              </w:rPr>
              <w:t>供应商须按照本采购文件的要求，严格、高效、诚信地组织好此次服务项目，不得将项目非法分包或转包给任何单位和个人，否则采购人有权即刻终止合同，所有经济损失和责任由供应商承担。</w:t>
            </w:r>
          </w:p>
          <w:p w14:paraId="11C08AC0">
            <w:pPr>
              <w:spacing w:line="360" w:lineRule="auto"/>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未经采购人允许，</w:t>
            </w:r>
            <w:r>
              <w:rPr>
                <w:rFonts w:hint="eastAsia" w:ascii="宋体" w:hAnsi="宋体"/>
                <w:color w:val="auto"/>
                <w:szCs w:val="21"/>
                <w:highlight w:val="none"/>
              </w:rPr>
              <w:t>中标</w:t>
            </w:r>
            <w:r>
              <w:rPr>
                <w:rFonts w:ascii="宋体" w:hAnsi="宋体"/>
                <w:color w:val="auto"/>
                <w:szCs w:val="21"/>
                <w:highlight w:val="none"/>
              </w:rPr>
              <w:t>供应商不得使用或者以其他方式给任何第三方提供本项目的相关信息数据。</w:t>
            </w:r>
          </w:p>
          <w:p w14:paraId="22979D1A">
            <w:pPr>
              <w:spacing w:line="360" w:lineRule="auto"/>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.中标</w:t>
            </w:r>
            <w:r>
              <w:rPr>
                <w:rFonts w:ascii="宋体" w:hAnsi="宋体"/>
                <w:color w:val="auto"/>
                <w:szCs w:val="21"/>
                <w:highlight w:val="none"/>
              </w:rPr>
              <w:t>供应商须根据自身条件及能力参加本次采购活动，如供应商恶意低价</w:t>
            </w:r>
            <w:r>
              <w:rPr>
                <w:rFonts w:hint="eastAsia" w:ascii="宋体" w:hAnsi="宋体"/>
                <w:color w:val="auto"/>
                <w:szCs w:val="21"/>
                <w:highlight w:val="none"/>
              </w:rPr>
              <w:t>中标</w:t>
            </w:r>
            <w:r>
              <w:rPr>
                <w:rFonts w:ascii="宋体" w:hAnsi="宋体"/>
                <w:color w:val="auto"/>
                <w:szCs w:val="21"/>
                <w:highlight w:val="none"/>
              </w:rPr>
              <w:t>后，无力承担本项目，或者不能按合同约定完成，导致采购人无法完成本次项目采购，造成的后果由</w:t>
            </w:r>
            <w:r>
              <w:rPr>
                <w:rFonts w:hint="eastAsia" w:ascii="宋体" w:hAnsi="宋体"/>
                <w:color w:val="auto"/>
                <w:szCs w:val="21"/>
                <w:highlight w:val="none"/>
              </w:rPr>
              <w:t>中标</w:t>
            </w:r>
            <w:r>
              <w:rPr>
                <w:rFonts w:ascii="宋体" w:hAnsi="宋体"/>
                <w:color w:val="auto"/>
                <w:szCs w:val="21"/>
                <w:highlight w:val="none"/>
              </w:rPr>
              <w:t>供应商承担（包括但不仅限于处以与本项目预算同等金额罚金，登报申明消除影响等）。</w:t>
            </w:r>
          </w:p>
        </w:tc>
      </w:tr>
      <w:tr w14:paraId="1CE9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239D96AE">
            <w:pPr>
              <w:spacing w:line="360" w:lineRule="auto"/>
              <w:rPr>
                <w:rFonts w:hint="eastAsia" w:ascii="宋体" w:hAnsi="宋体"/>
                <w:color w:val="auto"/>
                <w:szCs w:val="21"/>
                <w:highlight w:val="none"/>
              </w:rPr>
            </w:pPr>
            <w:r>
              <w:rPr>
                <w:rFonts w:hint="eastAsia" w:ascii="宋体" w:hAnsi="宋体"/>
                <w:color w:val="auto"/>
                <w:szCs w:val="21"/>
                <w:highlight w:val="none"/>
              </w:rPr>
              <w:t>（五）付款方式</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6FAA68C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w:t>
            </w:r>
            <w:r>
              <w:rPr>
                <w:rFonts w:hint="eastAsia"/>
                <w:color w:val="auto"/>
                <w:highlight w:val="none"/>
              </w:rPr>
              <w:t xml:space="preserve"> </w:t>
            </w:r>
            <w:r>
              <w:rPr>
                <w:rFonts w:hint="eastAsia" w:ascii="宋体" w:hAnsi="宋体"/>
                <w:color w:val="auto"/>
                <w:szCs w:val="21"/>
                <w:highlight w:val="none"/>
              </w:rPr>
              <w:t>完成合同签订后，采购人自收到中标供应商提供的相应金额发票后15个工作日内，采购人向中标供应商支付合同总金额的30%；</w:t>
            </w:r>
          </w:p>
          <w:p w14:paraId="7783674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w:t>
            </w:r>
            <w:r>
              <w:rPr>
                <w:rFonts w:hint="eastAsia"/>
                <w:color w:val="auto"/>
                <w:highlight w:val="none"/>
              </w:rPr>
              <w:t xml:space="preserve"> </w:t>
            </w:r>
            <w:r>
              <w:rPr>
                <w:rFonts w:hint="eastAsia" w:ascii="宋体" w:hAnsi="宋体"/>
                <w:color w:val="auto"/>
                <w:szCs w:val="21"/>
                <w:highlight w:val="none"/>
              </w:rPr>
              <w:t>服务期满50%周期后，采购人自收到中标供应商提供的相应金额发票后15个工作日内，采购人向中标供应商支付合同总金额的50%。</w:t>
            </w:r>
          </w:p>
          <w:p w14:paraId="071DCA5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3.</w:t>
            </w:r>
            <w:r>
              <w:rPr>
                <w:rFonts w:hint="eastAsia"/>
                <w:color w:val="auto"/>
                <w:highlight w:val="none"/>
              </w:rPr>
              <w:t xml:space="preserve"> </w:t>
            </w:r>
            <w:r>
              <w:rPr>
                <w:rFonts w:hint="eastAsia" w:ascii="宋体" w:hAnsi="宋体"/>
                <w:color w:val="auto"/>
                <w:szCs w:val="21"/>
                <w:highlight w:val="none"/>
              </w:rPr>
              <w:t>完成项目验收后，采购人自收到中标供应商提供相应金额发票后15个工作日内，采购人向中标供应商支付合同总金额的20%。</w:t>
            </w:r>
          </w:p>
        </w:tc>
      </w:tr>
      <w:tr w14:paraId="3086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34D1921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（六）其他</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66DF2EBC">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1、验收要求</w:t>
            </w:r>
          </w:p>
          <w:p w14:paraId="1B10D81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（1）严格按照《关于印发广西壮族自治区政府采购项目履约验收管理办法的通知》[桂财采〔2015〕22号]以及《财政部关于进一步加强政府采购需求和履约验收管理的指导意见》[财库〔2016〕205号]规定执行。</w:t>
            </w:r>
          </w:p>
          <w:p w14:paraId="703E8C2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（2）其它按合同条款的约定。</w:t>
            </w:r>
          </w:p>
          <w:p w14:paraId="2A93649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3）合同履行过程中，采购人根据中标供应商所提供的技术服务，对照采购文件要求及中标供应商响应文件承诺进行检验并记录，发现中标供应商在响应文件中有弄虚作假的行为，或在响应文件中针对技术、商务条款有虚假响应情况的，采购人将终止合同或不予验收，并追究中标供应商的责任，由此带来的一切损失由中标供应商自行承担。</w:t>
            </w:r>
          </w:p>
          <w:p w14:paraId="73861C10">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2、知识产权</w:t>
            </w:r>
          </w:p>
          <w:p w14:paraId="7AEF88A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（1）采购人在中华人民共和国境内使用供应商提供的服务时免受第三方提出的侵犯其专利权或其它知识产权的起诉。如果第三方提出侵权指控，中标供应商应承担由此而引起的一切法律责任和费用。</w:t>
            </w:r>
          </w:p>
          <w:p w14:paraId="525A257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（2）保密要求：中标供应商在项目实施过程中，必须对本项目所有项目信息以及接触到的材料予以保密，未经采购人书面许可，中标供应商不得以任何形式向第三方透露本项目的任何内容。</w:t>
            </w:r>
          </w:p>
          <w:p w14:paraId="675B317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（3）供应商必须自行实施、维护本项目，不得转让或转包。</w:t>
            </w:r>
          </w:p>
        </w:tc>
      </w:tr>
      <w:bookmarkEnd w:id="39"/>
      <w:bookmarkEnd w:id="40"/>
    </w:tbl>
    <w:p w14:paraId="3C800123">
      <w:pPr>
        <w:widowControl/>
        <w:jc w:val="left"/>
        <w:rPr>
          <w:rFonts w:hint="eastAsia" w:ascii="黑体" w:hAnsi="黑体" w:eastAsia="黑体" w:cs="黑体"/>
          <w:color w:val="auto"/>
          <w:sz w:val="32"/>
          <w:szCs w:val="32"/>
          <w:highlight w:val="none"/>
        </w:rPr>
      </w:pPr>
    </w:p>
    <w:p w14:paraId="15B86659">
      <w:pPr>
        <w:widowControl/>
        <w:jc w:val="left"/>
        <w:rPr>
          <w:rFonts w:hint="eastAsia" w:ascii="黑体" w:hAnsi="黑体" w:eastAsia="黑体" w:cs="黑体"/>
          <w:color w:val="auto"/>
          <w:sz w:val="32"/>
          <w:szCs w:val="32"/>
          <w:highlight w:val="none"/>
        </w:rPr>
      </w:pPr>
    </w:p>
    <w:p w14:paraId="5E3B1482">
      <w:pPr>
        <w:widowControl/>
        <w:jc w:val="left"/>
        <w:rPr>
          <w:rFonts w:hint="eastAsia" w:ascii="黑体" w:hAnsi="黑体" w:eastAsia="黑体" w:cs="黑体"/>
          <w:color w:val="auto"/>
          <w:sz w:val="32"/>
          <w:szCs w:val="32"/>
          <w:highlight w:val="none"/>
        </w:rPr>
      </w:pPr>
    </w:p>
    <w:p w14:paraId="1B8EB790">
      <w:pPr>
        <w:widowControl/>
        <w:jc w:val="left"/>
        <w:rPr>
          <w:rFonts w:hint="eastAsia" w:ascii="黑体" w:hAnsi="黑体" w:eastAsia="黑体" w:cs="黑体"/>
          <w:color w:val="auto"/>
          <w:sz w:val="32"/>
          <w:szCs w:val="32"/>
          <w:highlight w:val="none"/>
        </w:rPr>
      </w:pPr>
    </w:p>
    <w:p w14:paraId="4D24DE36">
      <w:pPr>
        <w:widowControl/>
        <w:jc w:val="left"/>
        <w:rPr>
          <w:rFonts w:hint="eastAsia" w:ascii="宋体" w:hAnsi="宋体" w:cs="宋体"/>
          <w:color w:val="auto"/>
          <w:sz w:val="28"/>
          <w:szCs w:val="28"/>
          <w:highlight w:val="none"/>
        </w:rPr>
      </w:pPr>
      <w:r>
        <w:rPr>
          <w:rFonts w:hint="eastAsia" w:ascii="黑体" w:hAnsi="黑体" w:eastAsia="黑体" w:cs="黑体"/>
          <w:color w:val="auto"/>
          <w:sz w:val="32"/>
          <w:szCs w:val="32"/>
          <w:highlight w:val="none"/>
        </w:rPr>
        <w:t>附件1：</w:t>
      </w:r>
      <w:r>
        <w:rPr>
          <w:rFonts w:hint="eastAsia" w:ascii="宋体" w:hAnsi="宋体" w:cs="宋体"/>
          <w:color w:val="auto"/>
          <w:sz w:val="28"/>
          <w:szCs w:val="28"/>
          <w:highlight w:val="none"/>
        </w:rPr>
        <w:t xml:space="preserve"> </w:t>
      </w:r>
    </w:p>
    <w:p w14:paraId="1A6DA1B9">
      <w:pPr>
        <w:pStyle w:val="4"/>
        <w:keepNext w:val="0"/>
        <w:keepLines w:val="0"/>
        <w:tabs>
          <w:tab w:val="left" w:pos="0"/>
          <w:tab w:val="left" w:pos="3165"/>
          <w:tab w:val="center" w:pos="4153"/>
        </w:tabs>
        <w:autoSpaceDE w:val="0"/>
        <w:autoSpaceDN w:val="0"/>
        <w:adjustRightInd w:val="0"/>
        <w:spacing w:before="0" w:after="0" w:line="360" w:lineRule="auto"/>
        <w:jc w:val="center"/>
        <w:rPr>
          <w:color w:val="auto"/>
          <w:sz w:val="24"/>
          <w:szCs w:val="24"/>
          <w:highlight w:val="none"/>
        </w:rPr>
      </w:pPr>
      <w:r>
        <w:rPr>
          <w:rFonts w:hint="eastAsia" w:ascii="宋体" w:hAnsi="宋体" w:cs="宋体"/>
          <w:color w:val="auto"/>
          <w:sz w:val="28"/>
          <w:szCs w:val="28"/>
          <w:highlight w:val="none"/>
        </w:rPr>
        <w:t xml:space="preserve">  </w:t>
      </w:r>
      <w:r>
        <w:rPr>
          <w:rFonts w:hint="eastAsia"/>
          <w:color w:val="auto"/>
          <w:sz w:val="24"/>
          <w:szCs w:val="24"/>
          <w:highlight w:val="none"/>
        </w:rPr>
        <w:t>中小微企业划型标准</w:t>
      </w:r>
    </w:p>
    <w:tbl>
      <w:tblPr>
        <w:tblStyle w:val="36"/>
        <w:tblW w:w="5174" w:type="pct"/>
        <w:jc w:val="center"/>
        <w:tblLayout w:type="autofit"/>
        <w:tblCellMar>
          <w:top w:w="0" w:type="dxa"/>
          <w:left w:w="108" w:type="dxa"/>
          <w:bottom w:w="0" w:type="dxa"/>
          <w:right w:w="108" w:type="dxa"/>
        </w:tblCellMar>
      </w:tblPr>
      <w:tblGrid>
        <w:gridCol w:w="1782"/>
        <w:gridCol w:w="1556"/>
        <w:gridCol w:w="1034"/>
        <w:gridCol w:w="1688"/>
        <w:gridCol w:w="1802"/>
        <w:gridCol w:w="1161"/>
      </w:tblGrid>
      <w:tr w14:paraId="06D2CE15">
        <w:tblPrEx>
          <w:tblCellMar>
            <w:top w:w="0" w:type="dxa"/>
            <w:left w:w="108" w:type="dxa"/>
            <w:bottom w:w="0" w:type="dxa"/>
            <w:right w:w="108" w:type="dxa"/>
          </w:tblCellMar>
        </w:tblPrEx>
        <w:trPr>
          <w:trHeight w:val="277" w:hRule="atLeast"/>
          <w:jc w:val="center"/>
        </w:trPr>
        <w:tc>
          <w:tcPr>
            <w:tcW w:w="987" w:type="pct"/>
            <w:tcBorders>
              <w:top w:val="single" w:color="auto" w:sz="4" w:space="0"/>
              <w:left w:val="single" w:color="auto" w:sz="4" w:space="0"/>
              <w:bottom w:val="single" w:color="auto" w:sz="4" w:space="0"/>
              <w:right w:val="single" w:color="auto" w:sz="4" w:space="0"/>
            </w:tcBorders>
            <w:vAlign w:val="center"/>
          </w:tcPr>
          <w:p w14:paraId="7AE20374">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862" w:type="pct"/>
            <w:tcBorders>
              <w:top w:val="single" w:color="auto" w:sz="4" w:space="0"/>
              <w:left w:val="nil"/>
              <w:bottom w:val="single" w:color="auto" w:sz="4" w:space="0"/>
              <w:right w:val="single" w:color="auto" w:sz="4" w:space="0"/>
            </w:tcBorders>
            <w:vAlign w:val="center"/>
          </w:tcPr>
          <w:p w14:paraId="4BAB83C2">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573" w:type="pct"/>
            <w:tcBorders>
              <w:top w:val="single" w:color="auto" w:sz="4" w:space="0"/>
              <w:left w:val="nil"/>
              <w:bottom w:val="single" w:color="auto" w:sz="4" w:space="0"/>
              <w:right w:val="single" w:color="auto" w:sz="4" w:space="0"/>
            </w:tcBorders>
            <w:vAlign w:val="center"/>
          </w:tcPr>
          <w:p w14:paraId="0DEA84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935" w:type="pct"/>
            <w:tcBorders>
              <w:top w:val="single" w:color="auto" w:sz="4" w:space="0"/>
              <w:left w:val="nil"/>
              <w:bottom w:val="single" w:color="auto" w:sz="4" w:space="0"/>
              <w:right w:val="single" w:color="auto" w:sz="4" w:space="0"/>
            </w:tcBorders>
            <w:vAlign w:val="center"/>
          </w:tcPr>
          <w:p w14:paraId="78F6098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998" w:type="pct"/>
            <w:tcBorders>
              <w:top w:val="single" w:color="auto" w:sz="4" w:space="0"/>
              <w:left w:val="nil"/>
              <w:bottom w:val="single" w:color="auto" w:sz="4" w:space="0"/>
              <w:right w:val="single" w:color="auto" w:sz="4" w:space="0"/>
            </w:tcBorders>
            <w:vAlign w:val="center"/>
          </w:tcPr>
          <w:p w14:paraId="11D7BA4A">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643" w:type="pct"/>
            <w:tcBorders>
              <w:top w:val="single" w:color="auto" w:sz="4" w:space="0"/>
              <w:left w:val="nil"/>
              <w:bottom w:val="single" w:color="auto" w:sz="4" w:space="0"/>
              <w:right w:val="single" w:color="auto" w:sz="4" w:space="0"/>
            </w:tcBorders>
            <w:vAlign w:val="center"/>
          </w:tcPr>
          <w:p w14:paraId="1C125851">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33345168">
        <w:tblPrEx>
          <w:tblCellMar>
            <w:top w:w="0" w:type="dxa"/>
            <w:left w:w="108" w:type="dxa"/>
            <w:bottom w:w="0" w:type="dxa"/>
            <w:right w:w="108" w:type="dxa"/>
          </w:tblCellMar>
        </w:tblPrEx>
        <w:trPr>
          <w:trHeight w:val="270" w:hRule="atLeast"/>
          <w:jc w:val="center"/>
        </w:trPr>
        <w:tc>
          <w:tcPr>
            <w:tcW w:w="987" w:type="pct"/>
            <w:tcBorders>
              <w:top w:val="nil"/>
              <w:left w:val="single" w:color="auto" w:sz="4" w:space="0"/>
              <w:bottom w:val="single" w:color="auto" w:sz="4" w:space="0"/>
              <w:right w:val="single" w:color="auto" w:sz="4" w:space="0"/>
            </w:tcBorders>
            <w:vAlign w:val="bottom"/>
          </w:tcPr>
          <w:p w14:paraId="6038A70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862" w:type="pct"/>
            <w:tcBorders>
              <w:top w:val="nil"/>
              <w:left w:val="nil"/>
              <w:bottom w:val="single" w:color="auto" w:sz="4" w:space="0"/>
              <w:right w:val="single" w:color="auto" w:sz="4" w:space="0"/>
            </w:tcBorders>
            <w:vAlign w:val="center"/>
          </w:tcPr>
          <w:p w14:paraId="786BFE72">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620D4BE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3324E94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998" w:type="pct"/>
            <w:tcBorders>
              <w:top w:val="nil"/>
              <w:left w:val="nil"/>
              <w:bottom w:val="single" w:color="auto" w:sz="4" w:space="0"/>
              <w:right w:val="single" w:color="auto" w:sz="4" w:space="0"/>
            </w:tcBorders>
            <w:vAlign w:val="center"/>
          </w:tcPr>
          <w:p w14:paraId="2A1724C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643" w:type="pct"/>
            <w:tcBorders>
              <w:top w:val="nil"/>
              <w:left w:val="nil"/>
              <w:bottom w:val="single" w:color="auto" w:sz="4" w:space="0"/>
              <w:right w:val="single" w:color="auto" w:sz="4" w:space="0"/>
            </w:tcBorders>
            <w:vAlign w:val="center"/>
          </w:tcPr>
          <w:p w14:paraId="54EA14FF">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78165FD7">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923C34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862" w:type="pct"/>
            <w:tcBorders>
              <w:top w:val="nil"/>
              <w:left w:val="nil"/>
              <w:bottom w:val="single" w:color="auto" w:sz="4" w:space="0"/>
              <w:right w:val="single" w:color="auto" w:sz="4" w:space="0"/>
            </w:tcBorders>
            <w:vAlign w:val="center"/>
          </w:tcPr>
          <w:p w14:paraId="6C07FD2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098759A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2887DE3F">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998" w:type="pct"/>
            <w:tcBorders>
              <w:top w:val="nil"/>
              <w:left w:val="nil"/>
              <w:bottom w:val="single" w:color="auto" w:sz="4" w:space="0"/>
              <w:right w:val="single" w:color="auto" w:sz="4" w:space="0"/>
            </w:tcBorders>
            <w:vAlign w:val="center"/>
          </w:tcPr>
          <w:p w14:paraId="7F65EAA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643" w:type="pct"/>
            <w:tcBorders>
              <w:top w:val="nil"/>
              <w:left w:val="nil"/>
              <w:bottom w:val="single" w:color="auto" w:sz="4" w:space="0"/>
              <w:right w:val="single" w:color="auto" w:sz="4" w:space="0"/>
            </w:tcBorders>
            <w:vAlign w:val="center"/>
          </w:tcPr>
          <w:p w14:paraId="03E80BB9">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29D549FD">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0D67BEAF">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600AF18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1EE18D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4E10B54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998" w:type="pct"/>
            <w:tcBorders>
              <w:top w:val="nil"/>
              <w:left w:val="nil"/>
              <w:bottom w:val="single" w:color="auto" w:sz="4" w:space="0"/>
              <w:right w:val="single" w:color="auto" w:sz="4" w:space="0"/>
            </w:tcBorders>
            <w:vAlign w:val="center"/>
          </w:tcPr>
          <w:p w14:paraId="7206DECC">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643" w:type="pct"/>
            <w:tcBorders>
              <w:top w:val="nil"/>
              <w:left w:val="nil"/>
              <w:bottom w:val="single" w:color="auto" w:sz="4" w:space="0"/>
              <w:right w:val="single" w:color="auto" w:sz="4" w:space="0"/>
            </w:tcBorders>
            <w:vAlign w:val="center"/>
          </w:tcPr>
          <w:p w14:paraId="0C9E23EF">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0FDEE9E5">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684314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862" w:type="pct"/>
            <w:tcBorders>
              <w:top w:val="nil"/>
              <w:left w:val="nil"/>
              <w:bottom w:val="single" w:color="auto" w:sz="4" w:space="0"/>
              <w:right w:val="single" w:color="auto" w:sz="4" w:space="0"/>
            </w:tcBorders>
            <w:vAlign w:val="center"/>
          </w:tcPr>
          <w:p w14:paraId="486407E7">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408FF3EC">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6D8D77C1">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998" w:type="pct"/>
            <w:tcBorders>
              <w:top w:val="nil"/>
              <w:left w:val="nil"/>
              <w:bottom w:val="single" w:color="auto" w:sz="4" w:space="0"/>
              <w:right w:val="single" w:color="auto" w:sz="4" w:space="0"/>
            </w:tcBorders>
            <w:vAlign w:val="center"/>
          </w:tcPr>
          <w:p w14:paraId="67380AD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643" w:type="pct"/>
            <w:tcBorders>
              <w:top w:val="nil"/>
              <w:left w:val="nil"/>
              <w:bottom w:val="single" w:color="auto" w:sz="4" w:space="0"/>
              <w:right w:val="single" w:color="auto" w:sz="4" w:space="0"/>
            </w:tcBorders>
            <w:vAlign w:val="center"/>
          </w:tcPr>
          <w:p w14:paraId="6C04D150">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03A40F4A">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75BFA52B">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54305E8D">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573" w:type="pct"/>
            <w:tcBorders>
              <w:top w:val="nil"/>
              <w:left w:val="nil"/>
              <w:bottom w:val="single" w:color="auto" w:sz="4" w:space="0"/>
              <w:right w:val="single" w:color="auto" w:sz="4" w:space="0"/>
            </w:tcBorders>
            <w:vAlign w:val="center"/>
          </w:tcPr>
          <w:p w14:paraId="5EA831D8">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758D178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998" w:type="pct"/>
            <w:tcBorders>
              <w:top w:val="nil"/>
              <w:left w:val="nil"/>
              <w:bottom w:val="single" w:color="auto" w:sz="4" w:space="0"/>
              <w:right w:val="single" w:color="auto" w:sz="4" w:space="0"/>
            </w:tcBorders>
            <w:vAlign w:val="center"/>
          </w:tcPr>
          <w:p w14:paraId="40CBF9F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643" w:type="pct"/>
            <w:tcBorders>
              <w:top w:val="nil"/>
              <w:left w:val="nil"/>
              <w:bottom w:val="single" w:color="auto" w:sz="4" w:space="0"/>
              <w:right w:val="single" w:color="auto" w:sz="4" w:space="0"/>
            </w:tcBorders>
            <w:vAlign w:val="center"/>
          </w:tcPr>
          <w:p w14:paraId="6C408E68">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5D86D787">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47EB45C0">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862" w:type="pct"/>
            <w:tcBorders>
              <w:top w:val="nil"/>
              <w:left w:val="nil"/>
              <w:bottom w:val="single" w:color="auto" w:sz="4" w:space="0"/>
              <w:right w:val="single" w:color="auto" w:sz="4" w:space="0"/>
            </w:tcBorders>
            <w:vAlign w:val="center"/>
          </w:tcPr>
          <w:p w14:paraId="27DFB59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4C46F9D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59EC651B">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998" w:type="pct"/>
            <w:tcBorders>
              <w:top w:val="nil"/>
              <w:left w:val="nil"/>
              <w:bottom w:val="single" w:color="auto" w:sz="4" w:space="0"/>
              <w:right w:val="single" w:color="auto" w:sz="4" w:space="0"/>
            </w:tcBorders>
            <w:vAlign w:val="center"/>
          </w:tcPr>
          <w:p w14:paraId="5CEFA422">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643" w:type="pct"/>
            <w:tcBorders>
              <w:top w:val="nil"/>
              <w:left w:val="nil"/>
              <w:bottom w:val="single" w:color="auto" w:sz="4" w:space="0"/>
              <w:right w:val="single" w:color="auto" w:sz="4" w:space="0"/>
            </w:tcBorders>
            <w:vAlign w:val="center"/>
          </w:tcPr>
          <w:p w14:paraId="707898B2">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6DCFF975">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1907416B">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46656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3ACDC9BC">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03C10A77">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998" w:type="pct"/>
            <w:tcBorders>
              <w:top w:val="nil"/>
              <w:left w:val="nil"/>
              <w:bottom w:val="single" w:color="auto" w:sz="4" w:space="0"/>
              <w:right w:val="single" w:color="auto" w:sz="4" w:space="0"/>
            </w:tcBorders>
            <w:vAlign w:val="center"/>
          </w:tcPr>
          <w:p w14:paraId="1FBB308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643" w:type="pct"/>
            <w:tcBorders>
              <w:top w:val="nil"/>
              <w:left w:val="nil"/>
              <w:bottom w:val="single" w:color="auto" w:sz="4" w:space="0"/>
              <w:right w:val="single" w:color="auto" w:sz="4" w:space="0"/>
            </w:tcBorders>
            <w:vAlign w:val="center"/>
          </w:tcPr>
          <w:p w14:paraId="6B42695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28D7F74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5EA1E90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862" w:type="pct"/>
            <w:tcBorders>
              <w:top w:val="nil"/>
              <w:left w:val="nil"/>
              <w:bottom w:val="single" w:color="auto" w:sz="4" w:space="0"/>
              <w:right w:val="single" w:color="auto" w:sz="4" w:space="0"/>
            </w:tcBorders>
            <w:vAlign w:val="center"/>
          </w:tcPr>
          <w:p w14:paraId="04757E3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2A77170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35BB8A10">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998" w:type="pct"/>
            <w:tcBorders>
              <w:top w:val="nil"/>
              <w:left w:val="nil"/>
              <w:bottom w:val="single" w:color="auto" w:sz="4" w:space="0"/>
              <w:right w:val="single" w:color="auto" w:sz="4" w:space="0"/>
            </w:tcBorders>
            <w:vAlign w:val="center"/>
          </w:tcPr>
          <w:p w14:paraId="76AC60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643" w:type="pct"/>
            <w:tcBorders>
              <w:top w:val="nil"/>
              <w:left w:val="nil"/>
              <w:bottom w:val="single" w:color="auto" w:sz="4" w:space="0"/>
              <w:right w:val="single" w:color="auto" w:sz="4" w:space="0"/>
            </w:tcBorders>
            <w:vAlign w:val="center"/>
          </w:tcPr>
          <w:p w14:paraId="4E0B76C3">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4975E61">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00360982">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341761DF">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001270D9">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5E7FE59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998" w:type="pct"/>
            <w:tcBorders>
              <w:top w:val="nil"/>
              <w:left w:val="nil"/>
              <w:bottom w:val="single" w:color="auto" w:sz="4" w:space="0"/>
              <w:right w:val="single" w:color="auto" w:sz="4" w:space="0"/>
            </w:tcBorders>
            <w:vAlign w:val="center"/>
          </w:tcPr>
          <w:p w14:paraId="6B98750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643" w:type="pct"/>
            <w:tcBorders>
              <w:top w:val="nil"/>
              <w:left w:val="nil"/>
              <w:bottom w:val="single" w:color="auto" w:sz="4" w:space="0"/>
              <w:right w:val="single" w:color="auto" w:sz="4" w:space="0"/>
            </w:tcBorders>
            <w:vAlign w:val="center"/>
          </w:tcPr>
          <w:p w14:paraId="52CE6F7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A671839">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4E0C9EE2">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862" w:type="pct"/>
            <w:tcBorders>
              <w:top w:val="nil"/>
              <w:left w:val="nil"/>
              <w:bottom w:val="single" w:color="auto" w:sz="4" w:space="0"/>
              <w:right w:val="single" w:color="auto" w:sz="4" w:space="0"/>
            </w:tcBorders>
            <w:vAlign w:val="center"/>
          </w:tcPr>
          <w:p w14:paraId="5538104D">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62D64FC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52BEB3FF">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998" w:type="pct"/>
            <w:tcBorders>
              <w:top w:val="nil"/>
              <w:left w:val="nil"/>
              <w:bottom w:val="single" w:color="auto" w:sz="4" w:space="0"/>
              <w:right w:val="single" w:color="auto" w:sz="4" w:space="0"/>
            </w:tcBorders>
            <w:vAlign w:val="center"/>
          </w:tcPr>
          <w:p w14:paraId="790C146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643" w:type="pct"/>
            <w:tcBorders>
              <w:top w:val="nil"/>
              <w:left w:val="nil"/>
              <w:bottom w:val="single" w:color="auto" w:sz="4" w:space="0"/>
              <w:right w:val="single" w:color="auto" w:sz="4" w:space="0"/>
            </w:tcBorders>
            <w:vAlign w:val="center"/>
          </w:tcPr>
          <w:p w14:paraId="5F779A4B">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4B9028AD">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3019088B">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4B697B1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28A2E1F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0BC4843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998" w:type="pct"/>
            <w:tcBorders>
              <w:top w:val="nil"/>
              <w:left w:val="nil"/>
              <w:bottom w:val="single" w:color="auto" w:sz="4" w:space="0"/>
              <w:right w:val="single" w:color="auto" w:sz="4" w:space="0"/>
            </w:tcBorders>
            <w:vAlign w:val="center"/>
          </w:tcPr>
          <w:p w14:paraId="0D105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643" w:type="pct"/>
            <w:tcBorders>
              <w:top w:val="nil"/>
              <w:left w:val="nil"/>
              <w:bottom w:val="single" w:color="auto" w:sz="4" w:space="0"/>
              <w:right w:val="single" w:color="auto" w:sz="4" w:space="0"/>
            </w:tcBorders>
            <w:vAlign w:val="center"/>
          </w:tcPr>
          <w:p w14:paraId="46126A98">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50392BA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4755E6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862" w:type="pct"/>
            <w:tcBorders>
              <w:top w:val="nil"/>
              <w:left w:val="nil"/>
              <w:bottom w:val="single" w:color="auto" w:sz="4" w:space="0"/>
              <w:right w:val="single" w:color="auto" w:sz="4" w:space="0"/>
            </w:tcBorders>
            <w:vAlign w:val="center"/>
          </w:tcPr>
          <w:p w14:paraId="55B42C7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7C1A221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119B0F9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998" w:type="pct"/>
            <w:tcBorders>
              <w:top w:val="nil"/>
              <w:left w:val="nil"/>
              <w:bottom w:val="single" w:color="auto" w:sz="4" w:space="0"/>
              <w:right w:val="single" w:color="auto" w:sz="4" w:space="0"/>
            </w:tcBorders>
            <w:vAlign w:val="center"/>
          </w:tcPr>
          <w:p w14:paraId="04B3080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643" w:type="pct"/>
            <w:tcBorders>
              <w:top w:val="nil"/>
              <w:left w:val="nil"/>
              <w:bottom w:val="single" w:color="auto" w:sz="4" w:space="0"/>
              <w:right w:val="single" w:color="auto" w:sz="4" w:space="0"/>
            </w:tcBorders>
            <w:vAlign w:val="center"/>
          </w:tcPr>
          <w:p w14:paraId="6347B009">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0770B3F1">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3C4C6C1A">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5ADBF16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42C882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213A24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998" w:type="pct"/>
            <w:tcBorders>
              <w:top w:val="nil"/>
              <w:left w:val="nil"/>
              <w:bottom w:val="single" w:color="auto" w:sz="4" w:space="0"/>
              <w:right w:val="single" w:color="auto" w:sz="4" w:space="0"/>
            </w:tcBorders>
            <w:vAlign w:val="center"/>
          </w:tcPr>
          <w:p w14:paraId="4E9BD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643" w:type="pct"/>
            <w:tcBorders>
              <w:top w:val="nil"/>
              <w:left w:val="nil"/>
              <w:bottom w:val="single" w:color="auto" w:sz="4" w:space="0"/>
              <w:right w:val="single" w:color="auto" w:sz="4" w:space="0"/>
            </w:tcBorders>
            <w:vAlign w:val="center"/>
          </w:tcPr>
          <w:p w14:paraId="4AB7C79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20AF3C3C">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09B3CDF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862" w:type="pct"/>
            <w:tcBorders>
              <w:top w:val="nil"/>
              <w:left w:val="nil"/>
              <w:bottom w:val="single" w:color="auto" w:sz="4" w:space="0"/>
              <w:right w:val="single" w:color="auto" w:sz="4" w:space="0"/>
            </w:tcBorders>
            <w:vAlign w:val="center"/>
          </w:tcPr>
          <w:p w14:paraId="51F2278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51E3E8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2F48F091">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998" w:type="pct"/>
            <w:tcBorders>
              <w:top w:val="nil"/>
              <w:left w:val="nil"/>
              <w:bottom w:val="single" w:color="auto" w:sz="4" w:space="0"/>
              <w:right w:val="single" w:color="auto" w:sz="4" w:space="0"/>
            </w:tcBorders>
            <w:vAlign w:val="center"/>
          </w:tcPr>
          <w:p w14:paraId="1C41C1F8">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643" w:type="pct"/>
            <w:tcBorders>
              <w:top w:val="nil"/>
              <w:left w:val="nil"/>
              <w:bottom w:val="single" w:color="auto" w:sz="4" w:space="0"/>
              <w:right w:val="single" w:color="auto" w:sz="4" w:space="0"/>
            </w:tcBorders>
            <w:vAlign w:val="center"/>
          </w:tcPr>
          <w:p w14:paraId="21BB120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0651A88A">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7DA68B48">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793A3F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4AB2F0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4DBFD3D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998" w:type="pct"/>
            <w:tcBorders>
              <w:top w:val="nil"/>
              <w:left w:val="nil"/>
              <w:bottom w:val="single" w:color="auto" w:sz="4" w:space="0"/>
              <w:right w:val="single" w:color="auto" w:sz="4" w:space="0"/>
            </w:tcBorders>
            <w:vAlign w:val="center"/>
          </w:tcPr>
          <w:p w14:paraId="532E5A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643" w:type="pct"/>
            <w:tcBorders>
              <w:top w:val="nil"/>
              <w:left w:val="nil"/>
              <w:bottom w:val="single" w:color="auto" w:sz="4" w:space="0"/>
              <w:right w:val="single" w:color="auto" w:sz="4" w:space="0"/>
            </w:tcBorders>
            <w:vAlign w:val="center"/>
          </w:tcPr>
          <w:p w14:paraId="3456F0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9ADB84C">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05BB790C">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862" w:type="pct"/>
            <w:tcBorders>
              <w:top w:val="nil"/>
              <w:left w:val="nil"/>
              <w:bottom w:val="single" w:color="auto" w:sz="4" w:space="0"/>
              <w:right w:val="single" w:color="auto" w:sz="4" w:space="0"/>
            </w:tcBorders>
            <w:vAlign w:val="center"/>
          </w:tcPr>
          <w:p w14:paraId="041F7CB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46FFD9D6">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6054B56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998" w:type="pct"/>
            <w:tcBorders>
              <w:top w:val="nil"/>
              <w:left w:val="nil"/>
              <w:bottom w:val="single" w:color="auto" w:sz="4" w:space="0"/>
              <w:right w:val="single" w:color="auto" w:sz="4" w:space="0"/>
            </w:tcBorders>
            <w:vAlign w:val="center"/>
          </w:tcPr>
          <w:p w14:paraId="2CC0991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643" w:type="pct"/>
            <w:tcBorders>
              <w:top w:val="nil"/>
              <w:left w:val="nil"/>
              <w:bottom w:val="single" w:color="auto" w:sz="4" w:space="0"/>
              <w:right w:val="single" w:color="auto" w:sz="4" w:space="0"/>
            </w:tcBorders>
            <w:vAlign w:val="center"/>
          </w:tcPr>
          <w:p w14:paraId="73BD212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7DDA930">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58842170">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600399C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052E79A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62FE9F4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998" w:type="pct"/>
            <w:tcBorders>
              <w:top w:val="nil"/>
              <w:left w:val="nil"/>
              <w:bottom w:val="single" w:color="auto" w:sz="4" w:space="0"/>
              <w:right w:val="single" w:color="auto" w:sz="4" w:space="0"/>
            </w:tcBorders>
            <w:vAlign w:val="center"/>
          </w:tcPr>
          <w:p w14:paraId="5D31B19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643" w:type="pct"/>
            <w:tcBorders>
              <w:top w:val="nil"/>
              <w:left w:val="nil"/>
              <w:bottom w:val="single" w:color="auto" w:sz="4" w:space="0"/>
              <w:right w:val="single" w:color="auto" w:sz="4" w:space="0"/>
            </w:tcBorders>
            <w:vAlign w:val="center"/>
          </w:tcPr>
          <w:p w14:paraId="56781580">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16547F1">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6DB080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862" w:type="pct"/>
            <w:tcBorders>
              <w:top w:val="nil"/>
              <w:left w:val="nil"/>
              <w:bottom w:val="single" w:color="auto" w:sz="4" w:space="0"/>
              <w:right w:val="single" w:color="auto" w:sz="4" w:space="0"/>
            </w:tcBorders>
            <w:vAlign w:val="center"/>
          </w:tcPr>
          <w:p w14:paraId="273FE96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59E9E1F8">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7C8EC0D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998" w:type="pct"/>
            <w:tcBorders>
              <w:top w:val="nil"/>
              <w:left w:val="nil"/>
              <w:bottom w:val="single" w:color="auto" w:sz="4" w:space="0"/>
              <w:right w:val="single" w:color="auto" w:sz="4" w:space="0"/>
            </w:tcBorders>
            <w:vAlign w:val="center"/>
          </w:tcPr>
          <w:p w14:paraId="0B8982A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643" w:type="pct"/>
            <w:tcBorders>
              <w:top w:val="nil"/>
              <w:left w:val="nil"/>
              <w:bottom w:val="single" w:color="auto" w:sz="4" w:space="0"/>
              <w:right w:val="single" w:color="auto" w:sz="4" w:space="0"/>
            </w:tcBorders>
            <w:vAlign w:val="center"/>
          </w:tcPr>
          <w:p w14:paraId="356511B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5D769BB">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25858D58">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0F8C239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0E3D324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5CBF942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998" w:type="pct"/>
            <w:tcBorders>
              <w:top w:val="nil"/>
              <w:left w:val="nil"/>
              <w:bottom w:val="single" w:color="auto" w:sz="4" w:space="0"/>
              <w:right w:val="single" w:color="auto" w:sz="4" w:space="0"/>
            </w:tcBorders>
            <w:vAlign w:val="center"/>
          </w:tcPr>
          <w:p w14:paraId="3CA31B4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643" w:type="pct"/>
            <w:tcBorders>
              <w:top w:val="nil"/>
              <w:left w:val="nil"/>
              <w:bottom w:val="single" w:color="auto" w:sz="4" w:space="0"/>
              <w:right w:val="single" w:color="auto" w:sz="4" w:space="0"/>
            </w:tcBorders>
            <w:vAlign w:val="center"/>
          </w:tcPr>
          <w:p w14:paraId="585B68FC">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E22C41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4001122">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862" w:type="pct"/>
            <w:tcBorders>
              <w:top w:val="nil"/>
              <w:left w:val="nil"/>
              <w:bottom w:val="single" w:color="auto" w:sz="4" w:space="0"/>
              <w:right w:val="single" w:color="auto" w:sz="4" w:space="0"/>
            </w:tcBorders>
            <w:vAlign w:val="center"/>
          </w:tcPr>
          <w:p w14:paraId="419E3C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6E7ABA5E">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754C94C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998" w:type="pct"/>
            <w:tcBorders>
              <w:top w:val="nil"/>
              <w:left w:val="nil"/>
              <w:bottom w:val="single" w:color="auto" w:sz="4" w:space="0"/>
              <w:right w:val="single" w:color="auto" w:sz="4" w:space="0"/>
            </w:tcBorders>
            <w:vAlign w:val="center"/>
          </w:tcPr>
          <w:p w14:paraId="15F5184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643" w:type="pct"/>
            <w:tcBorders>
              <w:top w:val="nil"/>
              <w:left w:val="nil"/>
              <w:bottom w:val="single" w:color="auto" w:sz="4" w:space="0"/>
              <w:right w:val="single" w:color="auto" w:sz="4" w:space="0"/>
            </w:tcBorders>
            <w:vAlign w:val="center"/>
          </w:tcPr>
          <w:p w14:paraId="76B0F7E3">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F9C491D">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16C96D51">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4873708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0FAFC18F">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64A1435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998" w:type="pct"/>
            <w:tcBorders>
              <w:top w:val="nil"/>
              <w:left w:val="nil"/>
              <w:bottom w:val="single" w:color="auto" w:sz="4" w:space="0"/>
              <w:right w:val="single" w:color="auto" w:sz="4" w:space="0"/>
            </w:tcBorders>
            <w:vAlign w:val="center"/>
          </w:tcPr>
          <w:p w14:paraId="19A264BD">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643" w:type="pct"/>
            <w:tcBorders>
              <w:top w:val="nil"/>
              <w:left w:val="nil"/>
              <w:bottom w:val="single" w:color="auto" w:sz="4" w:space="0"/>
              <w:right w:val="single" w:color="auto" w:sz="4" w:space="0"/>
            </w:tcBorders>
            <w:vAlign w:val="center"/>
          </w:tcPr>
          <w:p w14:paraId="05FF563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47FC4EF3">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19ADA70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862" w:type="pct"/>
            <w:tcBorders>
              <w:top w:val="nil"/>
              <w:left w:val="nil"/>
              <w:bottom w:val="single" w:color="auto" w:sz="4" w:space="0"/>
              <w:right w:val="single" w:color="auto" w:sz="4" w:space="0"/>
            </w:tcBorders>
            <w:vAlign w:val="center"/>
          </w:tcPr>
          <w:p w14:paraId="35EE0BB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08453B1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62F88445">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998" w:type="pct"/>
            <w:tcBorders>
              <w:top w:val="nil"/>
              <w:left w:val="nil"/>
              <w:bottom w:val="single" w:color="auto" w:sz="4" w:space="0"/>
              <w:right w:val="single" w:color="auto" w:sz="4" w:space="0"/>
            </w:tcBorders>
            <w:vAlign w:val="center"/>
          </w:tcPr>
          <w:p w14:paraId="72F73DA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643" w:type="pct"/>
            <w:tcBorders>
              <w:top w:val="nil"/>
              <w:left w:val="nil"/>
              <w:bottom w:val="single" w:color="auto" w:sz="4" w:space="0"/>
              <w:right w:val="single" w:color="auto" w:sz="4" w:space="0"/>
            </w:tcBorders>
            <w:vAlign w:val="center"/>
          </w:tcPr>
          <w:p w14:paraId="12043F4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02AEEB">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356D970C">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484867DF">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1CC5BEE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6939D5D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998" w:type="pct"/>
            <w:tcBorders>
              <w:top w:val="nil"/>
              <w:left w:val="nil"/>
              <w:bottom w:val="single" w:color="auto" w:sz="4" w:space="0"/>
              <w:right w:val="single" w:color="auto" w:sz="4" w:space="0"/>
            </w:tcBorders>
            <w:vAlign w:val="center"/>
          </w:tcPr>
          <w:p w14:paraId="6ACEB50F">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643" w:type="pct"/>
            <w:tcBorders>
              <w:top w:val="nil"/>
              <w:left w:val="nil"/>
              <w:bottom w:val="single" w:color="auto" w:sz="4" w:space="0"/>
              <w:right w:val="single" w:color="auto" w:sz="4" w:space="0"/>
            </w:tcBorders>
            <w:vAlign w:val="center"/>
          </w:tcPr>
          <w:p w14:paraId="1704F39E">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5170B6B5">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65FD41E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862" w:type="pct"/>
            <w:tcBorders>
              <w:top w:val="nil"/>
              <w:left w:val="nil"/>
              <w:bottom w:val="single" w:color="auto" w:sz="4" w:space="0"/>
              <w:right w:val="single" w:color="auto" w:sz="4" w:space="0"/>
            </w:tcBorders>
            <w:vAlign w:val="center"/>
          </w:tcPr>
          <w:p w14:paraId="3FD59D7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0106F60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03199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998" w:type="pct"/>
            <w:tcBorders>
              <w:top w:val="nil"/>
              <w:left w:val="nil"/>
              <w:bottom w:val="single" w:color="auto" w:sz="4" w:space="0"/>
              <w:right w:val="single" w:color="auto" w:sz="4" w:space="0"/>
            </w:tcBorders>
            <w:vAlign w:val="center"/>
          </w:tcPr>
          <w:p w14:paraId="06E6709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643" w:type="pct"/>
            <w:tcBorders>
              <w:top w:val="nil"/>
              <w:left w:val="nil"/>
              <w:bottom w:val="single" w:color="auto" w:sz="4" w:space="0"/>
              <w:right w:val="single" w:color="auto" w:sz="4" w:space="0"/>
            </w:tcBorders>
            <w:vAlign w:val="center"/>
          </w:tcPr>
          <w:p w14:paraId="517A0723">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310C8C3E">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6C1E1B30">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5A05EDAF">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573" w:type="pct"/>
            <w:tcBorders>
              <w:top w:val="nil"/>
              <w:left w:val="nil"/>
              <w:bottom w:val="single" w:color="auto" w:sz="4" w:space="0"/>
              <w:right w:val="single" w:color="auto" w:sz="4" w:space="0"/>
            </w:tcBorders>
            <w:vAlign w:val="center"/>
          </w:tcPr>
          <w:p w14:paraId="307C261F">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25CF3B0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998" w:type="pct"/>
            <w:tcBorders>
              <w:top w:val="nil"/>
              <w:left w:val="nil"/>
              <w:bottom w:val="single" w:color="auto" w:sz="4" w:space="0"/>
              <w:right w:val="single" w:color="auto" w:sz="4" w:space="0"/>
            </w:tcBorders>
            <w:vAlign w:val="center"/>
          </w:tcPr>
          <w:p w14:paraId="1A18EF4A">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643" w:type="pct"/>
            <w:tcBorders>
              <w:top w:val="nil"/>
              <w:left w:val="nil"/>
              <w:bottom w:val="single" w:color="auto" w:sz="4" w:space="0"/>
              <w:right w:val="single" w:color="auto" w:sz="4" w:space="0"/>
            </w:tcBorders>
            <w:vAlign w:val="center"/>
          </w:tcPr>
          <w:p w14:paraId="49A098A3">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1AF88DC4">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496CF6F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862" w:type="pct"/>
            <w:tcBorders>
              <w:top w:val="nil"/>
              <w:left w:val="nil"/>
              <w:bottom w:val="single" w:color="auto" w:sz="4" w:space="0"/>
              <w:right w:val="single" w:color="auto" w:sz="4" w:space="0"/>
            </w:tcBorders>
            <w:vAlign w:val="center"/>
          </w:tcPr>
          <w:p w14:paraId="744C719F">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33AFCA90">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79FABC11">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998" w:type="pct"/>
            <w:tcBorders>
              <w:top w:val="nil"/>
              <w:left w:val="nil"/>
              <w:bottom w:val="single" w:color="auto" w:sz="4" w:space="0"/>
              <w:right w:val="single" w:color="auto" w:sz="4" w:space="0"/>
            </w:tcBorders>
            <w:vAlign w:val="center"/>
          </w:tcPr>
          <w:p w14:paraId="230DDC8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643" w:type="pct"/>
            <w:tcBorders>
              <w:top w:val="nil"/>
              <w:left w:val="nil"/>
              <w:bottom w:val="single" w:color="auto" w:sz="4" w:space="0"/>
              <w:right w:val="single" w:color="auto" w:sz="4" w:space="0"/>
            </w:tcBorders>
            <w:vAlign w:val="center"/>
          </w:tcPr>
          <w:p w14:paraId="65D0EBF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17384DC9">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4C634C6D">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1877E298">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573" w:type="pct"/>
            <w:tcBorders>
              <w:top w:val="nil"/>
              <w:left w:val="nil"/>
              <w:bottom w:val="single" w:color="auto" w:sz="4" w:space="0"/>
              <w:right w:val="single" w:color="auto" w:sz="4" w:space="0"/>
            </w:tcBorders>
            <w:vAlign w:val="center"/>
          </w:tcPr>
          <w:p w14:paraId="4A3C916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10A2C80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998" w:type="pct"/>
            <w:tcBorders>
              <w:top w:val="nil"/>
              <w:left w:val="nil"/>
              <w:bottom w:val="single" w:color="auto" w:sz="4" w:space="0"/>
              <w:right w:val="single" w:color="auto" w:sz="4" w:space="0"/>
            </w:tcBorders>
            <w:vAlign w:val="center"/>
          </w:tcPr>
          <w:p w14:paraId="4FE0837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643" w:type="pct"/>
            <w:tcBorders>
              <w:top w:val="nil"/>
              <w:left w:val="nil"/>
              <w:bottom w:val="single" w:color="auto" w:sz="4" w:space="0"/>
              <w:right w:val="single" w:color="auto" w:sz="4" w:space="0"/>
            </w:tcBorders>
            <w:vAlign w:val="center"/>
          </w:tcPr>
          <w:p w14:paraId="731F6A27">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44BE2D4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660CD5FC">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862" w:type="pct"/>
            <w:tcBorders>
              <w:top w:val="nil"/>
              <w:left w:val="nil"/>
              <w:bottom w:val="single" w:color="auto" w:sz="4" w:space="0"/>
              <w:right w:val="single" w:color="auto" w:sz="4" w:space="0"/>
            </w:tcBorders>
            <w:vAlign w:val="center"/>
          </w:tcPr>
          <w:p w14:paraId="157A06B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055FFF4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4ED1497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998" w:type="pct"/>
            <w:tcBorders>
              <w:top w:val="nil"/>
              <w:left w:val="nil"/>
              <w:bottom w:val="single" w:color="auto" w:sz="4" w:space="0"/>
              <w:right w:val="single" w:color="auto" w:sz="4" w:space="0"/>
            </w:tcBorders>
            <w:vAlign w:val="center"/>
          </w:tcPr>
          <w:p w14:paraId="4DFC520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643" w:type="pct"/>
            <w:tcBorders>
              <w:top w:val="nil"/>
              <w:left w:val="nil"/>
              <w:bottom w:val="single" w:color="auto" w:sz="4" w:space="0"/>
              <w:right w:val="single" w:color="auto" w:sz="4" w:space="0"/>
            </w:tcBorders>
            <w:vAlign w:val="center"/>
          </w:tcPr>
          <w:p w14:paraId="63E434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4E3EFA1">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4EDBA10F">
            <w:pPr>
              <w:widowControl/>
              <w:jc w:val="left"/>
              <w:rPr>
                <w:rFonts w:hint="eastAsia" w:ascii="宋体" w:hAnsi="宋体" w:cs="宋体"/>
                <w:color w:val="auto"/>
                <w:szCs w:val="21"/>
                <w:highlight w:val="none"/>
              </w:rPr>
            </w:pPr>
          </w:p>
        </w:tc>
        <w:tc>
          <w:tcPr>
            <w:tcW w:w="862" w:type="pct"/>
            <w:tcBorders>
              <w:top w:val="nil"/>
              <w:left w:val="nil"/>
              <w:bottom w:val="single" w:color="auto" w:sz="4" w:space="0"/>
              <w:right w:val="single" w:color="auto" w:sz="4" w:space="0"/>
            </w:tcBorders>
            <w:vAlign w:val="center"/>
          </w:tcPr>
          <w:p w14:paraId="5ABE92FD">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573" w:type="pct"/>
            <w:tcBorders>
              <w:top w:val="nil"/>
              <w:left w:val="nil"/>
              <w:bottom w:val="single" w:color="auto" w:sz="4" w:space="0"/>
              <w:right w:val="single" w:color="auto" w:sz="4" w:space="0"/>
            </w:tcBorders>
            <w:vAlign w:val="center"/>
          </w:tcPr>
          <w:p w14:paraId="5C19EC3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935" w:type="pct"/>
            <w:tcBorders>
              <w:top w:val="nil"/>
              <w:left w:val="nil"/>
              <w:bottom w:val="single" w:color="auto" w:sz="4" w:space="0"/>
              <w:right w:val="single" w:color="auto" w:sz="4" w:space="0"/>
            </w:tcBorders>
            <w:vAlign w:val="center"/>
          </w:tcPr>
          <w:p w14:paraId="6988FBC9">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998" w:type="pct"/>
            <w:tcBorders>
              <w:top w:val="nil"/>
              <w:left w:val="nil"/>
              <w:bottom w:val="single" w:color="auto" w:sz="4" w:space="0"/>
              <w:right w:val="single" w:color="auto" w:sz="4" w:space="0"/>
            </w:tcBorders>
            <w:vAlign w:val="center"/>
          </w:tcPr>
          <w:p w14:paraId="47303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643" w:type="pct"/>
            <w:tcBorders>
              <w:top w:val="nil"/>
              <w:left w:val="nil"/>
              <w:bottom w:val="single" w:color="auto" w:sz="4" w:space="0"/>
              <w:right w:val="single" w:color="auto" w:sz="4" w:space="0"/>
            </w:tcBorders>
            <w:vAlign w:val="center"/>
          </w:tcPr>
          <w:p w14:paraId="1EFFC2E1">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5060D83A">
        <w:tblPrEx>
          <w:tblCellMar>
            <w:top w:w="0" w:type="dxa"/>
            <w:left w:w="108" w:type="dxa"/>
            <w:bottom w:w="0" w:type="dxa"/>
            <w:right w:w="108" w:type="dxa"/>
          </w:tblCellMar>
        </w:tblPrEx>
        <w:trPr>
          <w:trHeight w:val="540" w:hRule="atLeast"/>
          <w:jc w:val="center"/>
        </w:trPr>
        <w:tc>
          <w:tcPr>
            <w:tcW w:w="987" w:type="pct"/>
            <w:tcBorders>
              <w:top w:val="nil"/>
              <w:left w:val="single" w:color="auto" w:sz="4" w:space="0"/>
              <w:bottom w:val="single" w:color="auto" w:sz="4" w:space="0"/>
              <w:right w:val="single" w:color="auto" w:sz="4" w:space="0"/>
            </w:tcBorders>
            <w:vAlign w:val="bottom"/>
          </w:tcPr>
          <w:p w14:paraId="476CCEA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862" w:type="pct"/>
            <w:tcBorders>
              <w:top w:val="nil"/>
              <w:left w:val="nil"/>
              <w:bottom w:val="single" w:color="auto" w:sz="4" w:space="0"/>
              <w:right w:val="single" w:color="auto" w:sz="4" w:space="0"/>
            </w:tcBorders>
            <w:vAlign w:val="center"/>
          </w:tcPr>
          <w:p w14:paraId="34419E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573" w:type="pct"/>
            <w:tcBorders>
              <w:top w:val="nil"/>
              <w:left w:val="nil"/>
              <w:bottom w:val="single" w:color="auto" w:sz="4" w:space="0"/>
              <w:right w:val="single" w:color="auto" w:sz="4" w:space="0"/>
            </w:tcBorders>
            <w:vAlign w:val="center"/>
          </w:tcPr>
          <w:p w14:paraId="547839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935" w:type="pct"/>
            <w:tcBorders>
              <w:top w:val="nil"/>
              <w:left w:val="nil"/>
              <w:bottom w:val="single" w:color="auto" w:sz="4" w:space="0"/>
              <w:right w:val="single" w:color="auto" w:sz="4" w:space="0"/>
            </w:tcBorders>
            <w:vAlign w:val="center"/>
          </w:tcPr>
          <w:p w14:paraId="235081E5">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998" w:type="pct"/>
            <w:tcBorders>
              <w:top w:val="nil"/>
              <w:left w:val="nil"/>
              <w:bottom w:val="single" w:color="auto" w:sz="4" w:space="0"/>
              <w:right w:val="single" w:color="auto" w:sz="4" w:space="0"/>
            </w:tcBorders>
            <w:vAlign w:val="center"/>
          </w:tcPr>
          <w:p w14:paraId="6293E0E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643" w:type="pct"/>
            <w:tcBorders>
              <w:top w:val="nil"/>
              <w:left w:val="nil"/>
              <w:bottom w:val="single" w:color="auto" w:sz="4" w:space="0"/>
              <w:right w:val="single" w:color="auto" w:sz="4" w:space="0"/>
            </w:tcBorders>
            <w:vAlign w:val="center"/>
          </w:tcPr>
          <w:p w14:paraId="5E28701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2E5419EA">
      <w:pPr>
        <w:pStyle w:val="4"/>
        <w:keepNext w:val="0"/>
        <w:keepLines w:val="0"/>
        <w:tabs>
          <w:tab w:val="left" w:pos="0"/>
          <w:tab w:val="left" w:pos="3165"/>
          <w:tab w:val="center" w:pos="4153"/>
        </w:tabs>
        <w:autoSpaceDE w:val="0"/>
        <w:autoSpaceDN w:val="0"/>
        <w:adjustRightInd w:val="0"/>
        <w:spacing w:before="0" w:after="0" w:line="360" w:lineRule="auto"/>
        <w:jc w:val="center"/>
        <w:rPr>
          <w:color w:val="auto"/>
          <w:sz w:val="24"/>
          <w:szCs w:val="24"/>
          <w:highlight w:val="none"/>
        </w:rPr>
      </w:pPr>
    </w:p>
    <w:p w14:paraId="6B72EE9C">
      <w:pPr>
        <w:pStyle w:val="4"/>
        <w:keepNext w:val="0"/>
        <w:keepLines w:val="0"/>
        <w:tabs>
          <w:tab w:val="left" w:pos="0"/>
          <w:tab w:val="left" w:pos="3165"/>
          <w:tab w:val="center" w:pos="4153"/>
        </w:tabs>
        <w:autoSpaceDE w:val="0"/>
        <w:autoSpaceDN w:val="0"/>
        <w:adjustRightInd w:val="0"/>
        <w:spacing w:before="0" w:after="0" w:line="360" w:lineRule="auto"/>
        <w:jc w:val="left"/>
        <w:rPr>
          <w:rFonts w:hint="eastAsia" w:ascii="宋体" w:hAnsi="宋体" w:cs="宋体"/>
          <w:b w:val="0"/>
          <w:bCs w:val="0"/>
          <w:color w:val="auto"/>
          <w:kern w:val="2"/>
          <w:sz w:val="21"/>
          <w:szCs w:val="21"/>
          <w:highlight w:val="none"/>
        </w:rPr>
      </w:pPr>
      <w:r>
        <w:rPr>
          <w:rFonts w:hint="eastAsia" w:ascii="宋体" w:hAnsi="宋体" w:cs="宋体"/>
          <w:b w:val="0"/>
          <w:bCs w:val="0"/>
          <w:color w:val="auto"/>
          <w:kern w:val="2"/>
          <w:sz w:val="21"/>
          <w:szCs w:val="21"/>
          <w:highlight w:val="none"/>
        </w:rPr>
        <w:t xml:space="preserve">说明：上述标准参照《关于印发中小企业划型标准规定的通知》（工信部联企业[2011]300号），大型、中型和小型企业须同时满足所列指标的下限，否则下划一档；微型企业只须满足所列指标中的一项即可。 </w:t>
      </w:r>
    </w:p>
    <w:p w14:paraId="3338D740">
      <w:pPr>
        <w:pStyle w:val="4"/>
        <w:keepNext w:val="0"/>
        <w:keepLines w:val="0"/>
        <w:tabs>
          <w:tab w:val="left" w:pos="0"/>
          <w:tab w:val="left" w:pos="3165"/>
          <w:tab w:val="center" w:pos="4153"/>
        </w:tabs>
        <w:autoSpaceDE w:val="0"/>
        <w:autoSpaceDN w:val="0"/>
        <w:adjustRightInd w:val="0"/>
        <w:spacing w:before="0" w:after="0" w:line="360" w:lineRule="auto"/>
        <w:jc w:val="center"/>
        <w:rPr>
          <w:color w:val="auto"/>
          <w:highlight w:val="none"/>
        </w:rPr>
      </w:pPr>
      <w:bookmarkStart w:id="41" w:name="_Toc187937695"/>
      <w:r>
        <w:rPr>
          <w:rFonts w:hint="eastAsia"/>
          <w:color w:val="auto"/>
          <w:highlight w:val="none"/>
        </w:rPr>
        <w:t>第三章  投标人须知</w:t>
      </w:r>
      <w:bookmarkEnd w:id="41"/>
    </w:p>
    <w:p w14:paraId="26A68067">
      <w:pPr>
        <w:jc w:val="center"/>
        <w:rPr>
          <w:color w:val="auto"/>
          <w:sz w:val="36"/>
          <w:szCs w:val="36"/>
          <w:highlight w:val="none"/>
        </w:rPr>
      </w:pPr>
      <w:bookmarkStart w:id="42" w:name="_Toc254970667"/>
      <w:bookmarkStart w:id="43" w:name="_Toc254970526"/>
      <w:r>
        <w:rPr>
          <w:rFonts w:hint="eastAsia"/>
          <w:color w:val="auto"/>
          <w:sz w:val="36"/>
          <w:szCs w:val="36"/>
          <w:highlight w:val="none"/>
        </w:rPr>
        <w:t>投标人须知前附表</w:t>
      </w:r>
      <w:bookmarkEnd w:id="42"/>
      <w:bookmarkEnd w:id="43"/>
    </w:p>
    <w:tbl>
      <w:tblPr>
        <w:tblStyle w:val="36"/>
        <w:tblW w:w="499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9"/>
        <w:gridCol w:w="7789"/>
      </w:tblGrid>
      <w:tr w14:paraId="3D541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5C98B433">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条款号</w:t>
            </w:r>
          </w:p>
        </w:tc>
        <w:tc>
          <w:tcPr>
            <w:tcW w:w="4466" w:type="pct"/>
            <w:tcBorders>
              <w:top w:val="single" w:color="auto" w:sz="4" w:space="0"/>
              <w:left w:val="single" w:color="auto" w:sz="4" w:space="0"/>
              <w:bottom w:val="single" w:color="auto" w:sz="4" w:space="0"/>
              <w:right w:val="single" w:color="auto" w:sz="4" w:space="0"/>
            </w:tcBorders>
            <w:vAlign w:val="center"/>
          </w:tcPr>
          <w:p w14:paraId="6945FEFD">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4BEAC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5D06B0E9">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4466" w:type="pct"/>
            <w:tcBorders>
              <w:top w:val="single" w:color="auto" w:sz="4" w:space="0"/>
              <w:left w:val="single" w:color="auto" w:sz="4" w:space="0"/>
              <w:bottom w:val="single" w:color="auto" w:sz="4" w:space="0"/>
              <w:right w:val="single" w:color="auto" w:sz="4" w:space="0"/>
            </w:tcBorders>
            <w:vAlign w:val="center"/>
          </w:tcPr>
          <w:p w14:paraId="64BDC4E4">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5F374E65">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67C76449">
            <w:pPr>
              <w:snapToGrid w:val="0"/>
              <w:spacing w:line="360" w:lineRule="auto"/>
              <w:jc w:val="left"/>
              <w:rPr>
                <w:rFonts w:hint="eastAsia"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75F3E6D">
            <w:pPr>
              <w:snapToGrid w:val="0"/>
              <w:spacing w:line="360" w:lineRule="auto"/>
              <w:jc w:val="left"/>
              <w:rPr>
                <w:rFonts w:hint="eastAsia"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重大税收违法失信主体、政府采购严重违法失信行为记录名单、中国执行信息公开网（https://zxgk.court.gov.cn/）被列入失信被执行人及其他不符合《中华人民共和国政府采购法》第二十二条规定条件的供应商，不得参与政府采购活动。</w:t>
            </w:r>
          </w:p>
        </w:tc>
      </w:tr>
      <w:tr w14:paraId="789B2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094A5851">
            <w:pPr>
              <w:spacing w:line="360" w:lineRule="auto"/>
              <w:jc w:val="center"/>
              <w:rPr>
                <w:rFonts w:hint="eastAsia" w:ascii="宋体" w:hAnsi="宋体"/>
                <w:color w:val="auto"/>
                <w:szCs w:val="21"/>
                <w:highlight w:val="none"/>
              </w:rPr>
            </w:pPr>
            <w:bookmarkStart w:id="44" w:name="_9.2"/>
            <w:bookmarkEnd w:id="44"/>
            <w:bookmarkStart w:id="45" w:name="_8.1"/>
            <w:bookmarkEnd w:id="45"/>
            <w:bookmarkStart w:id="46" w:name="_5"/>
            <w:bookmarkEnd w:id="46"/>
            <w:r>
              <w:rPr>
                <w:rFonts w:hint="eastAsia" w:ascii="宋体" w:hAnsi="宋体"/>
                <w:color w:val="auto"/>
                <w:szCs w:val="21"/>
                <w:highlight w:val="none"/>
              </w:rPr>
              <w:t>6.1</w:t>
            </w:r>
          </w:p>
        </w:tc>
        <w:tc>
          <w:tcPr>
            <w:tcW w:w="4466" w:type="pct"/>
            <w:tcBorders>
              <w:top w:val="single" w:color="auto" w:sz="4" w:space="0"/>
              <w:left w:val="single" w:color="auto" w:sz="4" w:space="0"/>
              <w:bottom w:val="single" w:color="auto" w:sz="4" w:space="0"/>
              <w:right w:val="single" w:color="auto" w:sz="4" w:space="0"/>
            </w:tcBorders>
            <w:vAlign w:val="center"/>
          </w:tcPr>
          <w:p w14:paraId="042ACA2F">
            <w:pPr>
              <w:pStyle w:val="13"/>
              <w:spacing w:line="360" w:lineRule="auto"/>
              <w:rPr>
                <w:rFonts w:hint="eastAsia"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10269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74367C21">
            <w:pPr>
              <w:spacing w:line="360" w:lineRule="auto"/>
              <w:jc w:val="center"/>
              <w:rPr>
                <w:rFonts w:hint="eastAsia" w:ascii="宋体" w:hAnsi="宋体"/>
                <w:color w:val="auto"/>
                <w:szCs w:val="21"/>
                <w:highlight w:val="none"/>
              </w:rPr>
            </w:pPr>
            <w:r>
              <w:rPr>
                <w:rFonts w:ascii="宋体" w:hAnsi="宋体"/>
                <w:color w:val="auto"/>
                <w:szCs w:val="21"/>
                <w:highlight w:val="none"/>
              </w:rPr>
              <w:t>6.2</w:t>
            </w:r>
          </w:p>
        </w:tc>
        <w:tc>
          <w:tcPr>
            <w:tcW w:w="4466" w:type="pct"/>
            <w:tcBorders>
              <w:top w:val="single" w:color="auto" w:sz="4" w:space="0"/>
              <w:left w:val="single" w:color="auto" w:sz="4" w:space="0"/>
              <w:bottom w:val="single" w:color="auto" w:sz="4" w:space="0"/>
              <w:right w:val="single" w:color="auto" w:sz="4" w:space="0"/>
            </w:tcBorders>
            <w:vAlign w:val="center"/>
          </w:tcPr>
          <w:p w14:paraId="6945017C">
            <w:pPr>
              <w:pStyle w:val="13"/>
              <w:spacing w:line="360" w:lineRule="auto"/>
              <w:rPr>
                <w:rFonts w:hint="eastAsia" w:ascii="宋体" w:hAnsi="宋体"/>
                <w:color w:val="auto"/>
                <w:szCs w:val="21"/>
                <w:highlight w:val="none"/>
              </w:rPr>
            </w:pPr>
            <w:bookmarkStart w:id="47" w:name="_Hlk54105293"/>
            <w:r>
              <w:rPr>
                <w:rFonts w:hint="eastAsia" w:ascii="宋体" w:hAnsi="宋体"/>
                <w:color w:val="auto"/>
                <w:szCs w:val="21"/>
                <w:highlight w:val="none"/>
              </w:rPr>
              <w:t>如接受联合体投标，</w:t>
            </w:r>
            <w:bookmarkEnd w:id="47"/>
            <w:r>
              <w:rPr>
                <w:rFonts w:hint="eastAsia" w:ascii="宋体" w:hAnsi="宋体"/>
                <w:color w:val="auto"/>
                <w:szCs w:val="21"/>
                <w:highlight w:val="none"/>
              </w:rPr>
              <w:t>联合体投标要求如下：</w:t>
            </w:r>
          </w:p>
          <w:p w14:paraId="1756E9DC">
            <w:pPr>
              <w:pStyle w:val="13"/>
              <w:spacing w:line="360" w:lineRule="auto"/>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两个以上投标人可以组成一个投标联合体，以一个投标人的身份共同参加投标。联合体投标的，须提供《联合体投标协议书》（格式后附）。</w:t>
            </w:r>
          </w:p>
          <w:p w14:paraId="7C566167">
            <w:pPr>
              <w:pStyle w:val="13"/>
              <w:spacing w:line="360" w:lineRule="auto"/>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8E3AD5F">
            <w:pPr>
              <w:pStyle w:val="13"/>
              <w:spacing w:line="360" w:lineRule="auto"/>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联合体各方之间必须签订联合投标协议，协议书必须明确主体方（或者牵头方）并明确约定联合体各方承担的工作和相应的责任（</w:t>
            </w:r>
            <w:r>
              <w:rPr>
                <w:rFonts w:hint="eastAsia" w:ascii="宋体" w:hAnsi="宋体"/>
                <w:b/>
                <w:color w:val="auto"/>
                <w:szCs w:val="21"/>
                <w:highlight w:val="none"/>
              </w:rPr>
              <w:t>各方承担责任与义务的分工必须符合采购需求，否则，联合体投标无效</w:t>
            </w:r>
            <w:r>
              <w:rPr>
                <w:rFonts w:hint="eastAsia" w:ascii="宋体" w:hAnsi="宋体"/>
                <w:color w:val="auto"/>
                <w:szCs w:val="21"/>
                <w:highlight w:val="none"/>
              </w:rPr>
              <w:t>），并将联合投标协议放入投标文件。联合体各方必须共同与采购人签订采购合同，就采购合同约定的事项对采购人承担连带责任。</w:t>
            </w:r>
          </w:p>
          <w:p w14:paraId="717EE036">
            <w:pPr>
              <w:pStyle w:val="13"/>
              <w:spacing w:line="360" w:lineRule="auto"/>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以联合体形式参加政府采购活动的，联合体各方不得再单独参加或者与其他投标人另外组成联合体参加同一合同项下的政府采购活动。</w:t>
            </w:r>
          </w:p>
          <w:p w14:paraId="2B6C7B7E">
            <w:pPr>
              <w:pStyle w:val="13"/>
              <w:spacing w:line="360" w:lineRule="auto"/>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联合体中有同类资质的投标人按照联合体分工承担相同工作的，应当按照资质等级较低的投标人确定资质等级。</w:t>
            </w:r>
          </w:p>
          <w:p w14:paraId="7BCA5E9F">
            <w:pPr>
              <w:pStyle w:val="13"/>
              <w:spacing w:line="360" w:lineRule="auto"/>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联合体投标业绩、履约能力按照联合体各方其中较高的一方认定并计算（招标文件另有规定的除外）。</w:t>
            </w:r>
          </w:p>
          <w:p w14:paraId="1D9CEF67">
            <w:pPr>
              <w:pStyle w:val="13"/>
              <w:spacing w:line="360" w:lineRule="auto"/>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2898FCCA">
            <w:pPr>
              <w:pStyle w:val="13"/>
              <w:spacing w:line="360" w:lineRule="auto"/>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联合体各方均应按照招标文件的规定提交资格证明文件。</w:t>
            </w:r>
          </w:p>
        </w:tc>
      </w:tr>
      <w:tr w14:paraId="7B802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33A0BC9E">
            <w:pPr>
              <w:spacing w:line="360" w:lineRule="auto"/>
              <w:jc w:val="center"/>
              <w:rPr>
                <w:rFonts w:hint="eastAsia" w:ascii="宋体" w:hAnsi="宋体"/>
                <w:color w:val="auto"/>
                <w:szCs w:val="21"/>
                <w:highlight w:val="none"/>
              </w:rPr>
            </w:pPr>
            <w:r>
              <w:rPr>
                <w:rFonts w:hint="eastAsia" w:ascii="宋体" w:hAnsi="宋体"/>
                <w:color w:val="auto"/>
                <w:szCs w:val="21"/>
                <w:highlight w:val="none"/>
              </w:rPr>
              <w:t>7.2</w:t>
            </w:r>
          </w:p>
        </w:tc>
        <w:tc>
          <w:tcPr>
            <w:tcW w:w="4466" w:type="pct"/>
            <w:tcBorders>
              <w:top w:val="single" w:color="auto" w:sz="4" w:space="0"/>
              <w:left w:val="single" w:color="auto" w:sz="4" w:space="0"/>
              <w:bottom w:val="single" w:color="auto" w:sz="4" w:space="0"/>
              <w:right w:val="single" w:color="auto" w:sz="4" w:space="0"/>
            </w:tcBorders>
            <w:vAlign w:val="center"/>
          </w:tcPr>
          <w:p w14:paraId="3870C3BA">
            <w:pPr>
              <w:pStyle w:val="13"/>
              <w:spacing w:line="360" w:lineRule="auto"/>
              <w:rPr>
                <w:rFonts w:hint="eastAsia" w:ascii="宋体" w:hAnsi="宋体"/>
                <w:color w:val="auto"/>
                <w:szCs w:val="21"/>
                <w:highlight w:val="none"/>
              </w:rPr>
            </w:pPr>
            <w:r>
              <w:rPr>
                <w:rFonts w:hint="eastAsia" w:ascii="宋体" w:hAnsi="宋体"/>
                <w:color w:val="auto"/>
                <w:szCs w:val="21"/>
                <w:highlight w:val="none"/>
              </w:rPr>
              <w:t>√不允许分包</w:t>
            </w:r>
          </w:p>
          <w:p w14:paraId="5911979A">
            <w:pPr>
              <w:pStyle w:val="13"/>
              <w:spacing w:line="360" w:lineRule="auto"/>
              <w:rPr>
                <w:rFonts w:hint="eastAsia" w:ascii="宋体" w:hAnsi="宋体"/>
                <w:color w:val="auto"/>
                <w:szCs w:val="21"/>
                <w:highlight w:val="none"/>
              </w:rPr>
            </w:pPr>
            <w:r>
              <w:rPr>
                <w:rFonts w:hint="eastAsia" w:ascii="宋体" w:hAnsi="宋体"/>
                <w:color w:val="auto"/>
                <w:szCs w:val="21"/>
                <w:highlight w:val="none"/>
              </w:rPr>
              <w:t>□允许分包</w:t>
            </w:r>
          </w:p>
          <w:p w14:paraId="12F1D167">
            <w:pPr>
              <w:pStyle w:val="13"/>
              <w:spacing w:line="360" w:lineRule="auto"/>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p>
          <w:p w14:paraId="61FB29D1">
            <w:pPr>
              <w:pStyle w:val="13"/>
              <w:spacing w:line="360" w:lineRule="auto"/>
              <w:jc w:val="both"/>
              <w:rPr>
                <w:rFonts w:hint="eastAsia"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p>
        </w:tc>
      </w:tr>
      <w:tr w14:paraId="7A12C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533" w:type="pct"/>
            <w:vMerge w:val="restart"/>
            <w:tcBorders>
              <w:top w:val="single" w:color="auto" w:sz="4" w:space="0"/>
              <w:left w:val="single" w:color="auto" w:sz="4" w:space="0"/>
              <w:right w:val="single" w:color="auto" w:sz="4" w:space="0"/>
            </w:tcBorders>
            <w:vAlign w:val="center"/>
          </w:tcPr>
          <w:p w14:paraId="7EB636D7">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4466" w:type="pct"/>
            <w:tcBorders>
              <w:top w:val="single" w:color="auto" w:sz="4" w:space="0"/>
              <w:left w:val="single" w:color="auto" w:sz="4" w:space="0"/>
              <w:bottom w:val="single" w:color="auto" w:sz="4" w:space="0"/>
              <w:right w:val="single" w:color="auto" w:sz="4" w:space="0"/>
            </w:tcBorders>
            <w:vAlign w:val="center"/>
          </w:tcPr>
          <w:p w14:paraId="2F62D94E">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√不组织现场考察</w:t>
            </w:r>
          </w:p>
          <w:p w14:paraId="7E37614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□组织现场考察：</w:t>
            </w:r>
          </w:p>
          <w:p w14:paraId="2D9B8F66">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43D9154B">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346F8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533" w:type="pct"/>
            <w:vMerge w:val="continue"/>
            <w:tcBorders>
              <w:left w:val="single" w:color="auto" w:sz="4" w:space="0"/>
              <w:bottom w:val="single" w:color="auto" w:sz="4" w:space="0"/>
              <w:right w:val="single" w:color="auto" w:sz="4" w:space="0"/>
            </w:tcBorders>
            <w:vAlign w:val="center"/>
          </w:tcPr>
          <w:p w14:paraId="3D187F8D">
            <w:pPr>
              <w:spacing w:line="360" w:lineRule="auto"/>
              <w:jc w:val="center"/>
              <w:rPr>
                <w:rFonts w:hint="eastAsia" w:ascii="宋体" w:hAnsi="宋体"/>
                <w:color w:val="auto"/>
                <w:szCs w:val="21"/>
                <w:highlight w:val="none"/>
              </w:rPr>
            </w:pPr>
          </w:p>
        </w:tc>
        <w:tc>
          <w:tcPr>
            <w:tcW w:w="4466" w:type="pct"/>
            <w:tcBorders>
              <w:top w:val="single" w:color="auto" w:sz="4" w:space="0"/>
              <w:left w:val="single" w:color="auto" w:sz="4" w:space="0"/>
              <w:bottom w:val="single" w:color="auto" w:sz="4" w:space="0"/>
              <w:right w:val="single" w:color="auto" w:sz="4" w:space="0"/>
            </w:tcBorders>
            <w:vAlign w:val="center"/>
          </w:tcPr>
          <w:p w14:paraId="6FE20F8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√不组织召开开标前答疑会</w:t>
            </w:r>
          </w:p>
          <w:p w14:paraId="4E7A769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□组织召开开标前答疑会</w:t>
            </w:r>
          </w:p>
          <w:p w14:paraId="4B23B8A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46491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vMerge w:val="restart"/>
            <w:tcBorders>
              <w:top w:val="single" w:color="auto" w:sz="4" w:space="0"/>
              <w:left w:val="single" w:color="auto" w:sz="4" w:space="0"/>
              <w:right w:val="single" w:color="auto" w:sz="4" w:space="0"/>
            </w:tcBorders>
            <w:vAlign w:val="center"/>
          </w:tcPr>
          <w:p w14:paraId="3624142D">
            <w:pPr>
              <w:spacing w:line="360" w:lineRule="auto"/>
              <w:rPr>
                <w:rFonts w:hint="eastAsia" w:ascii="宋体" w:hAnsi="宋体"/>
                <w:color w:val="auto"/>
                <w:szCs w:val="21"/>
                <w:highlight w:val="none"/>
              </w:rPr>
            </w:pPr>
            <w:bookmarkStart w:id="48" w:name="_13.1"/>
            <w:bookmarkEnd w:id="48"/>
            <w:r>
              <w:rPr>
                <w:rFonts w:hint="eastAsia" w:ascii="宋体" w:hAnsi="宋体"/>
                <w:color w:val="auto"/>
                <w:szCs w:val="21"/>
                <w:highlight w:val="none"/>
              </w:rPr>
              <w:t>13</w:t>
            </w:r>
          </w:p>
        </w:tc>
        <w:tc>
          <w:tcPr>
            <w:tcW w:w="4466" w:type="pct"/>
            <w:tcBorders>
              <w:top w:val="single" w:color="auto" w:sz="4" w:space="0"/>
              <w:left w:val="single" w:color="auto" w:sz="4" w:space="0"/>
              <w:bottom w:val="single" w:color="auto" w:sz="4" w:space="0"/>
              <w:right w:val="single" w:color="auto" w:sz="4" w:space="0"/>
            </w:tcBorders>
            <w:vAlign w:val="center"/>
          </w:tcPr>
          <w:p w14:paraId="2126D5F8">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69EB59D7">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04E289A4">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2.开标一览表（格式后附）；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1C707B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3.供应商享受中小企业扶持政策的材料（供应商根据自身响应情况，提供以下任意一项材料以证明自身可享受中小企业扶持政策）（如有）； </w:t>
            </w:r>
          </w:p>
          <w:p w14:paraId="4B7F8E42">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（1）《中小企业声明函》（格式后附）； </w:t>
            </w:r>
          </w:p>
          <w:p w14:paraId="77815C3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（2）《残疾人福利性单位声明函》（格式后附） </w:t>
            </w:r>
          </w:p>
          <w:p w14:paraId="38BB531E">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（3）省级以上监狱管理局、戒毒管理局(含新疆生产建设兵团)出具的属于监狱企业的证明文件。</w:t>
            </w:r>
          </w:p>
          <w:p w14:paraId="0570751A">
            <w:pPr>
              <w:tabs>
                <w:tab w:val="left" w:pos="15"/>
              </w:tabs>
              <w:snapToGrid w:val="0"/>
              <w:spacing w:line="360" w:lineRule="auto"/>
              <w:ind w:left="15" w:firstLine="403" w:firstLineChars="191"/>
              <w:jc w:val="left"/>
              <w:rPr>
                <w:rFonts w:hint="eastAsia" w:ascii="宋体" w:hAnsi="宋体"/>
                <w:color w:val="auto"/>
                <w:szCs w:val="21"/>
                <w:highlight w:val="none"/>
              </w:rPr>
            </w:pPr>
            <w:r>
              <w:rPr>
                <w:rFonts w:hint="eastAsia" w:ascii="宋体" w:hAnsi="宋体" w:cs="宋体"/>
                <w:b/>
                <w:color w:val="auto"/>
                <w:szCs w:val="21"/>
                <w:highlight w:val="none"/>
              </w:rPr>
              <w:t>注：</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5327F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vMerge w:val="continue"/>
            <w:tcBorders>
              <w:left w:val="single" w:color="auto" w:sz="4" w:space="0"/>
              <w:right w:val="single" w:color="auto" w:sz="4" w:space="0"/>
            </w:tcBorders>
            <w:vAlign w:val="center"/>
          </w:tcPr>
          <w:p w14:paraId="7D6BA4CA">
            <w:pPr>
              <w:spacing w:line="360" w:lineRule="auto"/>
              <w:rPr>
                <w:rFonts w:hint="eastAsia" w:ascii="宋体" w:hAnsi="宋体"/>
                <w:color w:val="auto"/>
                <w:szCs w:val="21"/>
                <w:highlight w:val="none"/>
              </w:rPr>
            </w:pPr>
            <w:bookmarkStart w:id="49" w:name="_13.2"/>
            <w:bookmarkEnd w:id="49"/>
          </w:p>
        </w:tc>
        <w:tc>
          <w:tcPr>
            <w:tcW w:w="4466" w:type="pct"/>
            <w:tcBorders>
              <w:top w:val="single" w:color="auto" w:sz="4" w:space="0"/>
              <w:left w:val="single" w:color="auto" w:sz="4" w:space="0"/>
              <w:bottom w:val="single" w:color="auto" w:sz="4" w:space="0"/>
              <w:right w:val="single" w:color="auto" w:sz="4" w:space="0"/>
            </w:tcBorders>
            <w:vAlign w:val="center"/>
          </w:tcPr>
          <w:p w14:paraId="259DE580">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357A2CC1">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75"/>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B13A601">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2. 投标人依法缴纳税收的相关材料（提交投标文件截止时间前半年内连续1个月）的依法缴纳税收的</w:t>
            </w:r>
            <w:r>
              <w:rPr>
                <w:rFonts w:hint="eastAsia"/>
                <w:color w:val="auto"/>
                <w:highlight w:val="none"/>
              </w:rPr>
              <w:t>证明材料</w:t>
            </w:r>
            <w:r>
              <w:rPr>
                <w:rFonts w:hint="eastAsia" w:ascii="宋体" w:hAnsi="宋体" w:cs="宋体"/>
                <w:color w:val="auto"/>
                <w:szCs w:val="21"/>
                <w:highlight w:val="none"/>
              </w:rPr>
              <w:t>复印件；</w:t>
            </w:r>
            <w:r>
              <w:rPr>
                <w:rFonts w:hint="eastAsia" w:ascii="宋体" w:hAnsi="宋体"/>
                <w:color w:val="auto"/>
                <w:szCs w:val="21"/>
                <w:highlight w:val="none"/>
              </w:rPr>
              <w:t>依法免税的供应商，</w:t>
            </w:r>
            <w:r>
              <w:rPr>
                <w:rFonts w:hint="eastAsia"/>
                <w:color w:val="auto"/>
                <w:highlight w:val="none"/>
              </w:rPr>
              <w:t>必须提供符合免税条件的证明材料</w:t>
            </w:r>
            <w:r>
              <w:rPr>
                <w:rFonts w:hint="eastAsia" w:ascii="宋体" w:hAnsi="宋体"/>
                <w:color w:val="auto"/>
                <w:szCs w:val="21"/>
                <w:highlight w:val="none"/>
              </w:rPr>
              <w:t>。</w:t>
            </w:r>
            <w:r>
              <w:rPr>
                <w:rFonts w:hint="eastAsia" w:ascii="宋体" w:hAnsi="宋体" w:cs="宋体"/>
                <w:color w:val="auto"/>
                <w:szCs w:val="21"/>
                <w:highlight w:val="none"/>
              </w:rPr>
              <w:t>从</w:t>
            </w:r>
            <w:r>
              <w:rPr>
                <w:rFonts w:hint="eastAsia"/>
                <w:color w:val="auto"/>
                <w:szCs w:val="21"/>
                <w:highlight w:val="none"/>
              </w:rPr>
              <w:t>成立之日</w:t>
            </w:r>
            <w:r>
              <w:rPr>
                <w:rFonts w:hint="eastAsia" w:ascii="宋体" w:hAnsi="宋体" w:cs="宋体"/>
                <w:color w:val="auto"/>
                <w:szCs w:val="21"/>
                <w:highlight w:val="none"/>
              </w:rPr>
              <w:t>起到投标文件提交截止时间止不足要求月数的，只需提供从</w:t>
            </w:r>
            <w:r>
              <w:rPr>
                <w:rFonts w:hint="eastAsia"/>
                <w:color w:val="auto"/>
                <w:szCs w:val="21"/>
                <w:highlight w:val="none"/>
              </w:rPr>
              <w:t>成立之日起</w:t>
            </w:r>
            <w:r>
              <w:rPr>
                <w:rFonts w:hint="eastAsia" w:ascii="宋体" w:hAnsi="宋体" w:cs="宋体"/>
                <w:color w:val="auto"/>
                <w:szCs w:val="21"/>
                <w:highlight w:val="none"/>
              </w:rPr>
              <w:t>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BD44F8D">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3. 投标人依法缴纳社会保障资金的相关材料（提交投标文件截止时间前半年内连续1个月）的依法缴纳社会保障资金的缴费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到投标文件提交截止时间止不足要求月数的只需提供从</w:t>
            </w:r>
            <w:r>
              <w:rPr>
                <w:rFonts w:hint="eastAsia"/>
                <w:color w:val="auto"/>
                <w:szCs w:val="21"/>
                <w:highlight w:val="none"/>
              </w:rPr>
              <w:t>成立之日起</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AFCB03D">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4.投标人</w:t>
            </w:r>
            <w:r>
              <w:rPr>
                <w:rFonts w:hint="eastAsia"/>
                <w:color w:val="auto"/>
                <w:szCs w:val="21"/>
                <w:highlight w:val="none"/>
              </w:rPr>
              <w:t>财务状况报告</w:t>
            </w:r>
            <w:r>
              <w:rPr>
                <w:rStyle w:val="43"/>
                <w:rFonts w:hint="eastAsia"/>
                <w:color w:val="auto"/>
                <w:highlight w:val="none"/>
              </w:rPr>
              <w:t>2025年度</w:t>
            </w:r>
            <w:r>
              <w:rPr>
                <w:rFonts w:hint="eastAsia"/>
                <w:color w:val="auto"/>
                <w:szCs w:val="21"/>
                <w:highlight w:val="none"/>
              </w:rPr>
              <w:t>财务报表复印件，或者银行出具的资信证明，或者中国人民银行征信中心出具的信用报告（企业投标的提供企业信用报告，自然人投标的提供个人信用报告</w:t>
            </w:r>
            <w:r>
              <w:rPr>
                <w:rFonts w:hint="eastAsia"/>
                <w:color w:val="auto"/>
                <w:highlight w:val="none"/>
              </w:rPr>
              <w:t>，</w:t>
            </w:r>
            <w:r>
              <w:rPr>
                <w:rFonts w:hint="eastAsia" w:ascii="宋体" w:hAnsi="宋体"/>
                <w:color w:val="auto"/>
                <w:highlight w:val="none"/>
              </w:rPr>
              <w:t>投标人属于成立时间在规定年度之后的法人或其他组织，</w:t>
            </w:r>
            <w:r>
              <w:rPr>
                <w:rFonts w:hint="eastAsia"/>
                <w:color w:val="auto"/>
                <w:highlight w:val="none"/>
              </w:rPr>
              <w:t>需提供成立之日起至投标截止时间前的月报表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B01C9B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5.投标人直接控股信息表、投标人直接管理关系信息表（格式后附）；（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EA5064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BEE37CC">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7.除招标文件规定必须提供以外，投标人认为需要提供的其他证明材料。</w:t>
            </w:r>
          </w:p>
          <w:p w14:paraId="4CDF3F76">
            <w:pPr>
              <w:snapToGrid w:val="0"/>
              <w:spacing w:line="360" w:lineRule="auto"/>
              <w:ind w:left="413"/>
              <w:jc w:val="left"/>
              <w:rPr>
                <w:rFonts w:hint="eastAsia" w:ascii="宋体" w:hAnsi="宋体"/>
                <w:color w:val="auto"/>
                <w:szCs w:val="21"/>
                <w:highlight w:val="none"/>
              </w:rPr>
            </w:pPr>
          </w:p>
          <w:p w14:paraId="2B926E1B">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p w14:paraId="2B96CC4A">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2.联合体投标时，第1-6项资格证明文件联合体各方均必须分别提供，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3F801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vMerge w:val="continue"/>
            <w:tcBorders>
              <w:left w:val="single" w:color="auto" w:sz="4" w:space="0"/>
              <w:right w:val="single" w:color="auto" w:sz="4" w:space="0"/>
            </w:tcBorders>
            <w:vAlign w:val="center"/>
          </w:tcPr>
          <w:p w14:paraId="3FE7C4A0">
            <w:pPr>
              <w:spacing w:line="360" w:lineRule="auto"/>
              <w:rPr>
                <w:rFonts w:hint="eastAsia" w:ascii="宋体" w:hAnsi="宋体"/>
                <w:color w:val="auto"/>
                <w:szCs w:val="21"/>
                <w:highlight w:val="none"/>
              </w:rPr>
            </w:pPr>
            <w:bookmarkStart w:id="50" w:name="_13.3"/>
            <w:bookmarkEnd w:id="50"/>
          </w:p>
        </w:tc>
        <w:tc>
          <w:tcPr>
            <w:tcW w:w="4466" w:type="pct"/>
            <w:tcBorders>
              <w:top w:val="single" w:color="auto" w:sz="4" w:space="0"/>
              <w:left w:val="single" w:color="auto" w:sz="4" w:space="0"/>
              <w:bottom w:val="single" w:color="auto" w:sz="4" w:space="0"/>
              <w:right w:val="single" w:color="auto" w:sz="4" w:space="0"/>
            </w:tcBorders>
            <w:vAlign w:val="center"/>
          </w:tcPr>
          <w:p w14:paraId="396EFC47">
            <w:pPr>
              <w:snapToGrid w:val="0"/>
              <w:spacing w:line="360" w:lineRule="auto"/>
              <w:jc w:val="left"/>
              <w:rPr>
                <w:rFonts w:hint="eastAsia" w:ascii="宋体" w:hAnsi="宋体" w:cs="Courier New"/>
                <w:b/>
                <w:color w:val="auto"/>
                <w:szCs w:val="21"/>
                <w:highlight w:val="none"/>
              </w:rPr>
            </w:pPr>
            <w:r>
              <w:rPr>
                <w:rFonts w:hint="eastAsia"/>
                <w:b/>
                <w:color w:val="auto"/>
                <w:kern w:val="0"/>
                <w:highlight w:val="none"/>
              </w:rPr>
              <w:t>商务及技术文件</w:t>
            </w:r>
            <w:r>
              <w:rPr>
                <w:rFonts w:hint="eastAsia" w:ascii="宋体" w:hAnsi="宋体" w:cs="Courier New"/>
                <w:b/>
                <w:color w:val="auto"/>
                <w:szCs w:val="21"/>
                <w:highlight w:val="none"/>
              </w:rPr>
              <w:t>：</w:t>
            </w:r>
          </w:p>
          <w:p w14:paraId="71D0F493">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843A1DC">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必须提供</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55A57BDE">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88DD2BB">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4.授权委托书及委托代理人有效身份证正反面复印件（格式后附）；（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03DA3D08">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664215D">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.售后服务承诺（格式自拟）；（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A60D53D">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.投标人情况介绍（格式自拟）；</w:t>
            </w:r>
          </w:p>
          <w:p w14:paraId="5FE14094">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8.代理服务费承诺书（格式后附）；（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F77492D">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9.技术要求偏离表（格式后附）；（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E3F3443">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 xml:space="preserve">10.服务方案（格式自拟）； </w:t>
            </w:r>
          </w:p>
          <w:p w14:paraId="59C4E447">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 xml:space="preserve">11.项目实施人员一览表（格式后附）； </w:t>
            </w:r>
          </w:p>
          <w:p w14:paraId="71764E08">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12.投标人对本项目的合理化建议和改进措施（格式自拟）；</w:t>
            </w:r>
          </w:p>
          <w:p w14:paraId="629C8BBB">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13.除招标文件规定必须提供以外，投标人认为需要提供的其他证明材料（格式自拟）。（投标人根据“第二章 采购需求”及“第四章 评标方法及评标标准”提供有关证明材料）。</w:t>
            </w:r>
          </w:p>
          <w:p w14:paraId="2AA96478">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52F38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30699407">
            <w:pPr>
              <w:spacing w:line="360" w:lineRule="auto"/>
              <w:rPr>
                <w:rFonts w:hint="eastAsia" w:ascii="宋体" w:hAnsi="宋体"/>
                <w:color w:val="auto"/>
                <w:szCs w:val="21"/>
                <w:highlight w:val="none"/>
              </w:rPr>
            </w:pPr>
            <w:bookmarkStart w:id="51" w:name="_13.5"/>
            <w:bookmarkEnd w:id="51"/>
            <w:bookmarkStart w:id="52" w:name="_16.2"/>
            <w:bookmarkEnd w:id="52"/>
            <w:bookmarkStart w:id="53" w:name="_13.4"/>
            <w:bookmarkEnd w:id="53"/>
            <w:r>
              <w:rPr>
                <w:rFonts w:hint="eastAsia" w:ascii="宋体" w:hAnsi="宋体"/>
                <w:color w:val="auto"/>
                <w:szCs w:val="21"/>
                <w:highlight w:val="none"/>
              </w:rPr>
              <w:t>16</w:t>
            </w:r>
            <w:bookmarkStart w:id="54" w:name="_Hlt19194066"/>
            <w:bookmarkStart w:id="55" w:name="_Hlt19693759"/>
            <w:bookmarkStart w:id="56" w:name="_Hlt19194067"/>
            <w:bookmarkStart w:id="57" w:name="_Hlt19693758"/>
            <w:r>
              <w:rPr>
                <w:rFonts w:hint="eastAsia" w:ascii="宋体" w:hAnsi="宋体"/>
                <w:color w:val="auto"/>
                <w:szCs w:val="21"/>
                <w:highlight w:val="none"/>
              </w:rPr>
              <w:t>.</w:t>
            </w:r>
            <w:bookmarkEnd w:id="54"/>
            <w:bookmarkEnd w:id="55"/>
            <w:bookmarkEnd w:id="56"/>
            <w:bookmarkEnd w:id="57"/>
            <w:r>
              <w:rPr>
                <w:rFonts w:hint="eastAsia" w:ascii="宋体" w:hAnsi="宋体"/>
                <w:color w:val="auto"/>
                <w:szCs w:val="21"/>
                <w:highlight w:val="none"/>
              </w:rPr>
              <w:t>2</w:t>
            </w:r>
          </w:p>
        </w:tc>
        <w:tc>
          <w:tcPr>
            <w:tcW w:w="4466" w:type="pct"/>
            <w:tcBorders>
              <w:top w:val="single" w:color="auto" w:sz="4" w:space="0"/>
              <w:left w:val="single" w:color="auto" w:sz="4" w:space="0"/>
              <w:bottom w:val="single" w:color="auto" w:sz="4" w:space="0"/>
              <w:right w:val="single" w:color="auto" w:sz="4" w:space="0"/>
            </w:tcBorders>
            <w:vAlign w:val="center"/>
          </w:tcPr>
          <w:p w14:paraId="5D6094E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投标报价包含：</w:t>
            </w:r>
          </w:p>
          <w:p w14:paraId="5D3C486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①服务的价格； </w:t>
            </w:r>
          </w:p>
          <w:p w14:paraId="6CB1F7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②必要的费用及各项服务税金； </w:t>
            </w:r>
          </w:p>
          <w:p w14:paraId="026535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③该项目全程服务过程中所发生的一切费用由服务方自行负责，如所涉及的一切费用由服务方自行承担，服务方需满足采购人对本项目服务提出的有关需求所需的一切费用。</w:t>
            </w:r>
          </w:p>
          <w:p w14:paraId="7FBB63E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（采购需求另有约定的，从其约定。）</w:t>
            </w:r>
          </w:p>
        </w:tc>
      </w:tr>
      <w:tr w14:paraId="34DD3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3A06074">
            <w:pPr>
              <w:spacing w:line="360" w:lineRule="auto"/>
              <w:rPr>
                <w:rFonts w:hint="eastAsia" w:ascii="宋体" w:hAnsi="宋体"/>
                <w:color w:val="auto"/>
                <w:szCs w:val="21"/>
                <w:highlight w:val="none"/>
              </w:rPr>
            </w:pPr>
            <w:bookmarkStart w:id="58" w:name="_17.1"/>
            <w:bookmarkEnd w:id="58"/>
            <w:r>
              <w:rPr>
                <w:rFonts w:hint="eastAsia" w:ascii="宋体" w:hAnsi="宋体"/>
                <w:color w:val="auto"/>
                <w:szCs w:val="21"/>
                <w:highlight w:val="none"/>
              </w:rPr>
              <w:t>17.</w:t>
            </w:r>
            <w:r>
              <w:rPr>
                <w:rFonts w:ascii="宋体" w:hAnsi="宋体"/>
                <w:color w:val="auto"/>
                <w:szCs w:val="21"/>
                <w:highlight w:val="none"/>
              </w:rPr>
              <w:t>2</w:t>
            </w:r>
          </w:p>
        </w:tc>
        <w:tc>
          <w:tcPr>
            <w:tcW w:w="4466" w:type="pct"/>
            <w:tcBorders>
              <w:top w:val="single" w:color="auto" w:sz="4" w:space="0"/>
              <w:left w:val="single" w:color="auto" w:sz="4" w:space="0"/>
              <w:bottom w:val="single" w:color="auto" w:sz="4" w:space="0"/>
              <w:right w:val="single" w:color="auto" w:sz="4" w:space="0"/>
            </w:tcBorders>
            <w:vAlign w:val="center"/>
          </w:tcPr>
          <w:p w14:paraId="1AA130E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ascii="宋体" w:hAnsi="宋体"/>
                <w:color w:val="auto"/>
                <w:szCs w:val="21"/>
                <w:highlight w:val="none"/>
                <w:u w:val="single"/>
              </w:rPr>
              <w:t xml:space="preserve">  90 </w:t>
            </w:r>
            <w:r>
              <w:rPr>
                <w:rFonts w:hint="eastAsia" w:ascii="宋体" w:hAnsi="宋体"/>
                <w:color w:val="auto"/>
                <w:szCs w:val="21"/>
                <w:highlight w:val="none"/>
              </w:rPr>
              <w:t>日。</w:t>
            </w:r>
          </w:p>
        </w:tc>
      </w:tr>
      <w:tr w14:paraId="72C04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5FE3B72">
            <w:pPr>
              <w:spacing w:line="360" w:lineRule="auto"/>
              <w:rPr>
                <w:rFonts w:hint="eastAsia" w:ascii="宋体" w:hAnsi="宋体"/>
                <w:color w:val="auto"/>
                <w:szCs w:val="21"/>
                <w:highlight w:val="none"/>
              </w:rPr>
            </w:pPr>
            <w:bookmarkStart w:id="59" w:name="_18"/>
            <w:bookmarkEnd w:id="59"/>
            <w:r>
              <w:rPr>
                <w:rFonts w:hint="eastAsia" w:ascii="宋体" w:hAnsi="宋体"/>
                <w:color w:val="auto"/>
                <w:szCs w:val="21"/>
                <w:highlight w:val="none"/>
              </w:rPr>
              <w:t>18</w:t>
            </w:r>
            <w:r>
              <w:rPr>
                <w:rFonts w:ascii="宋体" w:hAnsi="宋体"/>
                <w:color w:val="auto"/>
                <w:szCs w:val="21"/>
                <w:highlight w:val="none"/>
              </w:rPr>
              <w:t>.1</w:t>
            </w:r>
          </w:p>
        </w:tc>
        <w:tc>
          <w:tcPr>
            <w:tcW w:w="4466" w:type="pct"/>
            <w:tcBorders>
              <w:top w:val="single" w:color="auto" w:sz="4" w:space="0"/>
              <w:left w:val="single" w:color="auto" w:sz="4" w:space="0"/>
              <w:bottom w:val="single" w:color="auto" w:sz="4" w:space="0"/>
              <w:right w:val="single" w:color="auto" w:sz="4" w:space="0"/>
            </w:tcBorders>
            <w:vAlign w:val="center"/>
          </w:tcPr>
          <w:p w14:paraId="253B481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□本项目不收取投标保证金。</w:t>
            </w:r>
          </w:p>
          <w:p w14:paraId="6E48DB90">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√本项目收取投标保证金，具体规定如下：</w:t>
            </w:r>
          </w:p>
          <w:p w14:paraId="7C1C1B45">
            <w:pPr>
              <w:snapToGrid w:val="0"/>
              <w:spacing w:line="360" w:lineRule="auto"/>
              <w:rPr>
                <w:rFonts w:hint="eastAsia" w:ascii="宋体" w:hAnsi="宋体"/>
                <w:color w:val="auto"/>
                <w:szCs w:val="21"/>
                <w:highlight w:val="none"/>
              </w:rPr>
            </w:pPr>
            <w:r>
              <w:rPr>
                <w:rFonts w:hint="eastAsia" w:ascii="宋体" w:hAnsi="宋体" w:cs="宋体"/>
                <w:color w:val="auto"/>
                <w:kern w:val="0"/>
                <w:szCs w:val="21"/>
                <w:highlight w:val="none"/>
              </w:rPr>
              <w:t>投标保证金</w:t>
            </w:r>
            <w:r>
              <w:rPr>
                <w:rFonts w:hint="eastAsia" w:ascii="宋体" w:hAnsi="宋体"/>
                <w:color w:val="auto"/>
                <w:szCs w:val="21"/>
                <w:highlight w:val="none"/>
              </w:rPr>
              <w:t>人民币：</w:t>
            </w:r>
            <w:r>
              <w:rPr>
                <w:rFonts w:hint="eastAsia" w:ascii="宋体" w:hAnsi="宋体" w:cs="宋体"/>
                <w:b/>
                <w:bCs/>
                <w:color w:val="auto"/>
                <w:kern w:val="0"/>
                <w:szCs w:val="21"/>
                <w:highlight w:val="none"/>
              </w:rPr>
              <w:t>30000.00元。</w:t>
            </w:r>
          </w:p>
          <w:p w14:paraId="5D4F1EED">
            <w:pPr>
              <w:spacing w:line="3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投标保证金的交纳方式：银行转账、支票、汇票、本票或者银行、保险机构出具的保函</w:t>
            </w:r>
            <w:r>
              <w:rPr>
                <w:color w:val="auto"/>
                <w:highlight w:val="none"/>
              </w:rPr>
              <w:t>（包含电子保函）</w:t>
            </w:r>
            <w:r>
              <w:rPr>
                <w:rFonts w:hint="eastAsia" w:ascii="宋体" w:hAnsi="宋体" w:cs="宋体"/>
                <w:color w:val="auto"/>
                <w:kern w:val="0"/>
                <w:szCs w:val="21"/>
                <w:highlight w:val="none"/>
              </w:rPr>
              <w:t>，禁止采用现钞方式。采用银行转账方式的，在投标截止时间前</w:t>
            </w:r>
            <w:r>
              <w:rPr>
                <w:rFonts w:hint="eastAsia"/>
                <w:color w:val="auto"/>
                <w:highlight w:val="none"/>
              </w:rPr>
              <w:t>从投标人账户</w:t>
            </w:r>
            <w:r>
              <w:rPr>
                <w:rFonts w:hint="eastAsia" w:ascii="宋体" w:hAnsi="宋体" w:cs="宋体"/>
                <w:color w:val="auto"/>
                <w:kern w:val="0"/>
                <w:szCs w:val="21"/>
                <w:highlight w:val="none"/>
              </w:rPr>
              <w:t>交至指定账户并且到账。</w:t>
            </w:r>
          </w:p>
          <w:p w14:paraId="3F62437D">
            <w:pPr>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开户名称：广西同泽工程项目管理股份有限公司</w:t>
            </w:r>
          </w:p>
          <w:p w14:paraId="37C3E0A3">
            <w:pPr>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开户银行：建行广西区分行营业部本级营业厅</w:t>
            </w:r>
          </w:p>
          <w:p w14:paraId="708D98F7">
            <w:pPr>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银行账号：45001594151050716039</w:t>
            </w:r>
          </w:p>
          <w:p w14:paraId="03322E13">
            <w:pPr>
              <w:snapToGrid w:val="0"/>
              <w:spacing w:line="360" w:lineRule="auto"/>
              <w:rPr>
                <w:rFonts w:hint="eastAsia" w:ascii="宋体" w:hAnsi="宋体"/>
                <w:color w:val="auto"/>
                <w:szCs w:val="21"/>
                <w:highlight w:val="none"/>
              </w:rPr>
            </w:pPr>
            <w:r>
              <w:rPr>
                <w:rFonts w:hint="eastAsia" w:ascii="宋体" w:hAnsi="宋体" w:cs="宋体"/>
                <w:color w:val="auto"/>
                <w:kern w:val="0"/>
                <w:szCs w:val="21"/>
                <w:highlight w:val="none"/>
              </w:rPr>
              <w:t>采用支票、汇票、本票或者保函等方式的，在投标截止时间前，投标人必须递交单独密封的支票、汇票、本票或者保函原件。</w:t>
            </w:r>
            <w:r>
              <w:rPr>
                <w:rFonts w:hint="eastAsia" w:ascii="宋体" w:hAnsi="宋体" w:cs="宋体"/>
                <w:b/>
                <w:color w:val="auto"/>
                <w:kern w:val="0"/>
                <w:szCs w:val="21"/>
                <w:highlight w:val="none"/>
              </w:rPr>
              <w:t>否则视为无效投标保证金。</w:t>
            </w:r>
          </w:p>
          <w:p w14:paraId="371E4992">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相关要求：</w:t>
            </w:r>
          </w:p>
          <w:p w14:paraId="1FF94880">
            <w:pPr>
              <w:pStyle w:val="13"/>
              <w:spacing w:line="360" w:lineRule="auto"/>
              <w:rPr>
                <w:rFonts w:hint="eastAsia" w:ascii="宋体" w:hAnsi="宋体"/>
                <w:color w:val="auto"/>
                <w:szCs w:val="21"/>
                <w:highlight w:val="none"/>
              </w:rPr>
            </w:pPr>
            <w:r>
              <w:rPr>
                <w:rFonts w:hint="eastAsia" w:ascii="宋体" w:hAnsi="宋体"/>
                <w:color w:val="auto"/>
                <w:szCs w:val="21"/>
                <w:highlight w:val="none"/>
              </w:rPr>
              <w:t>1.投标保证金采用银行转账交纳方式，在投标截止时间前交至指定账户并且到账，投标人应将银行转账底单的复印件作为投标保证金提交凭证，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商务及技术文件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395F148B">
            <w:pPr>
              <w:snapToGrid w:val="0"/>
              <w:spacing w:line="360" w:lineRule="auto"/>
              <w:rPr>
                <w:color w:val="auto"/>
                <w:highlight w:val="none"/>
              </w:rPr>
            </w:pPr>
            <w:r>
              <w:rPr>
                <w:rFonts w:hint="eastAsia" w:ascii="宋体" w:hAnsi="宋体"/>
                <w:color w:val="auto"/>
                <w:szCs w:val="21"/>
                <w:highlight w:val="none"/>
              </w:rPr>
              <w:t>2.投标保证金采用支票、汇票、本票或者银行、保险机构出具的保函</w:t>
            </w:r>
            <w:r>
              <w:rPr>
                <w:color w:val="auto"/>
                <w:highlight w:val="none"/>
              </w:rPr>
              <w:t>（包含电子保函）</w:t>
            </w:r>
            <w:r>
              <w:rPr>
                <w:rFonts w:hint="eastAsia" w:ascii="宋体" w:hAnsi="宋体"/>
                <w:color w:val="auto"/>
                <w:szCs w:val="21"/>
                <w:highlight w:val="none"/>
              </w:rPr>
              <w:t>交纳方式的，投标人应将支票、汇票、本票或者银行、保险机构出具的保函</w:t>
            </w:r>
            <w:r>
              <w:rPr>
                <w:color w:val="auto"/>
                <w:highlight w:val="none"/>
              </w:rPr>
              <w:t>（包含电子保函）</w:t>
            </w:r>
            <w:r>
              <w:rPr>
                <w:rFonts w:hint="eastAsia" w:ascii="宋体" w:hAnsi="宋体"/>
                <w:color w:val="auto"/>
                <w:szCs w:val="21"/>
                <w:highlight w:val="none"/>
              </w:rPr>
              <w:t>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w:t>
            </w:r>
          </w:p>
          <w:p w14:paraId="0FA3DB43">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.投标人为联合体的，可以由联合体中的一方或者多方共同交纳投标保证金，其交纳的保证金对联合体各方均具有约束力。</w:t>
            </w:r>
          </w:p>
          <w:p w14:paraId="1C1F46C0">
            <w:pPr>
              <w:snapToGrid w:val="0"/>
              <w:spacing w:line="360" w:lineRule="auto"/>
              <w:rPr>
                <w:rFonts w:hint="eastAsia" w:ascii="宋体" w:hAnsi="宋体"/>
                <w:color w:val="auto"/>
                <w:szCs w:val="21"/>
                <w:highlight w:val="none"/>
              </w:rPr>
            </w:pPr>
          </w:p>
          <w:p w14:paraId="76E9EA12">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 xml:space="preserve">备注： </w:t>
            </w:r>
          </w:p>
          <w:p w14:paraId="06C5A8D5">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67EAA342">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2F85F770">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41726312">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5C4F8C25">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5.采用银行、保险机构出具保函的，必须为无条件保函，否则视为无效投标保证金。</w:t>
            </w:r>
          </w:p>
        </w:tc>
      </w:tr>
      <w:tr w14:paraId="17AB3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533" w:type="pct"/>
            <w:tcBorders>
              <w:top w:val="single" w:color="auto" w:sz="4" w:space="0"/>
              <w:left w:val="single" w:color="auto" w:sz="4" w:space="0"/>
              <w:bottom w:val="single" w:color="auto" w:sz="4" w:space="0"/>
              <w:right w:val="single" w:color="auto" w:sz="4" w:space="0"/>
            </w:tcBorders>
            <w:vAlign w:val="center"/>
          </w:tcPr>
          <w:p w14:paraId="54CEB63E">
            <w:pPr>
              <w:spacing w:line="360" w:lineRule="auto"/>
              <w:jc w:val="center"/>
              <w:rPr>
                <w:rFonts w:hint="eastAsia" w:ascii="宋体" w:hAnsi="宋体"/>
                <w:color w:val="auto"/>
                <w:szCs w:val="21"/>
                <w:highlight w:val="none"/>
              </w:rPr>
            </w:pPr>
            <w:bookmarkStart w:id="60" w:name="_19.2"/>
            <w:bookmarkEnd w:id="60"/>
            <w:bookmarkStart w:id="61" w:name="_21.1"/>
            <w:bookmarkEnd w:id="61"/>
            <w:r>
              <w:rPr>
                <w:rFonts w:hint="eastAsia" w:ascii="宋体" w:hAnsi="宋体"/>
                <w:color w:val="auto"/>
                <w:szCs w:val="21"/>
                <w:highlight w:val="none"/>
              </w:rPr>
              <w:t>20</w:t>
            </w:r>
          </w:p>
        </w:tc>
        <w:tc>
          <w:tcPr>
            <w:tcW w:w="4466" w:type="pct"/>
            <w:tcBorders>
              <w:top w:val="single" w:color="auto" w:sz="4" w:space="0"/>
              <w:left w:val="single" w:color="auto" w:sz="4" w:space="0"/>
              <w:bottom w:val="single" w:color="auto" w:sz="4" w:space="0"/>
              <w:right w:val="single" w:color="auto" w:sz="4" w:space="0"/>
            </w:tcBorders>
            <w:vAlign w:val="center"/>
          </w:tcPr>
          <w:p w14:paraId="19323C5F">
            <w:pPr>
              <w:autoSpaceDE w:val="0"/>
              <w:autoSpaceDN w:val="0"/>
              <w:adjustRightIn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3742C5CE">
            <w:pPr>
              <w:autoSpaceDE w:val="0"/>
              <w:autoSpaceDN w:val="0"/>
              <w:adjustRightIn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w:t>
            </w:r>
            <w:r>
              <w:rPr>
                <w:rFonts w:hint="eastAsia"/>
                <w:color w:val="auto"/>
                <w:highlight w:val="none"/>
              </w:rPr>
              <w:t>本项目接受电子备份投标文件。</w:t>
            </w:r>
          </w:p>
        </w:tc>
      </w:tr>
      <w:tr w14:paraId="177C0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33" w:type="pct"/>
            <w:tcBorders>
              <w:top w:val="single" w:color="auto" w:sz="4" w:space="0"/>
              <w:left w:val="single" w:color="auto" w:sz="4" w:space="0"/>
              <w:bottom w:val="single" w:color="auto" w:sz="4" w:space="0"/>
              <w:right w:val="single" w:color="auto" w:sz="4" w:space="0"/>
            </w:tcBorders>
            <w:vAlign w:val="center"/>
          </w:tcPr>
          <w:p w14:paraId="1ECF1F33">
            <w:pPr>
              <w:spacing w:line="360" w:lineRule="auto"/>
              <w:jc w:val="center"/>
              <w:rPr>
                <w:rFonts w:hint="eastAsia" w:ascii="宋体" w:hAnsi="宋体"/>
                <w:color w:val="auto"/>
                <w:szCs w:val="21"/>
                <w:highlight w:val="none"/>
              </w:rPr>
            </w:pPr>
            <w:r>
              <w:rPr>
                <w:rFonts w:hint="eastAsia" w:ascii="宋体" w:hAnsi="宋体"/>
                <w:color w:val="auto"/>
                <w:szCs w:val="21"/>
                <w:highlight w:val="none"/>
              </w:rPr>
              <w:t>21.1</w:t>
            </w:r>
          </w:p>
        </w:tc>
        <w:tc>
          <w:tcPr>
            <w:tcW w:w="4466" w:type="pct"/>
            <w:tcBorders>
              <w:top w:val="single" w:color="auto" w:sz="4" w:space="0"/>
              <w:left w:val="single" w:color="auto" w:sz="4" w:space="0"/>
              <w:bottom w:val="single" w:color="auto" w:sz="4" w:space="0"/>
              <w:right w:val="single" w:color="auto" w:sz="4" w:space="0"/>
            </w:tcBorders>
            <w:vAlign w:val="center"/>
          </w:tcPr>
          <w:p w14:paraId="0AEC9A1C">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1. 提交投标文件截止时间：详见招标公告。</w:t>
            </w:r>
          </w:p>
          <w:p w14:paraId="31E0C89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096AF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0C244831">
            <w:pPr>
              <w:spacing w:line="360" w:lineRule="auto"/>
              <w:jc w:val="center"/>
              <w:rPr>
                <w:rFonts w:hint="eastAsia" w:ascii="宋体" w:hAnsi="宋体"/>
                <w:color w:val="auto"/>
                <w:szCs w:val="21"/>
                <w:highlight w:val="none"/>
              </w:rPr>
            </w:pPr>
            <w:bookmarkStart w:id="62" w:name="_23"/>
            <w:bookmarkEnd w:id="62"/>
            <w:r>
              <w:rPr>
                <w:rFonts w:hint="eastAsia" w:ascii="宋体" w:hAnsi="宋体"/>
                <w:color w:val="auto"/>
                <w:szCs w:val="21"/>
                <w:highlight w:val="none"/>
              </w:rPr>
              <w:t>23</w:t>
            </w:r>
          </w:p>
        </w:tc>
        <w:tc>
          <w:tcPr>
            <w:tcW w:w="4466" w:type="pct"/>
            <w:tcBorders>
              <w:top w:val="single" w:color="auto" w:sz="4" w:space="0"/>
              <w:left w:val="single" w:color="auto" w:sz="4" w:space="0"/>
              <w:bottom w:val="single" w:color="auto" w:sz="4" w:space="0"/>
              <w:right w:val="single" w:color="auto" w:sz="4" w:space="0"/>
            </w:tcBorders>
            <w:vAlign w:val="center"/>
          </w:tcPr>
          <w:p w14:paraId="66F2291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731F0E0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62727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7F2187C">
            <w:pPr>
              <w:spacing w:line="360" w:lineRule="auto"/>
              <w:jc w:val="center"/>
              <w:rPr>
                <w:rFonts w:hint="eastAsia" w:ascii="宋体" w:hAnsi="宋体"/>
                <w:color w:val="auto"/>
                <w:szCs w:val="21"/>
                <w:highlight w:val="none"/>
              </w:rPr>
            </w:pPr>
            <w:r>
              <w:rPr>
                <w:rFonts w:hint="eastAsia" w:ascii="宋体" w:hAnsi="宋体"/>
                <w:color w:val="auto"/>
                <w:szCs w:val="21"/>
                <w:highlight w:val="none"/>
              </w:rPr>
              <w:t>24.3（1）</w:t>
            </w:r>
          </w:p>
        </w:tc>
        <w:tc>
          <w:tcPr>
            <w:tcW w:w="4466" w:type="pct"/>
            <w:tcBorders>
              <w:top w:val="single" w:color="auto" w:sz="4" w:space="0"/>
              <w:left w:val="single" w:color="auto" w:sz="4" w:space="0"/>
              <w:bottom w:val="single" w:color="auto" w:sz="4" w:space="0"/>
              <w:right w:val="single" w:color="auto" w:sz="4" w:space="0"/>
            </w:tcBorders>
            <w:vAlign w:val="center"/>
          </w:tcPr>
          <w:p w14:paraId="4DA23259">
            <w:pPr>
              <w:snapToGrid w:val="0"/>
              <w:spacing w:line="360" w:lineRule="auto"/>
              <w:rPr>
                <w:rFonts w:hint="eastAsia"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 xml:space="preserve"> </w:t>
            </w:r>
            <w:r>
              <w:rPr>
                <w:rFonts w:hAnsi="宋体"/>
                <w:color w:val="auto"/>
                <w:highlight w:val="none"/>
                <w:u w:val="single"/>
              </w:rPr>
              <w:t>30</w:t>
            </w:r>
            <w:r>
              <w:rPr>
                <w:rFonts w:hint="eastAsia" w:hAnsi="宋体"/>
                <w:color w:val="auto"/>
                <w:highlight w:val="none"/>
              </w:rPr>
              <w:t>分钟。</w:t>
            </w:r>
          </w:p>
        </w:tc>
      </w:tr>
      <w:tr w14:paraId="23451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5B4CF560">
            <w:pPr>
              <w:spacing w:line="360" w:lineRule="auto"/>
              <w:jc w:val="center"/>
              <w:rPr>
                <w:rFonts w:hint="eastAsia" w:ascii="宋体" w:hAnsi="宋体"/>
                <w:color w:val="auto"/>
                <w:szCs w:val="21"/>
                <w:highlight w:val="none"/>
              </w:rPr>
            </w:pPr>
            <w:bookmarkStart w:id="63" w:name="_25.3"/>
            <w:bookmarkEnd w:id="63"/>
            <w:r>
              <w:rPr>
                <w:rFonts w:hint="eastAsia" w:ascii="宋体" w:hAnsi="宋体"/>
                <w:color w:val="auto"/>
                <w:szCs w:val="21"/>
                <w:highlight w:val="none"/>
              </w:rPr>
              <w:t>25.3（2）</w:t>
            </w:r>
          </w:p>
        </w:tc>
        <w:tc>
          <w:tcPr>
            <w:tcW w:w="4466" w:type="pct"/>
            <w:tcBorders>
              <w:top w:val="single" w:color="auto" w:sz="4" w:space="0"/>
              <w:left w:val="single" w:color="auto" w:sz="4" w:space="0"/>
              <w:bottom w:val="single" w:color="auto" w:sz="4" w:space="0"/>
              <w:right w:val="single" w:color="auto" w:sz="4" w:space="0"/>
            </w:tcBorders>
            <w:vAlign w:val="center"/>
          </w:tcPr>
          <w:p w14:paraId="326E450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4B5C1A7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、中国政府采购网（www.ccgp.gov.cn）、中国执行信息公开网（https://zxgk.court.gov.cn/）。</w:t>
            </w:r>
          </w:p>
          <w:p w14:paraId="2770A5D8">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27971C0C">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）作为附件上传保存。</w:t>
            </w:r>
          </w:p>
          <w:p w14:paraId="6B1BC442">
            <w:pPr>
              <w:snapToGrid w:val="0"/>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重大税收违法失信主体、政府采购严重违法失信行为记录名单、中国执行信息公开网（https://zxgk.court.gov.cn/）被列入失信被执行人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AA0F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CC04E41">
            <w:pPr>
              <w:spacing w:line="360" w:lineRule="auto"/>
              <w:jc w:val="center"/>
              <w:rPr>
                <w:rFonts w:hint="eastAsia" w:ascii="宋体" w:hAnsi="宋体"/>
                <w:color w:val="auto"/>
                <w:szCs w:val="21"/>
                <w:highlight w:val="none"/>
              </w:rPr>
            </w:pPr>
            <w:bookmarkStart w:id="64" w:name="_26"/>
            <w:bookmarkEnd w:id="64"/>
            <w:r>
              <w:rPr>
                <w:rFonts w:hint="eastAsia" w:ascii="宋体" w:hAnsi="宋体"/>
                <w:color w:val="auto"/>
                <w:szCs w:val="21"/>
                <w:highlight w:val="none"/>
              </w:rPr>
              <w:t>26.1</w:t>
            </w:r>
          </w:p>
        </w:tc>
        <w:tc>
          <w:tcPr>
            <w:tcW w:w="4466" w:type="pct"/>
            <w:tcBorders>
              <w:top w:val="single" w:color="auto" w:sz="4" w:space="0"/>
              <w:left w:val="single" w:color="auto" w:sz="4" w:space="0"/>
              <w:bottom w:val="single" w:color="auto" w:sz="4" w:space="0"/>
              <w:right w:val="single" w:color="auto" w:sz="4" w:space="0"/>
            </w:tcBorders>
            <w:vAlign w:val="center"/>
          </w:tcPr>
          <w:p w14:paraId="6886E8E1">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5</w:t>
            </w:r>
            <w:r>
              <w:rPr>
                <w:rFonts w:hint="eastAsia" w:ascii="宋体" w:hAnsi="宋体"/>
                <w:color w:val="auto"/>
                <w:szCs w:val="21"/>
                <w:highlight w:val="none"/>
              </w:rPr>
              <w:t>人或以上单数。</w:t>
            </w:r>
          </w:p>
        </w:tc>
      </w:tr>
      <w:tr w14:paraId="7B40A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BD865A0">
            <w:pPr>
              <w:spacing w:line="360" w:lineRule="auto"/>
              <w:jc w:val="center"/>
              <w:rPr>
                <w:rFonts w:hint="eastAsia" w:ascii="宋体" w:hAnsi="宋体"/>
                <w:color w:val="auto"/>
                <w:szCs w:val="21"/>
                <w:highlight w:val="none"/>
              </w:rPr>
            </w:pPr>
            <w:bookmarkStart w:id="65" w:name="_28.3"/>
            <w:bookmarkEnd w:id="65"/>
            <w:r>
              <w:rPr>
                <w:rFonts w:ascii="宋体" w:hAnsi="宋体"/>
                <w:color w:val="auto"/>
                <w:szCs w:val="21"/>
                <w:highlight w:val="none"/>
              </w:rPr>
              <w:t>29.1</w:t>
            </w:r>
          </w:p>
        </w:tc>
        <w:tc>
          <w:tcPr>
            <w:tcW w:w="4466" w:type="pct"/>
            <w:tcBorders>
              <w:top w:val="single" w:color="auto" w:sz="4" w:space="0"/>
              <w:left w:val="single" w:color="auto" w:sz="4" w:space="0"/>
              <w:bottom w:val="single" w:color="auto" w:sz="4" w:space="0"/>
              <w:right w:val="single" w:color="auto" w:sz="4" w:space="0"/>
            </w:tcBorders>
            <w:vAlign w:val="center"/>
          </w:tcPr>
          <w:p w14:paraId="27BF6280">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评标方法：</w:t>
            </w:r>
          </w:p>
          <w:p w14:paraId="743284E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☑综合评分法</w:t>
            </w:r>
          </w:p>
          <w:p w14:paraId="5121081A">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□最低评标价法</w:t>
            </w:r>
          </w:p>
        </w:tc>
      </w:tr>
      <w:tr w14:paraId="67A74D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33" w:type="pct"/>
            <w:tcBorders>
              <w:top w:val="single" w:color="auto" w:sz="4" w:space="0"/>
              <w:left w:val="single" w:color="auto" w:sz="4" w:space="0"/>
              <w:bottom w:val="single" w:color="auto" w:sz="4" w:space="0"/>
              <w:right w:val="single" w:color="auto" w:sz="4" w:space="0"/>
            </w:tcBorders>
            <w:vAlign w:val="center"/>
          </w:tcPr>
          <w:p w14:paraId="7B8F1F7B">
            <w:pPr>
              <w:spacing w:line="360" w:lineRule="auto"/>
              <w:jc w:val="center"/>
              <w:rPr>
                <w:rFonts w:hint="eastAsia" w:ascii="宋体" w:hAnsi="宋体"/>
                <w:color w:val="auto"/>
                <w:szCs w:val="21"/>
                <w:highlight w:val="none"/>
              </w:rPr>
            </w:pPr>
            <w:bookmarkStart w:id="66" w:name="_29.2.2（2）"/>
            <w:bookmarkEnd w:id="66"/>
            <w:r>
              <w:rPr>
                <w:rFonts w:hint="eastAsia" w:ascii="宋体" w:hAnsi="宋体"/>
                <w:color w:val="auto"/>
                <w:szCs w:val="21"/>
                <w:highlight w:val="none"/>
              </w:rPr>
              <w:t>29</w:t>
            </w:r>
            <w:r>
              <w:rPr>
                <w:rFonts w:ascii="宋体" w:hAnsi="宋体"/>
                <w:color w:val="auto"/>
                <w:szCs w:val="21"/>
                <w:highlight w:val="none"/>
              </w:rPr>
              <w:t>.2</w:t>
            </w:r>
          </w:p>
        </w:tc>
        <w:tc>
          <w:tcPr>
            <w:tcW w:w="4466" w:type="pct"/>
            <w:tcBorders>
              <w:top w:val="single" w:color="auto" w:sz="4" w:space="0"/>
              <w:left w:val="single" w:color="auto" w:sz="4" w:space="0"/>
              <w:right w:val="single" w:color="auto" w:sz="4" w:space="0"/>
            </w:tcBorders>
            <w:vAlign w:val="center"/>
          </w:tcPr>
          <w:p w14:paraId="3CB7A29A">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ascii="宋体" w:hAnsi="宋体"/>
                <w:color w:val="auto"/>
                <w:szCs w:val="21"/>
                <w:highlight w:val="none"/>
                <w:u w:val="single"/>
              </w:rPr>
              <w:t>0</w:t>
            </w:r>
            <w:r>
              <w:rPr>
                <w:rFonts w:hint="eastAsia" w:ascii="宋体" w:hAnsi="宋体"/>
                <w:color w:val="auto"/>
                <w:szCs w:val="21"/>
                <w:highlight w:val="none"/>
              </w:rPr>
              <w:t>项。</w:t>
            </w:r>
          </w:p>
          <w:p w14:paraId="6BE5BD97">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w:t>
            </w:r>
            <w:r>
              <w:rPr>
                <w:rFonts w:hint="eastAsia" w:ascii="宋体" w:hAnsi="宋体"/>
                <w:color w:val="auto"/>
                <w:szCs w:val="21"/>
                <w:highlight w:val="none"/>
              </w:rPr>
              <w:t>项。</w:t>
            </w:r>
          </w:p>
        </w:tc>
      </w:tr>
      <w:tr w14:paraId="093F7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33" w:type="pct"/>
            <w:tcBorders>
              <w:top w:val="single" w:color="auto" w:sz="4" w:space="0"/>
              <w:left w:val="single" w:color="auto" w:sz="4" w:space="0"/>
              <w:right w:val="single" w:color="auto" w:sz="4" w:space="0"/>
            </w:tcBorders>
            <w:vAlign w:val="center"/>
          </w:tcPr>
          <w:p w14:paraId="184C8DB6">
            <w:pPr>
              <w:spacing w:line="360" w:lineRule="auto"/>
              <w:jc w:val="center"/>
              <w:rPr>
                <w:rFonts w:hint="eastAsia" w:ascii="宋体" w:hAnsi="宋体"/>
                <w:color w:val="auto"/>
                <w:szCs w:val="21"/>
                <w:highlight w:val="none"/>
              </w:rPr>
            </w:pPr>
            <w:r>
              <w:rPr>
                <w:rFonts w:hint="eastAsia" w:ascii="宋体" w:hAnsi="宋体"/>
                <w:color w:val="auto"/>
                <w:szCs w:val="21"/>
                <w:highlight w:val="none"/>
              </w:rPr>
              <w:t>29.3</w:t>
            </w:r>
          </w:p>
        </w:tc>
        <w:tc>
          <w:tcPr>
            <w:tcW w:w="4466" w:type="pct"/>
            <w:tcBorders>
              <w:top w:val="single" w:color="auto" w:sz="4" w:space="0"/>
              <w:left w:val="single" w:color="auto" w:sz="4" w:space="0"/>
              <w:right w:val="single" w:color="auto" w:sz="4" w:space="0"/>
            </w:tcBorders>
            <w:vAlign w:val="center"/>
          </w:tcPr>
          <w:p w14:paraId="4BE54EB1">
            <w:pPr>
              <w:snapToGrid w:val="0"/>
              <w:spacing w:line="360" w:lineRule="auto"/>
              <w:rPr>
                <w:rFonts w:hint="eastAsia" w:hAnsi="宋体"/>
                <w:color w:val="auto"/>
                <w:highlight w:val="none"/>
              </w:rPr>
            </w:pPr>
            <w:r>
              <w:rPr>
                <w:rFonts w:hAnsi="宋体"/>
                <w:color w:val="auto"/>
                <w:highlight w:val="none"/>
              </w:rPr>
              <w:t>中标候选人推荐数量</w:t>
            </w:r>
            <w:r>
              <w:rPr>
                <w:rFonts w:hint="eastAsia" w:hAnsi="宋体"/>
                <w:color w:val="auto"/>
                <w:highlight w:val="none"/>
              </w:rPr>
              <w:t>：</w:t>
            </w:r>
          </w:p>
          <w:p w14:paraId="3708B265">
            <w:pPr>
              <w:snapToGrid w:val="0"/>
              <w:spacing w:line="360" w:lineRule="auto"/>
              <w:rPr>
                <w:rFonts w:hint="eastAsia" w:hAnsi="宋体"/>
                <w:color w:val="auto"/>
                <w:highlight w:val="none"/>
              </w:rPr>
            </w:pPr>
            <w:r>
              <w:rPr>
                <w:rFonts w:hint="eastAsia" w:ascii="宋体" w:hAnsi="宋体"/>
                <w:color w:val="auto"/>
                <w:szCs w:val="21"/>
                <w:highlight w:val="none"/>
              </w:rPr>
              <w:t>☑</w:t>
            </w:r>
            <w:r>
              <w:rPr>
                <w:rFonts w:hint="eastAsia" w:hAnsi="宋体"/>
                <w:color w:val="auto"/>
                <w:highlight w:val="none"/>
                <w:u w:val="single"/>
              </w:rPr>
              <w:t xml:space="preserve">  3 </w:t>
            </w:r>
            <w:r>
              <w:rPr>
                <w:rFonts w:hAnsi="宋体"/>
                <w:color w:val="auto"/>
                <w:highlight w:val="none"/>
                <w:u w:val="single"/>
              </w:rPr>
              <w:t xml:space="preserve"> </w:t>
            </w:r>
            <w:r>
              <w:rPr>
                <w:rFonts w:hAnsi="宋体"/>
                <w:color w:val="auto"/>
                <w:highlight w:val="none"/>
              </w:rPr>
              <w:t>名</w:t>
            </w:r>
          </w:p>
          <w:p w14:paraId="63B09B37">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w:t>
            </w:r>
            <w:r>
              <w:rPr>
                <w:rFonts w:hint="eastAsia" w:hAnsi="宋体"/>
                <w:color w:val="auto"/>
                <w:highlight w:val="none"/>
              </w:rPr>
              <w:t>根据[总得分由高到低</w:t>
            </w:r>
            <w:r>
              <w:rPr>
                <w:rFonts w:hAnsi="宋体"/>
                <w:color w:val="auto"/>
                <w:highlight w:val="none"/>
              </w:rPr>
              <w:t>]</w:t>
            </w:r>
            <w:r>
              <w:rPr>
                <w:rFonts w:hint="eastAsia" w:hAnsi="宋体"/>
                <w:color w:val="auto"/>
                <w:highlight w:val="none"/>
              </w:rPr>
              <w:t>排列次序并全部推荐为中标候选人。</w:t>
            </w:r>
          </w:p>
        </w:tc>
      </w:tr>
      <w:tr w14:paraId="3ACC7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269402A">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4466" w:type="pct"/>
            <w:tcBorders>
              <w:top w:val="single" w:color="auto" w:sz="4" w:space="0"/>
              <w:left w:val="single" w:color="auto" w:sz="4" w:space="0"/>
              <w:bottom w:val="single" w:color="auto" w:sz="4" w:space="0"/>
              <w:right w:val="single" w:color="auto" w:sz="4" w:space="0"/>
            </w:tcBorders>
            <w:vAlign w:val="center"/>
          </w:tcPr>
          <w:p w14:paraId="7ACF6DA3">
            <w:pPr>
              <w:autoSpaceDE w:val="0"/>
              <w:autoSpaceDN w:val="0"/>
              <w:snapToGrid w:val="0"/>
              <w:spacing w:line="360" w:lineRule="auto"/>
              <w:textAlignment w:val="bottom"/>
              <w:rPr>
                <w:rFonts w:hint="eastAsia" w:hAnsi="宋体"/>
                <w:color w:val="auto"/>
                <w:highlight w:val="none"/>
              </w:rPr>
            </w:pPr>
            <w:r>
              <w:rPr>
                <w:rFonts w:hint="eastAsia" w:hAnsi="宋体"/>
                <w:color w:val="auto"/>
                <w:highlight w:val="none"/>
              </w:rPr>
              <w:t>采用综合评分法的采购项目，采购人确定中标供应商时，出现中标候选人并列的情形，采购人按以下的方式确定中标供应商：</w:t>
            </w:r>
          </w:p>
          <w:p w14:paraId="02ADF304">
            <w:pPr>
              <w:autoSpaceDE w:val="0"/>
              <w:autoSpaceDN w:val="0"/>
              <w:snapToGrid w:val="0"/>
              <w:spacing w:line="360" w:lineRule="auto"/>
              <w:textAlignment w:val="bottom"/>
              <w:rPr>
                <w:rFonts w:hint="eastAsia" w:hAnsi="宋体"/>
                <w:color w:val="auto"/>
                <w:highlight w:val="none"/>
              </w:rPr>
            </w:pPr>
            <w:r>
              <w:rPr>
                <w:rFonts w:hint="eastAsia" w:ascii="宋体" w:hAnsi="宋体"/>
                <w:color w:val="auto"/>
                <w:highlight w:val="none"/>
              </w:rPr>
              <w:t>√</w:t>
            </w:r>
            <w:r>
              <w:rPr>
                <w:rFonts w:hint="eastAsia" w:hAnsi="宋体"/>
                <w:color w:val="auto"/>
                <w:highlight w:val="none"/>
              </w:rPr>
              <w:t>依次按投标报价低的优先、技术评分高的优先、商务评分高的优先、故障响应时间短优先的顺序确定；</w:t>
            </w:r>
          </w:p>
          <w:p w14:paraId="66508A09">
            <w:pPr>
              <w:autoSpaceDE w:val="0"/>
              <w:autoSpaceDN w:val="0"/>
              <w:snapToGrid w:val="0"/>
              <w:spacing w:line="360" w:lineRule="auto"/>
              <w:textAlignment w:val="bottom"/>
              <w:rPr>
                <w:rFonts w:hint="eastAsia" w:ascii="宋体" w:hAnsi="宋体"/>
                <w:b/>
                <w:color w:val="auto"/>
                <w:szCs w:val="21"/>
                <w:highlight w:val="none"/>
              </w:rPr>
            </w:pPr>
            <w:r>
              <w:rPr>
                <w:rFonts w:hint="eastAsia" w:hAnsi="宋体"/>
                <w:color w:val="auto"/>
                <w:highlight w:val="none"/>
              </w:rPr>
              <w:t>□随机抽取；</w:t>
            </w:r>
          </w:p>
        </w:tc>
      </w:tr>
      <w:tr w14:paraId="3E5AF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3" w:type="pct"/>
            <w:tcBorders>
              <w:top w:val="single" w:color="auto" w:sz="4" w:space="0"/>
              <w:left w:val="single" w:color="auto" w:sz="4" w:space="0"/>
              <w:bottom w:val="single" w:color="auto" w:sz="4" w:space="0"/>
              <w:right w:val="single" w:color="auto" w:sz="4" w:space="0"/>
            </w:tcBorders>
            <w:vAlign w:val="center"/>
          </w:tcPr>
          <w:p w14:paraId="5092E62D">
            <w:pPr>
              <w:spacing w:line="360" w:lineRule="auto"/>
              <w:jc w:val="center"/>
              <w:rPr>
                <w:rFonts w:hint="eastAsia" w:ascii="宋体" w:hAnsi="宋体"/>
                <w:color w:val="auto"/>
                <w:szCs w:val="21"/>
                <w:highlight w:val="none"/>
              </w:rPr>
            </w:pPr>
            <w:bookmarkStart w:id="67" w:name="_39.1"/>
            <w:bookmarkEnd w:id="67"/>
            <w:r>
              <w:rPr>
                <w:rFonts w:hint="eastAsia" w:ascii="宋体" w:hAnsi="宋体"/>
                <w:color w:val="auto"/>
                <w:szCs w:val="21"/>
                <w:highlight w:val="none"/>
              </w:rPr>
              <w:t>35</w:t>
            </w:r>
            <w:r>
              <w:rPr>
                <w:rFonts w:ascii="宋体" w:hAnsi="宋体"/>
                <w:color w:val="auto"/>
                <w:szCs w:val="21"/>
                <w:highlight w:val="none"/>
              </w:rPr>
              <w:t>.1</w:t>
            </w:r>
          </w:p>
        </w:tc>
        <w:tc>
          <w:tcPr>
            <w:tcW w:w="4466" w:type="pct"/>
            <w:tcBorders>
              <w:top w:val="single" w:color="auto" w:sz="4" w:space="0"/>
              <w:left w:val="single" w:color="auto" w:sz="4" w:space="0"/>
              <w:bottom w:val="single" w:color="auto" w:sz="4" w:space="0"/>
              <w:right w:val="single" w:color="auto" w:sz="4" w:space="0"/>
            </w:tcBorders>
            <w:vAlign w:val="center"/>
          </w:tcPr>
          <w:p w14:paraId="2E952CC8">
            <w:pPr>
              <w:autoSpaceDE w:val="0"/>
              <w:autoSpaceDN w:val="0"/>
              <w:snapToGrid w:val="0"/>
              <w:spacing w:line="360" w:lineRule="auto"/>
              <w:textAlignment w:val="bottom"/>
              <w:rPr>
                <w:rFonts w:hint="eastAsia" w:ascii="宋体" w:hAnsi="宋体" w:cs="宋体"/>
                <w:color w:val="auto"/>
                <w:kern w:val="0"/>
                <w:sz w:val="20"/>
                <w:szCs w:val="21"/>
                <w:highlight w:val="none"/>
              </w:rPr>
            </w:pPr>
            <w:r>
              <w:rPr>
                <w:rFonts w:hint="eastAsia" w:ascii="宋体" w:hAnsi="宋体" w:cs="宋体"/>
                <w:color w:val="auto"/>
                <w:highlight w:val="none"/>
                <w:lang w:bidi="ar"/>
              </w:rPr>
              <w:t>☑本项目不收取履约保证金。</w:t>
            </w:r>
          </w:p>
          <w:p w14:paraId="2BE3C5BB">
            <w:pPr>
              <w:autoSpaceDE w:val="0"/>
              <w:autoSpaceDN w:val="0"/>
              <w:snapToGrid w:val="0"/>
              <w:spacing w:line="360" w:lineRule="auto"/>
              <w:textAlignment w:val="bottom"/>
              <w:rPr>
                <w:rFonts w:hint="eastAsia" w:ascii="宋体" w:hAnsi="宋体" w:cs="宋体"/>
                <w:color w:val="auto"/>
                <w:highlight w:val="none"/>
              </w:rPr>
            </w:pPr>
            <w:r>
              <w:rPr>
                <w:rFonts w:hint="eastAsia" w:ascii="宋体" w:hAnsi="宋体" w:cs="宋体"/>
                <w:color w:val="auto"/>
                <w:highlight w:val="none"/>
                <w:lang w:bidi="ar"/>
              </w:rPr>
              <w:t>□本项目收取履约保证金，具体规定如下：</w:t>
            </w:r>
          </w:p>
          <w:p w14:paraId="5C255EF0">
            <w:pPr>
              <w:pStyle w:val="13"/>
              <w:widowControl/>
              <w:spacing w:line="360" w:lineRule="auto"/>
              <w:rPr>
                <w:rFonts w:hint="eastAsia" w:ascii="宋体" w:hAnsi="宋体" w:cs="宋体"/>
                <w:color w:val="auto"/>
                <w:szCs w:val="21"/>
                <w:highlight w:val="none"/>
              </w:rPr>
            </w:pPr>
            <w:bookmarkStart w:id="68" w:name="OLE_LINK5"/>
            <w:r>
              <w:rPr>
                <w:rFonts w:hint="eastAsia" w:ascii="宋体" w:hAnsi="宋体" w:cs="宋体"/>
                <w:color w:val="auto"/>
                <w:szCs w:val="21"/>
                <w:highlight w:val="none"/>
              </w:rPr>
              <w:t>履约保证金金</w:t>
            </w:r>
            <w:r>
              <w:rPr>
                <w:rFonts w:hint="eastAsia" w:ascii="宋体" w:hAnsi="宋体"/>
                <w:color w:val="auto"/>
                <w:szCs w:val="21"/>
                <w:highlight w:val="none"/>
              </w:rPr>
              <w:t>额：非中小企业按预算金额的3 %，中小企业按预算金额的 2 %。</w:t>
            </w:r>
          </w:p>
          <w:p w14:paraId="20B80C62">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highlight w:val="none"/>
                <w:lang w:bidi="ar"/>
              </w:rPr>
              <w:t>履约保证金递交方式：银行转账、支票、汇票、本票或者银行、保险机构出具的保函（含电子保函）等非现金方式。</w:t>
            </w:r>
          </w:p>
          <w:p w14:paraId="4FBFD45B">
            <w:pPr>
              <w:autoSpaceDE w:val="0"/>
              <w:autoSpaceDN w:val="0"/>
              <w:snapToGrid w:val="0"/>
              <w:spacing w:line="360" w:lineRule="auto"/>
              <w:textAlignment w:val="bottom"/>
              <w:rPr>
                <w:rFonts w:hint="eastAsia" w:ascii="宋体" w:hAnsi="宋体" w:cs="宋体"/>
                <w:color w:val="auto"/>
                <w:highlight w:val="none"/>
              </w:rPr>
            </w:pPr>
            <w:r>
              <w:rPr>
                <w:rFonts w:hint="eastAsia" w:ascii="宋体" w:hAnsi="宋体" w:cs="宋体"/>
                <w:color w:val="auto"/>
                <w:highlight w:val="none"/>
                <w:lang w:bidi="ar"/>
              </w:rPr>
              <w:t>履约保证金缴纳期限:</w:t>
            </w:r>
            <w:r>
              <w:rPr>
                <w:color w:val="auto"/>
                <w:highlight w:val="none"/>
                <w:lang w:bidi="ar"/>
              </w:rPr>
              <w:t xml:space="preserve"> </w:t>
            </w:r>
            <w:r>
              <w:rPr>
                <w:rFonts w:hint="eastAsia" w:ascii="宋体" w:hAnsi="宋体" w:cs="宋体"/>
                <w:color w:val="auto"/>
                <w:highlight w:val="none"/>
                <w:lang w:bidi="ar"/>
              </w:rPr>
              <w:t>自中标通知书发出之日起5日内。</w:t>
            </w:r>
          </w:p>
          <w:p w14:paraId="0D428F36">
            <w:pPr>
              <w:snapToGrid w:val="0"/>
              <w:spacing w:line="360" w:lineRule="auto"/>
              <w:rPr>
                <w:rFonts w:ascii="Cambria Math" w:hAnsi="Cambria Math" w:eastAsia="Cambria Math" w:cs="Cambria Math"/>
                <w:color w:val="auto"/>
                <w:highlight w:val="none"/>
              </w:rPr>
            </w:pPr>
            <w:r>
              <w:rPr>
                <w:rFonts w:hint="eastAsia" w:ascii="宋体" w:hAnsi="宋体" w:cs="宋体"/>
                <w:color w:val="auto"/>
                <w:highlight w:val="none"/>
                <w:lang w:bidi="ar"/>
              </w:rPr>
              <w:t>履约保证金退付方式、时间及条件：</w:t>
            </w:r>
            <w:r>
              <w:rPr>
                <w:rFonts w:hint="eastAsia" w:ascii="Cambria Math" w:hAnsi="Cambria Math" w:cs="宋体"/>
                <w:color w:val="auto"/>
                <w:highlight w:val="none"/>
                <w:lang w:bidi="ar"/>
              </w:rPr>
              <w:t>履约保证金在项目履约完成（按合同约定履行完合同所有内容）后无息退还。</w:t>
            </w:r>
            <w:r>
              <w:rPr>
                <w:rFonts w:hint="eastAsia" w:ascii="Cambria Math" w:hAnsi="Cambria Math" w:cs="Cambria Math"/>
                <w:color w:val="auto"/>
                <w:highlight w:val="none"/>
                <w:lang w:bidi="ar"/>
              </w:rPr>
              <w:t>由中标供应商向履约保证金收取单位提供《广西壮族自治区政府采购项目合同验收书》（详见桂财采〔</w:t>
            </w:r>
            <w:r>
              <w:rPr>
                <w:rFonts w:ascii="Cambria Math" w:hAnsi="Cambria Math" w:eastAsia="Cambria Math" w:cs="Cambria Math"/>
                <w:color w:val="auto"/>
                <w:highlight w:val="none"/>
                <w:lang w:bidi="ar"/>
              </w:rPr>
              <w:t>2015</w:t>
            </w:r>
            <w:r>
              <w:rPr>
                <w:rFonts w:hint="eastAsia" w:ascii="Cambria Math" w:hAnsi="Cambria Math" w:cs="Cambria Math"/>
                <w:color w:val="auto"/>
                <w:highlight w:val="none"/>
                <w:lang w:bidi="ar"/>
              </w:rPr>
              <w:t>〕</w:t>
            </w:r>
            <w:r>
              <w:rPr>
                <w:rFonts w:ascii="Cambria Math" w:hAnsi="Cambria Math" w:eastAsia="Cambria Math" w:cs="Cambria Math"/>
                <w:color w:val="auto"/>
                <w:highlight w:val="none"/>
                <w:lang w:bidi="ar"/>
              </w:rPr>
              <w:t>22</w:t>
            </w:r>
            <w:r>
              <w:rPr>
                <w:rFonts w:hint="eastAsia" w:ascii="Cambria Math" w:hAnsi="Cambria Math" w:cs="Cambria Math"/>
                <w:color w:val="auto"/>
                <w:highlight w:val="none"/>
                <w:lang w:bidi="ar"/>
              </w:rPr>
              <w:t>号），保证金收取单位在收到合格材料后</w:t>
            </w:r>
            <w:r>
              <w:rPr>
                <w:rFonts w:ascii="Cambria Math" w:hAnsi="Cambria Math" w:eastAsia="Cambria Math" w:cs="Cambria Math"/>
                <w:color w:val="auto"/>
                <w:highlight w:val="none"/>
                <w:lang w:bidi="ar"/>
              </w:rPr>
              <w:t>5</w:t>
            </w:r>
            <w:r>
              <w:rPr>
                <w:rFonts w:hint="eastAsia" w:ascii="Cambria Math" w:hAnsi="Cambria Math" w:cs="Cambria Math"/>
                <w:color w:val="auto"/>
                <w:highlight w:val="none"/>
                <w:lang w:bidi="ar"/>
              </w:rPr>
              <w:t>个工作日内办理退还手续（不计利息）。</w:t>
            </w:r>
          </w:p>
          <w:p w14:paraId="4D7CD086">
            <w:pPr>
              <w:snapToGrid w:val="0"/>
              <w:spacing w:line="360" w:lineRule="auto"/>
              <w:rPr>
                <w:rFonts w:hint="eastAsia" w:ascii="宋体" w:hAnsi="宋体" w:cs="宋体"/>
                <w:color w:val="auto"/>
                <w:highlight w:val="none"/>
                <w:u w:val="single"/>
              </w:rPr>
            </w:pPr>
            <w:r>
              <w:rPr>
                <w:rFonts w:hint="eastAsia" w:ascii="Cambria Math" w:hAnsi="Cambria Math" w:cs="Cambria Math"/>
                <w:color w:val="auto"/>
                <w:highlight w:val="none"/>
                <w:lang w:bidi="ar"/>
              </w:rPr>
              <w:t>不予退还的情形：签订合同后，如中标供应商不按双方签订的合同规定履约，则其全部履约保证金不予退还。</w:t>
            </w:r>
          </w:p>
          <w:p w14:paraId="48589094">
            <w:pPr>
              <w:autoSpaceDE w:val="0"/>
              <w:autoSpaceDN w:val="0"/>
              <w:snapToGrid w:val="0"/>
              <w:spacing w:line="360" w:lineRule="auto"/>
              <w:textAlignment w:val="bottom"/>
              <w:rPr>
                <w:rFonts w:ascii="Cambria Math" w:hAnsi="Cambria Math" w:eastAsia="Cambria Math" w:cs="Cambria Math"/>
                <w:color w:val="auto"/>
                <w:highlight w:val="none"/>
              </w:rPr>
            </w:pPr>
            <w:bookmarkStart w:id="69" w:name="OLE_LINK11"/>
            <w:r>
              <w:rPr>
                <w:rFonts w:hint="eastAsia" w:ascii="宋体" w:hAnsi="宋体" w:cs="宋体"/>
                <w:color w:val="auto"/>
                <w:highlight w:val="none"/>
                <w:lang w:bidi="ar"/>
              </w:rPr>
              <w:t>履</w:t>
            </w:r>
            <w:r>
              <w:rPr>
                <w:rFonts w:hint="eastAsia" w:ascii="Cambria Math" w:hAnsi="Cambria Math" w:cs="Cambria Math"/>
                <w:color w:val="auto"/>
                <w:highlight w:val="none"/>
                <w:lang w:bidi="ar"/>
              </w:rPr>
              <w:t>约保证金指定账户：</w:t>
            </w:r>
            <w:r>
              <w:rPr>
                <w:rFonts w:ascii="Cambria Math" w:hAnsi="Cambria Math" w:eastAsia="Cambria Math" w:cs="Cambria Math"/>
                <w:color w:val="auto"/>
                <w:highlight w:val="none"/>
                <w:lang w:bidi="ar"/>
              </w:rPr>
              <w:t xml:space="preserve"> </w:t>
            </w:r>
          </w:p>
          <w:p w14:paraId="08AF46D3">
            <w:pPr>
              <w:pStyle w:val="32"/>
              <w:widowControl w:val="0"/>
              <w:spacing w:before="0" w:beforeAutospacing="0" w:after="120" w:afterAutospacing="0" w:line="380" w:lineRule="exact"/>
              <w:jc w:val="both"/>
              <w:rPr>
                <w:rFonts w:ascii="Cambria Math" w:hAnsi="Cambria Math" w:eastAsia="Cambria Math" w:cs="Cambria Math"/>
                <w:color w:val="auto"/>
                <w:highlight w:val="none"/>
              </w:rPr>
            </w:pPr>
            <w:r>
              <w:rPr>
                <w:rFonts w:hint="eastAsia" w:ascii="Cambria Math" w:hAnsi="Cambria Math" w:cs="Cambria Math"/>
                <w:color w:val="auto"/>
                <w:sz w:val="21"/>
                <w:highlight w:val="none"/>
                <w:lang w:bidi="ar"/>
              </w:rPr>
              <w:t>开户名称：/</w:t>
            </w:r>
            <w:r>
              <w:rPr>
                <w:rFonts w:ascii="Cambria Math" w:hAnsi="Cambria Math" w:eastAsia="Cambria Math" w:cs="Cambria Math"/>
                <w:color w:val="auto"/>
                <w:sz w:val="21"/>
                <w:highlight w:val="none"/>
                <w:lang w:bidi="ar"/>
              </w:rPr>
              <w:t xml:space="preserve"> </w:t>
            </w:r>
          </w:p>
          <w:p w14:paraId="473CC3F3">
            <w:pPr>
              <w:pStyle w:val="32"/>
              <w:widowControl w:val="0"/>
              <w:spacing w:before="0" w:beforeAutospacing="0" w:after="120" w:afterAutospacing="0" w:line="380" w:lineRule="exact"/>
              <w:jc w:val="both"/>
              <w:rPr>
                <w:rFonts w:ascii="Cambria Math" w:hAnsi="Cambria Math" w:cs="Cambria Math"/>
                <w:color w:val="auto"/>
                <w:sz w:val="21"/>
                <w:highlight w:val="none"/>
                <w:lang w:bidi="ar"/>
              </w:rPr>
            </w:pPr>
            <w:r>
              <w:rPr>
                <w:rFonts w:hint="eastAsia" w:ascii="Cambria Math" w:hAnsi="Cambria Math" w:cs="Cambria Math"/>
                <w:color w:val="auto"/>
                <w:sz w:val="21"/>
                <w:highlight w:val="none"/>
                <w:lang w:bidi="ar"/>
              </w:rPr>
              <w:t>开户银行：/</w:t>
            </w:r>
          </w:p>
          <w:p w14:paraId="01361D12">
            <w:pPr>
              <w:pStyle w:val="32"/>
              <w:widowControl w:val="0"/>
              <w:spacing w:before="0" w:beforeAutospacing="0" w:after="120" w:afterAutospacing="0" w:line="380" w:lineRule="exact"/>
              <w:jc w:val="both"/>
              <w:rPr>
                <w:rFonts w:ascii="Cambria Math" w:hAnsi="Cambria Math" w:cs="Cambria Math"/>
                <w:color w:val="auto"/>
                <w:highlight w:val="none"/>
              </w:rPr>
            </w:pPr>
            <w:r>
              <w:rPr>
                <w:rFonts w:hint="eastAsia" w:ascii="Cambria Math" w:hAnsi="Cambria Math" w:cs="Cambria Math"/>
                <w:color w:val="auto"/>
                <w:sz w:val="21"/>
                <w:highlight w:val="none"/>
                <w:lang w:bidi="ar"/>
              </w:rPr>
              <w:t>银行账号：</w:t>
            </w:r>
            <w:bookmarkEnd w:id="68"/>
            <w:bookmarkEnd w:id="69"/>
            <w:r>
              <w:rPr>
                <w:rFonts w:hint="eastAsia" w:ascii="Cambria Math" w:hAnsi="Cambria Math" w:cs="Cambria Math"/>
                <w:color w:val="auto"/>
                <w:sz w:val="21"/>
                <w:highlight w:val="none"/>
                <w:lang w:bidi="ar"/>
              </w:rPr>
              <w:t>/</w:t>
            </w:r>
          </w:p>
          <w:p w14:paraId="1405DC36">
            <w:pPr>
              <w:spacing w:line="360" w:lineRule="auto"/>
              <w:jc w:val="left"/>
              <w:rPr>
                <w:rFonts w:hint="eastAsia" w:ascii="宋体" w:hAnsi="宋体" w:cs="Courier New"/>
                <w:color w:val="auto"/>
                <w:szCs w:val="21"/>
                <w:highlight w:val="none"/>
              </w:rPr>
            </w:pPr>
            <w:r>
              <w:rPr>
                <w:rFonts w:ascii="宋体" w:hAnsi="宋体" w:cs="Courier New"/>
                <w:color w:val="auto"/>
                <w:szCs w:val="21"/>
                <w:highlight w:val="none"/>
              </w:rPr>
              <w:t>备注：</w:t>
            </w:r>
          </w:p>
          <w:p w14:paraId="3FDDBE96">
            <w:pPr>
              <w:spacing w:line="360" w:lineRule="auto"/>
              <w:jc w:val="left"/>
              <w:rPr>
                <w:rFonts w:hint="eastAsia" w:ascii="宋体" w:hAnsi="宋体"/>
                <w:b/>
                <w:color w:val="auto"/>
                <w:szCs w:val="21"/>
                <w:highlight w:val="none"/>
              </w:rPr>
            </w:pPr>
            <w:r>
              <w:rPr>
                <w:rFonts w:ascii="宋体" w:hAnsi="宋体"/>
                <w:b/>
                <w:color w:val="auto"/>
                <w:szCs w:val="21"/>
                <w:highlight w:val="none"/>
              </w:rPr>
              <w:t>1.</w:t>
            </w:r>
            <w:r>
              <w:rPr>
                <w:rFonts w:hint="eastAsia" w:ascii="宋体" w:hAnsi="宋体"/>
                <w:b/>
                <w:color w:val="auto"/>
                <w:szCs w:val="21"/>
                <w:highlight w:val="none"/>
              </w:rPr>
              <w:t xml:space="preserve"> </w:t>
            </w:r>
            <w:bookmarkStart w:id="70"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highlight w:val="none"/>
              </w:rPr>
              <w:t>。</w:t>
            </w:r>
            <w:bookmarkEnd w:id="70"/>
          </w:p>
          <w:p w14:paraId="38E563F6">
            <w:pPr>
              <w:spacing w:line="360" w:lineRule="auto"/>
              <w:jc w:val="left"/>
              <w:rPr>
                <w:rFonts w:hint="eastAsia"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ascii="宋体" w:hAnsi="宋体"/>
                <w:b/>
                <w:color w:val="auto"/>
                <w:szCs w:val="21"/>
                <w:highlight w:val="none"/>
              </w:rPr>
              <w:br w:type="textWrapping"/>
            </w:r>
            <w:r>
              <w:rPr>
                <w:rFonts w:ascii="宋体" w:hAnsi="宋体"/>
                <w:b/>
                <w:color w:val="auto"/>
                <w:szCs w:val="21"/>
                <w:highlight w:val="none"/>
              </w:rPr>
              <w:t>3.采用银行、保险机构出具的保函的，必须为无条件保函，否则不予签订合同。</w:t>
            </w:r>
          </w:p>
          <w:p w14:paraId="53389FE5">
            <w:pPr>
              <w:spacing w:line="360" w:lineRule="auto"/>
              <w:jc w:val="left"/>
              <w:rPr>
                <w:rFonts w:hint="eastAsia" w:ascii="宋体" w:hAnsi="宋体" w:cs="宋体"/>
                <w:color w:val="auto"/>
                <w:kern w:val="0"/>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42F4B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41F4745F">
            <w:pPr>
              <w:spacing w:line="360" w:lineRule="auto"/>
              <w:jc w:val="center"/>
              <w:rPr>
                <w:rFonts w:hint="eastAsia" w:ascii="宋体" w:hAnsi="宋体"/>
                <w:color w:val="auto"/>
                <w:szCs w:val="21"/>
                <w:highlight w:val="none"/>
              </w:rPr>
            </w:pPr>
            <w:bookmarkStart w:id="71" w:name="_40.1"/>
            <w:bookmarkEnd w:id="71"/>
            <w:r>
              <w:rPr>
                <w:rFonts w:hint="eastAsia" w:ascii="宋体" w:hAnsi="宋体"/>
                <w:color w:val="auto"/>
                <w:szCs w:val="21"/>
                <w:highlight w:val="none"/>
              </w:rPr>
              <w:t>36.1</w:t>
            </w:r>
          </w:p>
        </w:tc>
        <w:tc>
          <w:tcPr>
            <w:tcW w:w="4466" w:type="pct"/>
            <w:tcBorders>
              <w:top w:val="single" w:color="auto" w:sz="4" w:space="0"/>
              <w:left w:val="single" w:color="auto" w:sz="4" w:space="0"/>
              <w:bottom w:val="single" w:color="auto" w:sz="4" w:space="0"/>
              <w:right w:val="single" w:color="auto" w:sz="4" w:space="0"/>
            </w:tcBorders>
            <w:vAlign w:val="center"/>
          </w:tcPr>
          <w:p w14:paraId="5A2133E8">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46D12B7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1.委托代理人负责签订合同的，须携带授权委托书及委托代理人身份证原件等其他资格证件。</w:t>
            </w:r>
          </w:p>
          <w:p w14:paraId="617E3CF0">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2.法定代表人负责签订合同的，须携带法定代表人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ED7C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4226CE71">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4466" w:type="pct"/>
            <w:tcBorders>
              <w:top w:val="single" w:color="auto" w:sz="4" w:space="0"/>
              <w:left w:val="single" w:color="auto" w:sz="4" w:space="0"/>
              <w:bottom w:val="single" w:color="auto" w:sz="4" w:space="0"/>
              <w:right w:val="single" w:color="auto" w:sz="4" w:space="0"/>
            </w:tcBorders>
            <w:vAlign w:val="center"/>
          </w:tcPr>
          <w:p w14:paraId="65CA985E">
            <w:pPr>
              <w:snapToGrid w:val="0"/>
              <w:spacing w:line="360" w:lineRule="auto"/>
              <w:rPr>
                <w:rFonts w:hint="eastAsia" w:ascii="宋体" w:hAnsi="宋体"/>
                <w:color w:val="auto"/>
                <w:highlight w:val="none"/>
              </w:rPr>
            </w:pPr>
            <w:r>
              <w:rPr>
                <w:rFonts w:ascii="宋体" w:hAnsi="宋体"/>
                <w:color w:val="auto"/>
                <w:highlight w:val="none"/>
              </w:rPr>
              <w:t>接收质疑函方式：以书面形式</w:t>
            </w:r>
            <w:r>
              <w:rPr>
                <w:rFonts w:hint="eastAsia" w:ascii="宋体" w:hAnsi="宋体"/>
                <w:color w:val="auto"/>
                <w:highlight w:val="none"/>
              </w:rPr>
              <w:t>。</w:t>
            </w:r>
          </w:p>
          <w:p w14:paraId="28444DC1">
            <w:pPr>
              <w:snapToGrid w:val="0"/>
              <w:spacing w:line="360" w:lineRule="auto"/>
              <w:rPr>
                <w:rFonts w:hint="eastAsia" w:ascii="宋体" w:hAnsi="宋体"/>
                <w:color w:val="auto"/>
                <w:highlight w:val="none"/>
              </w:rPr>
            </w:pPr>
            <w:r>
              <w:rPr>
                <w:rFonts w:ascii="宋体" w:hAnsi="宋体"/>
                <w:color w:val="auto"/>
                <w:highlight w:val="none"/>
              </w:rPr>
              <w:t>质疑联系部门及联系方式：</w:t>
            </w:r>
            <w:r>
              <w:rPr>
                <w:rFonts w:hint="eastAsia" w:ascii="宋体" w:hAnsi="宋体"/>
                <w:color w:val="auto"/>
                <w:highlight w:val="none"/>
              </w:rPr>
              <w:t>广西同泽工程项目管理股份有限公司</w:t>
            </w:r>
          </w:p>
          <w:p w14:paraId="5F67A566">
            <w:pPr>
              <w:snapToGrid w:val="0"/>
              <w:spacing w:line="360" w:lineRule="auto"/>
              <w:rPr>
                <w:rFonts w:hint="eastAsia" w:ascii="宋体" w:hAnsi="宋体"/>
                <w:color w:val="auto"/>
                <w:highlight w:val="none"/>
              </w:rPr>
            </w:pPr>
            <w:r>
              <w:rPr>
                <w:rFonts w:ascii="宋体" w:hAnsi="宋体"/>
                <w:color w:val="auto"/>
                <w:highlight w:val="none"/>
              </w:rPr>
              <w:t>联系电话：0771-5590176</w:t>
            </w:r>
          </w:p>
          <w:p w14:paraId="2641346A">
            <w:pPr>
              <w:snapToGrid w:val="0"/>
              <w:spacing w:line="360" w:lineRule="auto"/>
              <w:rPr>
                <w:rFonts w:hint="eastAsia" w:ascii="宋体" w:hAnsi="宋体"/>
                <w:color w:val="auto"/>
                <w:highlight w:val="none"/>
              </w:rPr>
            </w:pPr>
            <w:r>
              <w:rPr>
                <w:rFonts w:ascii="宋体" w:hAnsi="宋体"/>
                <w:color w:val="auto"/>
                <w:highlight w:val="none"/>
              </w:rPr>
              <w:t>通讯地址：</w:t>
            </w:r>
            <w:r>
              <w:rPr>
                <w:rFonts w:hint="eastAsia" w:ascii="宋体" w:hAnsi="宋体"/>
                <w:color w:val="auto"/>
                <w:highlight w:val="none"/>
              </w:rPr>
              <w:t>广西南宁市良庆区凯旋路16号裕达国际中心广东大厦18层</w:t>
            </w:r>
          </w:p>
          <w:p w14:paraId="2E8491BD">
            <w:pPr>
              <w:snapToGrid w:val="0"/>
              <w:spacing w:line="360" w:lineRule="auto"/>
              <w:rPr>
                <w:rFonts w:hint="eastAsia" w:ascii="宋体" w:hAnsi="宋体"/>
                <w:color w:val="auto"/>
                <w:szCs w:val="21"/>
                <w:highlight w:val="none"/>
              </w:rPr>
            </w:pPr>
            <w:r>
              <w:rPr>
                <w:rFonts w:hAnsi="宋体" w:cs="宋体"/>
                <w:color w:val="auto"/>
                <w:highlight w:val="none"/>
              </w:rPr>
              <w:t>业务时间：工作日每天上午</w:t>
            </w:r>
            <w:r>
              <w:rPr>
                <w:rFonts w:hint="eastAsia" w:hAnsi="宋体" w:cs="宋体"/>
                <w:color w:val="auto"/>
                <w:highlight w:val="none"/>
              </w:rPr>
              <w:t>9</w:t>
            </w:r>
            <w:r>
              <w:rPr>
                <w:rFonts w:hAnsi="宋体" w:cs="宋体"/>
                <w:color w:val="auto"/>
                <w:highlight w:val="none"/>
              </w:rPr>
              <w:t>时00分到12时00分，下午</w:t>
            </w:r>
            <w:r>
              <w:rPr>
                <w:rFonts w:hint="eastAsia" w:hAnsi="宋体" w:cs="宋体"/>
                <w:color w:val="auto"/>
                <w:highlight w:val="none"/>
              </w:rPr>
              <w:t>2</w:t>
            </w:r>
            <w:r>
              <w:rPr>
                <w:rFonts w:hAnsi="宋体" w:cs="宋体"/>
                <w:color w:val="auto"/>
                <w:highlight w:val="none"/>
              </w:rPr>
              <w:t>时</w:t>
            </w:r>
            <w:r>
              <w:rPr>
                <w:rFonts w:hint="eastAsia" w:hAnsi="宋体" w:cs="宋体"/>
                <w:color w:val="auto"/>
                <w:highlight w:val="none"/>
              </w:rPr>
              <w:t>30</w:t>
            </w:r>
            <w:r>
              <w:rPr>
                <w:rFonts w:hAnsi="宋体" w:cs="宋体"/>
                <w:color w:val="auto"/>
                <w:highlight w:val="none"/>
              </w:rPr>
              <w:t>分到</w:t>
            </w:r>
            <w:r>
              <w:rPr>
                <w:rFonts w:hint="eastAsia" w:hAnsi="宋体" w:cs="宋体"/>
                <w:color w:val="auto"/>
                <w:highlight w:val="none"/>
              </w:rPr>
              <w:t>5</w:t>
            </w:r>
            <w:r>
              <w:rPr>
                <w:rFonts w:hAnsi="宋体" w:cs="宋体"/>
                <w:color w:val="auto"/>
                <w:highlight w:val="none"/>
              </w:rPr>
              <w:t>时</w:t>
            </w:r>
            <w:r>
              <w:rPr>
                <w:rFonts w:hint="eastAsia" w:hAnsi="宋体" w:cs="宋体"/>
                <w:color w:val="auto"/>
                <w:highlight w:val="none"/>
              </w:rPr>
              <w:t>3</w:t>
            </w:r>
            <w:r>
              <w:rPr>
                <w:rFonts w:hAnsi="宋体" w:cs="宋体"/>
                <w:color w:val="auto"/>
                <w:highlight w:val="none"/>
              </w:rPr>
              <w:t>0分。</w:t>
            </w:r>
          </w:p>
        </w:tc>
      </w:tr>
      <w:tr w14:paraId="63B11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61C7F13">
            <w:pPr>
              <w:spacing w:line="360" w:lineRule="auto"/>
              <w:jc w:val="center"/>
              <w:rPr>
                <w:rFonts w:hint="eastAsia" w:ascii="宋体" w:hAnsi="宋体"/>
                <w:color w:val="auto"/>
                <w:szCs w:val="21"/>
                <w:highlight w:val="none"/>
              </w:rPr>
            </w:pPr>
            <w:bookmarkStart w:id="72" w:name="_41"/>
            <w:bookmarkEnd w:id="72"/>
            <w:bookmarkStart w:id="73" w:name="_42"/>
            <w:bookmarkEnd w:id="73"/>
            <w:bookmarkStart w:id="74" w:name="_Hlt17709148"/>
            <w:r>
              <w:rPr>
                <w:rFonts w:hint="eastAsia" w:ascii="宋体" w:hAnsi="宋体"/>
                <w:color w:val="auto"/>
                <w:szCs w:val="21"/>
                <w:highlight w:val="none"/>
              </w:rPr>
              <w:t>3</w:t>
            </w:r>
            <w:bookmarkEnd w:id="74"/>
            <w:r>
              <w:rPr>
                <w:rFonts w:ascii="宋体" w:hAnsi="宋体"/>
                <w:color w:val="auto"/>
                <w:szCs w:val="21"/>
                <w:highlight w:val="none"/>
              </w:rPr>
              <w:t>9.1</w:t>
            </w:r>
          </w:p>
        </w:tc>
        <w:tc>
          <w:tcPr>
            <w:tcW w:w="4466" w:type="pct"/>
            <w:tcBorders>
              <w:top w:val="single" w:color="auto" w:sz="4" w:space="0"/>
              <w:left w:val="single" w:color="auto" w:sz="4" w:space="0"/>
              <w:bottom w:val="single" w:color="auto" w:sz="4" w:space="0"/>
              <w:right w:val="single" w:color="auto" w:sz="4" w:space="0"/>
            </w:tcBorders>
            <w:vAlign w:val="center"/>
          </w:tcPr>
          <w:p w14:paraId="2E43CDCD">
            <w:pPr>
              <w:pStyle w:val="18"/>
              <w:snapToGrid w:val="0"/>
              <w:spacing w:line="360" w:lineRule="auto"/>
              <w:rPr>
                <w:rFonts w:hint="eastAsia" w:hAnsi="宋体" w:cs="宋体"/>
                <w:color w:val="auto"/>
                <w:highlight w:val="none"/>
              </w:rPr>
            </w:pPr>
            <w:r>
              <w:rPr>
                <w:rFonts w:hint="eastAsia" w:hAnsi="宋体" w:cs="宋体"/>
                <w:color w:val="auto"/>
                <w:highlight w:val="none"/>
              </w:rPr>
              <w:t>1.采购代理费支付方式：</w:t>
            </w:r>
          </w:p>
          <w:p w14:paraId="7A3AF967">
            <w:pPr>
              <w:pStyle w:val="18"/>
              <w:snapToGrid w:val="0"/>
              <w:spacing w:line="360" w:lineRule="auto"/>
              <w:rPr>
                <w:rFonts w:hint="eastAsia" w:hAnsi="宋体" w:cs="宋体"/>
                <w:color w:val="auto"/>
                <w:highlight w:val="none"/>
              </w:rPr>
            </w:pPr>
            <w:r>
              <w:rPr>
                <w:rFonts w:hint="eastAsia" w:hAnsi="宋体" w:cs="宋体"/>
                <w:color w:val="auto"/>
                <w:highlight w:val="none"/>
              </w:rPr>
              <w:t>☑本项目代理服务费由</w:t>
            </w:r>
            <w:r>
              <w:rPr>
                <w:rFonts w:hint="eastAsia" w:hAnsi="宋体" w:cs="宋体"/>
                <w:color w:val="auto"/>
                <w:highlight w:val="none"/>
                <w:u w:val="single"/>
              </w:rPr>
              <w:t>中标供应商</w:t>
            </w:r>
            <w:r>
              <w:rPr>
                <w:rFonts w:hint="eastAsia" w:hAnsi="宋体" w:cs="宋体"/>
                <w:color w:val="auto"/>
                <w:highlight w:val="none"/>
              </w:rPr>
              <w:t>一次性向采购代理机构支付。</w:t>
            </w:r>
          </w:p>
          <w:p w14:paraId="437ECCA5">
            <w:pPr>
              <w:pStyle w:val="18"/>
              <w:snapToGrid w:val="0"/>
              <w:spacing w:line="360" w:lineRule="auto"/>
              <w:rPr>
                <w:rFonts w:hint="eastAsia" w:hAnsi="宋体" w:cs="宋体"/>
                <w:color w:val="auto"/>
                <w:highlight w:val="none"/>
              </w:rPr>
            </w:pPr>
            <w:r>
              <w:rPr>
                <w:rFonts w:hint="eastAsia" w:hAnsi="宋体" w:cs="宋体"/>
                <w:color w:val="auto"/>
                <w:highlight w:val="none"/>
              </w:rPr>
              <w:t>□采购人支付。</w:t>
            </w:r>
          </w:p>
          <w:p w14:paraId="727DA2E4">
            <w:pPr>
              <w:pStyle w:val="18"/>
              <w:snapToGrid w:val="0"/>
              <w:spacing w:line="360" w:lineRule="auto"/>
              <w:rPr>
                <w:rFonts w:hint="eastAsia" w:hAnsi="宋体" w:cs="宋体"/>
                <w:color w:val="auto"/>
                <w:highlight w:val="none"/>
              </w:rPr>
            </w:pPr>
            <w:r>
              <w:rPr>
                <w:rFonts w:hint="eastAsia" w:hAnsi="宋体" w:cs="宋体"/>
                <w:color w:val="auto"/>
                <w:highlight w:val="none"/>
              </w:rPr>
              <w:t>2.采购代理费收取标准：</w:t>
            </w:r>
          </w:p>
          <w:p w14:paraId="58DEF392">
            <w:pPr>
              <w:pStyle w:val="18"/>
              <w:snapToGrid w:val="0"/>
              <w:spacing w:line="360" w:lineRule="auto"/>
              <w:rPr>
                <w:rFonts w:hint="eastAsia" w:hAnsi="宋体" w:cs="宋体"/>
                <w:color w:val="auto"/>
                <w:highlight w:val="none"/>
                <w:u w:val="single"/>
              </w:rPr>
            </w:pPr>
            <w:r>
              <w:rPr>
                <w:rFonts w:hint="eastAsia" w:hAnsi="宋体" w:cs="宋体"/>
                <w:color w:val="auto"/>
                <w:highlight w:val="none"/>
              </w:rPr>
              <w:t>代理服务费参照原《国家计委关于印发〈招标代理服务收费管理暂行办法〉的通知》（计价格〔2002〕1980号）、《国家发展改革委办公厅关于招标代理服务收费有关问题的通知》（发改办价格〔2003〕857号）、《国家发展改革委关于降低部分建设项目收费标准规范收费行为等有关问题的通知》（发改价格〔2011〕534号），向中标供应商收取。签订合同前，中标供应商应向乙方一次付清代理服务费。</w:t>
            </w:r>
          </w:p>
          <w:p w14:paraId="7C3313DC">
            <w:pPr>
              <w:pStyle w:val="18"/>
              <w:snapToGrid w:val="0"/>
              <w:spacing w:line="360" w:lineRule="auto"/>
              <w:rPr>
                <w:rFonts w:hint="eastAsia" w:ascii="Times New Roman" w:hAnsi="宋体" w:cs="宋体"/>
                <w:color w:val="auto"/>
                <w:szCs w:val="24"/>
                <w:highlight w:val="none"/>
              </w:rPr>
            </w:pPr>
            <w:r>
              <w:rPr>
                <w:rFonts w:hint="eastAsia" w:ascii="Times New Roman" w:hAnsi="宋体" w:cs="宋体"/>
                <w:color w:val="auto"/>
                <w:szCs w:val="24"/>
                <w:highlight w:val="none"/>
              </w:rPr>
              <w:t>3</w:t>
            </w:r>
            <w:r>
              <w:rPr>
                <w:rFonts w:hint="eastAsia" w:hAnsi="宋体" w:cs="宋体"/>
                <w:color w:val="auto"/>
                <w:highlight w:val="none"/>
              </w:rPr>
              <w:t>.</w:t>
            </w:r>
            <w:r>
              <w:rPr>
                <w:rFonts w:hint="eastAsia" w:ascii="Times New Roman" w:hAnsi="宋体" w:cs="宋体"/>
                <w:color w:val="auto"/>
                <w:szCs w:val="24"/>
                <w:highlight w:val="none"/>
              </w:rPr>
              <w:t xml:space="preserve">账户名称： </w:t>
            </w:r>
          </w:p>
          <w:p w14:paraId="4E8DC75F">
            <w:pPr>
              <w:pStyle w:val="18"/>
              <w:snapToGrid w:val="0"/>
              <w:spacing w:line="360" w:lineRule="auto"/>
              <w:rPr>
                <w:rFonts w:hint="eastAsia" w:ascii="Times New Roman" w:hAnsi="宋体" w:cs="宋体"/>
                <w:color w:val="auto"/>
                <w:szCs w:val="24"/>
                <w:highlight w:val="none"/>
              </w:rPr>
            </w:pPr>
            <w:r>
              <w:rPr>
                <w:rFonts w:hint="eastAsia" w:ascii="Times New Roman" w:hAnsi="宋体" w:cs="宋体"/>
                <w:color w:val="auto"/>
                <w:szCs w:val="24"/>
                <w:highlight w:val="none"/>
              </w:rPr>
              <w:t>开户名称：广西同泽工程项目管理股份有限公司南宁第八分公司</w:t>
            </w:r>
          </w:p>
          <w:p w14:paraId="30266972">
            <w:pPr>
              <w:pStyle w:val="18"/>
              <w:snapToGrid w:val="0"/>
              <w:spacing w:line="360" w:lineRule="auto"/>
              <w:rPr>
                <w:rFonts w:hint="eastAsia" w:ascii="Times New Roman" w:hAnsi="宋体" w:cs="宋体"/>
                <w:color w:val="auto"/>
                <w:szCs w:val="24"/>
                <w:highlight w:val="none"/>
              </w:rPr>
            </w:pPr>
            <w:r>
              <w:rPr>
                <w:rFonts w:hint="eastAsia" w:ascii="Times New Roman" w:hAnsi="宋体" w:cs="宋体"/>
                <w:color w:val="auto"/>
                <w:szCs w:val="24"/>
                <w:highlight w:val="none"/>
              </w:rPr>
              <w:t xml:space="preserve">开户银行：上海浦东发展银行广西自贸试验区南宁片区支行 </w:t>
            </w:r>
          </w:p>
          <w:p w14:paraId="4CA7FD66">
            <w:pPr>
              <w:pStyle w:val="18"/>
              <w:snapToGrid w:val="0"/>
              <w:spacing w:line="360" w:lineRule="auto"/>
              <w:rPr>
                <w:rFonts w:hint="eastAsia" w:hAnsi="宋体" w:cs="宋体"/>
                <w:color w:val="auto"/>
                <w:highlight w:val="none"/>
              </w:rPr>
            </w:pPr>
            <w:r>
              <w:rPr>
                <w:rFonts w:hint="eastAsia" w:ascii="Times New Roman" w:hAnsi="宋体" w:cs="宋体"/>
                <w:color w:val="auto"/>
                <w:szCs w:val="24"/>
                <w:highlight w:val="none"/>
              </w:rPr>
              <w:t>银行账号：63150078801600000504</w:t>
            </w:r>
          </w:p>
        </w:tc>
      </w:tr>
      <w:tr w14:paraId="30B26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1C5B4842">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4466" w:type="pct"/>
            <w:tcBorders>
              <w:top w:val="single" w:color="auto" w:sz="4" w:space="0"/>
              <w:left w:val="single" w:color="auto" w:sz="4" w:space="0"/>
              <w:bottom w:val="single" w:color="auto" w:sz="4" w:space="0"/>
              <w:right w:val="single" w:color="auto" w:sz="4" w:space="0"/>
            </w:tcBorders>
            <w:vAlign w:val="center"/>
          </w:tcPr>
          <w:p w14:paraId="74EFDB0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w:t>
            </w:r>
            <w:r>
              <w:rPr>
                <w:rFonts w:hint="eastAsia" w:ascii="宋体" w:hAnsi="宋体"/>
                <w:color w:val="auto"/>
                <w:szCs w:val="21"/>
                <w:highlight w:val="none"/>
              </w:rPr>
              <w:t>采购</w:t>
            </w:r>
            <w:r>
              <w:rPr>
                <w:rFonts w:ascii="宋体" w:hAnsi="宋体"/>
                <w:color w:val="auto"/>
                <w:szCs w:val="21"/>
                <w:highlight w:val="none"/>
              </w:rPr>
              <w:t>文件的各个组成文件应互为解释，互为说明；除</w:t>
            </w:r>
            <w:r>
              <w:rPr>
                <w:rFonts w:hint="eastAsia" w:ascii="宋体" w:hAnsi="宋体"/>
                <w:color w:val="auto"/>
                <w:szCs w:val="21"/>
                <w:highlight w:val="none"/>
              </w:rPr>
              <w:t>采购</w:t>
            </w:r>
            <w:r>
              <w:rPr>
                <w:rFonts w:ascii="宋体" w:hAnsi="宋体"/>
                <w:color w:val="auto"/>
                <w:szCs w:val="21"/>
                <w:highlight w:val="none"/>
              </w:rPr>
              <w:t>文件中有特别规定外，仅适用于</w:t>
            </w:r>
            <w:r>
              <w:rPr>
                <w:rFonts w:hint="eastAsia" w:ascii="宋体" w:hAnsi="宋体"/>
                <w:color w:val="auto"/>
                <w:szCs w:val="21"/>
                <w:highlight w:val="none"/>
              </w:rPr>
              <w:t>采购</w:t>
            </w:r>
            <w:r>
              <w:rPr>
                <w:rFonts w:ascii="宋体" w:hAnsi="宋体"/>
                <w:color w:val="auto"/>
                <w:szCs w:val="21"/>
                <w:highlight w:val="none"/>
              </w:rPr>
              <w:t>投标阶段的规定，按</w:t>
            </w:r>
            <w:r>
              <w:rPr>
                <w:rFonts w:hint="eastAsia" w:ascii="宋体" w:hAnsi="宋体"/>
                <w:color w:val="auto"/>
                <w:szCs w:val="21"/>
                <w:highlight w:val="none"/>
              </w:rPr>
              <w:t>更正公告（澄清公告）</w:t>
            </w:r>
            <w:r>
              <w:rPr>
                <w:rFonts w:ascii="宋体" w:hAnsi="宋体"/>
                <w:color w:val="auto"/>
                <w:szCs w:val="21"/>
                <w:highlight w:val="none"/>
              </w:rPr>
              <w:t>、</w:t>
            </w:r>
            <w:r>
              <w:rPr>
                <w:rFonts w:hint="eastAsia" w:ascii="宋体" w:hAnsi="宋体"/>
                <w:color w:val="auto"/>
                <w:szCs w:val="21"/>
                <w:highlight w:val="none"/>
              </w:rPr>
              <w:t>采购</w:t>
            </w:r>
            <w:r>
              <w:rPr>
                <w:rFonts w:ascii="宋体" w:hAnsi="宋体"/>
                <w:color w:val="auto"/>
                <w:szCs w:val="21"/>
                <w:highlight w:val="none"/>
              </w:rPr>
              <w:t>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w:t>
            </w:r>
            <w:r>
              <w:rPr>
                <w:rFonts w:hint="eastAsia" w:ascii="宋体" w:hAnsi="宋体"/>
                <w:color w:val="auto"/>
                <w:szCs w:val="21"/>
                <w:highlight w:val="none"/>
              </w:rPr>
              <w:t>采购</w:t>
            </w:r>
            <w:r>
              <w:rPr>
                <w:rFonts w:ascii="宋体" w:hAnsi="宋体"/>
                <w:color w:val="auto"/>
                <w:szCs w:val="21"/>
                <w:highlight w:val="none"/>
              </w:rPr>
              <w:t>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5963E2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472EBADE">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4466" w:type="pct"/>
            <w:tcBorders>
              <w:top w:val="single" w:color="auto" w:sz="4" w:space="0"/>
              <w:left w:val="single" w:color="auto" w:sz="4" w:space="0"/>
              <w:bottom w:val="single" w:color="auto" w:sz="4" w:space="0"/>
              <w:right w:val="single" w:color="auto" w:sz="4" w:space="0"/>
            </w:tcBorders>
            <w:vAlign w:val="center"/>
          </w:tcPr>
          <w:p w14:paraId="66C3A339">
            <w:pPr>
              <w:pStyle w:val="18"/>
              <w:snapToGrid w:val="0"/>
              <w:spacing w:line="360" w:lineRule="auto"/>
              <w:rPr>
                <w:rFonts w:hint="eastAsia" w:hAnsi="宋体" w:cs="宋体"/>
                <w:bCs/>
                <w:color w:val="auto"/>
                <w:highlight w:val="none"/>
              </w:rPr>
            </w:pPr>
            <w:r>
              <w:rPr>
                <w:rFonts w:hint="eastAsia" w:hAnsi="宋体" w:cs="宋体"/>
                <w:bCs/>
                <w:color w:val="auto"/>
                <w:highlight w:val="none"/>
              </w:rPr>
              <w:t>1.本采购文件中描述投标人的“公章”是指根据我国对公章的管理规定，用投标人法定主体行为名称制作的印章，除本采购文件有特殊规定外，投标人的财务章、部门章、分公司章、工会章、合同章、投标专用章、业务专用章及银行的转账章、现金收讫章、现金付讫章等其他形式印章均不能代替公章。</w:t>
            </w:r>
          </w:p>
          <w:p w14:paraId="7A59B3F8">
            <w:pPr>
              <w:pStyle w:val="18"/>
              <w:snapToGrid w:val="0"/>
              <w:spacing w:line="360" w:lineRule="auto"/>
              <w:rPr>
                <w:rFonts w:hint="eastAsia" w:hAnsi="宋体" w:cs="宋体"/>
                <w:bCs/>
                <w:color w:val="auto"/>
                <w:highlight w:val="none"/>
              </w:rPr>
            </w:pPr>
            <w:r>
              <w:rPr>
                <w:rFonts w:hint="eastAsia" w:hAnsi="宋体" w:cs="宋体"/>
                <w:bCs/>
                <w:color w:val="auto"/>
                <w:highlight w:val="none"/>
              </w:rPr>
              <w:t>2.本采购文件所称的“</w:t>
            </w:r>
            <w:r>
              <w:rPr>
                <w:rFonts w:hint="eastAsia" w:hAnsi="宋体"/>
                <w:color w:val="auto"/>
                <w:highlight w:val="none"/>
              </w:rPr>
              <w:t>电子签章</w:t>
            </w:r>
            <w:r>
              <w:rPr>
                <w:rFonts w:hint="eastAsia" w:hAnsi="宋体" w:cs="宋体"/>
                <w:bCs/>
                <w:color w:val="auto"/>
                <w:highlight w:val="none"/>
              </w:rPr>
              <w:t>”“电子签名”</w:t>
            </w:r>
            <w:r>
              <w:rPr>
                <w:rFonts w:hint="eastAsia" w:hAnsi="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5E5A315F">
            <w:pPr>
              <w:pStyle w:val="18"/>
              <w:snapToGrid w:val="0"/>
              <w:spacing w:line="360" w:lineRule="auto"/>
              <w:rPr>
                <w:rFonts w:hint="eastAsia" w:hAnsi="宋体" w:cs="宋体"/>
                <w:bCs/>
                <w:color w:val="auto"/>
                <w:highlight w:val="none"/>
              </w:rPr>
            </w:pPr>
            <w:r>
              <w:rPr>
                <w:rFonts w:hint="eastAsia" w:hAnsi="宋体" w:cs="宋体"/>
                <w:bCs/>
                <w:color w:val="auto"/>
                <w:highlight w:val="none"/>
              </w:rPr>
              <w:t>3.投标人为其他组织或者自然人时，本采购文件规定的法定代表人指负责人或者自然人。本采购文件所称负责人是指参加投标的其他组织营业执照或者执业许可证等证照上的负责人，本采购文件所称自然人指参与投标的自然人本人，且应具备独立承担民事责任能力，自然人应当为年满18岁以上成年人（十六周岁以上的未成年人，以自己的劳动收入为主要生活来源的，视为完全民事行为能力人）。</w:t>
            </w:r>
          </w:p>
          <w:p w14:paraId="4524E227">
            <w:pPr>
              <w:pStyle w:val="18"/>
              <w:snapToGrid w:val="0"/>
              <w:spacing w:line="360" w:lineRule="auto"/>
              <w:rPr>
                <w:rFonts w:hint="eastAsia" w:hAnsi="宋体" w:cs="宋体"/>
                <w:bCs/>
                <w:color w:val="auto"/>
                <w:highlight w:val="none"/>
              </w:rPr>
            </w:pPr>
            <w:r>
              <w:rPr>
                <w:rFonts w:hint="eastAsia" w:hAnsi="宋体" w:cs="宋体"/>
                <w:bCs/>
                <w:color w:val="auto"/>
                <w:highlight w:val="none"/>
              </w:rPr>
              <w:t>4.本采购文件中描述投标人的“签字”是指投标人的法定代表人或者委托代理人亲自在文件规定签字处亲笔写上个人的名字的行为，私章、签字章、印鉴、影印等其他形式均不能代替亲笔签字。</w:t>
            </w:r>
          </w:p>
          <w:p w14:paraId="3304C770">
            <w:pPr>
              <w:spacing w:line="360" w:lineRule="auto"/>
              <w:jc w:val="left"/>
              <w:rPr>
                <w:rFonts w:hint="eastAsia"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kern w:val="0"/>
                <w:szCs w:val="21"/>
                <w:highlight w:val="none"/>
              </w:rPr>
              <w:t>本采购文件所称的“以上”“以下”“以内”“届满”，包括本数；所称的“不满”“超过”“以外”，不包括本数。</w:t>
            </w:r>
          </w:p>
        </w:tc>
      </w:tr>
      <w:tr w14:paraId="099C5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7ECF91D">
            <w:pPr>
              <w:snapToGrid w:val="0"/>
              <w:spacing w:line="360" w:lineRule="auto"/>
              <w:jc w:val="center"/>
              <w:rPr>
                <w:rFonts w:hint="eastAsia" w:ascii="宋体" w:hAnsi="宋体"/>
                <w:color w:val="auto"/>
                <w:szCs w:val="21"/>
                <w:highlight w:val="none"/>
              </w:rPr>
            </w:pPr>
          </w:p>
        </w:tc>
        <w:tc>
          <w:tcPr>
            <w:tcW w:w="4466" w:type="pct"/>
            <w:tcBorders>
              <w:top w:val="single" w:color="auto" w:sz="4" w:space="0"/>
              <w:left w:val="single" w:color="auto" w:sz="4" w:space="0"/>
              <w:bottom w:val="single" w:color="auto" w:sz="4" w:space="0"/>
              <w:right w:val="single" w:color="auto" w:sz="4" w:space="0"/>
            </w:tcBorders>
            <w:vAlign w:val="center"/>
          </w:tcPr>
          <w:p w14:paraId="091DAB46">
            <w:pPr>
              <w:spacing w:line="360" w:lineRule="auto"/>
              <w:jc w:val="left"/>
              <w:rPr>
                <w:rFonts w:hint="eastAsia" w:hAnsi="宋体" w:cs="宋体"/>
                <w:b/>
                <w:color w:val="auto"/>
                <w:highlight w:val="none"/>
              </w:rPr>
            </w:pPr>
            <w:r>
              <w:rPr>
                <w:rFonts w:hint="eastAsia" w:hAnsi="宋体" w:cs="宋体"/>
                <w:b/>
                <w:color w:val="auto"/>
                <w:highlight w:val="none"/>
              </w:rPr>
              <w:t>特别说明：因项目存档需要，须按以下要求提供纸质投标响应文件：</w:t>
            </w:r>
          </w:p>
          <w:p w14:paraId="524058D2">
            <w:pPr>
              <w:spacing w:line="360" w:lineRule="auto"/>
              <w:jc w:val="left"/>
              <w:rPr>
                <w:rFonts w:hint="eastAsia" w:hAnsi="宋体" w:cs="宋体"/>
                <w:bCs/>
                <w:color w:val="auto"/>
                <w:highlight w:val="none"/>
              </w:rPr>
            </w:pPr>
            <w:r>
              <w:rPr>
                <w:rFonts w:hint="eastAsia" w:hAnsi="宋体" w:cs="宋体"/>
                <w:b/>
                <w:color w:val="auto"/>
                <w:highlight w:val="none"/>
              </w:rPr>
              <w:t>中标供应商在中标通知书发出后5天内须提交3套纸质版投标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中标人承担。</w:t>
            </w:r>
          </w:p>
        </w:tc>
      </w:tr>
    </w:tbl>
    <w:p w14:paraId="4E24CB05">
      <w:pPr>
        <w:snapToGrid w:val="0"/>
        <w:rPr>
          <w:rFonts w:hint="eastAsia" w:ascii="宋体" w:hAnsi="宋体"/>
          <w:color w:val="auto"/>
          <w:sz w:val="24"/>
          <w:szCs w:val="20"/>
          <w:highlight w:val="none"/>
        </w:rPr>
      </w:pPr>
    </w:p>
    <w:p w14:paraId="748D5342">
      <w:pPr>
        <w:pStyle w:val="6"/>
        <w:keepNext w:val="0"/>
        <w:keepLines w:val="0"/>
        <w:jc w:val="center"/>
        <w:rPr>
          <w:color w:val="auto"/>
          <w:highlight w:val="none"/>
        </w:rPr>
      </w:pPr>
      <w:r>
        <w:rPr>
          <w:color w:val="auto"/>
          <w:highlight w:val="none"/>
        </w:rPr>
        <w:br w:type="page"/>
      </w:r>
      <w:r>
        <w:rPr>
          <w:rFonts w:hint="eastAsia"/>
          <w:color w:val="auto"/>
          <w:highlight w:val="none"/>
        </w:rPr>
        <w:t>投标人须知正文</w:t>
      </w:r>
    </w:p>
    <w:p w14:paraId="6CC00003">
      <w:pPr>
        <w:pStyle w:val="6"/>
        <w:keepNext w:val="0"/>
        <w:keepLines w:val="0"/>
        <w:jc w:val="center"/>
        <w:rPr>
          <w:color w:val="auto"/>
          <w:highlight w:val="none"/>
        </w:rPr>
      </w:pPr>
      <w:r>
        <w:rPr>
          <w:rFonts w:hint="eastAsia"/>
          <w:color w:val="auto"/>
          <w:highlight w:val="none"/>
        </w:rPr>
        <w:t>一、总  则</w:t>
      </w:r>
    </w:p>
    <w:p w14:paraId="1CCD68CE">
      <w:pPr>
        <w:pStyle w:val="8"/>
        <w:keepNext w:val="0"/>
        <w:keepLines w:val="0"/>
        <w:spacing w:before="0" w:after="0" w:line="360" w:lineRule="auto"/>
        <w:ind w:left="420" w:leftChars="200"/>
        <w:rPr>
          <w:rFonts w:hint="eastAsia" w:ascii="黑体" w:hAnsi="黑体" w:eastAsia="黑体"/>
          <w:color w:val="auto"/>
          <w:sz w:val="24"/>
          <w:highlight w:val="none"/>
        </w:rPr>
      </w:pPr>
      <w:bookmarkStart w:id="75" w:name="_Toc254970668"/>
      <w:bookmarkStart w:id="76" w:name="_Toc254970527"/>
      <w:r>
        <w:rPr>
          <w:rFonts w:hint="eastAsia" w:ascii="黑体" w:hAnsi="黑体" w:eastAsia="黑体"/>
          <w:color w:val="auto"/>
          <w:sz w:val="24"/>
          <w:highlight w:val="none"/>
        </w:rPr>
        <w:t>1.适用范围</w:t>
      </w:r>
      <w:bookmarkEnd w:id="75"/>
      <w:bookmarkEnd w:id="76"/>
    </w:p>
    <w:p w14:paraId="0F3A681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4EB868F0">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1.2本采购文件</w:t>
      </w:r>
      <w:r>
        <w:rPr>
          <w:rFonts w:hint="eastAsia" w:ascii="宋体" w:hAnsi="宋体" w:cs="宋体"/>
          <w:color w:val="auto"/>
          <w:spacing w:val="-6"/>
          <w:szCs w:val="21"/>
          <w:highlight w:val="none"/>
        </w:rPr>
        <w:t>适用于本项目的所有采购程序和环节（法律、法规另有规定的，从其规定）。</w:t>
      </w:r>
    </w:p>
    <w:p w14:paraId="139EA192">
      <w:pPr>
        <w:pStyle w:val="8"/>
        <w:keepNext w:val="0"/>
        <w:keepLines w:val="0"/>
        <w:spacing w:before="0" w:after="0" w:line="360" w:lineRule="auto"/>
        <w:ind w:left="420" w:leftChars="200"/>
        <w:rPr>
          <w:rFonts w:hint="eastAsia" w:ascii="黑体" w:hAnsi="黑体" w:eastAsia="黑体"/>
          <w:color w:val="auto"/>
          <w:sz w:val="24"/>
          <w:highlight w:val="none"/>
        </w:rPr>
      </w:pPr>
      <w:bookmarkStart w:id="77" w:name="_Toc254970528"/>
      <w:bookmarkStart w:id="78" w:name="_Toc254970669"/>
      <w:r>
        <w:rPr>
          <w:rFonts w:hint="eastAsia" w:ascii="黑体" w:hAnsi="黑体" w:eastAsia="黑体"/>
          <w:color w:val="auto"/>
          <w:sz w:val="24"/>
          <w:highlight w:val="none"/>
        </w:rPr>
        <w:t>2.定义</w:t>
      </w:r>
      <w:bookmarkEnd w:id="77"/>
      <w:bookmarkEnd w:id="78"/>
    </w:p>
    <w:p w14:paraId="47A92479">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3EE905E8">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0C9467DB">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3460F67B">
      <w:pPr>
        <w:pStyle w:val="9"/>
        <w:spacing w:line="360" w:lineRule="auto"/>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06DC8FD3">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2.5“服务”是指除货物和工程以外的其他政府采购对象。</w:t>
      </w:r>
    </w:p>
    <w:p w14:paraId="56863B89">
      <w:pPr>
        <w:pStyle w:val="8"/>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w:t>
      </w:r>
      <w:r>
        <w:rPr>
          <w:rFonts w:ascii="宋体" w:hAnsi="宋体"/>
          <w:b w:val="0"/>
          <w:color w:val="auto"/>
          <w:sz w:val="21"/>
          <w:szCs w:val="21"/>
          <w:highlight w:val="none"/>
        </w:rPr>
        <w:t>6</w:t>
      </w:r>
      <w:r>
        <w:rPr>
          <w:rFonts w:hint="eastAsia" w:ascii="宋体" w:hAnsi="宋体"/>
          <w:b w:val="0"/>
          <w:color w:val="auto"/>
          <w:sz w:val="21"/>
          <w:szCs w:val="21"/>
          <w:highlight w:val="none"/>
        </w:rPr>
        <w:t>“书面形式”是指合同书、信件和数据电文（包括电报、电传、传真、电子数据交换和电子邮件）等可以有形地表现所载内容的形式。</w:t>
      </w:r>
    </w:p>
    <w:p w14:paraId="76A6E536">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“实质性要求”是指采购文件中已经指明不满足则投标无效的条款，或者不能负偏离的条款，或者采购需求中带“▲”的条款。</w:t>
      </w:r>
    </w:p>
    <w:p w14:paraId="7BB43EC7">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“正偏离”，是指投标文件对采购文件“采购需求”中有关条款作出的响应优于条款要求并有利于采购人的情形。</w:t>
      </w:r>
    </w:p>
    <w:p w14:paraId="4CD9435D">
      <w:pPr>
        <w:snapToGrid w:val="0"/>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“负偏离”，是指投标文件对采购文件“采购需求”中有关条款作出的响应不满足条款要求，导致采购人要求不能得到满足的情形。</w:t>
      </w:r>
    </w:p>
    <w:p w14:paraId="45FA365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79" w:name="_Toc254970529"/>
      <w:bookmarkStart w:id="80" w:name="_Toc254970670"/>
    </w:p>
    <w:p w14:paraId="2B04064B">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w:t>
      </w:r>
      <w:bookmarkEnd w:id="79"/>
      <w:bookmarkEnd w:id="80"/>
      <w:r>
        <w:rPr>
          <w:rFonts w:hint="eastAsia" w:ascii="黑体" w:hAnsi="黑体" w:eastAsia="黑体"/>
          <w:color w:val="auto"/>
          <w:sz w:val="24"/>
          <w:highlight w:val="none"/>
        </w:rPr>
        <w:t>投标人的资格要求</w:t>
      </w:r>
    </w:p>
    <w:p w14:paraId="54723EC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3DDFB987">
      <w:pPr>
        <w:pStyle w:val="8"/>
        <w:keepNext w:val="0"/>
        <w:keepLines w:val="0"/>
        <w:spacing w:before="0" w:after="0" w:line="360" w:lineRule="auto"/>
        <w:ind w:left="420" w:leftChars="200"/>
        <w:rPr>
          <w:rFonts w:hint="eastAsia" w:ascii="黑体" w:hAnsi="黑体" w:eastAsia="黑体"/>
          <w:color w:val="auto"/>
          <w:sz w:val="24"/>
          <w:highlight w:val="none"/>
        </w:rPr>
      </w:pPr>
      <w:bookmarkStart w:id="81" w:name="_Toc254970530"/>
      <w:bookmarkStart w:id="82" w:name="_Toc254970671"/>
      <w:r>
        <w:rPr>
          <w:rFonts w:hint="eastAsia" w:ascii="黑体" w:hAnsi="黑体" w:eastAsia="黑体"/>
          <w:color w:val="auto"/>
          <w:sz w:val="24"/>
          <w:highlight w:val="none"/>
        </w:rPr>
        <w:t>4.投标委托</w:t>
      </w:r>
      <w:bookmarkEnd w:id="81"/>
      <w:bookmarkEnd w:id="82"/>
    </w:p>
    <w:p w14:paraId="4ADD4A5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26797400">
      <w:pPr>
        <w:pStyle w:val="8"/>
        <w:keepNext w:val="0"/>
        <w:keepLines w:val="0"/>
        <w:spacing w:before="0" w:after="0" w:line="360" w:lineRule="auto"/>
        <w:ind w:left="420" w:leftChars="200"/>
        <w:rPr>
          <w:rFonts w:hint="eastAsia" w:ascii="黑体" w:hAnsi="黑体" w:eastAsia="黑体"/>
          <w:color w:val="auto"/>
          <w:sz w:val="24"/>
          <w:highlight w:val="none"/>
        </w:rPr>
      </w:pPr>
      <w:bookmarkStart w:id="83" w:name="_5.投标费用"/>
      <w:bookmarkEnd w:id="83"/>
      <w:bookmarkStart w:id="84" w:name="_Toc254970672"/>
      <w:bookmarkStart w:id="85" w:name="_Toc254970531"/>
      <w:r>
        <w:rPr>
          <w:rFonts w:hint="eastAsia" w:ascii="黑体" w:hAnsi="黑体" w:eastAsia="黑体"/>
          <w:color w:val="auto"/>
          <w:sz w:val="24"/>
          <w:highlight w:val="none"/>
        </w:rPr>
        <w:t>5.投标费用</w:t>
      </w:r>
      <w:bookmarkEnd w:id="84"/>
      <w:bookmarkEnd w:id="85"/>
    </w:p>
    <w:p w14:paraId="1C63E4AA">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投标费用：投标人应承担参与本次采购活动有关的所有费用，包括但不限于获取采购文件、勘查现场、编制和提交投标文件、参加澄清说明、签订合同等，不论投标结果如何，均应自行承担。</w:t>
      </w:r>
    </w:p>
    <w:p w14:paraId="3F481E3B">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4CBC9A6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7A7CE4AB">
      <w:pPr>
        <w:snapToGrid w:val="0"/>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245D603F">
      <w:pPr>
        <w:snapToGrid w:val="0"/>
        <w:spacing w:line="360" w:lineRule="auto"/>
        <w:ind w:firstLine="420" w:firstLineChars="200"/>
        <w:jc w:val="left"/>
        <w:rPr>
          <w:rFonts w:hint="eastAsia" w:ascii="宋体" w:hAnsi="宋体"/>
          <w:color w:val="auto"/>
          <w:szCs w:val="21"/>
          <w:highlight w:val="none"/>
        </w:rPr>
      </w:pPr>
      <w:r>
        <w:rPr>
          <w:rFonts w:hint="eastAsia" w:ascii="宋体" w:hAnsi="宋体"/>
          <w:bCs/>
          <w:color w:val="auto"/>
          <w:szCs w:val="21"/>
          <w:highlight w:val="none"/>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2D42088F">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594F2E37">
      <w:pPr>
        <w:pStyle w:val="8"/>
        <w:keepNext w:val="0"/>
        <w:keepLines w:val="0"/>
        <w:spacing w:before="0" w:after="0" w:line="360" w:lineRule="auto"/>
        <w:ind w:left="420" w:leftChars="200"/>
        <w:rPr>
          <w:rFonts w:hint="eastAsia" w:ascii="宋体" w:hAnsi="宋体"/>
          <w:b w:val="0"/>
          <w:color w:val="auto"/>
          <w:sz w:val="21"/>
          <w:szCs w:val="21"/>
          <w:highlight w:val="none"/>
        </w:rPr>
      </w:pPr>
      <w:bookmarkStart w:id="86" w:name="_Toc254970532"/>
      <w:bookmarkStart w:id="87" w:name="_Toc254970673"/>
      <w:r>
        <w:rPr>
          <w:rFonts w:hint="eastAsia" w:ascii="宋体" w:hAnsi="宋体"/>
          <w:b w:val="0"/>
          <w:color w:val="auto"/>
          <w:sz w:val="21"/>
          <w:szCs w:val="21"/>
          <w:highlight w:val="none"/>
        </w:rPr>
        <w:t>7.1本项目不允许转包。</w:t>
      </w:r>
    </w:p>
    <w:p w14:paraId="4DACCCC5">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的投标人应具备相应行政许可。</w:t>
      </w:r>
    </w:p>
    <w:p w14:paraId="793884C5">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7.3投标人根据采购文件的规定和采购项目的实际情况，拟在中标后将中标项目的非主体、非关键性工作分包的，应当在投标文件中载明分包承担主体，分包承担主体应当具备相应资质条件且不得再次分包。</w:t>
      </w:r>
    </w:p>
    <w:p w14:paraId="084A664B">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8.特别说明</w:t>
      </w:r>
      <w:bookmarkEnd w:id="86"/>
      <w:bookmarkEnd w:id="87"/>
    </w:p>
    <w:p w14:paraId="2942EDF1">
      <w:pPr>
        <w:pStyle w:val="8"/>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8.1如果本采购文件要求提供投标人或制造商的资格、信誉、荣誉、业绩与企业认证等材料的，资格、信誉、荣誉、业绩与企业认证等必须为投标人或者制造商所拥有或自身获得 。</w:t>
      </w:r>
    </w:p>
    <w:p w14:paraId="07AEEDDA">
      <w:pPr>
        <w:pStyle w:val="8"/>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8.2投标人应仔细阅读采购文件的所有内容，按照采购文件的要求提交投标文件，并对所提供的全部资料的真实性承担法律责任。</w:t>
      </w:r>
    </w:p>
    <w:p w14:paraId="5CE7799E">
      <w:pPr>
        <w:pStyle w:val="8"/>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37318FCB">
      <w:pPr>
        <w:pStyle w:val="8"/>
        <w:keepNext w:val="0"/>
        <w:keepLines w:val="0"/>
        <w:spacing w:before="0" w:after="0" w:line="360" w:lineRule="auto"/>
        <w:ind w:left="420" w:leftChars="200"/>
        <w:rPr>
          <w:rFonts w:hint="eastAsia"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03664015">
      <w:pPr>
        <w:pStyle w:val="8"/>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04B5173C">
      <w:pPr>
        <w:pStyle w:val="18"/>
        <w:snapToGrid w:val="0"/>
        <w:spacing w:line="360" w:lineRule="auto"/>
        <w:ind w:left="2" w:leftChars="1"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1</w:t>
      </w:r>
      <w:r>
        <w:rPr>
          <w:rFonts w:hAnsi="宋体"/>
          <w:color w:val="auto"/>
          <w:highlight w:val="none"/>
        </w:rPr>
        <w:t>）参加采购活动前3年内与</w:t>
      </w:r>
      <w:r>
        <w:rPr>
          <w:rFonts w:hint="eastAsia" w:hAnsi="宋体"/>
          <w:color w:val="auto"/>
          <w:highlight w:val="none"/>
        </w:rPr>
        <w:t>供应商</w:t>
      </w:r>
      <w:r>
        <w:rPr>
          <w:rFonts w:hAnsi="宋体"/>
          <w:color w:val="auto"/>
          <w:highlight w:val="none"/>
        </w:rPr>
        <w:t>存在劳动关系；</w:t>
      </w:r>
    </w:p>
    <w:p w14:paraId="324915B7">
      <w:pPr>
        <w:pStyle w:val="18"/>
        <w:snapToGrid w:val="0"/>
        <w:spacing w:line="360" w:lineRule="auto"/>
        <w:ind w:left="2" w:leftChars="1"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2</w:t>
      </w:r>
      <w:r>
        <w:rPr>
          <w:rFonts w:hAnsi="宋体"/>
          <w:color w:val="auto"/>
          <w:highlight w:val="none"/>
        </w:rPr>
        <w:t>）参加采购活动前3年内担任</w:t>
      </w:r>
      <w:r>
        <w:rPr>
          <w:rFonts w:hint="eastAsia" w:hAnsi="宋体"/>
          <w:color w:val="auto"/>
          <w:highlight w:val="none"/>
        </w:rPr>
        <w:t>供应商</w:t>
      </w:r>
      <w:r>
        <w:rPr>
          <w:rFonts w:hAnsi="宋体"/>
          <w:color w:val="auto"/>
          <w:highlight w:val="none"/>
        </w:rPr>
        <w:t>的董事、监事；</w:t>
      </w:r>
    </w:p>
    <w:p w14:paraId="38D2DACF">
      <w:pPr>
        <w:pStyle w:val="18"/>
        <w:snapToGrid w:val="0"/>
        <w:spacing w:line="360" w:lineRule="auto"/>
        <w:ind w:left="2" w:leftChars="1"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3</w:t>
      </w:r>
      <w:r>
        <w:rPr>
          <w:rFonts w:hAnsi="宋体"/>
          <w:color w:val="auto"/>
          <w:highlight w:val="none"/>
        </w:rPr>
        <w:t>）参加采购活动前3年内是</w:t>
      </w:r>
      <w:r>
        <w:rPr>
          <w:rFonts w:hint="eastAsia" w:hAnsi="宋体"/>
          <w:color w:val="auto"/>
          <w:highlight w:val="none"/>
        </w:rPr>
        <w:t>供应商</w:t>
      </w:r>
      <w:r>
        <w:rPr>
          <w:rFonts w:hAnsi="宋体"/>
          <w:color w:val="auto"/>
          <w:highlight w:val="none"/>
        </w:rPr>
        <w:t>的控股股东或者实际控制人；</w:t>
      </w:r>
    </w:p>
    <w:p w14:paraId="0C20FC10">
      <w:pPr>
        <w:pStyle w:val="18"/>
        <w:snapToGrid w:val="0"/>
        <w:spacing w:line="360" w:lineRule="auto"/>
        <w:ind w:left="2" w:leftChars="1"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4</w:t>
      </w:r>
      <w:r>
        <w:rPr>
          <w:rFonts w:hAnsi="宋体"/>
          <w:color w:val="auto"/>
          <w:highlight w:val="none"/>
        </w:rPr>
        <w:t>）与</w:t>
      </w:r>
      <w:r>
        <w:rPr>
          <w:rFonts w:hint="eastAsia" w:hAnsi="宋体"/>
          <w:color w:val="auto"/>
          <w:highlight w:val="none"/>
        </w:rPr>
        <w:t>供应商</w:t>
      </w:r>
      <w:r>
        <w:rPr>
          <w:rFonts w:hAnsi="宋体"/>
          <w:color w:val="auto"/>
          <w:highlight w:val="none"/>
        </w:rPr>
        <w:t>的法定代表人或者负责人有夫妻、直系血亲、三代以内旁系血亲或者近姻亲关系；</w:t>
      </w:r>
    </w:p>
    <w:p w14:paraId="6872A284">
      <w:pPr>
        <w:pStyle w:val="18"/>
        <w:snapToGrid w:val="0"/>
        <w:spacing w:line="360" w:lineRule="auto"/>
        <w:ind w:left="2" w:leftChars="1"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5</w:t>
      </w:r>
      <w:r>
        <w:rPr>
          <w:rFonts w:hAnsi="宋体"/>
          <w:color w:val="auto"/>
          <w:highlight w:val="none"/>
        </w:rPr>
        <w:t>）与</w:t>
      </w:r>
      <w:r>
        <w:rPr>
          <w:rFonts w:hint="eastAsia" w:hAnsi="宋体"/>
          <w:color w:val="auto"/>
          <w:highlight w:val="none"/>
        </w:rPr>
        <w:t>供应商</w:t>
      </w:r>
      <w:r>
        <w:rPr>
          <w:rFonts w:hAnsi="宋体"/>
          <w:color w:val="auto"/>
          <w:highlight w:val="none"/>
        </w:rPr>
        <w:t>有其他可能影响政府采购活动公平、公正进行的关系。</w:t>
      </w:r>
    </w:p>
    <w:p w14:paraId="10D17E58">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供应商</w:t>
      </w:r>
      <w:r>
        <w:rPr>
          <w:rFonts w:hAnsi="宋体"/>
          <w:color w:val="auto"/>
          <w:highlight w:val="none"/>
        </w:rPr>
        <w:t>认为采购人员及相关人员与其他</w:t>
      </w:r>
      <w:r>
        <w:rPr>
          <w:rFonts w:hint="eastAsia" w:hAnsi="宋体"/>
          <w:color w:val="auto"/>
          <w:highlight w:val="none"/>
        </w:rPr>
        <w:t>供应商</w:t>
      </w:r>
      <w:r>
        <w:rPr>
          <w:rFonts w:hAnsi="宋体"/>
          <w:color w:val="auto"/>
          <w:highlight w:val="none"/>
        </w:rPr>
        <w:t>有利害关系的，可以向采购人或者采购代理机构书面提出回避申请，并说明理由。采购人或者采购代理机构应当及时询问被申请回避人员，有利害关系的被申请回避人员应当回避。</w:t>
      </w:r>
    </w:p>
    <w:p w14:paraId="4FE8A805">
      <w:pPr>
        <w:pStyle w:val="8"/>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2B82AE8B">
      <w:pPr>
        <w:pStyle w:val="18"/>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 xml:space="preserve">（1）不同投标人的投标文件由同一单位或者个人编制； </w:t>
      </w:r>
    </w:p>
    <w:p w14:paraId="4F6EE575">
      <w:pPr>
        <w:pStyle w:val="18"/>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（2）不同投标人委托同一单位或者个人办理投标事宜；</w:t>
      </w:r>
    </w:p>
    <w:p w14:paraId="6C65A6F9">
      <w:pPr>
        <w:pStyle w:val="18"/>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（3）不同的投标人的投标文件载明的项目管理员为同一个人；</w:t>
      </w:r>
    </w:p>
    <w:p w14:paraId="12C386C3">
      <w:pPr>
        <w:pStyle w:val="18"/>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（4）不同投标人的投标文件异常一致或者投标报价呈规律性差异；</w:t>
      </w:r>
    </w:p>
    <w:p w14:paraId="72159452">
      <w:pPr>
        <w:pStyle w:val="18"/>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（5）不同投标人的投标文件相互混装；</w:t>
      </w:r>
    </w:p>
    <w:p w14:paraId="40E7F172">
      <w:pPr>
        <w:pStyle w:val="18"/>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（6）不同投标人的投标保证金从同一单位或者个人账户转出。</w:t>
      </w:r>
    </w:p>
    <w:p w14:paraId="1D266C5F">
      <w:pPr>
        <w:pStyle w:val="8"/>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661836B3">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（1）供应商直接或者间接从采购人或者采购代理机构处获得其他供应商的相关信息并修改其投标文件或者响应文件；</w:t>
      </w:r>
    </w:p>
    <w:p w14:paraId="49F76817">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（2）供应商按照采购人或者采购代理机构的授意撤换、修改投标文件或者响应文件；</w:t>
      </w:r>
    </w:p>
    <w:p w14:paraId="336105E2">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（3）供应商之间协商报价、技术方案等投标文件或者响应文件的实质性内容；</w:t>
      </w:r>
    </w:p>
    <w:p w14:paraId="2C2B8C8A">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（4）属于同一集团、协会、商会等组织成员的供应商按照该组织要求协同参加政府采购活动；</w:t>
      </w:r>
    </w:p>
    <w:p w14:paraId="1DBB5104">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（5）供应商之间事先约定一致抬高或者压低投标报价，或者在采购项目中事先约定轮流以高价位或者低价位中标，或者事先约定由某一特定供应商中标，然后再参加投标；</w:t>
      </w:r>
    </w:p>
    <w:p w14:paraId="361FD9D9">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（6）供应商之间商定部分供应商放弃参加政府采购活动或者放弃中标；</w:t>
      </w:r>
    </w:p>
    <w:p w14:paraId="7EF53A09">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（7）供应商与采购人或者采购代理机构之间、供应商相互之间，为谋求特定供应商中标或者排斥其他供应商的其他串通行为。</w:t>
      </w:r>
    </w:p>
    <w:p w14:paraId="20C0742A">
      <w:pPr>
        <w:pStyle w:val="18"/>
        <w:snapToGrid w:val="0"/>
        <w:spacing w:line="360" w:lineRule="auto"/>
        <w:ind w:left="2" w:leftChars="1" w:firstLine="422" w:firstLineChars="200"/>
        <w:rPr>
          <w:rFonts w:hint="eastAsia" w:hAnsi="宋体"/>
          <w:b/>
          <w:color w:val="auto"/>
          <w:highlight w:val="none"/>
        </w:rPr>
      </w:pPr>
    </w:p>
    <w:p w14:paraId="123543B5">
      <w:pPr>
        <w:pStyle w:val="6"/>
        <w:keepNext w:val="0"/>
        <w:keepLines w:val="0"/>
        <w:jc w:val="center"/>
        <w:rPr>
          <w:color w:val="auto"/>
          <w:highlight w:val="none"/>
        </w:rPr>
      </w:pPr>
      <w:bookmarkStart w:id="88" w:name="_Toc254970534"/>
      <w:bookmarkStart w:id="89" w:name="_Toc254970675"/>
      <w:r>
        <w:rPr>
          <w:rFonts w:hint="eastAsia"/>
          <w:color w:val="auto"/>
          <w:highlight w:val="none"/>
        </w:rPr>
        <w:t>二、招标文件</w:t>
      </w:r>
      <w:bookmarkEnd w:id="88"/>
      <w:bookmarkEnd w:id="89"/>
    </w:p>
    <w:p w14:paraId="20731F11">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7B7B9E5F">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（1）采购公告；</w:t>
      </w:r>
    </w:p>
    <w:p w14:paraId="5077A27D">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18A1788B">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059A2BE4">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06927092">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3AF540FE">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6DCB33B3">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278B5BA8">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采购文件进行必要的澄清或者修改，但不得改变采购标的和资格条件。澄清或者修改应当在原公告发布媒体上发布澄清公告。澄清或者修改的内容为采购文件的组成部分。</w:t>
      </w:r>
    </w:p>
    <w:p w14:paraId="2847F8CD">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澄清或者修改的内容可能影响投标文件编制的，采购人或者采购代理机构应当在投标截止时间至少15日前，以书面形式通知所有获取采购文件的潜在投标人；不足15日的，采购人或者采购代理机构应当顺延提交投标文件的截止时间。</w:t>
      </w:r>
    </w:p>
    <w:p w14:paraId="6C208FDC">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1</w:t>
      </w:r>
      <w:r>
        <w:rPr>
          <w:rFonts w:hAnsi="宋体"/>
          <w:color w:val="auto"/>
          <w:highlight w:val="none"/>
        </w:rPr>
        <w:t>1.2</w:t>
      </w:r>
      <w:bookmarkStart w:id="90" w:name="_Hlk53134511"/>
      <w:r>
        <w:rPr>
          <w:rFonts w:hint="eastAsia" w:hAnsi="宋体"/>
          <w:color w:val="auto"/>
          <w:highlight w:val="none"/>
        </w:rPr>
        <w:t>采购人或者采购代理机构可以在采购文件提供期限截止后，组织已获取采购文件的潜在投标人现场考察或者召开开标前答疑会，具体详见“投标人须知前附表”。</w:t>
      </w:r>
    </w:p>
    <w:bookmarkEnd w:id="90"/>
    <w:p w14:paraId="383BDE63">
      <w:pPr>
        <w:pStyle w:val="6"/>
        <w:keepNext w:val="0"/>
        <w:keepLines w:val="0"/>
        <w:jc w:val="center"/>
        <w:rPr>
          <w:color w:val="auto"/>
          <w:highlight w:val="none"/>
        </w:rPr>
      </w:pPr>
      <w:bookmarkStart w:id="91" w:name="_Toc254970676"/>
      <w:bookmarkStart w:id="92" w:name="_Toc254970535"/>
      <w:r>
        <w:rPr>
          <w:rFonts w:hint="eastAsia"/>
          <w:color w:val="auto"/>
          <w:highlight w:val="none"/>
        </w:rPr>
        <w:t>三、投标文件的编制</w:t>
      </w:r>
      <w:bookmarkEnd w:id="91"/>
      <w:bookmarkEnd w:id="92"/>
    </w:p>
    <w:p w14:paraId="6BCF525B">
      <w:pPr>
        <w:pStyle w:val="8"/>
        <w:keepNext w:val="0"/>
        <w:keepLines w:val="0"/>
        <w:spacing w:before="0" w:after="0" w:line="360" w:lineRule="auto"/>
        <w:ind w:left="420" w:leftChars="200"/>
        <w:rPr>
          <w:rFonts w:hint="eastAsia" w:ascii="黑体" w:hAnsi="黑体" w:eastAsia="黑体"/>
          <w:color w:val="auto"/>
          <w:sz w:val="24"/>
          <w:highlight w:val="none"/>
        </w:rPr>
      </w:pPr>
      <w:bookmarkStart w:id="93" w:name="_Toc254970677"/>
      <w:bookmarkStart w:id="94" w:name="_Toc254970536"/>
      <w:r>
        <w:rPr>
          <w:rFonts w:hint="eastAsia" w:ascii="黑体" w:hAnsi="黑体" w:eastAsia="黑体"/>
          <w:color w:val="auto"/>
          <w:sz w:val="24"/>
          <w:highlight w:val="none"/>
        </w:rPr>
        <w:t>12.投标文件的编制原则</w:t>
      </w:r>
    </w:p>
    <w:p w14:paraId="0B975776">
      <w:pPr>
        <w:snapToGrid w:val="0"/>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w:t>
      </w:r>
      <w:r>
        <w:rPr>
          <w:rFonts w:hint="eastAsia" w:ascii="宋体" w:hAnsi="宋体"/>
          <w:color w:val="auto"/>
          <w:szCs w:val="21"/>
          <w:highlight w:val="none"/>
        </w:rPr>
        <w:t>采购</w:t>
      </w:r>
      <w:r>
        <w:rPr>
          <w:rFonts w:ascii="宋体" w:hAnsi="宋体"/>
          <w:color w:val="auto"/>
          <w:szCs w:val="21"/>
          <w:highlight w:val="none"/>
        </w:rPr>
        <w:t>文件的要求编制投标文件。投标文件必须对</w:t>
      </w:r>
      <w:r>
        <w:rPr>
          <w:rFonts w:hint="eastAsia" w:ascii="宋体" w:hAnsi="宋体"/>
          <w:color w:val="auto"/>
          <w:szCs w:val="21"/>
          <w:highlight w:val="none"/>
        </w:rPr>
        <w:t>采购</w:t>
      </w:r>
      <w:r>
        <w:rPr>
          <w:rFonts w:ascii="宋体" w:hAnsi="宋体"/>
          <w:color w:val="auto"/>
          <w:szCs w:val="21"/>
          <w:highlight w:val="none"/>
        </w:rPr>
        <w:t>文件提出的要求和条件作出明确响应。</w:t>
      </w:r>
    </w:p>
    <w:p w14:paraId="4802FAA5">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93"/>
      <w:bookmarkEnd w:id="94"/>
    </w:p>
    <w:p w14:paraId="35566F4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4FF88AE7">
      <w:pPr>
        <w:pStyle w:val="8"/>
        <w:keepNext w:val="0"/>
        <w:keepLines w:val="0"/>
        <w:spacing w:before="0" w:after="0" w:line="360" w:lineRule="auto"/>
        <w:ind w:left="420" w:leftChars="200"/>
        <w:rPr>
          <w:rFonts w:hint="eastAsia" w:ascii="宋体" w:hAnsi="宋体"/>
          <w:b w:val="0"/>
          <w:color w:val="auto"/>
          <w:sz w:val="21"/>
          <w:szCs w:val="21"/>
          <w:highlight w:val="none"/>
        </w:rPr>
      </w:pPr>
      <w:bookmarkStart w:id="95" w:name="_13.1报价文件:_具体材料见“投标人须知前附表”。"/>
      <w:bookmarkEnd w:id="95"/>
      <w:r>
        <w:rPr>
          <w:rFonts w:hint="eastAsia" w:ascii="宋体" w:hAnsi="宋体"/>
          <w:b w:val="0"/>
          <w:color w:val="auto"/>
          <w:sz w:val="21"/>
          <w:szCs w:val="21"/>
          <w:highlight w:val="none"/>
        </w:rPr>
        <w:t>（1）报价文件：</w:t>
      </w:r>
      <w:r>
        <w:rPr>
          <w:rFonts w:ascii="宋体" w:hAnsi="宋体"/>
          <w:b w:val="0"/>
          <w:color w:val="auto"/>
          <w:sz w:val="21"/>
          <w:szCs w:val="21"/>
          <w:highlight w:val="none"/>
        </w:rPr>
        <w:t xml:space="preserve"> 具体材料见“投标人须知前附表”</w:t>
      </w:r>
      <w:r>
        <w:rPr>
          <w:rFonts w:hint="eastAsia" w:ascii="宋体" w:hAnsi="宋体"/>
          <w:b w:val="0"/>
          <w:color w:val="auto"/>
          <w:sz w:val="21"/>
          <w:szCs w:val="21"/>
          <w:highlight w:val="none"/>
        </w:rPr>
        <w:t>。</w:t>
      </w:r>
    </w:p>
    <w:p w14:paraId="0CF5A706">
      <w:pPr>
        <w:pStyle w:val="8"/>
        <w:keepNext w:val="0"/>
        <w:keepLines w:val="0"/>
        <w:spacing w:before="0" w:after="0" w:line="360" w:lineRule="auto"/>
        <w:ind w:left="420" w:leftChars="200"/>
        <w:rPr>
          <w:rFonts w:hint="eastAsia" w:ascii="宋体" w:hAnsi="宋体"/>
          <w:b w:val="0"/>
          <w:color w:val="auto"/>
          <w:sz w:val="21"/>
          <w:szCs w:val="21"/>
          <w:highlight w:val="none"/>
        </w:rPr>
      </w:pPr>
      <w:bookmarkStart w:id="96" w:name="_13.2资格证明文件：具体材料见“投标人须知前附表”。"/>
      <w:bookmarkEnd w:id="96"/>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7154242">
      <w:pPr>
        <w:pStyle w:val="8"/>
        <w:keepNext w:val="0"/>
        <w:keepLines w:val="0"/>
        <w:spacing w:before="0" w:after="0" w:line="360" w:lineRule="auto"/>
        <w:ind w:left="420" w:leftChars="200"/>
        <w:rPr>
          <w:rFonts w:hint="eastAsia" w:ascii="宋体" w:hAnsi="宋体"/>
          <w:b w:val="0"/>
          <w:color w:val="auto"/>
          <w:sz w:val="21"/>
          <w:szCs w:val="21"/>
          <w:highlight w:val="none"/>
        </w:rPr>
      </w:pPr>
      <w:bookmarkStart w:id="97" w:name="_13.3商务文件:_具体材料见“投标人须知前附表”。"/>
      <w:bookmarkEnd w:id="97"/>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159BB6D8">
      <w:pPr>
        <w:pStyle w:val="8"/>
        <w:keepNext w:val="0"/>
        <w:keepLines w:val="0"/>
        <w:spacing w:before="0" w:after="0" w:line="360" w:lineRule="auto"/>
        <w:ind w:left="420" w:leftChars="200"/>
        <w:rPr>
          <w:rFonts w:hint="eastAsia" w:ascii="黑体" w:hAnsi="黑体" w:eastAsia="黑体"/>
          <w:color w:val="auto"/>
          <w:sz w:val="24"/>
          <w:highlight w:val="none"/>
        </w:rPr>
      </w:pPr>
      <w:bookmarkStart w:id="98" w:name="_13.4技术文件：具体材料见“投标人须知前附表”。"/>
      <w:bookmarkEnd w:id="98"/>
      <w:bookmarkStart w:id="99" w:name="_13.5投标文件电子版：具体材料见“投标人须知前附表”。"/>
      <w:bookmarkEnd w:id="99"/>
      <w:bookmarkStart w:id="100" w:name="_Toc254970678"/>
      <w:bookmarkStart w:id="101" w:name="_Toc254970537"/>
      <w:r>
        <w:rPr>
          <w:rFonts w:hint="eastAsia" w:ascii="黑体" w:hAnsi="黑体" w:eastAsia="黑体"/>
          <w:color w:val="auto"/>
          <w:sz w:val="24"/>
          <w:highlight w:val="none"/>
        </w:rPr>
        <w:t>14.投标文件的语言及计量</w:t>
      </w:r>
      <w:bookmarkEnd w:id="100"/>
      <w:bookmarkEnd w:id="101"/>
    </w:p>
    <w:p w14:paraId="11C24048">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6428CC64">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C36080D">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0FDF8788">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采购文件已有明确规定的，使用采购文件规定的计量单位；采购文件没有规定的，应采用中华人民共和国法定计量单位，货币种类为人民币</w:t>
      </w:r>
      <w:r>
        <w:rPr>
          <w:rFonts w:hint="eastAsia" w:ascii="宋体" w:hAnsi="宋体"/>
          <w:color w:val="auto"/>
          <w:sz w:val="21"/>
          <w:szCs w:val="21"/>
          <w:highlight w:val="none"/>
        </w:rPr>
        <w:t>，否则视同未响应。</w:t>
      </w:r>
    </w:p>
    <w:p w14:paraId="0D5F37B6">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18E909A7">
      <w:pPr>
        <w:pStyle w:val="18"/>
        <w:snapToGrid w:val="0"/>
        <w:spacing w:line="360" w:lineRule="auto"/>
        <w:ind w:firstLine="420" w:firstLineChars="200"/>
        <w:jc w:val="left"/>
        <w:rPr>
          <w:rFonts w:hint="eastAsia" w:hAnsi="宋体"/>
          <w:color w:val="auto"/>
          <w:highlight w:val="none"/>
        </w:rPr>
      </w:pPr>
      <w:r>
        <w:rPr>
          <w:rFonts w:hint="eastAsia" w:hAnsi="宋体"/>
          <w:color w:val="auto"/>
          <w:highlight w:val="none"/>
        </w:rPr>
        <w:t>投标人没有按照采购文件要求提供全部资料，或者投标人没有对采购文件作出实质性响应是投标人的风险，并可能导致其投标被拒绝。</w:t>
      </w:r>
    </w:p>
    <w:p w14:paraId="3F23F88D">
      <w:pPr>
        <w:pStyle w:val="8"/>
        <w:keepNext w:val="0"/>
        <w:keepLines w:val="0"/>
        <w:spacing w:before="0" w:after="0" w:line="360" w:lineRule="auto"/>
        <w:ind w:left="420" w:leftChars="200"/>
        <w:rPr>
          <w:rFonts w:hint="eastAsia" w:ascii="黑体" w:hAnsi="黑体" w:eastAsia="黑体"/>
          <w:color w:val="auto"/>
          <w:sz w:val="24"/>
          <w:highlight w:val="none"/>
        </w:rPr>
      </w:pPr>
      <w:bookmarkStart w:id="102" w:name="_Toc254970538"/>
      <w:bookmarkStart w:id="103" w:name="_Toc254970679"/>
      <w:r>
        <w:rPr>
          <w:rFonts w:hint="eastAsia" w:ascii="黑体" w:hAnsi="黑体" w:eastAsia="黑体"/>
          <w:color w:val="auto"/>
          <w:sz w:val="24"/>
          <w:highlight w:val="none"/>
        </w:rPr>
        <w:t>16.投标报价</w:t>
      </w:r>
      <w:bookmarkEnd w:id="102"/>
      <w:bookmarkEnd w:id="103"/>
    </w:p>
    <w:p w14:paraId="62030B7E">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29DCCB8C">
      <w:pPr>
        <w:pStyle w:val="8"/>
        <w:keepNext w:val="0"/>
        <w:keepLines w:val="0"/>
        <w:spacing w:before="0" w:after="0" w:line="360" w:lineRule="auto"/>
        <w:ind w:left="420" w:leftChars="200"/>
        <w:rPr>
          <w:rFonts w:hint="eastAsia" w:ascii="宋体" w:hAnsi="宋体"/>
          <w:b w:val="0"/>
          <w:color w:val="auto"/>
          <w:sz w:val="21"/>
          <w:szCs w:val="21"/>
          <w:highlight w:val="none"/>
        </w:rPr>
      </w:pPr>
      <w:bookmarkStart w:id="104" w:name="_16.2投标报价具体定义见投标人须知前附表。"/>
      <w:bookmarkEnd w:id="104"/>
      <w:r>
        <w:rPr>
          <w:rFonts w:hint="eastAsia" w:ascii="宋体" w:hAnsi="宋体"/>
          <w:b w:val="0"/>
          <w:color w:val="auto"/>
          <w:sz w:val="21"/>
          <w:szCs w:val="21"/>
          <w:highlight w:val="none"/>
        </w:rPr>
        <w:t>16.2投标报价具体包括内容详见“投标人须知前附表”。</w:t>
      </w:r>
    </w:p>
    <w:p w14:paraId="16798D7B">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5035766F">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2E0D567E">
      <w:pPr>
        <w:pStyle w:val="8"/>
        <w:keepNext w:val="0"/>
        <w:keepLines w:val="0"/>
        <w:spacing w:before="0" w:after="0" w:line="360" w:lineRule="auto"/>
        <w:ind w:firstLine="420" w:firstLineChars="200"/>
        <w:rPr>
          <w:rFonts w:hint="eastAsia" w:ascii="宋体" w:hAnsi="宋体"/>
          <w:b w:val="0"/>
          <w:color w:val="auto"/>
          <w:sz w:val="21"/>
          <w:szCs w:val="21"/>
          <w:highlight w:val="none"/>
        </w:rPr>
      </w:pPr>
      <w:bookmarkStart w:id="105" w:name="_17.1投标有效期应按“投标人须知中的前附表”规定的期限。"/>
      <w:bookmarkEnd w:id="105"/>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50BBF544">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06" w:name="_Toc254970540"/>
      <w:bookmarkStart w:id="107" w:name="_Toc254970681"/>
      <w:r>
        <w:rPr>
          <w:rFonts w:hint="eastAsia" w:ascii="宋体" w:hAnsi="宋体"/>
          <w:b w:val="0"/>
          <w:color w:val="auto"/>
          <w:sz w:val="21"/>
          <w:szCs w:val="21"/>
          <w:highlight w:val="none"/>
        </w:rPr>
        <w:t xml:space="preserve"> 投标有效期应按采购文件规定的期限作出承诺，具体详见“投标人须知前附表”。</w:t>
      </w:r>
      <w:r>
        <w:rPr>
          <w:rFonts w:hint="eastAsia" w:ascii="宋体" w:hAnsi="宋体"/>
          <w:color w:val="auto"/>
          <w:sz w:val="21"/>
          <w:szCs w:val="21"/>
          <w:highlight w:val="none"/>
        </w:rPr>
        <w:t>承诺的投标有效期低于采购文件规定期限的，按无效投标处理。</w:t>
      </w:r>
    </w:p>
    <w:p w14:paraId="55BD1535">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06"/>
      <w:bookmarkEnd w:id="107"/>
    </w:p>
    <w:p w14:paraId="51E3747C">
      <w:pPr>
        <w:pStyle w:val="8"/>
        <w:keepNext w:val="0"/>
        <w:keepLines w:val="0"/>
        <w:spacing w:before="0" w:after="0" w:line="360" w:lineRule="auto"/>
        <w:ind w:left="420" w:leftChars="200"/>
        <w:rPr>
          <w:rFonts w:hint="eastAsia" w:ascii="黑体" w:hAnsi="黑体" w:eastAsia="黑体"/>
          <w:color w:val="auto"/>
          <w:sz w:val="24"/>
          <w:highlight w:val="none"/>
        </w:rPr>
      </w:pPr>
      <w:bookmarkStart w:id="108" w:name="_18.投标保证金"/>
      <w:bookmarkEnd w:id="108"/>
      <w:bookmarkStart w:id="109" w:name="_Toc254970541"/>
      <w:bookmarkStart w:id="110" w:name="_Toc254970682"/>
      <w:r>
        <w:rPr>
          <w:rFonts w:hint="eastAsia" w:ascii="黑体" w:hAnsi="黑体" w:eastAsia="黑体"/>
          <w:color w:val="auto"/>
          <w:sz w:val="24"/>
          <w:highlight w:val="none"/>
        </w:rPr>
        <w:t>18.投标保证金</w:t>
      </w:r>
      <w:bookmarkEnd w:id="109"/>
      <w:bookmarkEnd w:id="110"/>
    </w:p>
    <w:p w14:paraId="1DF897E9">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64E87778">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453C2EC7">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未中标供应商的投标保证金自中标通知书发出之日起5个工作日内退还；中标供应商的投标保证金自政府采购合同签订之日起5个工作日内退还。 </w:t>
      </w:r>
    </w:p>
    <w:p w14:paraId="30DB6F9F">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18.3除逾期退还投标保证金和终止采购的情形以外，投标保证金不计息。</w:t>
      </w:r>
    </w:p>
    <w:p w14:paraId="6D55ECBE">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146827E4">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（1）投标人在投标有效期内撤销投标文件的；</w:t>
      </w:r>
    </w:p>
    <w:p w14:paraId="7ACF1AD5">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764568BE">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5FD03B88">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（4）中标供应商无正当理由不与采购人签订合同的；</w:t>
      </w:r>
    </w:p>
    <w:p w14:paraId="5288A9A5">
      <w:pPr>
        <w:snapToGrid w:val="0"/>
        <w:spacing w:line="360" w:lineRule="auto"/>
        <w:ind w:firstLine="420" w:firstLineChars="200"/>
        <w:rPr>
          <w:rFonts w:hint="eastAsia" w:ascii="宋体" w:hAnsi="宋体"/>
          <w:color w:val="auto"/>
          <w:szCs w:val="21"/>
          <w:highlight w:val="none"/>
        </w:rPr>
      </w:pPr>
      <w:bookmarkStart w:id="111" w:name="_Toc254970683"/>
      <w:bookmarkStart w:id="112" w:name="_Toc254970542"/>
      <w:r>
        <w:rPr>
          <w:rFonts w:hint="eastAsia" w:ascii="宋体" w:hAnsi="宋体"/>
          <w:color w:val="auto"/>
          <w:szCs w:val="21"/>
          <w:highlight w:val="none"/>
        </w:rPr>
        <w:t>（5）投标人出现本章第9.2、9.3情形的；</w:t>
      </w:r>
    </w:p>
    <w:p w14:paraId="5FE10597">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bookmarkEnd w:id="111"/>
    <w:bookmarkEnd w:id="112"/>
    <w:p w14:paraId="56A06C36">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19.投标文件的编制</w:t>
      </w:r>
    </w:p>
    <w:p w14:paraId="63644535">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19.1投标人应按照本项目采购文件规定的格式和顺序和广西政府采购云平台的要求编制投标文件并加密。投标文件内容不完整、编排混乱导致投标文件被误读、漏读或者查找不到相关内容的，由此引发的后果由投标人承担。</w:t>
      </w:r>
    </w:p>
    <w:p w14:paraId="18BFEA2F">
      <w:pPr>
        <w:pStyle w:val="8"/>
        <w:keepNext w:val="0"/>
        <w:keepLines w:val="0"/>
        <w:spacing w:before="0" w:after="0" w:line="360" w:lineRule="auto"/>
        <w:ind w:firstLine="315" w:firstLineChars="150"/>
        <w:rPr>
          <w:rFonts w:hint="eastAsia" w:ascii="宋体" w:hAnsi="宋体"/>
          <w:b w:val="0"/>
          <w:color w:val="auto"/>
          <w:sz w:val="21"/>
          <w:szCs w:val="21"/>
          <w:highlight w:val="none"/>
        </w:rPr>
      </w:pPr>
      <w:bookmarkStart w:id="113" w:name="_19.2投标文件应按报价文件、资格证明文件、商务文件、技术文件分别编制"/>
      <w:bookmarkEnd w:id="113"/>
      <w:r>
        <w:rPr>
          <w:rFonts w:hint="eastAsia" w:ascii="宋体" w:hAnsi="宋体"/>
          <w:b w:val="0"/>
          <w:color w:val="auto"/>
          <w:sz w:val="21"/>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1587BE15">
      <w:pPr>
        <w:pStyle w:val="8"/>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1393D72A">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19.4投标文件中标注的投标人名称应与主体资格证明（如营业执照或者事业单位法人证书或者执业许可证或者登记证书等）及公章一致，并与广西政府采购云平台中获取采购文件的投标人名称一致，投标人为自然人的，标注的投标人名称应与身份证姓名及签名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29B22E31">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33A2CFAA">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20.电子备份投标文件</w:t>
      </w:r>
    </w:p>
    <w:p w14:paraId="080579A3">
      <w:pPr>
        <w:spacing w:line="360" w:lineRule="auto"/>
        <w:ind w:firstLine="420" w:firstLineChars="200"/>
        <w:rPr>
          <w:rFonts w:hint="eastAsia"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”的文件，是否接受电子备份投标文件详见</w:t>
      </w:r>
      <w:r>
        <w:rPr>
          <w:rFonts w:hint="eastAsia" w:hAnsi="宋体"/>
          <w:bCs/>
          <w:color w:val="auto"/>
          <w:szCs w:val="21"/>
          <w:highlight w:val="none"/>
        </w:rPr>
        <w:t>“投标人须知前附表”。</w:t>
      </w:r>
    </w:p>
    <w:p w14:paraId="551823A0">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1A1BA0EC">
      <w:pPr>
        <w:spacing w:line="360" w:lineRule="auto"/>
        <w:ind w:firstLine="420" w:firstLineChars="200"/>
        <w:rPr>
          <w:rFonts w:hint="eastAsia" w:hAnsi="宋体"/>
          <w:b/>
          <w:color w:val="auto"/>
          <w:highlight w:val="none"/>
        </w:rPr>
      </w:pPr>
      <w:bookmarkStart w:id="114" w:name="_21.1投标人必须在“投标人须知中的前附表”规定的投标文件接收时间和投"/>
      <w:bookmarkEnd w:id="114"/>
      <w:r>
        <w:rPr>
          <w:rFonts w:hint="eastAsia" w:hAnsi="宋体"/>
          <w:bCs/>
          <w:color w:val="auto"/>
          <w:szCs w:val="21"/>
          <w:highlight w:val="none"/>
        </w:rPr>
        <w:t>21.1投标人必须在“投标人须知前附表”规定的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30F93183">
      <w:pPr>
        <w:spacing w:line="360" w:lineRule="auto"/>
        <w:ind w:firstLine="422" w:firstLineChars="200"/>
        <w:rPr>
          <w:rFonts w:hint="eastAsia"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未在规定时间内提交或者未按照采购文件要求加密的电子投标文件，广西政府采购云平台将拒收。</w:t>
      </w:r>
    </w:p>
    <w:p w14:paraId="62ED35C5">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4134B5D6">
      <w:pPr>
        <w:snapToGrid w:val="0"/>
        <w:spacing w:line="360" w:lineRule="auto"/>
        <w:ind w:firstLine="420"/>
        <w:jc w:val="left"/>
        <w:rPr>
          <w:rFonts w:hint="eastAsia" w:ascii="宋体" w:hAnsi="宋体"/>
          <w:color w:val="auto"/>
          <w:szCs w:val="21"/>
          <w:highlight w:val="none"/>
        </w:rPr>
      </w:pPr>
      <w:bookmarkStart w:id="115" w:name="_Toc254970543"/>
      <w:bookmarkStart w:id="116" w:name="_Toc254970684"/>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p>
    <w:bookmarkEnd w:id="115"/>
    <w:bookmarkEnd w:id="116"/>
    <w:p w14:paraId="1E30A278">
      <w:pPr>
        <w:pStyle w:val="79"/>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4AD593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7E7F379E">
      <w:pPr>
        <w:pStyle w:val="6"/>
        <w:keepNext w:val="0"/>
        <w:keepLines w:val="0"/>
        <w:jc w:val="center"/>
        <w:rPr>
          <w:color w:val="auto"/>
          <w:highlight w:val="none"/>
        </w:rPr>
      </w:pPr>
      <w:bookmarkStart w:id="117" w:name="_Toc254970544"/>
      <w:bookmarkStart w:id="118" w:name="_Toc254970685"/>
      <w:r>
        <w:rPr>
          <w:rFonts w:hint="eastAsia"/>
          <w:color w:val="auto"/>
          <w:highlight w:val="none"/>
        </w:rPr>
        <w:t>四、开    标</w:t>
      </w:r>
      <w:bookmarkEnd w:id="117"/>
      <w:bookmarkEnd w:id="118"/>
    </w:p>
    <w:p w14:paraId="7185B722">
      <w:pPr>
        <w:pStyle w:val="8"/>
        <w:keepNext w:val="0"/>
        <w:keepLines w:val="0"/>
        <w:spacing w:before="0" w:after="0" w:line="360" w:lineRule="auto"/>
        <w:ind w:left="420" w:leftChars="200"/>
        <w:rPr>
          <w:rFonts w:hint="eastAsia" w:ascii="黑体" w:hAnsi="黑体" w:eastAsia="黑体"/>
          <w:color w:val="auto"/>
          <w:sz w:val="24"/>
          <w:highlight w:val="none"/>
        </w:rPr>
      </w:pPr>
      <w:bookmarkStart w:id="119" w:name="_23.开标时间和地点"/>
      <w:bookmarkEnd w:id="119"/>
      <w:r>
        <w:rPr>
          <w:rFonts w:hint="eastAsia" w:ascii="黑体" w:hAnsi="黑体" w:eastAsia="黑体"/>
          <w:color w:val="auto"/>
          <w:sz w:val="24"/>
          <w:highlight w:val="none"/>
        </w:rPr>
        <w:t>23.开标时间和地点</w:t>
      </w:r>
    </w:p>
    <w:p w14:paraId="31CF949B">
      <w:pPr>
        <w:spacing w:line="360" w:lineRule="auto"/>
        <w:ind w:firstLine="420" w:firstLineChars="200"/>
        <w:rPr>
          <w:rFonts w:hint="eastAsia" w:hAnsi="宋体"/>
          <w:bCs/>
          <w:color w:val="auto"/>
          <w:highlight w:val="none"/>
        </w:rPr>
      </w:pPr>
      <w:r>
        <w:rPr>
          <w:rFonts w:hint="eastAsia" w:hAnsi="宋体"/>
          <w:bCs/>
          <w:color w:val="auto"/>
          <w:highlight w:val="none"/>
        </w:rPr>
        <w:t>开标时间及地点详见“投标人须知前附表”</w:t>
      </w:r>
    </w:p>
    <w:p w14:paraId="0384BE87">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24.开标程序</w:t>
      </w:r>
    </w:p>
    <w:p w14:paraId="168DE7B5">
      <w:pPr>
        <w:pStyle w:val="9"/>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5CFEDA1A">
      <w:pPr>
        <w:pStyle w:val="9"/>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采购代理机构将按照采购文件规定的时间通过广西政府采购云平台组织线上开标活动，所有供应商均应当准时在线参加，投标人因未在线参加开标而导致投标文件无法按时解密等一切后果由投标人自己承担。</w:t>
      </w:r>
    </w:p>
    <w:p w14:paraId="3801FEFF">
      <w:pPr>
        <w:pStyle w:val="9"/>
        <w:spacing w:line="360" w:lineRule="auto"/>
        <w:rPr>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3FA05786">
      <w:pPr>
        <w:pStyle w:val="9"/>
        <w:spacing w:line="360" w:lineRule="auto"/>
        <w:rPr>
          <w:color w:val="auto"/>
          <w:highlight w:val="none"/>
        </w:rPr>
      </w:pPr>
      <w:r>
        <w:rPr>
          <w:rFonts w:hint="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054A962F">
      <w:pPr>
        <w:pStyle w:val="9"/>
        <w:spacing w:line="360" w:lineRule="auto"/>
        <w:rPr>
          <w:color w:val="auto"/>
          <w:highlight w:val="none"/>
        </w:rPr>
      </w:pPr>
      <w:r>
        <w:rPr>
          <w:rFonts w:hint="eastAsia"/>
          <w:color w:val="auto"/>
          <w:highlight w:val="none"/>
        </w:rPr>
        <w:t>（2）电子唱标。投标文件解密结束，宣布的内容均在广西政府采购云平台远程开标大厅展示，具体详见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19704F23">
      <w:pPr>
        <w:pStyle w:val="9"/>
        <w:spacing w:line="360" w:lineRule="auto"/>
        <w:rPr>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04989ED3">
      <w:pPr>
        <w:pStyle w:val="9"/>
        <w:spacing w:line="360" w:lineRule="auto"/>
        <w:rPr>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E11C576">
      <w:pPr>
        <w:pStyle w:val="9"/>
        <w:spacing w:line="360" w:lineRule="auto"/>
        <w:rPr>
          <w:color w:val="auto"/>
          <w:szCs w:val="21"/>
          <w:highlight w:val="none"/>
        </w:rPr>
      </w:pPr>
      <w:r>
        <w:rPr>
          <w:rFonts w:hint="eastAsia"/>
          <w:color w:val="auto"/>
          <w:szCs w:val="21"/>
          <w:highlight w:val="none"/>
        </w:rPr>
        <w:t>（5）开标结束。</w:t>
      </w:r>
    </w:p>
    <w:p w14:paraId="3AD144A4">
      <w:pPr>
        <w:pStyle w:val="18"/>
        <w:snapToGrid w:val="0"/>
        <w:spacing w:line="360" w:lineRule="auto"/>
        <w:ind w:firstLine="420" w:firstLineChars="200"/>
        <w:rPr>
          <w:rFonts w:hint="eastAsia" w:hAnsi="宋体"/>
          <w:color w:val="auto"/>
          <w:highlight w:val="none"/>
        </w:rPr>
      </w:pPr>
      <w:r>
        <w:rPr>
          <w:rFonts w:hint="eastAsia"/>
          <w:color w:val="auto"/>
          <w:highlight w:val="none"/>
        </w:rPr>
        <w:t>特别说明：如遇广西政府采购云平台电子化开标或评审程序调整的，按调整后执行。</w:t>
      </w:r>
    </w:p>
    <w:p w14:paraId="09431C53">
      <w:pPr>
        <w:pStyle w:val="18"/>
        <w:snapToGrid w:val="0"/>
        <w:spacing w:line="360" w:lineRule="auto"/>
        <w:ind w:left="689" w:leftChars="228" w:hanging="210" w:hangingChars="100"/>
        <w:rPr>
          <w:rFonts w:hint="eastAsia" w:hAnsi="宋体"/>
          <w:color w:val="auto"/>
          <w:highlight w:val="none"/>
        </w:rPr>
      </w:pPr>
    </w:p>
    <w:p w14:paraId="6EA26056">
      <w:pPr>
        <w:pStyle w:val="6"/>
        <w:keepNext w:val="0"/>
        <w:keepLines w:val="0"/>
        <w:jc w:val="center"/>
        <w:rPr>
          <w:color w:val="auto"/>
          <w:highlight w:val="none"/>
        </w:rPr>
      </w:pPr>
      <w:r>
        <w:rPr>
          <w:rFonts w:hint="eastAsia"/>
          <w:color w:val="auto"/>
          <w:highlight w:val="none"/>
        </w:rPr>
        <w:t>五、资格审查</w:t>
      </w:r>
    </w:p>
    <w:p w14:paraId="6656A852">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25842CFB">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采购人或者采购代理机构通过电子开评标系统依据采购文件对电子投标文件进行线上资格审查</w:t>
      </w:r>
      <w:r>
        <w:rPr>
          <w:rFonts w:ascii="宋体" w:hAnsi="宋体"/>
          <w:b w:val="0"/>
          <w:color w:val="auto"/>
          <w:sz w:val="21"/>
          <w:szCs w:val="21"/>
          <w:highlight w:val="none"/>
        </w:rPr>
        <w:t>。</w:t>
      </w:r>
    </w:p>
    <w:p w14:paraId="5ABE4ED5">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25.2资格审查标准为本采购文件中载明对投标人资格要求的条件。本项目资格审查采用合格制，凡符合采购文件规定的投标人资格要求的投标人均通过资格审查。</w:t>
      </w:r>
    </w:p>
    <w:p w14:paraId="51E31D51">
      <w:pPr>
        <w:pStyle w:val="8"/>
        <w:keepNext w:val="0"/>
        <w:keepLines w:val="0"/>
        <w:spacing w:before="0" w:after="0" w:line="360" w:lineRule="auto"/>
        <w:ind w:firstLine="422" w:firstLineChars="200"/>
        <w:rPr>
          <w:rFonts w:hint="eastAsia" w:ascii="宋体" w:hAnsi="宋体"/>
          <w:color w:val="auto"/>
          <w:sz w:val="21"/>
          <w:szCs w:val="21"/>
          <w:highlight w:val="none"/>
        </w:rPr>
      </w:pPr>
      <w:bookmarkStart w:id="120" w:name="_25.3_投标人有下列情形之一的，资格审查不通过而导致其投标无效："/>
      <w:bookmarkEnd w:id="120"/>
      <w:r>
        <w:rPr>
          <w:rFonts w:hint="eastAsia" w:ascii="宋体" w:hAnsi="宋体"/>
          <w:color w:val="auto"/>
          <w:sz w:val="21"/>
          <w:szCs w:val="21"/>
          <w:highlight w:val="none"/>
        </w:rPr>
        <w:t>25.3 投标人有下列情形之一的，资格审查不通过，作无效投标处理：</w:t>
      </w:r>
    </w:p>
    <w:p w14:paraId="10E88166">
      <w:pPr>
        <w:pStyle w:val="18"/>
        <w:snapToGrid w:val="0"/>
        <w:spacing w:line="360" w:lineRule="auto"/>
        <w:ind w:firstLine="422" w:firstLineChars="200"/>
        <w:rPr>
          <w:rFonts w:hint="eastAsia" w:hAnsi="宋体"/>
          <w:b/>
          <w:color w:val="auto"/>
          <w:highlight w:val="none"/>
        </w:rPr>
      </w:pPr>
      <w:r>
        <w:rPr>
          <w:rFonts w:hint="eastAsia" w:hAnsi="宋体"/>
          <w:b/>
          <w:color w:val="auto"/>
          <w:highlight w:val="none"/>
        </w:rPr>
        <w:t>（1）不具备招标文件中规定的资格要求的；</w:t>
      </w:r>
    </w:p>
    <w:p w14:paraId="42B8D8C8">
      <w:pPr>
        <w:pStyle w:val="18"/>
        <w:snapToGrid w:val="0"/>
        <w:spacing w:line="360" w:lineRule="auto"/>
        <w:ind w:firstLine="422" w:firstLineChars="200"/>
        <w:rPr>
          <w:rFonts w:hint="eastAsia" w:hAnsi="宋体"/>
          <w:b/>
          <w:color w:val="auto"/>
          <w:highlight w:val="none"/>
        </w:rPr>
      </w:pPr>
      <w:r>
        <w:rPr>
          <w:rFonts w:hint="eastAsia" w:hAnsi="宋体"/>
          <w:b/>
          <w:color w:val="auto"/>
          <w:highlight w:val="none"/>
        </w:rPr>
        <w:t>（2）在“信用中国”网站（www.creditchina.gov.cn）、中国政府采购网（www.ccgp.gov.cn）重大税收违法失信主体、政府采购严重违法失信行为记录名单、中国执行信息公开网（https://zxgk.court.gov.cn/）被列入失信被执行人及其他不符合《中华人民共和国政府采购法》第二十二条规定条件的；（注：其中信用查询规则见“投标人须知前附表”）</w:t>
      </w:r>
    </w:p>
    <w:p w14:paraId="4861495F">
      <w:pPr>
        <w:pStyle w:val="18"/>
        <w:snapToGrid w:val="0"/>
        <w:spacing w:line="360" w:lineRule="auto"/>
        <w:ind w:firstLine="422" w:firstLineChars="200"/>
        <w:rPr>
          <w:rFonts w:hint="eastAsia" w:hAnsi="宋体"/>
          <w:b/>
          <w:color w:val="auto"/>
          <w:highlight w:val="none"/>
        </w:rPr>
      </w:pPr>
      <w:r>
        <w:rPr>
          <w:rFonts w:hint="eastAsia" w:hAnsi="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57489DBF">
      <w:pPr>
        <w:pStyle w:val="18"/>
        <w:snapToGrid w:val="0"/>
        <w:spacing w:line="360" w:lineRule="auto"/>
        <w:ind w:firstLine="422" w:firstLineChars="200"/>
        <w:rPr>
          <w:rFonts w:hint="eastAsia" w:hAnsi="宋体"/>
          <w:b/>
          <w:color w:val="auto"/>
          <w:highlight w:val="none"/>
        </w:rPr>
      </w:pPr>
      <w:r>
        <w:rPr>
          <w:rFonts w:hint="eastAsia" w:hAnsi="宋体"/>
          <w:b/>
          <w:color w:val="auto"/>
          <w:highlight w:val="none"/>
        </w:rPr>
        <w:t>（4）投标文件中的资格证明文件缺少任一项“投标人须知前附表”资格证明文件规定“必须提供”的文件资料的；</w:t>
      </w:r>
    </w:p>
    <w:p w14:paraId="17D8993B">
      <w:pPr>
        <w:pStyle w:val="18"/>
        <w:snapToGrid w:val="0"/>
        <w:spacing w:line="360" w:lineRule="auto"/>
        <w:ind w:firstLine="422" w:firstLineChars="200"/>
        <w:rPr>
          <w:rFonts w:hint="eastAsia" w:hAnsi="宋体"/>
          <w:b/>
          <w:color w:val="auto"/>
          <w:highlight w:val="none"/>
        </w:rPr>
      </w:pPr>
      <w:r>
        <w:rPr>
          <w:rFonts w:hint="eastAsia" w:hAnsi="宋体"/>
          <w:b/>
          <w:color w:val="auto"/>
          <w:highlight w:val="none"/>
        </w:rPr>
        <w:t>（5）投标文件中的资格证明文件出现任一项不符合“投标人须知前附表”资格证明文件规定“必须提供”的文件资料要求或者无效的。</w:t>
      </w:r>
    </w:p>
    <w:p w14:paraId="6B7B3509">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70AE9AD8">
      <w:pPr>
        <w:pStyle w:val="18"/>
        <w:snapToGrid w:val="0"/>
        <w:spacing w:line="360" w:lineRule="auto"/>
        <w:ind w:left="689" w:leftChars="228" w:hanging="210" w:hangingChars="100"/>
        <w:rPr>
          <w:rFonts w:hint="eastAsia" w:hAnsi="宋体"/>
          <w:color w:val="auto"/>
          <w:highlight w:val="none"/>
        </w:rPr>
      </w:pPr>
    </w:p>
    <w:p w14:paraId="757744FB">
      <w:pPr>
        <w:pStyle w:val="6"/>
        <w:keepNext w:val="0"/>
        <w:keepLines w:val="0"/>
        <w:jc w:val="center"/>
        <w:rPr>
          <w:color w:val="auto"/>
          <w:highlight w:val="none"/>
        </w:rPr>
      </w:pPr>
      <w:r>
        <w:rPr>
          <w:rFonts w:hint="eastAsia"/>
          <w:color w:val="auto"/>
          <w:highlight w:val="none"/>
        </w:rPr>
        <w:t>六、评   标</w:t>
      </w:r>
    </w:p>
    <w:p w14:paraId="7B9E3C67">
      <w:pPr>
        <w:pStyle w:val="8"/>
        <w:keepNext w:val="0"/>
        <w:keepLines w:val="0"/>
        <w:spacing w:before="0" w:after="0" w:line="360" w:lineRule="auto"/>
        <w:ind w:left="420" w:leftChars="200"/>
        <w:rPr>
          <w:rFonts w:hint="eastAsia" w:ascii="黑体" w:hAnsi="黑体" w:eastAsia="黑体"/>
          <w:color w:val="auto"/>
          <w:sz w:val="24"/>
          <w:highlight w:val="none"/>
        </w:rPr>
      </w:pPr>
      <w:bookmarkStart w:id="121" w:name="_26.组建评标委员会"/>
      <w:bookmarkEnd w:id="121"/>
      <w:r>
        <w:rPr>
          <w:rFonts w:hint="eastAsia" w:ascii="黑体" w:hAnsi="黑体" w:eastAsia="黑体"/>
          <w:color w:val="auto"/>
          <w:sz w:val="24"/>
          <w:highlight w:val="none"/>
        </w:rPr>
        <w:t>26.组建评标委员会</w:t>
      </w:r>
    </w:p>
    <w:p w14:paraId="008038ED">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26.1评标委员会由采购人代表和评审专家组成，具体人数详见“投标人须知前附表”，其中评审专家不得少于成员总数的三分之二。</w:t>
      </w:r>
    </w:p>
    <w:p w14:paraId="5214992A">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26.2参加过采购项目前期咨询论证的专家，不得参加该采购项目的评审活动。</w:t>
      </w:r>
    </w:p>
    <w:p w14:paraId="7B44BB85">
      <w:pPr>
        <w:pStyle w:val="18"/>
        <w:snapToGrid w:val="0"/>
        <w:spacing w:line="360" w:lineRule="auto"/>
        <w:ind w:left="2" w:leftChars="1" w:firstLine="420" w:firstLineChars="200"/>
        <w:rPr>
          <w:rFonts w:hint="eastAsia" w:hAnsi="宋体"/>
          <w:color w:val="auto"/>
          <w:highlight w:val="none"/>
        </w:rPr>
      </w:pPr>
      <w:r>
        <w:rPr>
          <w:rFonts w:hint="eastAsia" w:hAnsi="宋体"/>
          <w:color w:val="auto"/>
          <w:highlight w:val="none"/>
        </w:rPr>
        <w:t>26.3</w:t>
      </w:r>
      <w:r>
        <w:rPr>
          <w:rFonts w:hint="eastAsia" w:hAnsi="宋体"/>
          <w:bCs/>
          <w:color w:val="auto"/>
          <w:highlight w:val="none"/>
        </w:rPr>
        <w:t>采购代理机构应当基于广西政府采购云平台抽（选）取评审专家。</w:t>
      </w:r>
    </w:p>
    <w:p w14:paraId="16DACBC3">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62C7C7C9">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评标委员会以</w:t>
      </w:r>
      <w:r>
        <w:rPr>
          <w:rFonts w:hint="eastAsia" w:hAnsi="宋体" w:cs="宋体"/>
          <w:color w:val="auto"/>
          <w:highlight w:val="none"/>
        </w:rPr>
        <w:t>“第四章 评标方法和评标标准”</w:t>
      </w:r>
      <w:r>
        <w:rPr>
          <w:rFonts w:hint="eastAsia" w:hAnsi="宋体"/>
          <w:color w:val="auto"/>
          <w:highlight w:val="none"/>
        </w:rPr>
        <w:t>为依据对投标文件进行评审，</w:t>
      </w:r>
      <w:r>
        <w:rPr>
          <w:rFonts w:hAnsi="宋体"/>
          <w:color w:val="auto"/>
          <w:highlight w:val="none"/>
        </w:rPr>
        <w:t>没有规定的方法、评审因素和标准，不作为评标依据。</w:t>
      </w:r>
    </w:p>
    <w:p w14:paraId="254862F5">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65090AEC">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6F4E93C">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28.2</w:t>
      </w:r>
      <w:bookmarkStart w:id="122" w:name="_28.3评标方法。本项目将按须知前附表规定的评标办法进行评标，具体评标"/>
      <w:bookmarkEnd w:id="122"/>
      <w:r>
        <w:rPr>
          <w:rFonts w:hint="eastAsia" w:hAnsi="宋体"/>
          <w:color w:val="auto"/>
          <w:highlight w:val="none"/>
        </w:rPr>
        <w:t>评委表决。评标委员会成员对需要共同认定的事项存在争议的，应当按照少数服从多数的原则作出结论。</w:t>
      </w:r>
    </w:p>
    <w:p w14:paraId="1CA4730C">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28.</w:t>
      </w:r>
      <w:r>
        <w:rPr>
          <w:rFonts w:hAnsi="宋体"/>
          <w:color w:val="auto"/>
          <w:highlight w:val="none"/>
        </w:rPr>
        <w:t>3</w:t>
      </w:r>
      <w:r>
        <w:rPr>
          <w:rFonts w:hint="eastAsia" w:hAnsi="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BDE5B70">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w:t>
      </w:r>
      <w:r>
        <w:rPr>
          <w:rFonts w:hAnsi="宋体"/>
          <w:color w:val="auto"/>
          <w:highlight w:val="none"/>
        </w:rPr>
        <w:t>8.4</w:t>
      </w:r>
      <w:r>
        <w:rPr>
          <w:rFonts w:hint="eastAsia" w:hAnsi="宋体"/>
          <w:color w:val="auto"/>
          <w:highlight w:val="none"/>
        </w:rPr>
        <w:t>评标过程的监控。本项目电子评标过程实行网上留痕、全程录音、录像监控，</w:t>
      </w:r>
      <w:r>
        <w:rPr>
          <w:rFonts w:hint="eastAsia" w:hAnsi="宋体"/>
          <w:b/>
          <w:color w:val="auto"/>
          <w:highlight w:val="none"/>
        </w:rPr>
        <w:t>投标人在评标过程中所进行的试图影响评标结果的不公正活动，可能导致其投标按无效处理。</w:t>
      </w:r>
    </w:p>
    <w:p w14:paraId="4C66CDD9">
      <w:pPr>
        <w:pStyle w:val="8"/>
        <w:keepNext w:val="0"/>
        <w:keepLines w:val="0"/>
        <w:spacing w:before="0" w:after="0" w:line="360" w:lineRule="auto"/>
        <w:ind w:left="420" w:leftChars="200"/>
        <w:rPr>
          <w:rFonts w:hint="eastAsia"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1EF3E8E8">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w:t>
      </w:r>
      <w:r>
        <w:rPr>
          <w:rFonts w:hAnsi="宋体"/>
          <w:color w:val="auto"/>
          <w:highlight w:val="none"/>
        </w:rPr>
        <w:t>9.1</w:t>
      </w:r>
      <w:r>
        <w:rPr>
          <w:rFonts w:hint="eastAsia" w:hAnsi="宋体"/>
          <w:color w:val="auto"/>
          <w:highlight w:val="none"/>
        </w:rPr>
        <w:t>本项目的评标方法详见“投标人须知前附表”。</w:t>
      </w:r>
    </w:p>
    <w:p w14:paraId="0E3AD56A">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w:t>
      </w:r>
      <w:r>
        <w:rPr>
          <w:rFonts w:hAnsi="宋体"/>
          <w:color w:val="auto"/>
          <w:highlight w:val="none"/>
        </w:rPr>
        <w:t>9.2</w:t>
      </w:r>
      <w:r>
        <w:rPr>
          <w:rFonts w:hAnsi="宋体" w:cs="宋体"/>
          <w:color w:val="auto"/>
          <w:highlight w:val="none"/>
        </w:rPr>
        <w:t xml:space="preserve"> </w:t>
      </w:r>
      <w:r>
        <w:rPr>
          <w:rFonts w:hint="eastAsia" w:hAnsi="宋体" w:cs="宋体"/>
          <w:color w:val="auto"/>
          <w:highlight w:val="none"/>
        </w:rPr>
        <w:t>商务/技术要求</w:t>
      </w:r>
      <w:r>
        <w:rPr>
          <w:rFonts w:hint="eastAsia" w:hAnsi="宋体"/>
          <w:color w:val="auto"/>
          <w:highlight w:val="none"/>
        </w:rPr>
        <w:t>允许负偏离的条款数</w:t>
      </w:r>
      <w:r>
        <w:rPr>
          <w:rFonts w:hAnsi="宋体"/>
          <w:color w:val="auto"/>
          <w:highlight w:val="none"/>
        </w:rPr>
        <w:t>详见</w:t>
      </w:r>
      <w:r>
        <w:rPr>
          <w:rFonts w:hint="eastAsia" w:hAnsi="宋体"/>
          <w:color w:val="auto"/>
          <w:highlight w:val="none"/>
        </w:rPr>
        <w:t>“投标人须知前附表”。</w:t>
      </w:r>
    </w:p>
    <w:p w14:paraId="021A01C7">
      <w:pPr>
        <w:pStyle w:val="18"/>
        <w:snapToGrid w:val="0"/>
        <w:spacing w:line="360" w:lineRule="auto"/>
        <w:ind w:firstLine="420" w:firstLineChars="200"/>
        <w:rPr>
          <w:rFonts w:hint="eastAsia" w:hAnsi="宋体" w:cs="宋体"/>
          <w:color w:val="auto"/>
          <w:highlight w:val="none"/>
        </w:rPr>
      </w:pPr>
      <w:r>
        <w:rPr>
          <w:rFonts w:hint="eastAsia" w:hAnsi="宋体"/>
          <w:color w:val="auto"/>
          <w:highlight w:val="none"/>
        </w:rPr>
        <w:t>2</w:t>
      </w:r>
      <w:r>
        <w:rPr>
          <w:rFonts w:hAnsi="宋体"/>
          <w:color w:val="auto"/>
          <w:highlight w:val="none"/>
        </w:rPr>
        <w:t>9.3</w:t>
      </w:r>
      <w:r>
        <w:rPr>
          <w:rFonts w:hAnsi="宋体" w:cs="宋体"/>
          <w:color w:val="auto"/>
          <w:highlight w:val="none"/>
        </w:rPr>
        <w:t xml:space="preserve"> </w:t>
      </w:r>
      <w:r>
        <w:rPr>
          <w:rFonts w:hAnsi="宋体"/>
          <w:color w:val="auto"/>
          <w:highlight w:val="none"/>
        </w:rPr>
        <w:t>中标候选人推荐数量详见</w:t>
      </w:r>
      <w:r>
        <w:rPr>
          <w:rFonts w:hint="eastAsia" w:hAnsi="宋体"/>
          <w:color w:val="auto"/>
          <w:highlight w:val="none"/>
        </w:rPr>
        <w:t>“投标人须知前附表”。</w:t>
      </w:r>
    </w:p>
    <w:p w14:paraId="3AC2E099">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29.</w:t>
      </w:r>
      <w:r>
        <w:rPr>
          <w:rFonts w:hAnsi="宋体"/>
          <w:color w:val="auto"/>
          <w:highlight w:val="none"/>
        </w:rPr>
        <w:t>4</w:t>
      </w:r>
      <w:r>
        <w:rPr>
          <w:rFonts w:hint="eastAsia" w:hAnsi="宋体"/>
          <w:color w:val="auto"/>
          <w:highlight w:val="none"/>
        </w:rPr>
        <w:t xml:space="preserve"> 电子交易活动的中止。采购过程中出现以下情形，导致电子交易平台无法正常运行，或者无法保证电子交易的公平、公正和安全时，采购代理机构可以中止电子交易活动：</w:t>
      </w:r>
    </w:p>
    <w:p w14:paraId="612F14FD">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664522B9">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0551F3DE">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34054B43">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14:paraId="4A252B59">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14:paraId="0EFCBF4A">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433814">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29.5出现下列情形之一的，应予废标：</w:t>
      </w:r>
    </w:p>
    <w:p w14:paraId="5ACB0199">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（1）符合专业条件的供应商或者对采购文件作实质响应的供应商不足三家的；</w:t>
      </w:r>
    </w:p>
    <w:p w14:paraId="39093C79">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（2）出现影响采购公正的违法、违规行为的；</w:t>
      </w:r>
    </w:p>
    <w:p w14:paraId="3261CB65">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（3）投标人的报价均超过了采购预算，采购人不能支付的；</w:t>
      </w:r>
    </w:p>
    <w:p w14:paraId="6CC4A892">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（4）因重大变故，采购任务取消的。</w:t>
      </w:r>
    </w:p>
    <w:p w14:paraId="4F83E2CC">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废标后，采购人应当将废标理由通知所有投标人。</w:t>
      </w:r>
    </w:p>
    <w:p w14:paraId="11A08C65">
      <w:pPr>
        <w:pStyle w:val="6"/>
        <w:keepNext w:val="0"/>
        <w:keepLines w:val="0"/>
        <w:jc w:val="center"/>
        <w:rPr>
          <w:color w:val="auto"/>
          <w:highlight w:val="none"/>
        </w:rPr>
      </w:pPr>
      <w:bookmarkStart w:id="123" w:name="_Toc254970546"/>
      <w:bookmarkStart w:id="124" w:name="_Toc254970687"/>
      <w:r>
        <w:rPr>
          <w:rFonts w:hint="eastAsia"/>
          <w:color w:val="auto"/>
          <w:highlight w:val="none"/>
        </w:rPr>
        <w:t>七、</w:t>
      </w:r>
      <w:bookmarkEnd w:id="123"/>
      <w:bookmarkEnd w:id="124"/>
      <w:r>
        <w:rPr>
          <w:rFonts w:hint="eastAsia"/>
          <w:color w:val="auto"/>
          <w:highlight w:val="none"/>
        </w:rPr>
        <w:t>中标和合同</w:t>
      </w:r>
    </w:p>
    <w:p w14:paraId="5736C1D3">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确定中标供应商</w:t>
      </w:r>
    </w:p>
    <w:p w14:paraId="6AB6B243">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7DE1A2C8">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542EC8D1">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31. 结果公告</w:t>
      </w:r>
    </w:p>
    <w:p w14:paraId="21DAE500">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采购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658FFA2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5F7BA89E">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26008D11">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32.发出中标通知书</w:t>
      </w:r>
    </w:p>
    <w:p w14:paraId="7E308C94">
      <w:pPr>
        <w:pStyle w:val="8"/>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278E0DF1">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0FB999EA">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5E5264CC">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19F1C831">
      <w:pPr>
        <w:snapToGrid w:val="0"/>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合同将授予被确定实质上响应采购文件要求，具备履行合同能力的中标供应商。</w:t>
      </w:r>
    </w:p>
    <w:p w14:paraId="6B99D0B9">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06E929A5">
      <w:pPr>
        <w:pStyle w:val="8"/>
        <w:keepNext w:val="0"/>
        <w:keepLines w:val="0"/>
        <w:spacing w:before="0" w:after="0" w:line="360" w:lineRule="auto"/>
        <w:ind w:firstLine="315" w:firstLineChars="150"/>
        <w:rPr>
          <w:rFonts w:hint="eastAsia" w:ascii="宋体" w:hAnsi="宋体"/>
          <w:b w:val="0"/>
          <w:color w:val="auto"/>
          <w:sz w:val="21"/>
          <w:szCs w:val="21"/>
          <w:highlight w:val="none"/>
        </w:rPr>
      </w:pPr>
      <w:bookmarkStart w:id="125" w:name="_39.1中标人须于签订合同前按本须知前附表规定的金额转账或电汇到指定账"/>
      <w:bookmarkEnd w:id="125"/>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履约保证金的金额、提交方式、缴纳期限、退付的时间和条件详见 “投标人须知前附表”。中标供应商未按规定提交履约保证金的，视为拒绝与采购人签订合同。</w:t>
      </w:r>
    </w:p>
    <w:p w14:paraId="39EF49BA">
      <w:pPr>
        <w:pStyle w:val="8"/>
        <w:keepNext w:val="0"/>
        <w:keepLines w:val="0"/>
        <w:spacing w:before="0" w:after="0" w:line="360" w:lineRule="auto"/>
        <w:ind w:firstLine="316" w:firstLineChars="15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color w:val="auto"/>
          <w:sz w:val="21"/>
          <w:szCs w:val="21"/>
          <w:highlight w:val="none"/>
        </w:rPr>
        <w:t>35.2在履约保证金退还日期前，若中标供应商的开户名称、开户银行、账号有变动的，请以书面形式通知履约保证金收取单位，否则由此产生的后果由中标供应商自行承担。</w:t>
      </w:r>
    </w:p>
    <w:p w14:paraId="2BEC338C">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1F824692">
      <w:pPr>
        <w:pStyle w:val="8"/>
        <w:keepNext w:val="0"/>
        <w:keepLines w:val="0"/>
        <w:spacing w:before="0" w:after="0" w:line="360" w:lineRule="auto"/>
        <w:ind w:firstLine="315" w:firstLineChars="150"/>
        <w:rPr>
          <w:rFonts w:hint="eastAsia" w:ascii="宋体" w:hAnsi="宋体"/>
          <w:b w:val="0"/>
          <w:color w:val="auto"/>
          <w:sz w:val="21"/>
          <w:szCs w:val="21"/>
          <w:highlight w:val="none"/>
        </w:rPr>
      </w:pPr>
      <w:bookmarkStart w:id="126" w:name="_40.1投标人接到中标通知书后，按须知前附表规定向采购人出示相关资格证"/>
      <w:bookmarkEnd w:id="126"/>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36.1签订电子采购合同：中标供应商领取电子中标通知书后，</w:t>
      </w:r>
      <w:r>
        <w:rPr>
          <w:rFonts w:hint="eastAsia" w:ascii="宋体" w:hAnsi="宋体"/>
          <w:color w:val="auto"/>
          <w:kern w:val="0"/>
          <w:sz w:val="21"/>
          <w:szCs w:val="21"/>
          <w:highlight w:val="none"/>
        </w:rPr>
        <w:t>在</w:t>
      </w:r>
      <w:r>
        <w:rPr>
          <w:rFonts w:hint="eastAsia" w:ascii="宋体" w:hAnsi="宋体"/>
          <w:color w:val="auto"/>
          <w:kern w:val="0"/>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63DA182B">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40DE0E40">
      <w:pPr>
        <w:pStyle w:val="8"/>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21D584EB">
      <w:pPr>
        <w:pStyle w:val="8"/>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1758F2C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A669A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36.5采购人或中标供应商不得单方面向合同另一方提出任何采购文件没有约定的条件或不合理的要求，作为签订合同的条件；也不得协商另行订立背离采购文件和合同实质性内容的协议。</w:t>
      </w:r>
    </w:p>
    <w:p w14:paraId="5D32C1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7F2973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744B5502">
      <w:pPr>
        <w:pStyle w:val="8"/>
        <w:keepNext w:val="0"/>
        <w:keepLines w:val="0"/>
        <w:spacing w:before="0" w:after="0" w:line="360" w:lineRule="auto"/>
        <w:ind w:left="420" w:leftChars="200"/>
        <w:rPr>
          <w:rFonts w:hint="eastAsia" w:ascii="黑体" w:hAnsi="黑体" w:eastAsia="黑体"/>
          <w:color w:val="auto"/>
          <w:sz w:val="24"/>
          <w:highlight w:val="none"/>
        </w:rPr>
      </w:pPr>
      <w:bookmarkStart w:id="127" w:name="_41.政府采购合同公告"/>
      <w:bookmarkEnd w:id="127"/>
      <w:r>
        <w:rPr>
          <w:rFonts w:hint="eastAsia" w:ascii="黑体" w:hAnsi="黑体" w:eastAsia="黑体"/>
          <w:color w:val="auto"/>
          <w:sz w:val="24"/>
          <w:highlight w:val="none"/>
        </w:rPr>
        <w:t>37.政府采购合同公告</w:t>
      </w:r>
    </w:p>
    <w:p w14:paraId="09092517">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采购人或者受托采购代理机构应当自政府采购合同签订之日起2个工作日内，将政府采购合同在省级以上人民政府财政部门指定的媒体上公告，</w:t>
      </w:r>
      <w:r>
        <w:rPr>
          <w:rFonts w:hAnsi="宋体"/>
          <w:color w:val="auto"/>
          <w:highlight w:val="none"/>
        </w:rPr>
        <w:t>但政府采购合同中涉及国家秘密、商业秘密的内容除外。</w:t>
      </w:r>
    </w:p>
    <w:p w14:paraId="3EE0A478">
      <w:pPr>
        <w:pStyle w:val="8"/>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4B126383">
      <w:pPr>
        <w:pStyle w:val="9"/>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1B808337">
      <w:pPr>
        <w:pStyle w:val="8"/>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采购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C369AAA">
      <w:pPr>
        <w:pStyle w:val="18"/>
        <w:snapToGrid w:val="0"/>
        <w:spacing w:line="360" w:lineRule="auto"/>
        <w:ind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1</w:t>
      </w:r>
      <w:r>
        <w:rPr>
          <w:rFonts w:hAnsi="宋体"/>
          <w:color w:val="auto"/>
          <w:highlight w:val="none"/>
        </w:rPr>
        <w:t>）对可以质疑的</w:t>
      </w:r>
      <w:r>
        <w:rPr>
          <w:rFonts w:hint="eastAsia" w:hAnsi="宋体"/>
          <w:color w:val="auto"/>
          <w:highlight w:val="none"/>
        </w:rPr>
        <w:t>采购</w:t>
      </w:r>
      <w:r>
        <w:rPr>
          <w:rFonts w:hAnsi="宋体"/>
          <w:color w:val="auto"/>
          <w:highlight w:val="none"/>
        </w:rPr>
        <w:t>文件提出质疑的，为收到</w:t>
      </w:r>
      <w:r>
        <w:rPr>
          <w:rFonts w:hint="eastAsia" w:hAnsi="宋体"/>
          <w:color w:val="auto"/>
          <w:highlight w:val="none"/>
        </w:rPr>
        <w:t>采购</w:t>
      </w:r>
      <w:r>
        <w:rPr>
          <w:rFonts w:hAnsi="宋体"/>
          <w:color w:val="auto"/>
          <w:highlight w:val="none"/>
        </w:rPr>
        <w:t>文件之日</w:t>
      </w:r>
      <w:r>
        <w:rPr>
          <w:rFonts w:hint="eastAsia" w:hAnsi="宋体"/>
          <w:color w:val="auto"/>
          <w:highlight w:val="none"/>
        </w:rPr>
        <w:t>或者采购文件公告期限届满之日</w:t>
      </w:r>
      <w:r>
        <w:rPr>
          <w:rFonts w:hAnsi="宋体"/>
          <w:color w:val="auto"/>
          <w:highlight w:val="none"/>
        </w:rPr>
        <w:t>；</w:t>
      </w:r>
    </w:p>
    <w:p w14:paraId="45D842C0">
      <w:pPr>
        <w:pStyle w:val="18"/>
        <w:snapToGrid w:val="0"/>
        <w:spacing w:line="360" w:lineRule="auto"/>
        <w:ind w:firstLine="420" w:firstLineChars="200"/>
        <w:rPr>
          <w:rFonts w:hint="eastAsia" w:hAnsi="宋体"/>
          <w:color w:val="auto"/>
          <w:highlight w:val="none"/>
        </w:rPr>
      </w:pPr>
      <w:r>
        <w:rPr>
          <w:rFonts w:hAnsi="宋体"/>
          <w:color w:val="auto"/>
          <w:highlight w:val="none"/>
        </w:rPr>
        <w:t>（</w:t>
      </w:r>
      <w:r>
        <w:rPr>
          <w:rFonts w:hint="eastAsia" w:hAnsi="宋体"/>
          <w:color w:val="auto"/>
          <w:highlight w:val="none"/>
        </w:rPr>
        <w:t>2</w:t>
      </w:r>
      <w:r>
        <w:rPr>
          <w:rFonts w:hAnsi="宋体"/>
          <w:color w:val="auto"/>
          <w:highlight w:val="none"/>
        </w:rPr>
        <w:t>）对</w:t>
      </w:r>
      <w:r>
        <w:rPr>
          <w:rFonts w:hint="eastAsia" w:hAnsi="宋体"/>
          <w:color w:val="auto"/>
          <w:highlight w:val="none"/>
        </w:rPr>
        <w:t>采购</w:t>
      </w:r>
      <w:r>
        <w:rPr>
          <w:rFonts w:hAnsi="宋体"/>
          <w:color w:val="auto"/>
          <w:highlight w:val="none"/>
        </w:rPr>
        <w:t>过程提出质疑的，为各采购程序环节结束之日；</w:t>
      </w:r>
    </w:p>
    <w:p w14:paraId="1485952C">
      <w:pPr>
        <w:pStyle w:val="18"/>
        <w:snapToGrid w:val="0"/>
        <w:spacing w:line="360" w:lineRule="auto"/>
        <w:ind w:firstLine="420" w:firstLineChars="200"/>
        <w:rPr>
          <w:rFonts w:hint="eastAsia" w:hAnsi="宋体"/>
          <w:bCs/>
          <w:color w:val="auto"/>
          <w:highlight w:val="none"/>
        </w:rPr>
      </w:pPr>
      <w:r>
        <w:rPr>
          <w:rFonts w:hAnsi="宋体"/>
          <w:color w:val="auto"/>
          <w:highlight w:val="none"/>
        </w:rPr>
        <w:t>（</w:t>
      </w:r>
      <w:r>
        <w:rPr>
          <w:rFonts w:hint="eastAsia" w:hAnsi="宋体"/>
          <w:color w:val="auto"/>
          <w:highlight w:val="none"/>
        </w:rPr>
        <w:t>3</w:t>
      </w:r>
      <w:r>
        <w:rPr>
          <w:rFonts w:hAnsi="宋体"/>
          <w:color w:val="auto"/>
          <w:highlight w:val="none"/>
        </w:rPr>
        <w:t>）对中标结果提出质疑的，为中标结果公告期限届满之日。</w:t>
      </w:r>
    </w:p>
    <w:p w14:paraId="63B86F28">
      <w:pPr>
        <w:pStyle w:val="8"/>
        <w:keepNext w:val="0"/>
        <w:keepLines w:val="0"/>
        <w:spacing w:before="0" w:after="0" w:line="360" w:lineRule="auto"/>
        <w:ind w:firstLine="315" w:firstLineChars="150"/>
        <w:rPr>
          <w:rFonts w:hint="eastAsia" w:ascii="宋体" w:hAnsi="宋体"/>
          <w:b w:val="0"/>
          <w:color w:val="auto"/>
          <w:sz w:val="21"/>
          <w:szCs w:val="21"/>
          <w:highlight w:val="none"/>
        </w:rPr>
      </w:pPr>
      <w:bookmarkStart w:id="128" w:name="_9.2质疑、投诉应当采用书面形式，质疑函、投诉书均应明确阐述招标文件、"/>
      <w:bookmarkEnd w:id="128"/>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color w:val="auto"/>
          <w:sz w:val="21"/>
          <w:highlight w:val="none"/>
        </w:rPr>
        <w:t>供应商提出质疑应当提交质疑函和必要的证明材料</w:t>
      </w:r>
      <w:r>
        <w:rPr>
          <w:rFonts w:hint="eastAsia" w:hAnsi="宋体"/>
          <w:b w:val="0"/>
          <w:color w:val="auto"/>
          <w:sz w:val="21"/>
          <w:highlight w:val="none"/>
        </w:rPr>
        <w:t>，</w:t>
      </w:r>
      <w:r>
        <w:rPr>
          <w:rFonts w:hAnsi="宋体"/>
          <w:b w:val="0"/>
          <w:color w:val="auto"/>
          <w:sz w:val="21"/>
          <w:highlight w:val="none"/>
        </w:rPr>
        <w:t>针对同一采购程序环节的质疑</w:t>
      </w:r>
      <w:r>
        <w:rPr>
          <w:rFonts w:hint="eastAsia" w:hAnsi="宋体"/>
          <w:b w:val="0"/>
          <w:color w:val="auto"/>
          <w:sz w:val="21"/>
          <w:highlight w:val="none"/>
        </w:rPr>
        <w:t>必须</w:t>
      </w:r>
      <w:r>
        <w:rPr>
          <w:rFonts w:hAnsi="宋体"/>
          <w:b w:val="0"/>
          <w:color w:val="auto"/>
          <w:sz w:val="21"/>
          <w:highlight w:val="none"/>
        </w:rPr>
        <w:t>在法定质疑期内一次性提出。质疑函应当包括下列内容</w:t>
      </w:r>
      <w:r>
        <w:rPr>
          <w:rFonts w:hint="eastAsia" w:hAnsi="宋体"/>
          <w:b w:val="0"/>
          <w:color w:val="auto"/>
          <w:sz w:val="21"/>
          <w:highlight w:val="none"/>
        </w:rPr>
        <w:t>（质疑函格式后附）</w:t>
      </w:r>
      <w:r>
        <w:rPr>
          <w:rFonts w:hAnsi="宋体"/>
          <w:b w:val="0"/>
          <w:color w:val="auto"/>
          <w:sz w:val="21"/>
          <w:highlight w:val="none"/>
        </w:rPr>
        <w:t>：</w:t>
      </w:r>
    </w:p>
    <w:p w14:paraId="358D37E2">
      <w:pPr>
        <w:pStyle w:val="18"/>
        <w:snapToGrid w:val="0"/>
        <w:spacing w:line="360" w:lineRule="auto"/>
        <w:ind w:firstLine="420" w:firstLineChars="200"/>
        <w:rPr>
          <w:rFonts w:hint="eastAsia" w:hAnsi="宋体"/>
          <w:bCs/>
          <w:color w:val="auto"/>
          <w:highlight w:val="none"/>
        </w:rPr>
      </w:pPr>
      <w:r>
        <w:rPr>
          <w:rFonts w:hAnsi="宋体"/>
          <w:bCs/>
          <w:color w:val="auto"/>
          <w:highlight w:val="none"/>
        </w:rPr>
        <w:t>（</w:t>
      </w:r>
      <w:r>
        <w:rPr>
          <w:rFonts w:hint="eastAsia" w:hAnsi="宋体"/>
          <w:bCs/>
          <w:color w:val="auto"/>
          <w:highlight w:val="none"/>
        </w:rPr>
        <w:t>1</w:t>
      </w:r>
      <w:r>
        <w:rPr>
          <w:rFonts w:hAnsi="宋体"/>
          <w:bCs/>
          <w:color w:val="auto"/>
          <w:highlight w:val="none"/>
        </w:rPr>
        <w:t>）供应商的姓名或者名称、地址、邮编、联系人及联系电话；</w:t>
      </w:r>
    </w:p>
    <w:p w14:paraId="05A5B797">
      <w:pPr>
        <w:pStyle w:val="18"/>
        <w:snapToGrid w:val="0"/>
        <w:spacing w:line="360" w:lineRule="auto"/>
        <w:ind w:firstLine="420" w:firstLineChars="200"/>
        <w:rPr>
          <w:rFonts w:hint="eastAsia" w:hAnsi="宋体"/>
          <w:bCs/>
          <w:color w:val="auto"/>
          <w:highlight w:val="none"/>
        </w:rPr>
      </w:pPr>
      <w:r>
        <w:rPr>
          <w:rFonts w:hAnsi="宋体"/>
          <w:bCs/>
          <w:color w:val="auto"/>
          <w:highlight w:val="none"/>
        </w:rPr>
        <w:t>（</w:t>
      </w:r>
      <w:r>
        <w:rPr>
          <w:rFonts w:hint="eastAsia" w:hAnsi="宋体"/>
          <w:bCs/>
          <w:color w:val="auto"/>
          <w:highlight w:val="none"/>
        </w:rPr>
        <w:t>2</w:t>
      </w:r>
      <w:r>
        <w:rPr>
          <w:rFonts w:hAnsi="宋体"/>
          <w:bCs/>
          <w:color w:val="auto"/>
          <w:highlight w:val="none"/>
        </w:rPr>
        <w:t>）质疑项目的名称、编号；</w:t>
      </w:r>
    </w:p>
    <w:p w14:paraId="4180D134">
      <w:pPr>
        <w:pStyle w:val="18"/>
        <w:snapToGrid w:val="0"/>
        <w:spacing w:line="360" w:lineRule="auto"/>
        <w:ind w:firstLine="420" w:firstLineChars="200"/>
        <w:rPr>
          <w:rFonts w:hint="eastAsia" w:hAnsi="宋体"/>
          <w:bCs/>
          <w:color w:val="auto"/>
          <w:highlight w:val="none"/>
        </w:rPr>
      </w:pPr>
      <w:r>
        <w:rPr>
          <w:rFonts w:hAnsi="宋体"/>
          <w:bCs/>
          <w:color w:val="auto"/>
          <w:highlight w:val="none"/>
        </w:rPr>
        <w:t>（</w:t>
      </w:r>
      <w:r>
        <w:rPr>
          <w:rFonts w:hint="eastAsia" w:hAnsi="宋体"/>
          <w:bCs/>
          <w:color w:val="auto"/>
          <w:highlight w:val="none"/>
        </w:rPr>
        <w:t>3</w:t>
      </w:r>
      <w:r>
        <w:rPr>
          <w:rFonts w:hAnsi="宋体"/>
          <w:bCs/>
          <w:color w:val="auto"/>
          <w:highlight w:val="none"/>
        </w:rPr>
        <w:t>）具体、明确的质疑事项和与质疑事项相关的请求；</w:t>
      </w:r>
    </w:p>
    <w:p w14:paraId="05E69E52">
      <w:pPr>
        <w:pStyle w:val="18"/>
        <w:snapToGrid w:val="0"/>
        <w:spacing w:line="360" w:lineRule="auto"/>
        <w:ind w:firstLine="420" w:firstLineChars="200"/>
        <w:rPr>
          <w:rFonts w:hint="eastAsia" w:hAnsi="宋体"/>
          <w:bCs/>
          <w:color w:val="auto"/>
          <w:highlight w:val="none"/>
        </w:rPr>
      </w:pPr>
      <w:r>
        <w:rPr>
          <w:rFonts w:hAnsi="宋体"/>
          <w:bCs/>
          <w:color w:val="auto"/>
          <w:highlight w:val="none"/>
        </w:rPr>
        <w:t>（</w:t>
      </w:r>
      <w:r>
        <w:rPr>
          <w:rFonts w:hint="eastAsia" w:hAnsi="宋体"/>
          <w:bCs/>
          <w:color w:val="auto"/>
          <w:highlight w:val="none"/>
        </w:rPr>
        <w:t>4</w:t>
      </w:r>
      <w:r>
        <w:rPr>
          <w:rFonts w:hAnsi="宋体"/>
          <w:bCs/>
          <w:color w:val="auto"/>
          <w:highlight w:val="none"/>
        </w:rPr>
        <w:t>）事实依据；</w:t>
      </w:r>
    </w:p>
    <w:p w14:paraId="7B546EE0">
      <w:pPr>
        <w:pStyle w:val="18"/>
        <w:snapToGrid w:val="0"/>
        <w:spacing w:line="360" w:lineRule="auto"/>
        <w:ind w:firstLine="420" w:firstLineChars="200"/>
        <w:rPr>
          <w:rFonts w:hint="eastAsia" w:hAnsi="宋体"/>
          <w:bCs/>
          <w:color w:val="auto"/>
          <w:highlight w:val="none"/>
        </w:rPr>
      </w:pPr>
      <w:r>
        <w:rPr>
          <w:rFonts w:hAnsi="宋体"/>
          <w:bCs/>
          <w:color w:val="auto"/>
          <w:highlight w:val="none"/>
        </w:rPr>
        <w:t>（</w:t>
      </w:r>
      <w:r>
        <w:rPr>
          <w:rFonts w:hint="eastAsia" w:hAnsi="宋体"/>
          <w:bCs/>
          <w:color w:val="auto"/>
          <w:highlight w:val="none"/>
        </w:rPr>
        <w:t>5</w:t>
      </w:r>
      <w:r>
        <w:rPr>
          <w:rFonts w:hAnsi="宋体"/>
          <w:bCs/>
          <w:color w:val="auto"/>
          <w:highlight w:val="none"/>
        </w:rPr>
        <w:t>）必要的法律依据；</w:t>
      </w:r>
    </w:p>
    <w:p w14:paraId="712E8554">
      <w:pPr>
        <w:pStyle w:val="18"/>
        <w:snapToGrid w:val="0"/>
        <w:spacing w:line="360" w:lineRule="auto"/>
        <w:ind w:firstLine="420" w:firstLineChars="200"/>
        <w:rPr>
          <w:rFonts w:hint="eastAsia" w:hAnsi="宋体"/>
          <w:bCs/>
          <w:color w:val="auto"/>
          <w:highlight w:val="none"/>
        </w:rPr>
      </w:pPr>
      <w:r>
        <w:rPr>
          <w:rFonts w:hAnsi="宋体"/>
          <w:bCs/>
          <w:color w:val="auto"/>
          <w:highlight w:val="none"/>
        </w:rPr>
        <w:t>（</w:t>
      </w:r>
      <w:r>
        <w:rPr>
          <w:rFonts w:hint="eastAsia" w:hAnsi="宋体"/>
          <w:bCs/>
          <w:color w:val="auto"/>
          <w:highlight w:val="none"/>
        </w:rPr>
        <w:t>6</w:t>
      </w:r>
      <w:r>
        <w:rPr>
          <w:rFonts w:hAnsi="宋体"/>
          <w:bCs/>
          <w:color w:val="auto"/>
          <w:highlight w:val="none"/>
        </w:rPr>
        <w:t>）提出质疑的日期。</w:t>
      </w:r>
    </w:p>
    <w:p w14:paraId="20BDCE65">
      <w:pPr>
        <w:pStyle w:val="18"/>
        <w:snapToGrid w:val="0"/>
        <w:spacing w:line="360" w:lineRule="auto"/>
        <w:ind w:firstLine="420" w:firstLineChars="200"/>
        <w:rPr>
          <w:rFonts w:hint="eastAsia" w:hAnsi="宋体"/>
          <w:bCs/>
          <w:color w:val="auto"/>
          <w:highlight w:val="none"/>
        </w:rPr>
      </w:pPr>
      <w:r>
        <w:rPr>
          <w:rFonts w:hAnsi="宋体"/>
          <w:bCs/>
          <w:color w:val="auto"/>
          <w:highlight w:val="none"/>
        </w:rPr>
        <w:t>供应商为自然人的，应当由本人签字；供应商为法人或者其他组织的，应当由法定代表人、主要负责人，或者其委托代理人签字或者盖章，并加盖公章</w:t>
      </w:r>
      <w:r>
        <w:rPr>
          <w:rFonts w:hint="eastAsia" w:hAnsi="宋体"/>
          <w:bCs/>
          <w:color w:val="auto"/>
          <w:highlight w:val="none"/>
        </w:rPr>
        <w:t>。</w:t>
      </w:r>
    </w:p>
    <w:p w14:paraId="2CA3BB4E">
      <w:pPr>
        <w:pStyle w:val="8"/>
        <w:keepNext w:val="0"/>
        <w:keepLines w:val="0"/>
        <w:snapToGrid w:val="0"/>
        <w:spacing w:before="0" w:after="0" w:line="360" w:lineRule="auto"/>
        <w:ind w:firstLine="420" w:firstLineChars="200"/>
        <w:rPr>
          <w:rFonts w:hint="eastAsia" w:ascii="宋体" w:hAnsi="宋体"/>
          <w:b w:val="0"/>
          <w:color w:val="auto"/>
          <w:sz w:val="21"/>
          <w:szCs w:val="21"/>
          <w:highlight w:val="none"/>
        </w:rPr>
      </w:pPr>
      <w:r>
        <w:rPr>
          <w:rFonts w:ascii="宋体" w:hAnsi="宋体"/>
          <w:b w:val="0"/>
          <w:color w:val="auto"/>
          <w:sz w:val="21"/>
          <w:szCs w:val="21"/>
          <w:highlight w:val="none"/>
        </w:rPr>
        <w:t>38.4</w:t>
      </w:r>
      <w:r>
        <w:rPr>
          <w:rFonts w:hint="eastAsia" w:ascii="宋体" w:hAnsi="宋体"/>
          <w:b w:val="0"/>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2055652C">
      <w:pPr>
        <w:pStyle w:val="18"/>
        <w:snapToGrid w:val="0"/>
        <w:spacing w:line="360" w:lineRule="auto"/>
        <w:rPr>
          <w:rFonts w:hint="eastAsia" w:hAnsi="宋体"/>
          <w:bCs/>
          <w:color w:val="auto"/>
          <w:highlight w:val="none"/>
        </w:rPr>
      </w:pPr>
      <w:r>
        <w:rPr>
          <w:rFonts w:hint="eastAsia" w:hAnsi="宋体"/>
          <w:bCs/>
          <w:color w:val="auto"/>
          <w:highlight w:val="none"/>
        </w:rPr>
        <w:t>　　（一）对采购文件提出的质疑，依法通过澄清或者修改可以继续开展采购活动的，澄清或者修改采购文件后继续开展采购活动；否则应当修改采购文件后重新开展采购活动。</w:t>
      </w:r>
    </w:p>
    <w:p w14:paraId="0717078E">
      <w:pPr>
        <w:pStyle w:val="18"/>
        <w:snapToGrid w:val="0"/>
        <w:spacing w:line="360" w:lineRule="auto"/>
        <w:rPr>
          <w:rFonts w:hint="eastAsia" w:hAnsi="宋体"/>
          <w:bCs/>
          <w:color w:val="auto"/>
          <w:highlight w:val="none"/>
        </w:rPr>
      </w:pPr>
      <w:r>
        <w:rPr>
          <w:rFonts w:hint="eastAsia" w:hAnsi="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19897967">
      <w:pPr>
        <w:pStyle w:val="18"/>
        <w:snapToGrid w:val="0"/>
        <w:spacing w:line="360" w:lineRule="auto"/>
        <w:ind w:firstLine="420"/>
        <w:rPr>
          <w:rFonts w:hint="eastAsia" w:hAnsi="宋体"/>
          <w:bCs/>
          <w:color w:val="auto"/>
          <w:highlight w:val="none"/>
        </w:rPr>
      </w:pPr>
      <w:r>
        <w:rPr>
          <w:rFonts w:hint="eastAsia" w:hAnsi="宋体"/>
          <w:bCs/>
          <w:color w:val="auto"/>
          <w:highlight w:val="none"/>
        </w:rPr>
        <w:t>质疑答复导致中标结果改变的，采购人或者采购代理机构应当将有关情况书面报告本级财政部门。</w:t>
      </w:r>
    </w:p>
    <w:p w14:paraId="4A031B57">
      <w:pPr>
        <w:pStyle w:val="18"/>
        <w:snapToGrid w:val="0"/>
        <w:spacing w:line="360" w:lineRule="auto"/>
        <w:ind w:firstLine="420" w:firstLineChars="200"/>
        <w:rPr>
          <w:rFonts w:hint="eastAsia" w:hAnsi="宋体"/>
          <w:color w:val="auto"/>
          <w:highlight w:val="none"/>
        </w:rPr>
      </w:pPr>
      <w:r>
        <w:rPr>
          <w:rFonts w:hAnsi="宋体"/>
          <w:color w:val="auto"/>
          <w:highlight w:val="none"/>
        </w:rPr>
        <w:t>38</w:t>
      </w:r>
      <w:r>
        <w:rPr>
          <w:rFonts w:hint="eastAsia" w:hAnsi="宋体"/>
          <w:color w:val="auto"/>
          <w:highlight w:val="none"/>
        </w:rPr>
        <w:t>.</w:t>
      </w:r>
      <w:r>
        <w:rPr>
          <w:rFonts w:hAnsi="宋体"/>
          <w:color w:val="auto"/>
          <w:highlight w:val="none"/>
        </w:rPr>
        <w:t>5</w:t>
      </w:r>
      <w:r>
        <w:rPr>
          <w:rFonts w:hint="eastAsia" w:hAnsi="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43CB7E9">
      <w:pPr>
        <w:pStyle w:val="6"/>
        <w:keepNext w:val="0"/>
        <w:keepLines w:val="0"/>
        <w:spacing w:before="240" w:after="240" w:line="415" w:lineRule="auto"/>
        <w:jc w:val="center"/>
        <w:rPr>
          <w:color w:val="auto"/>
          <w:highlight w:val="none"/>
        </w:rPr>
      </w:pPr>
      <w:bookmarkStart w:id="129" w:name="_八、其他事项"/>
      <w:bookmarkEnd w:id="129"/>
      <w:r>
        <w:rPr>
          <w:rFonts w:hint="eastAsia"/>
          <w:color w:val="auto"/>
          <w:highlight w:val="none"/>
        </w:rPr>
        <w:t>八、其他事项</w:t>
      </w:r>
    </w:p>
    <w:p w14:paraId="586867A5">
      <w:pPr>
        <w:pStyle w:val="8"/>
        <w:keepNext w:val="0"/>
        <w:keepLines w:val="0"/>
        <w:spacing w:before="0" w:after="0" w:line="360" w:lineRule="auto"/>
        <w:ind w:left="420" w:leftChars="200"/>
        <w:rPr>
          <w:rFonts w:hint="eastAsia" w:ascii="黑体" w:hAnsi="黑体" w:eastAsia="黑体"/>
          <w:color w:val="auto"/>
          <w:sz w:val="24"/>
          <w:highlight w:val="none"/>
        </w:rPr>
      </w:pPr>
      <w:bookmarkStart w:id="130" w:name="_42.代理服务费"/>
      <w:bookmarkEnd w:id="130"/>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385D047A">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.1代理服务收取标准及缴费账户详见“投标人须知前附表”，投标人为联合体的，可以由联合体中的一方或者多方共同交纳代理服务费。</w:t>
      </w:r>
    </w:p>
    <w:p w14:paraId="6381867F">
      <w:pPr>
        <w:pStyle w:val="8"/>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7B11AF98">
      <w:pPr>
        <w:pStyle w:val="9"/>
        <w:rPr>
          <w:rFonts w:hint="eastAsia" w:ascii="宋体" w:hAnsi="宋体"/>
          <w:color w:val="auto"/>
          <w:szCs w:val="21"/>
          <w:highlight w:val="none"/>
        </w:rPr>
      </w:pPr>
    </w:p>
    <w:p w14:paraId="708A44EA">
      <w:pPr>
        <w:pStyle w:val="9"/>
        <w:rPr>
          <w:rFonts w:hint="eastAsia" w:ascii="宋体" w:hAnsi="宋体"/>
          <w:color w:val="auto"/>
          <w:szCs w:val="21"/>
          <w:highlight w:val="none"/>
        </w:rPr>
      </w:pPr>
    </w:p>
    <w:p w14:paraId="0382B807">
      <w:pPr>
        <w:spacing w:line="360" w:lineRule="auto"/>
        <w:rPr>
          <w:rFonts w:hint="eastAsia" w:ascii="宋体" w:hAnsi="宋体"/>
          <w:color w:val="auto"/>
          <w:szCs w:val="21"/>
          <w:highlight w:val="none"/>
        </w:rPr>
      </w:pP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1706"/>
        <w:gridCol w:w="1734"/>
        <w:gridCol w:w="1706"/>
      </w:tblGrid>
      <w:tr w14:paraId="6B04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Borders>
              <w:tl2br w:val="single" w:color="auto" w:sz="4" w:space="0"/>
            </w:tcBorders>
          </w:tcPr>
          <w:p w14:paraId="48DA912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费率</w:t>
            </w:r>
          </w:p>
          <w:p w14:paraId="03FE5564">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978" w:type="pct"/>
            <w:vAlign w:val="center"/>
          </w:tcPr>
          <w:p w14:paraId="4F1E8BDC">
            <w:pPr>
              <w:spacing w:line="360" w:lineRule="auto"/>
              <w:ind w:firstLine="105" w:firstLineChars="50"/>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994" w:type="pct"/>
            <w:vAlign w:val="center"/>
          </w:tcPr>
          <w:p w14:paraId="61E8490B">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978" w:type="pct"/>
            <w:vAlign w:val="center"/>
          </w:tcPr>
          <w:p w14:paraId="274707D6">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7F6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1FD3E287">
            <w:pPr>
              <w:spacing w:line="360" w:lineRule="auto"/>
              <w:rPr>
                <w:rFonts w:hint="eastAsia" w:ascii="宋体" w:hAnsi="宋体"/>
                <w:color w:val="auto"/>
                <w:szCs w:val="21"/>
                <w:highlight w:val="none"/>
              </w:rPr>
            </w:pPr>
            <w:r>
              <w:rPr>
                <w:rFonts w:hint="eastAsia" w:ascii="宋体" w:hAnsi="宋体"/>
                <w:color w:val="auto"/>
                <w:szCs w:val="21"/>
                <w:highlight w:val="none"/>
              </w:rPr>
              <w:t>100万元以下</w:t>
            </w:r>
          </w:p>
        </w:tc>
        <w:tc>
          <w:tcPr>
            <w:tcW w:w="978" w:type="pct"/>
          </w:tcPr>
          <w:p w14:paraId="1EA60BF8">
            <w:pPr>
              <w:spacing w:line="360" w:lineRule="auto"/>
              <w:rPr>
                <w:rFonts w:hint="eastAsia"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994" w:type="pct"/>
          </w:tcPr>
          <w:p w14:paraId="6325E20A">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1.5%</w:t>
            </w:r>
          </w:p>
        </w:tc>
        <w:tc>
          <w:tcPr>
            <w:tcW w:w="978" w:type="pct"/>
          </w:tcPr>
          <w:p w14:paraId="3F5D7545">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1.0% </w:t>
            </w:r>
          </w:p>
        </w:tc>
      </w:tr>
      <w:tr w14:paraId="2F27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6F557940">
            <w:pPr>
              <w:spacing w:line="360" w:lineRule="auto"/>
              <w:rPr>
                <w:rFonts w:hint="eastAsia" w:ascii="宋体" w:hAnsi="宋体"/>
                <w:color w:val="auto"/>
                <w:szCs w:val="21"/>
                <w:highlight w:val="none"/>
              </w:rPr>
            </w:pPr>
            <w:r>
              <w:rPr>
                <w:rFonts w:hint="eastAsia" w:ascii="宋体" w:hAnsi="宋体"/>
                <w:color w:val="auto"/>
                <w:szCs w:val="21"/>
                <w:highlight w:val="none"/>
              </w:rPr>
              <w:t>100万元～500万元</w:t>
            </w:r>
          </w:p>
        </w:tc>
        <w:tc>
          <w:tcPr>
            <w:tcW w:w="978" w:type="pct"/>
          </w:tcPr>
          <w:p w14:paraId="3D1989E8">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994" w:type="pct"/>
          </w:tcPr>
          <w:p w14:paraId="17CC544A">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0.8%</w:t>
            </w:r>
          </w:p>
        </w:tc>
        <w:tc>
          <w:tcPr>
            <w:tcW w:w="978" w:type="pct"/>
          </w:tcPr>
          <w:p w14:paraId="14CA478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0.7% </w:t>
            </w:r>
          </w:p>
        </w:tc>
      </w:tr>
      <w:tr w14:paraId="58AB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14225B10">
            <w:pPr>
              <w:spacing w:line="360" w:lineRule="auto"/>
              <w:rPr>
                <w:rFonts w:hint="eastAsia" w:ascii="宋体" w:hAnsi="宋体"/>
                <w:color w:val="auto"/>
                <w:szCs w:val="21"/>
                <w:highlight w:val="none"/>
              </w:rPr>
            </w:pPr>
            <w:r>
              <w:rPr>
                <w:rFonts w:hint="eastAsia" w:ascii="宋体" w:hAnsi="宋体"/>
                <w:color w:val="auto"/>
                <w:szCs w:val="21"/>
                <w:highlight w:val="none"/>
              </w:rPr>
              <w:t>500万元～1000万元</w:t>
            </w:r>
          </w:p>
        </w:tc>
        <w:tc>
          <w:tcPr>
            <w:tcW w:w="978" w:type="pct"/>
          </w:tcPr>
          <w:p w14:paraId="050C20F3">
            <w:pPr>
              <w:spacing w:line="360" w:lineRule="auto"/>
              <w:rPr>
                <w:rFonts w:hint="eastAsia"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994" w:type="pct"/>
          </w:tcPr>
          <w:p w14:paraId="3D58BD3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0.45%</w:t>
            </w:r>
          </w:p>
        </w:tc>
        <w:tc>
          <w:tcPr>
            <w:tcW w:w="978" w:type="pct"/>
          </w:tcPr>
          <w:p w14:paraId="106047B2">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0.55%</w:t>
            </w:r>
          </w:p>
        </w:tc>
      </w:tr>
      <w:tr w14:paraId="00D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382486F3">
            <w:pPr>
              <w:spacing w:line="360" w:lineRule="auto"/>
              <w:rPr>
                <w:rFonts w:hint="eastAsia" w:ascii="宋体" w:hAnsi="宋体"/>
                <w:color w:val="auto"/>
                <w:szCs w:val="21"/>
                <w:highlight w:val="none"/>
              </w:rPr>
            </w:pPr>
            <w:r>
              <w:rPr>
                <w:rFonts w:hint="eastAsia" w:ascii="宋体" w:hAnsi="宋体"/>
                <w:color w:val="auto"/>
                <w:szCs w:val="21"/>
                <w:highlight w:val="none"/>
              </w:rPr>
              <w:t>1000万元～5000万元</w:t>
            </w:r>
          </w:p>
        </w:tc>
        <w:tc>
          <w:tcPr>
            <w:tcW w:w="978" w:type="pct"/>
          </w:tcPr>
          <w:p w14:paraId="6C59FCAE">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994" w:type="pct"/>
          </w:tcPr>
          <w:p w14:paraId="533F8856">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0.25%</w:t>
            </w:r>
          </w:p>
        </w:tc>
        <w:tc>
          <w:tcPr>
            <w:tcW w:w="978" w:type="pct"/>
          </w:tcPr>
          <w:p w14:paraId="475E1F16">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0.35% </w:t>
            </w:r>
          </w:p>
        </w:tc>
      </w:tr>
      <w:tr w14:paraId="01EE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7DCA141B">
            <w:pPr>
              <w:spacing w:line="360" w:lineRule="auto"/>
              <w:rPr>
                <w:rFonts w:hint="eastAsia" w:ascii="宋体" w:hAnsi="宋体"/>
                <w:color w:val="auto"/>
                <w:szCs w:val="21"/>
                <w:highlight w:val="none"/>
              </w:rPr>
            </w:pPr>
            <w:r>
              <w:rPr>
                <w:rFonts w:hint="eastAsia" w:ascii="宋体" w:hAnsi="宋体"/>
                <w:color w:val="auto"/>
                <w:szCs w:val="21"/>
                <w:highlight w:val="none"/>
              </w:rPr>
              <w:t>5000万元～1亿元</w:t>
            </w:r>
          </w:p>
        </w:tc>
        <w:tc>
          <w:tcPr>
            <w:tcW w:w="978" w:type="pct"/>
          </w:tcPr>
          <w:p w14:paraId="4C724CCA">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994" w:type="pct"/>
          </w:tcPr>
          <w:p w14:paraId="57F8C5DC">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0.1%</w:t>
            </w:r>
          </w:p>
        </w:tc>
        <w:tc>
          <w:tcPr>
            <w:tcW w:w="978" w:type="pct"/>
          </w:tcPr>
          <w:p w14:paraId="7DCB7903">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0.2%</w:t>
            </w:r>
          </w:p>
        </w:tc>
      </w:tr>
      <w:tr w14:paraId="7861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309CE895">
            <w:pPr>
              <w:spacing w:line="360" w:lineRule="auto"/>
              <w:rPr>
                <w:rFonts w:hint="eastAsia" w:ascii="宋体" w:hAnsi="宋体"/>
                <w:color w:val="auto"/>
                <w:szCs w:val="21"/>
                <w:highlight w:val="none"/>
              </w:rPr>
            </w:pPr>
            <w:r>
              <w:rPr>
                <w:rFonts w:hint="eastAsia" w:ascii="宋体" w:hAnsi="宋体"/>
                <w:color w:val="auto"/>
                <w:szCs w:val="21"/>
                <w:highlight w:val="none"/>
              </w:rPr>
              <w:t>1亿元～5亿元</w:t>
            </w:r>
          </w:p>
        </w:tc>
        <w:tc>
          <w:tcPr>
            <w:tcW w:w="978" w:type="pct"/>
          </w:tcPr>
          <w:p w14:paraId="0E936D82">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994" w:type="pct"/>
          </w:tcPr>
          <w:p w14:paraId="48DCC262">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c>
          <w:tcPr>
            <w:tcW w:w="978" w:type="pct"/>
          </w:tcPr>
          <w:p w14:paraId="5819FF3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r>
      <w:tr w14:paraId="55A0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5DB383B8">
            <w:pPr>
              <w:spacing w:line="360" w:lineRule="auto"/>
              <w:rPr>
                <w:rFonts w:hint="eastAsia" w:ascii="宋体" w:hAnsi="宋体"/>
                <w:color w:val="auto"/>
                <w:szCs w:val="21"/>
                <w:highlight w:val="none"/>
              </w:rPr>
            </w:pPr>
            <w:r>
              <w:rPr>
                <w:rFonts w:hint="eastAsia" w:ascii="宋体" w:hAnsi="宋体"/>
                <w:color w:val="auto"/>
                <w:szCs w:val="21"/>
                <w:highlight w:val="none"/>
              </w:rPr>
              <w:t>5亿元～10亿元</w:t>
            </w:r>
          </w:p>
        </w:tc>
        <w:tc>
          <w:tcPr>
            <w:tcW w:w="978" w:type="pct"/>
          </w:tcPr>
          <w:p w14:paraId="4AD10987">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994" w:type="pct"/>
          </w:tcPr>
          <w:p w14:paraId="50675828">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0.035%</w:t>
            </w:r>
          </w:p>
        </w:tc>
        <w:tc>
          <w:tcPr>
            <w:tcW w:w="978" w:type="pct"/>
          </w:tcPr>
          <w:p w14:paraId="27ADE7C0">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r>
      <w:tr w14:paraId="3BBE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07D5585B">
            <w:pPr>
              <w:spacing w:line="360" w:lineRule="auto"/>
              <w:rPr>
                <w:rFonts w:hint="eastAsia" w:ascii="宋体" w:hAnsi="宋体"/>
                <w:color w:val="auto"/>
                <w:szCs w:val="21"/>
                <w:highlight w:val="none"/>
              </w:rPr>
            </w:pPr>
            <w:r>
              <w:rPr>
                <w:rFonts w:hint="eastAsia" w:ascii="宋体" w:hAnsi="宋体"/>
                <w:color w:val="auto"/>
                <w:szCs w:val="21"/>
                <w:highlight w:val="none"/>
              </w:rPr>
              <w:t>10亿元～50亿元</w:t>
            </w:r>
          </w:p>
        </w:tc>
        <w:tc>
          <w:tcPr>
            <w:tcW w:w="978" w:type="pct"/>
          </w:tcPr>
          <w:p w14:paraId="1EAB44B9">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994" w:type="pct"/>
          </w:tcPr>
          <w:p w14:paraId="2B782062">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0.008%</w:t>
            </w:r>
          </w:p>
        </w:tc>
        <w:tc>
          <w:tcPr>
            <w:tcW w:w="978" w:type="pct"/>
          </w:tcPr>
          <w:p w14:paraId="3A7F2BC4">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r>
      <w:tr w14:paraId="2F22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201A5636">
            <w:pPr>
              <w:spacing w:line="360" w:lineRule="auto"/>
              <w:rPr>
                <w:rFonts w:hint="eastAsia" w:ascii="宋体" w:hAnsi="宋体"/>
                <w:color w:val="auto"/>
                <w:szCs w:val="21"/>
                <w:highlight w:val="none"/>
              </w:rPr>
            </w:pPr>
            <w:r>
              <w:rPr>
                <w:rFonts w:hint="eastAsia" w:ascii="宋体" w:hAnsi="宋体"/>
                <w:color w:val="auto"/>
                <w:szCs w:val="21"/>
                <w:highlight w:val="none"/>
              </w:rPr>
              <w:t>50亿元～100亿元</w:t>
            </w:r>
          </w:p>
        </w:tc>
        <w:tc>
          <w:tcPr>
            <w:tcW w:w="978" w:type="pct"/>
          </w:tcPr>
          <w:p w14:paraId="2D6A0918">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0.006%</w:t>
            </w:r>
          </w:p>
        </w:tc>
        <w:tc>
          <w:tcPr>
            <w:tcW w:w="994" w:type="pct"/>
          </w:tcPr>
          <w:p w14:paraId="57EBAF64">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0.006%</w:t>
            </w:r>
          </w:p>
        </w:tc>
        <w:tc>
          <w:tcPr>
            <w:tcW w:w="978" w:type="pct"/>
          </w:tcPr>
          <w:p w14:paraId="07B468B9">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0.006%</w:t>
            </w:r>
          </w:p>
        </w:tc>
      </w:tr>
      <w:tr w14:paraId="06BE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4C8E634B">
            <w:pPr>
              <w:spacing w:line="360" w:lineRule="auto"/>
              <w:rPr>
                <w:rFonts w:hint="eastAsia" w:ascii="宋体" w:hAnsi="宋体"/>
                <w:color w:val="auto"/>
                <w:szCs w:val="21"/>
                <w:highlight w:val="none"/>
              </w:rPr>
            </w:pPr>
            <w:r>
              <w:rPr>
                <w:rFonts w:hint="eastAsia" w:ascii="宋体" w:hAnsi="宋体"/>
                <w:color w:val="auto"/>
                <w:szCs w:val="21"/>
                <w:highlight w:val="none"/>
              </w:rPr>
              <w:t>100亿以上</w:t>
            </w:r>
          </w:p>
        </w:tc>
        <w:tc>
          <w:tcPr>
            <w:tcW w:w="978" w:type="pct"/>
          </w:tcPr>
          <w:p w14:paraId="0D84003A">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0.004%</w:t>
            </w:r>
          </w:p>
        </w:tc>
        <w:tc>
          <w:tcPr>
            <w:tcW w:w="994" w:type="pct"/>
          </w:tcPr>
          <w:p w14:paraId="1C096B98">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0.004%</w:t>
            </w:r>
          </w:p>
        </w:tc>
        <w:tc>
          <w:tcPr>
            <w:tcW w:w="978" w:type="pct"/>
          </w:tcPr>
          <w:p w14:paraId="30715460">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0.004%</w:t>
            </w:r>
          </w:p>
        </w:tc>
      </w:tr>
    </w:tbl>
    <w:p w14:paraId="5E530565">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3202CDAE">
      <w:pPr>
        <w:numPr>
          <w:ilvl w:val="0"/>
          <w:numId w:val="1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按照代理服务费收费计算标准收取代理服务费；</w:t>
      </w:r>
    </w:p>
    <w:p w14:paraId="30996BD2">
      <w:pPr>
        <w:spacing w:line="360" w:lineRule="auto"/>
        <w:ind w:firstLine="420" w:firstLineChars="200"/>
        <w:rPr>
          <w:color w:val="auto"/>
          <w:highlight w:val="none"/>
        </w:rPr>
      </w:pPr>
      <w:r>
        <w:rPr>
          <w:rFonts w:hint="eastAsia" w:ascii="宋体" w:hAnsi="宋体" w:cs="宋体"/>
          <w:color w:val="auto"/>
          <w:highlight w:val="none"/>
        </w:rPr>
        <w:t>（2）按本表费率计算的收费为采购代理的收费基准价格；</w:t>
      </w:r>
    </w:p>
    <w:p w14:paraId="08CA28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（3）采购</w:t>
      </w:r>
      <w:r>
        <w:rPr>
          <w:rFonts w:ascii="宋体" w:hAnsi="宋体" w:cs="宋体"/>
          <w:color w:val="auto"/>
          <w:szCs w:val="21"/>
          <w:highlight w:val="none"/>
        </w:rPr>
        <w:t>代理收费按差额定率累进法计算。</w:t>
      </w:r>
    </w:p>
    <w:p w14:paraId="4E7E1FA9">
      <w:pPr>
        <w:pStyle w:val="8"/>
        <w:keepNext w:val="0"/>
        <w:keepLines w:val="0"/>
        <w:spacing w:before="0" w:after="0" w:line="360" w:lineRule="auto"/>
        <w:ind w:left="420" w:leftChars="200"/>
        <w:rPr>
          <w:rFonts w:hint="eastAsia" w:ascii="黑体" w:hAnsi="黑体" w:eastAsia="黑体"/>
          <w:color w:val="auto"/>
          <w:sz w:val="24"/>
          <w:highlight w:val="none"/>
        </w:rPr>
      </w:pPr>
      <w:r>
        <w:rPr>
          <w:rFonts w:ascii="黑体" w:hAnsi="黑体" w:eastAsia="黑体"/>
          <w:color w:val="auto"/>
          <w:sz w:val="24"/>
          <w:highlight w:val="none"/>
        </w:rPr>
        <w:t>40. 需要补充的其他内容</w:t>
      </w:r>
    </w:p>
    <w:p w14:paraId="57918177">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40.1本采购文件解释规则详见“投标人须知前附表”。</w:t>
      </w:r>
    </w:p>
    <w:p w14:paraId="0420A1BA">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40.2 其他事项详见“投标人须知前附表”。</w:t>
      </w:r>
    </w:p>
    <w:p w14:paraId="72E91AD5">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40.3本采购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采购文件规定的中小企业扶持政策：</w:t>
      </w:r>
    </w:p>
    <w:p w14:paraId="73B75B68">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5C3A92B3">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4E1AC8D9">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4981547">
      <w:pPr>
        <w:pStyle w:val="18"/>
        <w:spacing w:line="360" w:lineRule="auto"/>
        <w:ind w:firstLine="420" w:firstLineChars="200"/>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采购文件规定的中小企业扶持政策。以联合体形式参加政府采购活动，联合体各方均为中小企业的，联合体视同中小企业。其中，联合体各方均为小微企业的，联合体视同小微企业。</w:t>
      </w:r>
    </w:p>
    <w:p w14:paraId="09754CF1">
      <w:pPr>
        <w:pStyle w:val="18"/>
        <w:spacing w:line="360" w:lineRule="auto"/>
        <w:ind w:firstLine="420" w:firstLineChars="200"/>
        <w:rPr>
          <w:rFonts w:hint="eastAsia" w:hAnsi="宋体"/>
          <w:color w:val="auto"/>
          <w:highlight w:val="none"/>
        </w:rPr>
      </w:pPr>
      <w:r>
        <w:rPr>
          <w:rFonts w:hint="eastAsia" w:hAnsi="宋体" w:cs="宋体"/>
          <w:color w:val="auto"/>
          <w:highlight w:val="none"/>
        </w:rPr>
        <w:t>依据本采购文件规定享受扶持政策获得政府采购合同的，小微企业不得将合同分包给大中型企业，中型企业不得将合同分包给大型企业。</w:t>
      </w:r>
      <w:r>
        <w:rPr>
          <w:rFonts w:hAnsi="宋体"/>
          <w:color w:val="auto"/>
          <w:highlight w:val="none"/>
        </w:rPr>
        <w:br w:type="page"/>
      </w:r>
    </w:p>
    <w:p w14:paraId="74156EAC">
      <w:pPr>
        <w:pStyle w:val="18"/>
        <w:snapToGrid w:val="0"/>
        <w:spacing w:before="120" w:after="120"/>
        <w:rPr>
          <w:rFonts w:hint="eastAsia" w:hAnsi="宋体"/>
          <w:color w:val="auto"/>
          <w:highlight w:val="none"/>
        </w:rPr>
      </w:pPr>
    </w:p>
    <w:p w14:paraId="7543B45E">
      <w:pPr>
        <w:pStyle w:val="18"/>
        <w:snapToGrid w:val="0"/>
        <w:spacing w:before="120" w:after="120"/>
        <w:rPr>
          <w:rFonts w:hint="eastAsia" w:hAnsi="宋体"/>
          <w:color w:val="auto"/>
          <w:highlight w:val="none"/>
        </w:rPr>
      </w:pPr>
    </w:p>
    <w:p w14:paraId="416B6BF7">
      <w:pPr>
        <w:pStyle w:val="18"/>
        <w:snapToGrid w:val="0"/>
        <w:spacing w:before="120" w:after="120"/>
        <w:rPr>
          <w:rFonts w:hint="eastAsia" w:hAnsi="宋体"/>
          <w:color w:val="auto"/>
          <w:highlight w:val="none"/>
        </w:rPr>
      </w:pPr>
    </w:p>
    <w:p w14:paraId="5119B946">
      <w:pPr>
        <w:pStyle w:val="18"/>
        <w:snapToGrid w:val="0"/>
        <w:spacing w:before="120" w:after="120"/>
        <w:rPr>
          <w:rFonts w:hint="eastAsia" w:hAnsi="宋体"/>
          <w:color w:val="auto"/>
          <w:highlight w:val="none"/>
        </w:rPr>
      </w:pPr>
    </w:p>
    <w:p w14:paraId="62E58466">
      <w:pPr>
        <w:pStyle w:val="18"/>
        <w:snapToGrid w:val="0"/>
        <w:spacing w:before="120" w:after="120"/>
        <w:rPr>
          <w:rFonts w:hint="eastAsia" w:hAnsi="宋体"/>
          <w:color w:val="auto"/>
          <w:highlight w:val="none"/>
        </w:rPr>
      </w:pPr>
    </w:p>
    <w:p w14:paraId="1A153252">
      <w:pPr>
        <w:pStyle w:val="18"/>
        <w:snapToGrid w:val="0"/>
        <w:spacing w:before="120" w:after="120"/>
        <w:rPr>
          <w:rFonts w:hint="eastAsia" w:hAnsi="宋体"/>
          <w:color w:val="auto"/>
          <w:highlight w:val="none"/>
        </w:rPr>
      </w:pPr>
    </w:p>
    <w:p w14:paraId="3A383188">
      <w:pPr>
        <w:pStyle w:val="18"/>
        <w:snapToGrid w:val="0"/>
        <w:spacing w:before="120" w:after="120"/>
        <w:rPr>
          <w:rFonts w:hint="eastAsia" w:hAnsi="宋体"/>
          <w:color w:val="auto"/>
          <w:highlight w:val="none"/>
        </w:rPr>
      </w:pPr>
    </w:p>
    <w:p w14:paraId="18D0FBA9">
      <w:pPr>
        <w:pStyle w:val="18"/>
        <w:snapToGrid w:val="0"/>
        <w:spacing w:before="120" w:after="120"/>
        <w:rPr>
          <w:rFonts w:hint="eastAsia" w:hAnsi="宋体"/>
          <w:color w:val="auto"/>
          <w:highlight w:val="none"/>
        </w:rPr>
      </w:pPr>
    </w:p>
    <w:p w14:paraId="2453404A">
      <w:pPr>
        <w:pStyle w:val="18"/>
        <w:snapToGrid w:val="0"/>
        <w:spacing w:before="120" w:after="120"/>
        <w:rPr>
          <w:rFonts w:hint="eastAsia" w:hAnsi="宋体"/>
          <w:color w:val="auto"/>
          <w:highlight w:val="none"/>
        </w:rPr>
      </w:pPr>
    </w:p>
    <w:p w14:paraId="28D60BB6">
      <w:pPr>
        <w:pStyle w:val="18"/>
        <w:snapToGrid w:val="0"/>
        <w:spacing w:before="120" w:after="120"/>
        <w:rPr>
          <w:rFonts w:hint="eastAsia" w:hAnsi="宋体"/>
          <w:color w:val="auto"/>
          <w:highlight w:val="none"/>
        </w:rPr>
      </w:pPr>
    </w:p>
    <w:p w14:paraId="368BFAC4">
      <w:pPr>
        <w:pStyle w:val="18"/>
        <w:snapToGrid w:val="0"/>
        <w:spacing w:before="120" w:after="120"/>
        <w:rPr>
          <w:rFonts w:hint="eastAsia" w:hAnsi="宋体"/>
          <w:color w:val="auto"/>
          <w:highlight w:val="none"/>
        </w:rPr>
      </w:pPr>
    </w:p>
    <w:p w14:paraId="33200D24">
      <w:pPr>
        <w:pStyle w:val="18"/>
        <w:snapToGrid w:val="0"/>
        <w:spacing w:before="120" w:after="120"/>
        <w:rPr>
          <w:rFonts w:hint="eastAsia" w:hAnsi="宋体"/>
          <w:color w:val="auto"/>
          <w:highlight w:val="none"/>
        </w:rPr>
      </w:pPr>
    </w:p>
    <w:p w14:paraId="6FA4F30B">
      <w:pPr>
        <w:pStyle w:val="18"/>
        <w:snapToGrid w:val="0"/>
        <w:spacing w:before="120" w:after="120"/>
        <w:rPr>
          <w:rFonts w:hint="eastAsia" w:hAnsi="宋体"/>
          <w:color w:val="auto"/>
          <w:highlight w:val="none"/>
        </w:rPr>
      </w:pPr>
    </w:p>
    <w:p w14:paraId="260CEC73">
      <w:pPr>
        <w:pStyle w:val="4"/>
        <w:jc w:val="center"/>
        <w:rPr>
          <w:color w:val="auto"/>
          <w:highlight w:val="none"/>
        </w:rPr>
      </w:pPr>
      <w:bookmarkStart w:id="131" w:name="_Toc254970689"/>
      <w:bookmarkStart w:id="132" w:name="_Toc187937696"/>
      <w:bookmarkStart w:id="133" w:name="_Toc254970548"/>
      <w:bookmarkStart w:id="134" w:name="_Toc330456896"/>
      <w:r>
        <w:rPr>
          <w:rFonts w:hint="eastAsia"/>
          <w:color w:val="auto"/>
          <w:highlight w:val="none"/>
        </w:rPr>
        <w:t>第四章  评标方法及评标标准</w:t>
      </w:r>
      <w:bookmarkEnd w:id="131"/>
      <w:bookmarkEnd w:id="132"/>
      <w:bookmarkEnd w:id="133"/>
      <w:bookmarkEnd w:id="134"/>
    </w:p>
    <w:p w14:paraId="58D7D091">
      <w:pPr>
        <w:rPr>
          <w:color w:val="auto"/>
          <w:highlight w:val="none"/>
        </w:rPr>
      </w:pPr>
      <w:bookmarkStart w:id="135" w:name="_Toc254970549"/>
      <w:bookmarkStart w:id="136" w:name="_Toc254970690"/>
    </w:p>
    <w:bookmarkEnd w:id="135"/>
    <w:bookmarkEnd w:id="136"/>
    <w:p w14:paraId="6A692DE1">
      <w:pPr>
        <w:rPr>
          <w:color w:val="auto"/>
          <w:highlight w:val="none"/>
        </w:rPr>
      </w:pPr>
    </w:p>
    <w:p w14:paraId="6011FD75">
      <w:pPr>
        <w:rPr>
          <w:color w:val="auto"/>
          <w:highlight w:val="none"/>
        </w:rPr>
      </w:pPr>
    </w:p>
    <w:p w14:paraId="2D3560D9">
      <w:pPr>
        <w:rPr>
          <w:color w:val="auto"/>
          <w:highlight w:val="none"/>
        </w:rPr>
      </w:pPr>
    </w:p>
    <w:p w14:paraId="73D13B85">
      <w:pPr>
        <w:rPr>
          <w:color w:val="auto"/>
          <w:highlight w:val="none"/>
        </w:rPr>
      </w:pPr>
    </w:p>
    <w:p w14:paraId="3CE56397">
      <w:pPr>
        <w:rPr>
          <w:color w:val="auto"/>
          <w:highlight w:val="none"/>
        </w:rPr>
      </w:pPr>
    </w:p>
    <w:p w14:paraId="472A5E83">
      <w:pPr>
        <w:rPr>
          <w:color w:val="auto"/>
          <w:highlight w:val="none"/>
        </w:rPr>
      </w:pPr>
    </w:p>
    <w:p w14:paraId="3F78AC72">
      <w:pPr>
        <w:rPr>
          <w:color w:val="auto"/>
          <w:highlight w:val="none"/>
        </w:rPr>
      </w:pPr>
    </w:p>
    <w:p w14:paraId="137C57A0">
      <w:pPr>
        <w:rPr>
          <w:color w:val="auto"/>
          <w:highlight w:val="none"/>
        </w:rPr>
      </w:pPr>
    </w:p>
    <w:p w14:paraId="243A502C">
      <w:pPr>
        <w:spacing w:before="120" w:beforeLines="50" w:after="120" w:afterLines="50" w:line="400" w:lineRule="exact"/>
        <w:rPr>
          <w:rFonts w:hint="eastAsia" w:ascii="宋体" w:hAnsi="宋体"/>
          <w:b/>
          <w:color w:val="auto"/>
          <w:sz w:val="24"/>
          <w:highlight w:val="none"/>
        </w:rPr>
      </w:pPr>
    </w:p>
    <w:p w14:paraId="6C22608E">
      <w:pPr>
        <w:spacing w:before="120" w:beforeLines="50" w:after="120" w:afterLines="50" w:line="400" w:lineRule="exact"/>
        <w:rPr>
          <w:rFonts w:hint="eastAsia" w:ascii="宋体" w:hAnsi="宋体"/>
          <w:b/>
          <w:color w:val="auto"/>
          <w:sz w:val="24"/>
          <w:highlight w:val="none"/>
        </w:rPr>
      </w:pPr>
    </w:p>
    <w:p w14:paraId="7DDF06BE">
      <w:pPr>
        <w:pStyle w:val="18"/>
        <w:spacing w:line="360" w:lineRule="exact"/>
        <w:rPr>
          <w:rFonts w:hint="eastAsia" w:hAnsi="宋体"/>
          <w:b/>
          <w:color w:val="auto"/>
          <w:sz w:val="24"/>
          <w:highlight w:val="none"/>
        </w:rPr>
      </w:pPr>
    </w:p>
    <w:p w14:paraId="70129B3C">
      <w:pPr>
        <w:pStyle w:val="18"/>
        <w:spacing w:line="360" w:lineRule="exact"/>
        <w:rPr>
          <w:rFonts w:hint="eastAsia" w:hAnsi="宋体"/>
          <w:b/>
          <w:color w:val="auto"/>
          <w:sz w:val="24"/>
          <w:highlight w:val="none"/>
        </w:rPr>
      </w:pPr>
    </w:p>
    <w:p w14:paraId="14DA4283">
      <w:pPr>
        <w:pStyle w:val="18"/>
        <w:spacing w:line="360" w:lineRule="exact"/>
        <w:rPr>
          <w:rFonts w:hint="eastAsia" w:hAnsi="宋体"/>
          <w:b/>
          <w:color w:val="auto"/>
          <w:sz w:val="24"/>
          <w:highlight w:val="none"/>
        </w:rPr>
      </w:pPr>
    </w:p>
    <w:p w14:paraId="14365CDB">
      <w:pPr>
        <w:pStyle w:val="18"/>
        <w:spacing w:line="360" w:lineRule="exact"/>
        <w:rPr>
          <w:rFonts w:hint="eastAsia" w:hAnsi="宋体"/>
          <w:b/>
          <w:color w:val="auto"/>
          <w:sz w:val="24"/>
          <w:highlight w:val="none"/>
        </w:rPr>
      </w:pPr>
    </w:p>
    <w:p w14:paraId="0494F90E">
      <w:pPr>
        <w:pStyle w:val="18"/>
        <w:spacing w:line="360" w:lineRule="exact"/>
        <w:rPr>
          <w:rFonts w:hint="eastAsia" w:hAnsi="宋体"/>
          <w:b/>
          <w:color w:val="auto"/>
          <w:sz w:val="24"/>
          <w:highlight w:val="none"/>
        </w:rPr>
      </w:pPr>
    </w:p>
    <w:p w14:paraId="62234A1A">
      <w:pPr>
        <w:pStyle w:val="18"/>
        <w:spacing w:line="360" w:lineRule="exact"/>
        <w:rPr>
          <w:rFonts w:hint="eastAsia" w:hAnsi="宋体"/>
          <w:b/>
          <w:color w:val="auto"/>
          <w:sz w:val="24"/>
          <w:highlight w:val="none"/>
        </w:rPr>
      </w:pPr>
    </w:p>
    <w:p w14:paraId="7EDEB43D">
      <w:pPr>
        <w:pStyle w:val="18"/>
        <w:spacing w:line="360" w:lineRule="exact"/>
        <w:rPr>
          <w:rFonts w:hint="eastAsia" w:hAnsi="宋体"/>
          <w:b/>
          <w:color w:val="auto"/>
          <w:sz w:val="24"/>
          <w:highlight w:val="none"/>
        </w:rPr>
      </w:pPr>
    </w:p>
    <w:p w14:paraId="40B57E79">
      <w:pPr>
        <w:pStyle w:val="18"/>
        <w:spacing w:line="360" w:lineRule="exact"/>
        <w:rPr>
          <w:rFonts w:hint="eastAsia" w:hAnsi="宋体"/>
          <w:b/>
          <w:color w:val="auto"/>
          <w:sz w:val="24"/>
          <w:highlight w:val="none"/>
        </w:rPr>
      </w:pPr>
    </w:p>
    <w:p w14:paraId="0DC1BA9B">
      <w:pPr>
        <w:pStyle w:val="6"/>
        <w:keepNext w:val="0"/>
        <w:keepLines w:val="0"/>
        <w:ind w:firstLine="602"/>
        <w:jc w:val="center"/>
        <w:rPr>
          <w:color w:val="auto"/>
          <w:sz w:val="30"/>
          <w:szCs w:val="30"/>
          <w:highlight w:val="none"/>
        </w:rPr>
      </w:pPr>
      <w:r>
        <w:rPr>
          <w:rFonts w:hint="eastAsia"/>
          <w:color w:val="auto"/>
          <w:sz w:val="30"/>
          <w:szCs w:val="30"/>
          <w:highlight w:val="none"/>
        </w:rPr>
        <w:t>一、评标方法</w:t>
      </w:r>
    </w:p>
    <w:p w14:paraId="5C208D32">
      <w:pPr>
        <w:pStyle w:val="18"/>
        <w:spacing w:line="360" w:lineRule="auto"/>
        <w:ind w:firstLine="420"/>
        <w:rPr>
          <w:rFonts w:hint="eastAsia" w:hAnsi="宋体"/>
          <w:color w:val="auto"/>
          <w:highlight w:val="none"/>
        </w:rPr>
      </w:pPr>
      <w:r>
        <w:rPr>
          <w:rFonts w:hint="eastAsia" w:hAnsi="宋体"/>
          <w:color w:val="auto"/>
          <w:highlight w:val="none"/>
        </w:rPr>
        <w:t>综合评分法，是指投标文件满足采购文件全部实质性要求，且按照评审因素的量化指标评审得分最高的投标人为中标候选人的评标方法。</w:t>
      </w:r>
    </w:p>
    <w:p w14:paraId="67D59C8A">
      <w:pPr>
        <w:pStyle w:val="18"/>
        <w:spacing w:line="360" w:lineRule="auto"/>
        <w:ind w:firstLine="420"/>
        <w:rPr>
          <w:rFonts w:hint="eastAsia" w:hAnsi="宋体"/>
          <w:color w:val="auto"/>
          <w:highlight w:val="none"/>
        </w:rPr>
      </w:pPr>
      <w:r>
        <w:rPr>
          <w:rFonts w:hint="eastAsia" w:hAnsi="宋体"/>
          <w:color w:val="auto"/>
          <w:highlight w:val="none"/>
        </w:rPr>
        <w:t>最低评标价法，是指投标文件满足采购文件全部实质性要求，且投标报价最低的投标人为中标候选人的评标方法。</w:t>
      </w:r>
    </w:p>
    <w:p w14:paraId="08E3511F">
      <w:pPr>
        <w:pStyle w:val="6"/>
        <w:keepNext w:val="0"/>
        <w:keepLines w:val="0"/>
        <w:ind w:firstLine="602"/>
        <w:jc w:val="center"/>
        <w:rPr>
          <w:color w:val="auto"/>
          <w:sz w:val="30"/>
          <w:szCs w:val="30"/>
          <w:highlight w:val="none"/>
        </w:rPr>
      </w:pPr>
      <w:r>
        <w:rPr>
          <w:rFonts w:hint="eastAsia"/>
          <w:color w:val="auto"/>
          <w:sz w:val="30"/>
          <w:szCs w:val="30"/>
          <w:highlight w:val="none"/>
        </w:rPr>
        <w:t>二、评标程序</w:t>
      </w:r>
    </w:p>
    <w:p w14:paraId="13ABD6D3">
      <w:pPr>
        <w:pStyle w:val="8"/>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425D17D9">
      <w:pPr>
        <w:pStyle w:val="18"/>
        <w:snapToGrid w:val="0"/>
        <w:spacing w:line="360" w:lineRule="auto"/>
        <w:ind w:left="1" w:firstLine="420"/>
        <w:rPr>
          <w:rFonts w:hint="eastAsia" w:hAnsi="宋体"/>
          <w:b/>
          <w:color w:val="auto"/>
          <w:highlight w:val="none"/>
        </w:rPr>
      </w:pPr>
      <w:r>
        <w:rPr>
          <w:rFonts w:hint="eastAsia" w:hAnsi="宋体"/>
          <w:b/>
          <w:color w:val="auto"/>
          <w:highlight w:val="none"/>
        </w:rPr>
        <w:t>评标委员会应当对符合资格的投标人的投标文件进行投标报价、商务、技术等实质性内容符合性审查，以确定其是否满足采购文件的实质性要求。</w:t>
      </w:r>
    </w:p>
    <w:p w14:paraId="0868A658">
      <w:pPr>
        <w:pStyle w:val="8"/>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31C22E86">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投标人的投标文件中存在对采购文件的任何实质性要求和条件的负偏离，将被视为投标无效。</w:t>
      </w:r>
    </w:p>
    <w:p w14:paraId="017F9922">
      <w:pPr>
        <w:pStyle w:val="8"/>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172267A6">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pacing w:val="-6"/>
          <w:szCs w:val="21"/>
          <w:highlight w:val="none"/>
        </w:rPr>
        <w:t>报价文件未提供“投标人须知前附表”第13条“报价文件”规定中“必须提供”的文件资料的</w:t>
      </w:r>
      <w:r>
        <w:rPr>
          <w:rFonts w:hint="eastAsia" w:ascii="宋体" w:hAnsi="宋体"/>
          <w:b/>
          <w:color w:val="auto"/>
          <w:szCs w:val="21"/>
          <w:highlight w:val="none"/>
        </w:rPr>
        <w:t>；</w:t>
      </w:r>
    </w:p>
    <w:p w14:paraId="1DEF0AEC">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未采用人民币报价或者未按照采购文件标明的币种报价的；</w:t>
      </w:r>
    </w:p>
    <w:p w14:paraId="7682C6E0">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zCs w:val="21"/>
          <w:highlight w:val="none"/>
        </w:rPr>
        <w:t>各分标报价超出采购文件相应分标规定最高限价，或者超出相应分标采购预算金额的；</w:t>
      </w:r>
    </w:p>
    <w:p w14:paraId="12147E58">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采购文件允许有备选方案或者其他约定的除外）；</w:t>
      </w:r>
    </w:p>
    <w:p w14:paraId="373FB4AF">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220378B0">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条（2）情形的；</w:t>
      </w:r>
    </w:p>
    <w:p w14:paraId="7A39CCFA">
      <w:pPr>
        <w:pStyle w:val="9"/>
        <w:numPr>
          <w:ilvl w:val="0"/>
          <w:numId w:val="13"/>
        </w:numPr>
        <w:spacing w:line="360" w:lineRule="auto"/>
        <w:ind w:left="-2"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响应的标的数量及单位与采购文件要求实质性不一致的。</w:t>
      </w:r>
    </w:p>
    <w:p w14:paraId="1679993F">
      <w:pPr>
        <w:pStyle w:val="8"/>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51F8B444">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投标文件未按采购文件要求签署、盖章的；</w:t>
      </w:r>
    </w:p>
    <w:p w14:paraId="4D287F40">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25A69F55">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为无效投标保证金的或者未按照采购文件的规定提交投标保证金的；</w:t>
      </w:r>
    </w:p>
    <w:p w14:paraId="043B34A2">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6E5ED988">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允许负偏离的条款数超过“投标人须知前附表”规定项数的；</w:t>
      </w:r>
    </w:p>
    <w:p w14:paraId="47CC1677">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投标文件的实质性内容未使用中文表述、使用计量单位不符合采购文件要求的；</w:t>
      </w:r>
    </w:p>
    <w:p w14:paraId="7B86A7F9">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77E6E601">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70129997">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149B1EFC">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投标文件标注的项目名称或者项目编号与采购文件标注的项目名称或者项目编号不一致的；</w:t>
      </w:r>
    </w:p>
    <w:p w14:paraId="1E005708">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投标文件中承诺的投标有效期低于采购文件要求的期限的；</w:t>
      </w:r>
    </w:p>
    <w:p w14:paraId="0E178B33">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采购文件明确不允许分包，投标文件拟分包的；</w:t>
      </w:r>
    </w:p>
    <w:p w14:paraId="3843ED55">
      <w:pPr>
        <w:pStyle w:val="15"/>
        <w:numPr>
          <w:ilvl w:val="0"/>
          <w:numId w:val="14"/>
        </w:numPr>
        <w:snapToGrid w:val="0"/>
        <w:spacing w:line="360" w:lineRule="auto"/>
        <w:ind w:firstLine="413"/>
        <w:rPr>
          <w:rFonts w:hint="eastAsia" w:hAnsi="宋体"/>
          <w:b/>
          <w:color w:val="auto"/>
          <w:sz w:val="21"/>
          <w:szCs w:val="21"/>
          <w:highlight w:val="none"/>
        </w:rPr>
      </w:pPr>
      <w:r>
        <w:rPr>
          <w:rFonts w:hint="eastAsia" w:hAnsi="宋体"/>
          <w:b/>
          <w:color w:val="auto"/>
          <w:sz w:val="21"/>
          <w:szCs w:val="21"/>
          <w:highlight w:val="none"/>
        </w:rPr>
        <w:t>虚假投标，或者出现其他情形而导致被评标委员会认定无效的；</w:t>
      </w:r>
    </w:p>
    <w:p w14:paraId="20F4AC80">
      <w:pPr>
        <w:pStyle w:val="15"/>
        <w:numPr>
          <w:ilvl w:val="0"/>
          <w:numId w:val="14"/>
        </w:numPr>
        <w:snapToGrid w:val="0"/>
        <w:spacing w:line="360" w:lineRule="auto"/>
        <w:ind w:firstLine="413"/>
        <w:rPr>
          <w:rFonts w:hint="eastAsia" w:hAnsi="宋体"/>
          <w:b/>
          <w:color w:val="auto"/>
          <w:sz w:val="21"/>
          <w:szCs w:val="21"/>
          <w:highlight w:val="none"/>
        </w:rPr>
      </w:pPr>
      <w:r>
        <w:rPr>
          <w:rFonts w:hint="eastAsia" w:hAnsi="宋体"/>
          <w:b/>
          <w:color w:val="auto"/>
          <w:sz w:val="21"/>
          <w:szCs w:val="21"/>
          <w:highlight w:val="none"/>
        </w:rPr>
        <w:t>采购文件未载明允许提供备选（替代）投标方案或明确不允许提供备选（替代）投标方案时，投标人提供了备选（替代）投标方案的；</w:t>
      </w:r>
    </w:p>
    <w:p w14:paraId="658A5D13">
      <w:pPr>
        <w:pStyle w:val="15"/>
        <w:numPr>
          <w:ilvl w:val="0"/>
          <w:numId w:val="14"/>
        </w:numPr>
        <w:snapToGrid w:val="0"/>
        <w:spacing w:line="360" w:lineRule="auto"/>
        <w:ind w:firstLine="413"/>
        <w:rPr>
          <w:rFonts w:hint="eastAsia" w:hAnsi="宋体"/>
          <w:b/>
          <w:color w:val="auto"/>
          <w:sz w:val="21"/>
          <w:szCs w:val="21"/>
          <w:highlight w:val="none"/>
        </w:rPr>
      </w:pPr>
      <w:r>
        <w:rPr>
          <w:rFonts w:hint="eastAsia" w:hAnsi="宋体"/>
          <w:b/>
          <w:color w:val="auto"/>
          <w:sz w:val="21"/>
          <w:szCs w:val="21"/>
          <w:highlight w:val="none"/>
        </w:rPr>
        <w:t>未响应采购文件实质性要求的。</w:t>
      </w:r>
    </w:p>
    <w:p w14:paraId="0821930C">
      <w:pPr>
        <w:numPr>
          <w:ilvl w:val="0"/>
          <w:numId w:val="1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法律、法规和采购文件规定的其他无效情形。</w:t>
      </w:r>
    </w:p>
    <w:p w14:paraId="0B12F17A">
      <w:pPr>
        <w:pStyle w:val="8"/>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70C69F0C">
      <w:pPr>
        <w:pStyle w:val="15"/>
        <w:snapToGrid w:val="0"/>
        <w:spacing w:line="360" w:lineRule="auto"/>
        <w:ind w:firstLine="398" w:firstLineChars="196"/>
        <w:rPr>
          <w:rFonts w:hint="eastAsia" w:hAnsi="宋体"/>
          <w:b/>
          <w:color w:val="auto"/>
          <w:sz w:val="21"/>
          <w:szCs w:val="21"/>
          <w:highlight w:val="none"/>
        </w:rPr>
      </w:pPr>
      <w:r>
        <w:rPr>
          <w:rFonts w:hint="eastAsia" w:hAnsi="宋体"/>
          <w:b/>
          <w:color w:val="auto"/>
          <w:sz w:val="21"/>
          <w:szCs w:val="21"/>
          <w:highlight w:val="none"/>
        </w:rPr>
        <w:t>（1）技术要求评审允许负偏离的条款数超过“投标人须知前附表”规定项数的；</w:t>
      </w:r>
    </w:p>
    <w:p w14:paraId="0ED08560">
      <w:pPr>
        <w:pStyle w:val="15"/>
        <w:snapToGrid w:val="0"/>
        <w:spacing w:line="360" w:lineRule="auto"/>
        <w:ind w:firstLine="398" w:firstLineChars="196"/>
        <w:rPr>
          <w:rFonts w:hint="eastAsia" w:hAnsi="宋体"/>
          <w:b/>
          <w:color w:val="auto"/>
          <w:sz w:val="21"/>
          <w:szCs w:val="21"/>
          <w:highlight w:val="none"/>
        </w:rPr>
      </w:pPr>
      <w:r>
        <w:rPr>
          <w:rFonts w:hint="eastAsia" w:hAnsi="宋体"/>
          <w:b/>
          <w:color w:val="auto"/>
          <w:sz w:val="21"/>
          <w:szCs w:val="21"/>
          <w:highlight w:val="none"/>
        </w:rPr>
        <w:t>（2）投标文件未提供“投标人须知前附表”第13.</w:t>
      </w:r>
      <w:r>
        <w:rPr>
          <w:rFonts w:hAnsi="宋体"/>
          <w:b/>
          <w:color w:val="auto"/>
          <w:sz w:val="21"/>
          <w:szCs w:val="21"/>
          <w:highlight w:val="none"/>
        </w:rPr>
        <w:t>1</w:t>
      </w:r>
      <w:r>
        <w:rPr>
          <w:rFonts w:hint="eastAsia" w:hAnsi="宋体"/>
          <w:b/>
          <w:color w:val="auto"/>
          <w:sz w:val="21"/>
          <w:szCs w:val="21"/>
          <w:highlight w:val="none"/>
        </w:rPr>
        <w:t>条规定中“必须提供”的文件资料的；</w:t>
      </w:r>
    </w:p>
    <w:p w14:paraId="70996AA5">
      <w:pPr>
        <w:pStyle w:val="15"/>
        <w:snapToGrid w:val="0"/>
        <w:spacing w:line="360" w:lineRule="auto"/>
        <w:ind w:firstLine="398" w:firstLineChars="196"/>
        <w:rPr>
          <w:rFonts w:hint="eastAsia" w:hAnsi="宋体"/>
          <w:b/>
          <w:color w:val="auto"/>
          <w:sz w:val="21"/>
          <w:szCs w:val="21"/>
          <w:highlight w:val="none"/>
        </w:rPr>
      </w:pPr>
      <w:r>
        <w:rPr>
          <w:rFonts w:hint="eastAsia" w:hAnsi="宋体"/>
          <w:b/>
          <w:color w:val="auto"/>
          <w:sz w:val="21"/>
          <w:szCs w:val="21"/>
          <w:highlight w:val="none"/>
        </w:rPr>
        <w:t>（3）虚假投标，或者出现其他情形而导致被评标委员会认定无效的；</w:t>
      </w:r>
    </w:p>
    <w:p w14:paraId="489D33AD">
      <w:pPr>
        <w:pStyle w:val="15"/>
        <w:snapToGrid w:val="0"/>
        <w:spacing w:line="360" w:lineRule="auto"/>
        <w:ind w:firstLine="398" w:firstLineChars="196"/>
        <w:rPr>
          <w:rFonts w:hint="eastAsia" w:hAnsi="宋体"/>
          <w:b/>
          <w:color w:val="auto"/>
          <w:sz w:val="21"/>
          <w:szCs w:val="21"/>
          <w:highlight w:val="none"/>
        </w:rPr>
      </w:pPr>
      <w:r>
        <w:rPr>
          <w:rFonts w:hint="eastAsia" w:hAnsi="宋体"/>
          <w:b/>
          <w:color w:val="auto"/>
          <w:sz w:val="21"/>
          <w:szCs w:val="21"/>
          <w:highlight w:val="none"/>
        </w:rPr>
        <w:t>（4）</w:t>
      </w:r>
      <w:bookmarkStart w:id="137" w:name="_Hlk71706244"/>
      <w:r>
        <w:rPr>
          <w:rFonts w:hint="eastAsia" w:hAnsi="宋体"/>
          <w:b/>
          <w:color w:val="auto"/>
          <w:sz w:val="21"/>
          <w:szCs w:val="21"/>
          <w:highlight w:val="none"/>
        </w:rPr>
        <w:t>采购文件未载明允许提供备选（替代）投标方案或明确不允许提供备选（替代）投标方案时，投标人提供了备选（替代）投标方案的；</w:t>
      </w:r>
      <w:bookmarkEnd w:id="137"/>
    </w:p>
    <w:p w14:paraId="51D457E0">
      <w:pPr>
        <w:pStyle w:val="15"/>
        <w:snapToGrid w:val="0"/>
        <w:spacing w:line="360" w:lineRule="auto"/>
        <w:ind w:firstLine="398" w:firstLineChars="196"/>
        <w:rPr>
          <w:rFonts w:hint="eastAsia" w:hAnsi="宋体"/>
          <w:b/>
          <w:color w:val="auto"/>
          <w:sz w:val="21"/>
          <w:szCs w:val="21"/>
          <w:highlight w:val="none"/>
        </w:rPr>
      </w:pPr>
      <w:r>
        <w:rPr>
          <w:rFonts w:hint="eastAsia" w:hAnsi="宋体"/>
          <w:b/>
          <w:color w:val="auto"/>
          <w:sz w:val="21"/>
          <w:szCs w:val="21"/>
          <w:highlight w:val="none"/>
        </w:rPr>
        <w:t>（5）未响应采购文件实质性要求的。</w:t>
      </w:r>
    </w:p>
    <w:p w14:paraId="5A3C1905">
      <w:pPr>
        <w:pStyle w:val="8"/>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4E98BD31">
      <w:pPr>
        <w:spacing w:line="360" w:lineRule="auto"/>
        <w:ind w:firstLine="420" w:firstLineChars="200"/>
        <w:rPr>
          <w:rFonts w:hint="eastAsia"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49EDB9D">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D5BF591">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7BE8AC37">
      <w:pPr>
        <w:pStyle w:val="8"/>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2823B397">
      <w:pPr>
        <w:pStyle w:val="8"/>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.1投标文件报价出现前后不一致的，除“投标文件前附表”另有规定的情形，按照下列规定修正： </w:t>
      </w:r>
    </w:p>
    <w:p w14:paraId="7CAD7A33">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（1）投标文件中开标一览表（报价表）内容与投标文件中相应内容不一致的，以开标一览表（报价表）为准；</w:t>
      </w:r>
    </w:p>
    <w:p w14:paraId="2635E845">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（2）大写金额和小写金额不一致的，以大写金额为准；</w:t>
      </w:r>
    </w:p>
    <w:p w14:paraId="7D1C6EB6">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（3）单价金额小数点或者百分比有明显错位的，以开标一览表的总价为准，并修改单价；</w:t>
      </w:r>
    </w:p>
    <w:p w14:paraId="46D03F8B">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（4）总价金额与按单价汇总金额不一致的，以单价金额计算结果为准。</w:t>
      </w:r>
    </w:p>
    <w:p w14:paraId="3E22820D">
      <w:pPr>
        <w:pStyle w:val="18"/>
        <w:snapToGrid w:val="0"/>
        <w:spacing w:line="360" w:lineRule="auto"/>
        <w:ind w:firstLine="420" w:firstLineChars="200"/>
        <w:rPr>
          <w:rFonts w:hint="eastAsia" w:hAnsi="宋体"/>
          <w:color w:val="auto"/>
          <w:highlight w:val="none"/>
        </w:rPr>
      </w:pPr>
      <w:r>
        <w:rPr>
          <w:rFonts w:hint="eastAsia" w:hAnsi="宋体"/>
          <w:color w:val="auto"/>
          <w:highlight w:val="none"/>
        </w:rPr>
        <w:t>同时出现两种以上不一致的，按照以上（1）-（4）规定的顺序修正。修正后的报价经投标人确认后产生约束力，投标人不确认的，</w:t>
      </w:r>
      <w:r>
        <w:rPr>
          <w:rFonts w:hint="eastAsia" w:hAnsi="宋体"/>
          <w:b/>
          <w:color w:val="auto"/>
          <w:highlight w:val="none"/>
        </w:rPr>
        <w:t>其投标无效</w:t>
      </w:r>
      <w:r>
        <w:rPr>
          <w:rFonts w:hint="eastAsia" w:hAnsi="宋体"/>
          <w:color w:val="auto"/>
          <w:highlight w:val="none"/>
        </w:rPr>
        <w:t>。</w:t>
      </w:r>
    </w:p>
    <w:p w14:paraId="4CE3FC4C">
      <w:pPr>
        <w:pStyle w:val="8"/>
        <w:keepNext w:val="0"/>
        <w:keepLines w:val="0"/>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6152C5B3">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3F7758EA">
      <w:pPr>
        <w:pStyle w:val="8"/>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609AF0A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5.1采用综合评分法的</w:t>
      </w:r>
    </w:p>
    <w:p w14:paraId="330E58B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（1）评标委员会按照采购文件中规定的评标方法及评标标准，对符合性审查合格的投标文件进行商务和技术评估，综合比较与评价。</w:t>
      </w:r>
    </w:p>
    <w:p w14:paraId="486DFA2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3E21D72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33479CC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5D556AA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30EA9BDC">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336A0A0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0610B1B4">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97DE81C">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评标委员会依据专业经验，参考同类项目中标（中标）价格、类似产品市场价格水平、行业人工费用标准、国家有关部门指导行业协会发布的行业平均成本等情况，对报价合理性进行判断。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7E3E49F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6A89A1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异常低价投标审查的启动原因、审查意见和审查结果应当在评审报告中记录，并随供应商提供的相关书面说明及证明材料；如有，以及评标委员会有关互联网浏览、查询历史一并归档。</w:t>
      </w:r>
    </w:p>
    <w:p w14:paraId="7D2C4CE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（3）评标委员会按照采购文件中规定的评标方法和标准计算各投标人的报价得分。在计算过程中，不得去掉最高报价或者最低报价。</w:t>
      </w:r>
    </w:p>
    <w:p w14:paraId="278E3C7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16B35ED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（5）评标委员会按照采购文件中的规定推荐中标候选人。</w:t>
      </w:r>
    </w:p>
    <w:p w14:paraId="7A4AAA0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1D6AEBA0">
      <w:pPr>
        <w:snapToGrid w:val="0"/>
        <w:spacing w:line="360" w:lineRule="auto"/>
        <w:rPr>
          <w:color w:val="auto"/>
          <w:highlight w:val="none"/>
        </w:rPr>
      </w:pPr>
    </w:p>
    <w:p w14:paraId="29DE1B70">
      <w:pPr>
        <w:snapToGrid w:val="0"/>
        <w:spacing w:line="360" w:lineRule="exact"/>
        <w:ind w:firstLine="649" w:firstLineChars="202"/>
        <w:jc w:val="center"/>
        <w:rPr>
          <w:rFonts w:hint="eastAsia" w:ascii="宋体" w:hAnsi="宋体" w:cs="宋体"/>
          <w:b/>
          <w:bCs/>
          <w:color w:val="auto"/>
          <w:sz w:val="32"/>
          <w:szCs w:val="32"/>
          <w:highlight w:val="none"/>
        </w:rPr>
      </w:pPr>
      <w:bookmarkStart w:id="138" w:name="_Hlk71707917"/>
    </w:p>
    <w:p w14:paraId="48CF6803">
      <w:pPr>
        <w:snapToGrid w:val="0"/>
        <w:spacing w:line="360" w:lineRule="exact"/>
        <w:ind w:firstLine="649" w:firstLineChars="202"/>
        <w:jc w:val="center"/>
        <w:rPr>
          <w:rFonts w:hint="eastAsia" w:ascii="宋体" w:hAnsi="宋体" w:cs="宋体"/>
          <w:b/>
          <w:bCs/>
          <w:color w:val="auto"/>
          <w:sz w:val="32"/>
          <w:szCs w:val="32"/>
          <w:highlight w:val="none"/>
        </w:rPr>
      </w:pPr>
    </w:p>
    <w:p w14:paraId="57D60A23">
      <w:pPr>
        <w:snapToGrid w:val="0"/>
        <w:spacing w:line="360" w:lineRule="exact"/>
        <w:ind w:firstLine="649" w:firstLineChars="202"/>
        <w:jc w:val="center"/>
        <w:rPr>
          <w:rFonts w:hint="eastAsia" w:ascii="宋体" w:hAnsi="宋体" w:cs="宋体"/>
          <w:b/>
          <w:bCs/>
          <w:color w:val="auto"/>
          <w:sz w:val="32"/>
          <w:szCs w:val="32"/>
          <w:highlight w:val="none"/>
        </w:rPr>
      </w:pPr>
    </w:p>
    <w:p w14:paraId="494FD2C1">
      <w:pPr>
        <w:snapToGrid w:val="0"/>
        <w:spacing w:line="360" w:lineRule="exact"/>
        <w:ind w:firstLine="649" w:firstLineChars="202"/>
        <w:jc w:val="center"/>
        <w:rPr>
          <w:rFonts w:hint="eastAsia" w:ascii="宋体" w:hAnsi="宋体" w:cs="宋体"/>
          <w:b/>
          <w:bCs/>
          <w:color w:val="auto"/>
          <w:sz w:val="32"/>
          <w:szCs w:val="32"/>
          <w:highlight w:val="none"/>
        </w:rPr>
      </w:pPr>
    </w:p>
    <w:p w14:paraId="1655217D">
      <w:pPr>
        <w:snapToGrid w:val="0"/>
        <w:spacing w:line="360" w:lineRule="exact"/>
        <w:ind w:firstLine="649" w:firstLineChars="202"/>
        <w:jc w:val="center"/>
        <w:rPr>
          <w:rFonts w:hint="eastAsia" w:ascii="宋体" w:hAnsi="宋体" w:cs="宋体"/>
          <w:b/>
          <w:bCs/>
          <w:color w:val="auto"/>
          <w:sz w:val="32"/>
          <w:szCs w:val="32"/>
          <w:highlight w:val="none"/>
        </w:rPr>
      </w:pPr>
    </w:p>
    <w:p w14:paraId="5AF2770D">
      <w:pPr>
        <w:snapToGrid w:val="0"/>
        <w:spacing w:line="360" w:lineRule="exact"/>
        <w:ind w:firstLine="649" w:firstLineChars="202"/>
        <w:jc w:val="center"/>
        <w:rPr>
          <w:rFonts w:hint="eastAsia" w:ascii="宋体" w:hAnsi="宋体" w:cs="宋体"/>
          <w:b/>
          <w:bCs/>
          <w:color w:val="auto"/>
          <w:sz w:val="32"/>
          <w:szCs w:val="32"/>
          <w:highlight w:val="none"/>
        </w:rPr>
      </w:pPr>
    </w:p>
    <w:p w14:paraId="22CE01DF">
      <w:pPr>
        <w:snapToGrid w:val="0"/>
        <w:spacing w:line="360" w:lineRule="exact"/>
        <w:ind w:firstLine="649" w:firstLineChars="202"/>
        <w:jc w:val="center"/>
        <w:rPr>
          <w:rFonts w:hint="eastAsia" w:ascii="宋体" w:hAnsi="宋体" w:cs="宋体"/>
          <w:b/>
          <w:bCs/>
          <w:color w:val="auto"/>
          <w:sz w:val="32"/>
          <w:szCs w:val="32"/>
          <w:highlight w:val="none"/>
        </w:rPr>
      </w:pPr>
    </w:p>
    <w:p w14:paraId="542A7AD0">
      <w:pPr>
        <w:snapToGrid w:val="0"/>
        <w:spacing w:line="360" w:lineRule="exact"/>
        <w:ind w:firstLine="649" w:firstLineChars="202"/>
        <w:jc w:val="center"/>
        <w:rPr>
          <w:rFonts w:hint="eastAsia" w:ascii="宋体" w:hAnsi="宋体" w:cs="宋体"/>
          <w:b/>
          <w:bCs/>
          <w:color w:val="auto"/>
          <w:sz w:val="32"/>
          <w:szCs w:val="32"/>
          <w:highlight w:val="none"/>
        </w:rPr>
      </w:pPr>
    </w:p>
    <w:p w14:paraId="7CB65D3E">
      <w:pPr>
        <w:snapToGrid w:val="0"/>
        <w:spacing w:line="360" w:lineRule="exact"/>
        <w:ind w:firstLine="649" w:firstLineChars="202"/>
        <w:jc w:val="center"/>
        <w:rPr>
          <w:rFonts w:hint="eastAsia" w:ascii="宋体" w:hAnsi="宋体" w:cs="宋体"/>
          <w:b/>
          <w:bCs/>
          <w:color w:val="auto"/>
          <w:sz w:val="32"/>
          <w:szCs w:val="32"/>
          <w:highlight w:val="none"/>
        </w:rPr>
      </w:pPr>
    </w:p>
    <w:p w14:paraId="7B241200">
      <w:pPr>
        <w:snapToGrid w:val="0"/>
        <w:spacing w:line="360" w:lineRule="exact"/>
        <w:ind w:firstLine="649" w:firstLineChars="202"/>
        <w:jc w:val="center"/>
        <w:rPr>
          <w:rFonts w:hint="eastAsia" w:ascii="宋体" w:hAnsi="宋体" w:cs="宋体"/>
          <w:b/>
          <w:bCs/>
          <w:color w:val="auto"/>
          <w:sz w:val="32"/>
          <w:szCs w:val="32"/>
          <w:highlight w:val="none"/>
        </w:rPr>
      </w:pPr>
    </w:p>
    <w:p w14:paraId="31D37B38">
      <w:pPr>
        <w:snapToGrid w:val="0"/>
        <w:spacing w:line="360" w:lineRule="exact"/>
        <w:ind w:firstLine="649" w:firstLineChars="202"/>
        <w:jc w:val="center"/>
        <w:rPr>
          <w:rFonts w:hint="eastAsia" w:ascii="宋体" w:hAnsi="宋体" w:cs="宋体"/>
          <w:b/>
          <w:bCs/>
          <w:color w:val="auto"/>
          <w:sz w:val="32"/>
          <w:szCs w:val="32"/>
          <w:highlight w:val="none"/>
        </w:rPr>
      </w:pPr>
    </w:p>
    <w:p w14:paraId="192AD881">
      <w:pPr>
        <w:snapToGrid w:val="0"/>
        <w:spacing w:line="360" w:lineRule="exact"/>
        <w:ind w:firstLine="649" w:firstLineChars="202"/>
        <w:jc w:val="center"/>
        <w:rPr>
          <w:rFonts w:hint="eastAsia" w:ascii="宋体" w:hAnsi="宋体" w:cs="宋体"/>
          <w:b/>
          <w:bCs/>
          <w:color w:val="auto"/>
          <w:sz w:val="32"/>
          <w:szCs w:val="32"/>
          <w:highlight w:val="none"/>
        </w:rPr>
      </w:pPr>
    </w:p>
    <w:p w14:paraId="1BC09971">
      <w:pPr>
        <w:snapToGrid w:val="0"/>
        <w:spacing w:line="360" w:lineRule="exact"/>
        <w:ind w:firstLine="649" w:firstLineChars="202"/>
        <w:jc w:val="center"/>
        <w:rPr>
          <w:rFonts w:hint="eastAsia" w:ascii="宋体" w:hAnsi="宋体" w:cs="宋体"/>
          <w:b/>
          <w:bCs/>
          <w:color w:val="auto"/>
          <w:sz w:val="32"/>
          <w:szCs w:val="32"/>
          <w:highlight w:val="none"/>
        </w:rPr>
      </w:pPr>
    </w:p>
    <w:p w14:paraId="46CB4FF4">
      <w:pPr>
        <w:snapToGrid w:val="0"/>
        <w:spacing w:line="360" w:lineRule="exact"/>
        <w:ind w:firstLine="649" w:firstLineChars="202"/>
        <w:jc w:val="center"/>
        <w:rPr>
          <w:rFonts w:hint="eastAsia" w:ascii="宋体" w:hAnsi="宋体" w:cs="宋体"/>
          <w:b/>
          <w:bCs/>
          <w:color w:val="auto"/>
          <w:sz w:val="32"/>
          <w:szCs w:val="32"/>
          <w:highlight w:val="none"/>
        </w:rPr>
      </w:pPr>
    </w:p>
    <w:p w14:paraId="00C71D8F">
      <w:pPr>
        <w:snapToGrid w:val="0"/>
        <w:spacing w:line="360" w:lineRule="exact"/>
        <w:ind w:firstLine="649" w:firstLineChars="202"/>
        <w:jc w:val="center"/>
        <w:rPr>
          <w:rFonts w:hint="eastAsia" w:ascii="宋体" w:hAnsi="宋体" w:cs="宋体"/>
          <w:b/>
          <w:bCs/>
          <w:color w:val="auto"/>
          <w:sz w:val="32"/>
          <w:szCs w:val="32"/>
          <w:highlight w:val="none"/>
        </w:rPr>
      </w:pPr>
    </w:p>
    <w:p w14:paraId="71C5A939">
      <w:pPr>
        <w:snapToGrid w:val="0"/>
        <w:spacing w:line="360" w:lineRule="exact"/>
        <w:ind w:firstLine="649" w:firstLineChars="202"/>
        <w:jc w:val="center"/>
        <w:rPr>
          <w:rFonts w:hint="eastAsia" w:ascii="宋体" w:hAnsi="宋体" w:cs="宋体"/>
          <w:b/>
          <w:bCs/>
          <w:color w:val="auto"/>
          <w:sz w:val="32"/>
          <w:szCs w:val="32"/>
          <w:highlight w:val="none"/>
        </w:rPr>
      </w:pPr>
    </w:p>
    <w:p w14:paraId="46F9EB57">
      <w:pPr>
        <w:snapToGrid w:val="0"/>
        <w:spacing w:line="360" w:lineRule="exact"/>
        <w:ind w:firstLine="649" w:firstLineChars="202"/>
        <w:jc w:val="center"/>
        <w:rPr>
          <w:rFonts w:hint="eastAsia" w:ascii="宋体" w:hAnsi="宋体" w:cs="宋体"/>
          <w:b/>
          <w:bCs/>
          <w:color w:val="auto"/>
          <w:sz w:val="32"/>
          <w:szCs w:val="32"/>
          <w:highlight w:val="none"/>
        </w:rPr>
      </w:pPr>
    </w:p>
    <w:p w14:paraId="7CC642BE">
      <w:pPr>
        <w:snapToGrid w:val="0"/>
        <w:spacing w:line="360" w:lineRule="exact"/>
        <w:ind w:firstLine="649" w:firstLineChars="202"/>
        <w:jc w:val="center"/>
        <w:rPr>
          <w:color w:val="auto"/>
          <w:highlight w:val="none"/>
        </w:rPr>
      </w:pP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5CFB6091">
      <w:pPr>
        <w:pStyle w:val="6"/>
        <w:keepNext w:val="0"/>
        <w:keepLines w:val="0"/>
        <w:spacing w:line="360" w:lineRule="exact"/>
        <w:jc w:val="center"/>
        <w:rPr>
          <w:color w:val="auto"/>
          <w:highlight w:val="none"/>
        </w:rPr>
      </w:pPr>
      <w:r>
        <w:rPr>
          <w:rFonts w:hint="eastAsia"/>
          <w:color w:val="auto"/>
          <w:highlight w:val="none"/>
        </w:rPr>
        <w:t>综合评分法</w:t>
      </w:r>
    </w:p>
    <w:bookmarkEnd w:id="138"/>
    <w:tbl>
      <w:tblPr>
        <w:tblStyle w:val="36"/>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17"/>
        <w:gridCol w:w="1772"/>
        <w:gridCol w:w="5655"/>
      </w:tblGrid>
      <w:tr w14:paraId="3D60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2" w:type="dxa"/>
            <w:gridSpan w:val="2"/>
            <w:tcBorders>
              <w:top w:val="single" w:color="auto" w:sz="4" w:space="0"/>
              <w:left w:val="single" w:color="auto" w:sz="4" w:space="0"/>
              <w:bottom w:val="single" w:color="auto" w:sz="4" w:space="0"/>
              <w:right w:val="single" w:color="auto" w:sz="4" w:space="0"/>
            </w:tcBorders>
            <w:vAlign w:val="center"/>
          </w:tcPr>
          <w:p w14:paraId="32B48A18">
            <w:pPr>
              <w:adjustRightInd w:val="0"/>
              <w:spacing w:line="360" w:lineRule="exact"/>
              <w:jc w:val="center"/>
              <w:textAlignment w:val="baseline"/>
              <w:rPr>
                <w:rFonts w:hint="eastAsia" w:ascii="宋体" w:hAnsi="宋体"/>
                <w:color w:val="auto"/>
                <w:szCs w:val="21"/>
                <w:highlight w:val="none"/>
              </w:rPr>
            </w:pPr>
            <w:r>
              <w:rPr>
                <w:rFonts w:hint="eastAsia" w:ascii="宋体" w:hAnsi="宋体"/>
                <w:b/>
                <w:color w:val="auto"/>
                <w:szCs w:val="21"/>
                <w:highlight w:val="none"/>
              </w:rPr>
              <w:t>序号</w:t>
            </w:r>
          </w:p>
        </w:tc>
        <w:tc>
          <w:tcPr>
            <w:tcW w:w="1772" w:type="dxa"/>
            <w:tcBorders>
              <w:top w:val="single" w:color="auto" w:sz="4" w:space="0"/>
              <w:left w:val="single" w:color="auto" w:sz="4" w:space="0"/>
              <w:bottom w:val="single" w:color="auto" w:sz="4" w:space="0"/>
              <w:right w:val="single" w:color="auto" w:sz="4" w:space="0"/>
            </w:tcBorders>
            <w:vAlign w:val="center"/>
          </w:tcPr>
          <w:p w14:paraId="53229861">
            <w:pPr>
              <w:adjustRightInd w:val="0"/>
              <w:spacing w:line="360" w:lineRule="exact"/>
              <w:jc w:val="center"/>
              <w:textAlignment w:val="baseline"/>
              <w:rPr>
                <w:rFonts w:hint="eastAsia" w:ascii="宋体" w:hAnsi="宋体"/>
                <w:color w:val="auto"/>
                <w:szCs w:val="21"/>
                <w:highlight w:val="none"/>
              </w:rPr>
            </w:pPr>
            <w:r>
              <w:rPr>
                <w:rFonts w:hint="eastAsia" w:ascii="宋体" w:hAnsi="宋体"/>
                <w:b/>
                <w:color w:val="auto"/>
                <w:szCs w:val="21"/>
                <w:highlight w:val="none"/>
              </w:rPr>
              <w:t>评审因素</w:t>
            </w:r>
          </w:p>
        </w:tc>
        <w:tc>
          <w:tcPr>
            <w:tcW w:w="5655" w:type="dxa"/>
            <w:tcBorders>
              <w:top w:val="single" w:color="auto" w:sz="4" w:space="0"/>
              <w:left w:val="single" w:color="auto" w:sz="4" w:space="0"/>
              <w:bottom w:val="single" w:color="auto" w:sz="4" w:space="0"/>
              <w:right w:val="single" w:color="auto" w:sz="4" w:space="0"/>
            </w:tcBorders>
            <w:vAlign w:val="center"/>
          </w:tcPr>
          <w:p w14:paraId="713C9D06">
            <w:pPr>
              <w:adjustRightInd w:val="0"/>
              <w:spacing w:line="360" w:lineRule="exact"/>
              <w:jc w:val="center"/>
              <w:textAlignment w:val="baseline"/>
              <w:rPr>
                <w:rFonts w:hint="eastAsia" w:ascii="宋体" w:hAnsi="宋体"/>
                <w:color w:val="auto"/>
                <w:szCs w:val="21"/>
                <w:highlight w:val="none"/>
              </w:rPr>
            </w:pPr>
            <w:r>
              <w:rPr>
                <w:rFonts w:hint="eastAsia" w:ascii="宋体" w:hAnsi="宋体"/>
                <w:b/>
                <w:color w:val="auto"/>
                <w:szCs w:val="21"/>
                <w:highlight w:val="none"/>
              </w:rPr>
              <w:t>评分标准</w:t>
            </w:r>
          </w:p>
        </w:tc>
      </w:tr>
      <w:tr w14:paraId="7046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47FAD4BC">
            <w:pPr>
              <w:adjustRightInd w:val="0"/>
              <w:spacing w:line="36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1</w:t>
            </w:r>
          </w:p>
        </w:tc>
        <w:tc>
          <w:tcPr>
            <w:tcW w:w="1517" w:type="dxa"/>
            <w:tcBorders>
              <w:top w:val="single" w:color="auto" w:sz="4" w:space="0"/>
              <w:left w:val="single" w:color="auto" w:sz="4" w:space="0"/>
              <w:bottom w:val="single" w:color="auto" w:sz="4" w:space="0"/>
              <w:right w:val="single" w:color="auto" w:sz="4" w:space="0"/>
            </w:tcBorders>
            <w:vAlign w:val="center"/>
          </w:tcPr>
          <w:p w14:paraId="7CC00842">
            <w:pPr>
              <w:adjustRightInd w:val="0"/>
              <w:spacing w:line="36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价格分</w:t>
            </w:r>
          </w:p>
          <w:p w14:paraId="6E09D59E">
            <w:pPr>
              <w:adjustRightInd w:val="0"/>
              <w:spacing w:line="360" w:lineRule="exact"/>
              <w:jc w:val="center"/>
              <w:textAlignment w:val="baseline"/>
              <w:rPr>
                <w:rFonts w:hint="eastAsia" w:ascii="宋体" w:hAnsi="宋体"/>
                <w:color w:val="auto"/>
                <w:szCs w:val="21"/>
                <w:highlight w:val="none"/>
              </w:rPr>
            </w:pPr>
            <w:r>
              <w:rPr>
                <w:rFonts w:hint="eastAsia" w:ascii="宋体" w:hAnsi="宋体"/>
                <w:b/>
                <w:color w:val="auto"/>
                <w:szCs w:val="21"/>
                <w:highlight w:val="none"/>
              </w:rPr>
              <w:t>（满分10分）</w:t>
            </w:r>
          </w:p>
        </w:tc>
        <w:tc>
          <w:tcPr>
            <w:tcW w:w="1772" w:type="dxa"/>
            <w:tcBorders>
              <w:top w:val="single" w:color="auto" w:sz="4" w:space="0"/>
              <w:left w:val="single" w:color="auto" w:sz="4" w:space="0"/>
              <w:bottom w:val="single" w:color="auto" w:sz="4" w:space="0"/>
              <w:right w:val="single" w:color="auto" w:sz="4" w:space="0"/>
            </w:tcBorders>
            <w:vAlign w:val="center"/>
          </w:tcPr>
          <w:p w14:paraId="0A55022B">
            <w:pPr>
              <w:adjustRightInd w:val="0"/>
              <w:spacing w:line="360" w:lineRule="exact"/>
              <w:jc w:val="center"/>
              <w:textAlignment w:val="baseline"/>
              <w:rPr>
                <w:rFonts w:hint="eastAsia" w:ascii="宋体" w:hAnsi="宋体"/>
                <w:color w:val="auto"/>
                <w:szCs w:val="21"/>
                <w:highlight w:val="none"/>
              </w:rPr>
            </w:pPr>
            <w:r>
              <w:rPr>
                <w:rFonts w:hint="eastAsia" w:ascii="宋体" w:hAnsi="宋体" w:cs="宋体"/>
                <w:color w:val="auto"/>
                <w:sz w:val="24"/>
                <w:highlight w:val="none"/>
              </w:rPr>
              <w:t>投标报价</w:t>
            </w:r>
            <w:r>
              <w:rPr>
                <w:rFonts w:hint="eastAsia" w:ascii="宋体" w:hAnsi="宋体"/>
                <w:color w:val="auto"/>
                <w:szCs w:val="21"/>
                <w:highlight w:val="none"/>
              </w:rPr>
              <w:t>（满分10分）</w:t>
            </w:r>
          </w:p>
        </w:tc>
        <w:tc>
          <w:tcPr>
            <w:tcW w:w="5655" w:type="dxa"/>
            <w:tcBorders>
              <w:top w:val="single" w:color="auto" w:sz="4" w:space="0"/>
              <w:left w:val="single" w:color="auto" w:sz="4" w:space="0"/>
              <w:bottom w:val="single" w:color="auto" w:sz="4" w:space="0"/>
              <w:right w:val="single" w:color="auto" w:sz="4" w:space="0"/>
            </w:tcBorders>
            <w:vAlign w:val="center"/>
          </w:tcPr>
          <w:p w14:paraId="7A40D128">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（1）评审价为供应商的投标报价进行政策性扣除后的价格，评审价只是作为评标时使用。最终中标供应商的中标金额等于投标报价。</w:t>
            </w:r>
          </w:p>
          <w:p w14:paraId="23A4EB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（2）政府采购政策性扣除计算方法</w:t>
            </w:r>
          </w:p>
          <w:p w14:paraId="08F73C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政府采购促进中小企业发展管理办法》（财库〔2020〕46号）的规定，供应商在其响应文件中提供《中小企业声明函》，且服务全部由小微企业承接，对供应商的投标报价给予10%的扣除，扣除后的价格为评审价，即评审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评审价=投标报价×（1-4%）。除上述情况外，评审价=投标报价。</w:t>
            </w:r>
          </w:p>
          <w:p w14:paraId="0FE5D9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FD106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0F23E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（5）以进入比较与评价环节的最低的评审价为基准价，基准价得分为10分。</w:t>
            </w:r>
          </w:p>
          <w:p w14:paraId="385684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（6）价格分计算公式：</w:t>
            </w:r>
          </w:p>
          <w:p w14:paraId="6A378DC2">
            <w:pPr>
              <w:spacing w:line="360" w:lineRule="exact"/>
              <w:rPr>
                <w:rFonts w:hint="eastAsia" w:hAnsi="宋体" w:cs="Courier New"/>
                <w:bCs/>
                <w:color w:val="auto"/>
                <w:highlight w:val="none"/>
                <w:u w:val="single"/>
              </w:rPr>
            </w:pPr>
            <w:r>
              <w:rPr>
                <w:rFonts w:hint="eastAsia" w:ascii="宋体" w:hAnsi="宋体" w:cs="宋体"/>
                <w:color w:val="auto"/>
                <w:szCs w:val="21"/>
                <w:highlight w:val="none"/>
              </w:rPr>
              <w:t>报价得分=（基准价/评审价）×10分</w:t>
            </w:r>
          </w:p>
        </w:tc>
      </w:tr>
      <w:tr w14:paraId="35E2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top w:val="single" w:color="auto" w:sz="4" w:space="0"/>
              <w:left w:val="single" w:color="auto" w:sz="4" w:space="0"/>
              <w:right w:val="single" w:color="auto" w:sz="4" w:space="0"/>
            </w:tcBorders>
            <w:vAlign w:val="center"/>
          </w:tcPr>
          <w:p w14:paraId="50628B75">
            <w:pPr>
              <w:adjustRightInd w:val="0"/>
              <w:spacing w:line="36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2</w:t>
            </w:r>
          </w:p>
        </w:tc>
        <w:tc>
          <w:tcPr>
            <w:tcW w:w="1517" w:type="dxa"/>
            <w:vMerge w:val="restart"/>
            <w:tcBorders>
              <w:top w:val="single" w:color="auto" w:sz="4" w:space="0"/>
              <w:left w:val="single" w:color="auto" w:sz="4" w:space="0"/>
              <w:right w:val="single" w:color="auto" w:sz="4" w:space="0"/>
            </w:tcBorders>
            <w:vAlign w:val="center"/>
          </w:tcPr>
          <w:p w14:paraId="6F8CDBF2">
            <w:pPr>
              <w:adjustRightInd w:val="0"/>
              <w:spacing w:line="360" w:lineRule="exact"/>
              <w:ind w:left="-105" w:leftChars="-50" w:right="-105" w:rightChars="-50"/>
              <w:jc w:val="center"/>
              <w:textAlignment w:val="baseline"/>
              <w:rPr>
                <w:rFonts w:hint="eastAsia" w:ascii="宋体" w:hAnsi="宋体"/>
                <w:b/>
                <w:bCs/>
                <w:color w:val="auto"/>
                <w:szCs w:val="21"/>
                <w:highlight w:val="none"/>
              </w:rPr>
            </w:pPr>
            <w:r>
              <w:rPr>
                <w:rFonts w:hint="eastAsia" w:ascii="宋体" w:hAnsi="宋体"/>
                <w:b/>
                <w:bCs/>
                <w:color w:val="auto"/>
                <w:szCs w:val="21"/>
                <w:highlight w:val="none"/>
              </w:rPr>
              <w:t>技术分</w:t>
            </w:r>
          </w:p>
          <w:p w14:paraId="09DEC7F5">
            <w:pPr>
              <w:adjustRightInd w:val="0"/>
              <w:spacing w:line="360" w:lineRule="exact"/>
              <w:ind w:left="-105" w:leftChars="-50" w:right="-105" w:rightChars="-50"/>
              <w:jc w:val="center"/>
              <w:textAlignment w:val="baseline"/>
              <w:rPr>
                <w:rFonts w:hint="eastAsia" w:ascii="宋体" w:hAnsi="宋体"/>
                <w:color w:val="auto"/>
                <w:spacing w:val="-18"/>
                <w:szCs w:val="21"/>
                <w:highlight w:val="none"/>
              </w:rPr>
            </w:pPr>
            <w:r>
              <w:rPr>
                <w:rFonts w:hint="eastAsia" w:ascii="宋体" w:hAnsi="宋体"/>
                <w:b/>
                <w:bCs/>
                <w:color w:val="auto"/>
                <w:szCs w:val="21"/>
                <w:highlight w:val="none"/>
              </w:rPr>
              <w:t>（</w:t>
            </w:r>
            <w:r>
              <w:rPr>
                <w:rFonts w:hint="eastAsia" w:ascii="宋体" w:hAnsi="宋体"/>
                <w:b/>
                <w:color w:val="auto"/>
                <w:szCs w:val="21"/>
                <w:highlight w:val="none"/>
              </w:rPr>
              <w:t>满分60</w:t>
            </w:r>
            <w:r>
              <w:rPr>
                <w:rFonts w:hint="eastAsia" w:ascii="宋体" w:hAnsi="宋体"/>
                <w:b/>
                <w:bCs/>
                <w:color w:val="auto"/>
                <w:szCs w:val="21"/>
                <w:highlight w:val="none"/>
              </w:rPr>
              <w:t>分）</w:t>
            </w:r>
          </w:p>
        </w:tc>
        <w:tc>
          <w:tcPr>
            <w:tcW w:w="1772" w:type="dxa"/>
            <w:tcBorders>
              <w:top w:val="single" w:color="auto" w:sz="4" w:space="0"/>
              <w:left w:val="single" w:color="auto" w:sz="4" w:space="0"/>
              <w:bottom w:val="single" w:color="auto" w:sz="4" w:space="0"/>
              <w:right w:val="single" w:color="auto" w:sz="4" w:space="0"/>
            </w:tcBorders>
            <w:vAlign w:val="center"/>
          </w:tcPr>
          <w:p w14:paraId="42A9AAFD">
            <w:pPr>
              <w:adjustRightInd w:val="0"/>
              <w:snapToGrid w:val="0"/>
              <w:spacing w:line="360" w:lineRule="atLeast"/>
              <w:jc w:val="center"/>
              <w:textAlignment w:val="baseline"/>
              <w:rPr>
                <w:rFonts w:hint="eastAsia" w:ascii="宋体" w:hAnsi="宋体"/>
                <w:color w:val="auto"/>
                <w:szCs w:val="21"/>
                <w:highlight w:val="none"/>
              </w:rPr>
            </w:pPr>
            <w:r>
              <w:rPr>
                <w:rFonts w:hint="eastAsia" w:ascii="宋体" w:hAnsi="宋体"/>
                <w:color w:val="auto"/>
                <w:szCs w:val="21"/>
                <w:highlight w:val="none"/>
              </w:rPr>
              <w:t>（1）运维现状分析(满分6分)</w:t>
            </w:r>
          </w:p>
        </w:tc>
        <w:tc>
          <w:tcPr>
            <w:tcW w:w="5655" w:type="dxa"/>
            <w:tcBorders>
              <w:top w:val="single" w:color="auto" w:sz="4" w:space="0"/>
              <w:left w:val="single" w:color="auto" w:sz="4" w:space="0"/>
              <w:bottom w:val="single" w:color="auto" w:sz="4" w:space="0"/>
              <w:right w:val="single" w:color="auto" w:sz="4" w:space="0"/>
            </w:tcBorders>
            <w:vAlign w:val="center"/>
          </w:tcPr>
          <w:p w14:paraId="02119377">
            <w:pPr>
              <w:widowControl/>
              <w:snapToGrid w:val="0"/>
              <w:spacing w:line="360" w:lineRule="auto"/>
              <w:rPr>
                <w:rFonts w:hint="eastAsia" w:ascii="宋体" w:hAnsi="宋体" w:cs="宋体"/>
                <w:color w:val="auto"/>
                <w:spacing w:val="-3"/>
                <w:szCs w:val="21"/>
                <w:highlight w:val="none"/>
                <w:lang w:val="zh-TW"/>
              </w:rPr>
            </w:pPr>
            <w:r>
              <w:rPr>
                <w:rFonts w:hint="eastAsia" w:ascii="宋体" w:hAnsi="宋体" w:cs="宋体"/>
                <w:color w:val="auto"/>
                <w:spacing w:val="-3"/>
                <w:szCs w:val="21"/>
                <w:highlight w:val="none"/>
                <w:lang w:val="zh-TW"/>
              </w:rPr>
              <w:t>第一档（2分）：对运维现状进行分析，包括网络现状、资源现状等方案。仅覆盖两项指定分析内容，仅满足本档最低内容要求。</w:t>
            </w:r>
          </w:p>
          <w:p w14:paraId="7752F0C1">
            <w:pPr>
              <w:widowControl/>
              <w:snapToGrid w:val="0"/>
              <w:spacing w:line="360" w:lineRule="auto"/>
              <w:rPr>
                <w:rFonts w:hint="eastAsia" w:ascii="宋体" w:hAnsi="宋体" w:cs="宋体"/>
                <w:color w:val="auto"/>
                <w:spacing w:val="-3"/>
                <w:szCs w:val="21"/>
                <w:highlight w:val="none"/>
                <w:lang w:val="zh-TW"/>
              </w:rPr>
            </w:pPr>
            <w:r>
              <w:rPr>
                <w:rFonts w:hint="eastAsia" w:ascii="宋体" w:hAnsi="宋体" w:cs="宋体"/>
                <w:color w:val="auto"/>
                <w:spacing w:val="-3"/>
                <w:szCs w:val="21"/>
                <w:highlight w:val="none"/>
                <w:lang w:val="zh-TW"/>
              </w:rPr>
              <w:t>第二档（4分）：对运维现状进行分析，包括设备状况、运行环境、网络现状、资源现状等方案。完整覆盖本档四项指定分析内容，满足本档全部内容要求。</w:t>
            </w:r>
          </w:p>
          <w:p w14:paraId="43EB029E">
            <w:pPr>
              <w:widowControl/>
              <w:snapToGrid w:val="0"/>
              <w:spacing w:line="360" w:lineRule="auto"/>
              <w:rPr>
                <w:rFonts w:hint="eastAsia" w:ascii="宋体" w:hAnsi="宋体" w:cs="宋体"/>
                <w:color w:val="auto"/>
                <w:spacing w:val="-3"/>
                <w:szCs w:val="21"/>
                <w:highlight w:val="none"/>
                <w:lang w:val="zh-TW"/>
              </w:rPr>
            </w:pPr>
            <w:r>
              <w:rPr>
                <w:rFonts w:hint="eastAsia" w:ascii="宋体" w:hAnsi="宋体" w:cs="宋体"/>
                <w:color w:val="auto"/>
                <w:spacing w:val="-3"/>
                <w:szCs w:val="21"/>
                <w:highlight w:val="none"/>
                <w:lang w:val="zh-TW"/>
              </w:rPr>
              <w:t>第三档（6分）：对运维现状进行分析，包括运维对象的部署架构、运行环境、系统性能、历史故障、网络现状、资源现状等。完整覆盖本档六项指定分析内容，列明运维现存痛点与瓶颈，贴合医保业务实际场景，满足本档全部内容要求。</w:t>
            </w:r>
          </w:p>
          <w:p w14:paraId="29D04489">
            <w:pPr>
              <w:widowControl/>
              <w:snapToGrid w:val="0"/>
              <w:spacing w:line="360" w:lineRule="auto"/>
              <w:rPr>
                <w:rFonts w:hint="eastAsia" w:ascii="宋体" w:hAnsi="宋体" w:cs="宋体"/>
                <w:color w:val="auto"/>
                <w:kern w:val="0"/>
                <w:szCs w:val="21"/>
                <w:highlight w:val="none"/>
              </w:rPr>
            </w:pPr>
            <w:r>
              <w:rPr>
                <w:rFonts w:hint="eastAsia" w:ascii="宋体" w:hAnsi="宋体" w:cs="宋体"/>
                <w:color w:val="auto"/>
                <w:spacing w:val="-3"/>
                <w:szCs w:val="21"/>
                <w:highlight w:val="none"/>
                <w:lang w:val="zh-TW"/>
              </w:rPr>
              <w:t>注：投标人未提供或提供的内容不符合要求的，不得分；不满足最低档次要求的不得分。</w:t>
            </w:r>
          </w:p>
        </w:tc>
      </w:tr>
      <w:tr w14:paraId="39B0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3C1F01F5">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0C9AF2B7">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2F5E20BC">
            <w:pPr>
              <w:tabs>
                <w:tab w:val="center" w:pos="4153"/>
                <w:tab w:val="right" w:pos="8306"/>
              </w:tabs>
              <w:snapToGrid w:val="0"/>
              <w:jc w:val="left"/>
              <w:rPr>
                <w:color w:val="auto"/>
                <w:sz w:val="18"/>
                <w:szCs w:val="18"/>
                <w:highlight w:val="none"/>
              </w:rPr>
            </w:pPr>
            <w:r>
              <w:rPr>
                <w:rFonts w:hint="eastAsia" w:ascii="宋体" w:hAnsi="宋体" w:cs="Courier New"/>
                <w:color w:val="auto"/>
                <w:szCs w:val="21"/>
                <w:highlight w:val="none"/>
              </w:rPr>
              <w:t>（2）集成服务方案（满分6分）</w:t>
            </w:r>
          </w:p>
        </w:tc>
        <w:tc>
          <w:tcPr>
            <w:tcW w:w="5655" w:type="dxa"/>
            <w:tcBorders>
              <w:top w:val="single" w:color="auto" w:sz="4" w:space="0"/>
              <w:left w:val="single" w:color="auto" w:sz="4" w:space="0"/>
              <w:bottom w:val="single" w:color="auto" w:sz="4" w:space="0"/>
              <w:right w:val="single" w:color="auto" w:sz="4" w:space="0"/>
            </w:tcBorders>
            <w:vAlign w:val="center"/>
          </w:tcPr>
          <w:p w14:paraId="491AA65C">
            <w:pPr>
              <w:widowControl/>
              <w:snapToGrid w:val="0"/>
              <w:spacing w:line="360" w:lineRule="auto"/>
              <w:ind w:firstLine="420" w:firstLineChars="200"/>
              <w:rPr>
                <w:rFonts w:hint="eastAsia" w:ascii="宋体" w:hAnsi="宋体" w:cs="Courier New"/>
                <w:color w:val="auto"/>
                <w:szCs w:val="21"/>
                <w:highlight w:val="none"/>
                <w:lang w:val="zh-CN"/>
              </w:rPr>
            </w:pPr>
            <w:r>
              <w:rPr>
                <w:rFonts w:hint="eastAsia" w:ascii="宋体" w:hAnsi="宋体" w:cs="Courier New"/>
                <w:color w:val="auto"/>
                <w:szCs w:val="21"/>
                <w:highlight w:val="none"/>
              </w:rPr>
              <w:t>第一档（2分）：</w:t>
            </w:r>
            <w:r>
              <w:rPr>
                <w:rFonts w:hint="eastAsia" w:ascii="宋体" w:hAnsi="宋体" w:cs="Courier New"/>
                <w:color w:val="auto"/>
                <w:szCs w:val="21"/>
                <w:highlight w:val="none"/>
                <w:lang w:val="zh-CN"/>
              </w:rPr>
              <w:t>集成</w:t>
            </w:r>
            <w:r>
              <w:rPr>
                <w:rFonts w:hint="eastAsia" w:ascii="宋体" w:hAnsi="宋体" w:cs="Courier New"/>
                <w:color w:val="auto"/>
                <w:szCs w:val="21"/>
                <w:highlight w:val="none"/>
              </w:rPr>
              <w:t>服务</w:t>
            </w:r>
            <w:r>
              <w:rPr>
                <w:rFonts w:hint="eastAsia" w:ascii="宋体" w:hAnsi="宋体" w:cs="Courier New"/>
                <w:color w:val="auto"/>
                <w:szCs w:val="21"/>
                <w:highlight w:val="none"/>
                <w:lang w:val="zh-CN"/>
              </w:rPr>
              <w:t>方案包含对进度控制、质量控制、变更控制等的方案。仅覆盖本档规定三项管控内容，达到本档内容标准。</w:t>
            </w:r>
          </w:p>
          <w:p w14:paraId="1E6CFE00">
            <w:pPr>
              <w:widowControl/>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第二档（4分）：集成方案包含对进度控制、质量控制、变更控制、信息管理、安全管理等的方案。完整覆盖本档规定五项管控内容，达到本档内容标准</w:t>
            </w:r>
            <w:r>
              <w:rPr>
                <w:rFonts w:hint="eastAsia" w:ascii="宋体" w:hAnsi="宋体" w:cs="Courier New"/>
                <w:color w:val="auto"/>
                <w:szCs w:val="21"/>
                <w:highlight w:val="none"/>
                <w:lang w:val="zh-CN"/>
              </w:rPr>
              <w:t>。</w:t>
            </w:r>
          </w:p>
          <w:p w14:paraId="56591306">
            <w:pPr>
              <w:widowControl/>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 xml:space="preserve">第三档（6分）：集成方案包含对进度控制、质量控制、变更控制、信息管理、安全管理、沟通协调等的方案。完整覆盖本档规定六项管控内容，列明清晰工作目标、对应管控实施措施及可行管控手段，达到本档内容标准。 </w:t>
            </w:r>
          </w:p>
          <w:p w14:paraId="323BC2E5">
            <w:pPr>
              <w:adjustRightInd w:val="0"/>
              <w:snapToGrid w:val="0"/>
              <w:spacing w:line="360" w:lineRule="atLeast"/>
              <w:textAlignment w:val="baseline"/>
              <w:rPr>
                <w:rFonts w:hint="eastAsia" w:ascii="宋体" w:hAnsi="宋体" w:cs="宋体"/>
                <w:color w:val="auto"/>
                <w:kern w:val="0"/>
                <w:szCs w:val="21"/>
                <w:highlight w:val="none"/>
              </w:rPr>
            </w:pPr>
            <w:r>
              <w:rPr>
                <w:rFonts w:hint="eastAsia" w:ascii="宋体" w:hAnsi="宋体" w:cs="宋体"/>
                <w:color w:val="auto"/>
                <w:spacing w:val="-3"/>
                <w:szCs w:val="21"/>
                <w:highlight w:val="none"/>
                <w:lang w:val="zh-TW"/>
              </w:rPr>
              <w:t>注：投标人未提供或提供的内容不符合要求的，不得分；不满足最低档次要求的不得分。</w:t>
            </w:r>
          </w:p>
        </w:tc>
      </w:tr>
      <w:tr w14:paraId="49C5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45064020">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1BD6F221">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2013A20C">
            <w:pPr>
              <w:widowControl/>
              <w:jc w:val="center"/>
              <w:rPr>
                <w:rFonts w:hint="eastAsia" w:ascii="宋体" w:hAnsi="宋体"/>
                <w:color w:val="auto"/>
                <w:szCs w:val="21"/>
                <w:highlight w:val="none"/>
              </w:rPr>
            </w:pPr>
            <w:r>
              <w:rPr>
                <w:rFonts w:hint="eastAsia" w:ascii="宋体" w:hAnsi="宋体"/>
                <w:color w:val="auto"/>
                <w:szCs w:val="21"/>
                <w:highlight w:val="none"/>
              </w:rPr>
              <w:t>（3）运维管理体系(满分3分)</w:t>
            </w:r>
          </w:p>
        </w:tc>
        <w:tc>
          <w:tcPr>
            <w:tcW w:w="5655" w:type="dxa"/>
            <w:tcBorders>
              <w:top w:val="single" w:color="auto" w:sz="4" w:space="0"/>
              <w:left w:val="single" w:color="auto" w:sz="4" w:space="0"/>
              <w:bottom w:val="single" w:color="auto" w:sz="4" w:space="0"/>
              <w:right w:val="single" w:color="auto" w:sz="4" w:space="0"/>
            </w:tcBorders>
            <w:vAlign w:val="center"/>
          </w:tcPr>
          <w:p w14:paraId="2C3C79D5">
            <w:pPr>
              <w:spacing w:line="400" w:lineRule="exact"/>
              <w:ind w:firstLine="408" w:firstLineChars="200"/>
              <w:rPr>
                <w:rFonts w:hint="eastAsia" w:ascii="宋体" w:hAnsi="宋体" w:cs="宋体"/>
                <w:color w:val="auto"/>
                <w:spacing w:val="-3"/>
                <w:szCs w:val="21"/>
                <w:highlight w:val="none"/>
                <w:lang w:val="zh-TW"/>
              </w:rPr>
            </w:pPr>
            <w:r>
              <w:rPr>
                <w:rFonts w:hint="eastAsia" w:ascii="宋体" w:hAnsi="宋体" w:cs="宋体"/>
                <w:color w:val="auto"/>
                <w:spacing w:val="-3"/>
                <w:szCs w:val="21"/>
                <w:highlight w:val="none"/>
                <w:lang w:val="zh-TW"/>
              </w:rPr>
              <w:t>第一档（1分）：提供运维管理体系方案，含项目管理、实施计划等。仅覆盖本档两项指定内容，未满足更高档位内容要求。</w:t>
            </w:r>
          </w:p>
          <w:p w14:paraId="271AA132">
            <w:pPr>
              <w:spacing w:line="400" w:lineRule="exact"/>
              <w:ind w:firstLine="408" w:firstLineChars="200"/>
              <w:rPr>
                <w:rFonts w:hint="eastAsia" w:ascii="宋体" w:hAnsi="宋体" w:cs="宋体"/>
                <w:color w:val="auto"/>
                <w:spacing w:val="-3"/>
                <w:szCs w:val="21"/>
                <w:highlight w:val="none"/>
                <w:lang w:val="zh-TW"/>
              </w:rPr>
            </w:pPr>
            <w:r>
              <w:rPr>
                <w:rFonts w:hint="eastAsia" w:ascii="宋体" w:hAnsi="宋体" w:cs="宋体"/>
                <w:color w:val="auto"/>
                <w:spacing w:val="-3"/>
                <w:szCs w:val="21"/>
                <w:highlight w:val="none"/>
                <w:lang w:val="zh-TW"/>
              </w:rPr>
              <w:t>第二档（2分）：根据项目特点提供运维管理体系方案，主要包含项目管理、实施计划、质量保障、安全保障、服务流程等。</w:t>
            </w:r>
            <w:r>
              <w:rPr>
                <w:rFonts w:hint="eastAsia"/>
                <w:color w:val="auto"/>
                <w:highlight w:val="none"/>
              </w:rPr>
              <w:t>完整覆盖本档指定五项内容，满足本档全部内容要求。</w:t>
            </w:r>
          </w:p>
          <w:p w14:paraId="43A6B336">
            <w:pPr>
              <w:spacing w:line="400" w:lineRule="exact"/>
              <w:ind w:firstLine="408" w:firstLineChars="200"/>
              <w:rPr>
                <w:rFonts w:hint="eastAsia" w:ascii="宋体" w:hAnsi="宋体" w:cs="宋体"/>
                <w:color w:val="auto"/>
                <w:spacing w:val="-3"/>
                <w:szCs w:val="21"/>
                <w:highlight w:val="none"/>
                <w:lang w:val="zh-TW"/>
              </w:rPr>
            </w:pPr>
            <w:r>
              <w:rPr>
                <w:rFonts w:hint="eastAsia" w:ascii="宋体" w:hAnsi="宋体" w:cs="宋体"/>
                <w:color w:val="auto"/>
                <w:spacing w:val="-3"/>
                <w:szCs w:val="21"/>
                <w:highlight w:val="none"/>
                <w:lang w:val="zh-TW"/>
              </w:rPr>
              <w:t>第三档（3分）：根据本项目特点提供运维管理体系方案，包括但不限于项目管理、实施计划、质量保障、安全保障、服务渠道、服务方式、岗位设置、服务流程、响应级别、人员保障等。完整覆盖本档全部指定内容，满足本档全部内容要求。</w:t>
            </w:r>
          </w:p>
          <w:p w14:paraId="6D35F35C">
            <w:pPr>
              <w:spacing w:line="400" w:lineRule="exact"/>
              <w:ind w:firstLine="408" w:firstLineChars="200"/>
              <w:rPr>
                <w:color w:val="auto"/>
                <w:highlight w:val="none"/>
              </w:rPr>
            </w:pPr>
            <w:r>
              <w:rPr>
                <w:rFonts w:hint="eastAsia" w:ascii="宋体" w:hAnsi="宋体" w:cs="宋体"/>
                <w:color w:val="auto"/>
                <w:spacing w:val="-3"/>
                <w:szCs w:val="21"/>
                <w:highlight w:val="none"/>
                <w:lang w:val="zh-TW"/>
              </w:rPr>
              <w:t>注：投标人未提供或提供的内容不符合要求的，不得分；不满足最低档次要求的不得分。</w:t>
            </w:r>
          </w:p>
        </w:tc>
      </w:tr>
      <w:tr w14:paraId="1CC8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8" w:hRule="atLeast"/>
          <w:jc w:val="center"/>
        </w:trPr>
        <w:tc>
          <w:tcPr>
            <w:tcW w:w="525" w:type="dxa"/>
            <w:vMerge w:val="continue"/>
            <w:tcBorders>
              <w:left w:val="single" w:color="auto" w:sz="4" w:space="0"/>
              <w:right w:val="single" w:color="auto" w:sz="4" w:space="0"/>
            </w:tcBorders>
            <w:vAlign w:val="center"/>
          </w:tcPr>
          <w:p w14:paraId="4B39E152">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0685EFD8">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5B4ED7E8">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（4）运维服务方案（8分）</w:t>
            </w:r>
          </w:p>
        </w:tc>
        <w:tc>
          <w:tcPr>
            <w:tcW w:w="5655" w:type="dxa"/>
            <w:tcBorders>
              <w:top w:val="single" w:color="auto" w:sz="4" w:space="0"/>
              <w:left w:val="single" w:color="auto" w:sz="4" w:space="0"/>
              <w:right w:val="single" w:color="auto" w:sz="4" w:space="0"/>
            </w:tcBorders>
            <w:vAlign w:val="center"/>
          </w:tcPr>
          <w:p w14:paraId="7ABDC016">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第一档（2分）：针对本期运维要求，提供详细的运维服务方案，方案覆盖日常巡检、监控值守、故障处理等。仅覆盖本档指定三项内容，满足本档全部内容要求。</w:t>
            </w:r>
          </w:p>
          <w:p w14:paraId="5C7EFFE8">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第二档（5分）：针对本期运维要求，提供详细的运维服务方案，方案覆盖日常巡检、监控值守、故障处理、应急响应、变更管理、安全运维等。完整覆盖本档指定六项内容，满足本档全部内容要求。</w:t>
            </w:r>
          </w:p>
          <w:p w14:paraId="0F2C4120">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第三档（8分）：针对本期运维要求，提供详细的运维服务方案，方案覆盖云平台运维、日常巡检、监控值守、故障处理、应急响应、变更管理、安全运维、运维流程管理等内容。完整覆盖本档全部指定内容，配套标准化运维流程，具备落地执行依据，满足本档全部内容要求。</w:t>
            </w:r>
          </w:p>
          <w:p w14:paraId="2FCB13EF">
            <w:pPr>
              <w:spacing w:line="360" w:lineRule="auto"/>
              <w:ind w:firstLine="408" w:firstLineChars="200"/>
              <w:jc w:val="left"/>
              <w:rPr>
                <w:rFonts w:hint="eastAsia" w:ascii="宋体" w:hAnsi="宋体" w:cs="Courier New"/>
                <w:color w:val="auto"/>
                <w:szCs w:val="21"/>
                <w:highlight w:val="none"/>
              </w:rPr>
            </w:pPr>
            <w:r>
              <w:rPr>
                <w:rFonts w:hint="eastAsia" w:ascii="宋体" w:hAnsi="宋体" w:cs="宋体"/>
                <w:color w:val="auto"/>
                <w:spacing w:val="-3"/>
                <w:szCs w:val="21"/>
                <w:highlight w:val="none"/>
              </w:rPr>
              <w:t>注：</w:t>
            </w:r>
            <w:r>
              <w:rPr>
                <w:rFonts w:hint="eastAsia" w:ascii="宋体" w:hAnsi="宋体" w:cs="宋体"/>
                <w:color w:val="auto"/>
                <w:spacing w:val="-3"/>
                <w:szCs w:val="21"/>
                <w:highlight w:val="none"/>
                <w:lang w:val="zh-TW"/>
              </w:rPr>
              <w:t>未提供或提供的内容不符合要求的，不得分；不满足最低档次要求的不得分。</w:t>
            </w:r>
          </w:p>
        </w:tc>
      </w:tr>
      <w:tr w14:paraId="67FE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7" w:hRule="atLeast"/>
          <w:jc w:val="center"/>
        </w:trPr>
        <w:tc>
          <w:tcPr>
            <w:tcW w:w="525" w:type="dxa"/>
            <w:vMerge w:val="continue"/>
            <w:tcBorders>
              <w:left w:val="single" w:color="auto" w:sz="4" w:space="0"/>
              <w:right w:val="single" w:color="auto" w:sz="4" w:space="0"/>
            </w:tcBorders>
            <w:vAlign w:val="center"/>
          </w:tcPr>
          <w:p w14:paraId="5577B934">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6D08F201">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0B3902B5">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（5）应急处置方案(满分3分)</w:t>
            </w:r>
          </w:p>
          <w:p w14:paraId="2529946D">
            <w:pPr>
              <w:spacing w:line="360" w:lineRule="auto"/>
              <w:rPr>
                <w:rFonts w:hint="eastAsia" w:ascii="宋体" w:hAnsi="宋体" w:cs="Courier New"/>
                <w:bCs/>
                <w:color w:val="auto"/>
                <w:szCs w:val="21"/>
                <w:highlight w:val="none"/>
              </w:rPr>
            </w:pPr>
          </w:p>
        </w:tc>
        <w:tc>
          <w:tcPr>
            <w:tcW w:w="5655" w:type="dxa"/>
            <w:tcBorders>
              <w:top w:val="single" w:color="auto" w:sz="4" w:space="0"/>
              <w:left w:val="single" w:color="auto" w:sz="4" w:space="0"/>
              <w:right w:val="single" w:color="auto" w:sz="4" w:space="0"/>
            </w:tcBorders>
            <w:vAlign w:val="center"/>
          </w:tcPr>
          <w:p w14:paraId="472FD5B1">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第一档（1分）：根据项目特点，提供应急处置方案，含应急演练等。仅覆盖本档指定一项内容，满足本档全部内容要求</w:t>
            </w:r>
            <w:r>
              <w:rPr>
                <w:rFonts w:hint="eastAsia" w:ascii="宋体" w:hAnsi="宋体" w:cs="宋体"/>
                <w:color w:val="auto"/>
                <w:spacing w:val="-3"/>
                <w:szCs w:val="21"/>
                <w:highlight w:val="none"/>
              </w:rPr>
              <w:t>。</w:t>
            </w:r>
          </w:p>
          <w:p w14:paraId="1125B4B4">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第二档（2分）：根据项目特点，提供应急处置方案，含应急演练、应急预案、应急响应等。</w:t>
            </w:r>
            <w:r>
              <w:rPr>
                <w:rFonts w:ascii="宋体" w:hAnsi="宋体" w:cs="宋体"/>
                <w:color w:val="auto"/>
                <w:spacing w:val="-3"/>
                <w:szCs w:val="21"/>
                <w:highlight w:val="none"/>
                <w:lang w:bidi="ar"/>
              </w:rPr>
              <w:t>完整覆盖本档指定三项内容，满足本档全部内容要求。</w:t>
            </w:r>
          </w:p>
          <w:p w14:paraId="6E922937">
            <w:pPr>
              <w:spacing w:line="360" w:lineRule="auto"/>
              <w:ind w:firstLine="408" w:firstLineChars="200"/>
              <w:jc w:val="left"/>
              <w:rPr>
                <w:color w:val="auto"/>
                <w:highlight w:val="none"/>
              </w:rPr>
            </w:pPr>
            <w:r>
              <w:rPr>
                <w:rFonts w:ascii="宋体" w:hAnsi="宋体" w:cs="宋体"/>
                <w:color w:val="auto"/>
                <w:spacing w:val="-3"/>
                <w:szCs w:val="21"/>
                <w:highlight w:val="none"/>
              </w:rPr>
              <w:t>第三档（3分）：根据项目特点，提供应急处置方案，包括但不限于应急演练、应急预案、应急响应团队、应急处理流程、应急资源调度等。</w:t>
            </w:r>
            <w:r>
              <w:rPr>
                <w:rFonts w:ascii="宋体" w:hAnsi="宋体" w:cs="宋体"/>
                <w:color w:val="auto"/>
                <w:spacing w:val="-3"/>
                <w:szCs w:val="21"/>
                <w:highlight w:val="none"/>
                <w:lang w:bidi="ar"/>
              </w:rPr>
              <w:t>完整覆盖本档全部规定内容，满足本档全部内容要求</w:t>
            </w:r>
            <w:r>
              <w:rPr>
                <w:rFonts w:hint="eastAsia" w:ascii="宋体" w:hAnsi="宋体" w:cs="宋体"/>
                <w:color w:val="auto"/>
                <w:spacing w:val="-3"/>
                <w:szCs w:val="21"/>
                <w:highlight w:val="none"/>
              </w:rPr>
              <w:t>。</w:t>
            </w:r>
          </w:p>
          <w:p w14:paraId="78441C49">
            <w:pPr>
              <w:spacing w:line="360" w:lineRule="auto"/>
              <w:ind w:firstLine="408" w:firstLineChars="200"/>
              <w:jc w:val="left"/>
              <w:rPr>
                <w:color w:val="auto"/>
                <w:highlight w:val="none"/>
              </w:rPr>
            </w:pPr>
            <w:r>
              <w:rPr>
                <w:rFonts w:hint="eastAsia" w:ascii="宋体" w:hAnsi="宋体" w:cs="宋体"/>
                <w:color w:val="auto"/>
                <w:spacing w:val="-3"/>
                <w:szCs w:val="21"/>
                <w:highlight w:val="none"/>
              </w:rPr>
              <w:t>注：</w:t>
            </w:r>
            <w:r>
              <w:rPr>
                <w:rFonts w:hint="eastAsia" w:ascii="宋体" w:hAnsi="宋体" w:cs="宋体"/>
                <w:color w:val="auto"/>
                <w:spacing w:val="-3"/>
                <w:szCs w:val="21"/>
                <w:highlight w:val="none"/>
                <w:lang w:val="zh-TW"/>
              </w:rPr>
              <w:t>未提供或提供的内容不符合要求的，不得分；不满足最低档次要求的不得分。</w:t>
            </w:r>
          </w:p>
        </w:tc>
      </w:tr>
      <w:tr w14:paraId="00A8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1" w:hRule="atLeast"/>
          <w:jc w:val="center"/>
        </w:trPr>
        <w:tc>
          <w:tcPr>
            <w:tcW w:w="525" w:type="dxa"/>
            <w:vMerge w:val="continue"/>
            <w:tcBorders>
              <w:left w:val="single" w:color="auto" w:sz="4" w:space="0"/>
              <w:right w:val="single" w:color="auto" w:sz="4" w:space="0"/>
            </w:tcBorders>
            <w:vAlign w:val="center"/>
          </w:tcPr>
          <w:p w14:paraId="1B13B1C9">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5D981AA0">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2F424537">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（6）数字证书运维服务方案（满分8分）</w:t>
            </w:r>
          </w:p>
        </w:tc>
        <w:tc>
          <w:tcPr>
            <w:tcW w:w="5655" w:type="dxa"/>
            <w:tcBorders>
              <w:top w:val="single" w:color="auto" w:sz="4" w:space="0"/>
              <w:left w:val="single" w:color="auto" w:sz="4" w:space="0"/>
              <w:right w:val="single" w:color="auto" w:sz="4" w:space="0"/>
            </w:tcBorders>
            <w:vAlign w:val="center"/>
          </w:tcPr>
          <w:p w14:paraId="1C6627B3">
            <w:pPr>
              <w:spacing w:line="360" w:lineRule="auto"/>
              <w:ind w:firstLine="408" w:firstLineChars="200"/>
              <w:rPr>
                <w:rFonts w:hint="eastAsia" w:ascii="宋体" w:hAnsi="宋体" w:cs="宋体"/>
                <w:color w:val="auto"/>
                <w:spacing w:val="-3"/>
                <w:szCs w:val="21"/>
                <w:highlight w:val="none"/>
              </w:rPr>
            </w:pPr>
            <w:r>
              <w:rPr>
                <w:rFonts w:ascii="宋体" w:hAnsi="宋体" w:cs="宋体"/>
                <w:color w:val="auto"/>
                <w:spacing w:val="-3"/>
                <w:szCs w:val="21"/>
                <w:highlight w:val="none"/>
              </w:rPr>
              <w:t>一档（2 分）：针对本项目密码设备编制售后服务方案，包含故障处理流程、维护保障流程、服务响应、服务效率、服务质量承诺基础内容；仅覆盖本档规定基础内容，满足本档全部内容要求。</w:t>
            </w:r>
          </w:p>
          <w:p w14:paraId="160DB3E7">
            <w:pPr>
              <w:spacing w:line="360" w:lineRule="auto"/>
              <w:ind w:firstLine="408" w:firstLineChars="200"/>
              <w:rPr>
                <w:color w:val="auto"/>
                <w:highlight w:val="none"/>
              </w:rPr>
            </w:pPr>
            <w:r>
              <w:rPr>
                <w:rFonts w:ascii="宋体" w:hAnsi="宋体" w:cs="宋体"/>
                <w:color w:val="auto"/>
                <w:spacing w:val="-3"/>
                <w:szCs w:val="21"/>
                <w:highlight w:val="none"/>
              </w:rPr>
              <w:t xml:space="preserve"> 二档(5 分)：针对本项目密码设备编制售后服务方案，完整包含故障处理流程、维护保障流程，配套完整服务响应、服务效率、服务质量承诺相关内容；完整覆盖本档规定内容，满足本档全部内容要求。</w:t>
            </w:r>
          </w:p>
          <w:p w14:paraId="26BB6F66">
            <w:pPr>
              <w:spacing w:line="360" w:lineRule="auto"/>
              <w:ind w:firstLine="408" w:firstLineChars="200"/>
              <w:jc w:val="left"/>
              <w:rPr>
                <w:rFonts w:hint="eastAsia" w:ascii="宋体" w:hAnsi="宋体" w:cs="宋体"/>
                <w:color w:val="auto"/>
                <w:spacing w:val="-3"/>
                <w:szCs w:val="21"/>
                <w:highlight w:val="none"/>
              </w:rPr>
            </w:pPr>
          </w:p>
          <w:p w14:paraId="7FAD64A8">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三档(8分)：针对此次涉及的密码设备提供详细的故障处理流程和维护保障流程的售后服务方案，具有完善的售后服务流程、应急预案；提供的服务态度、服务效率、服务质量承诺内容齐全，陈述详细，承诺具体明确，服务措施具体，针对性强，服务支撑能力强。</w:t>
            </w:r>
            <w:r>
              <w:rPr>
                <w:rFonts w:ascii="宋体" w:hAnsi="宋体" w:cs="宋体"/>
                <w:color w:val="auto"/>
                <w:spacing w:val="-3"/>
                <w:szCs w:val="21"/>
                <w:highlight w:val="none"/>
                <w:lang w:bidi="ar"/>
              </w:rPr>
              <w:t>完整覆盖本档全部规定内容，满足本档全部内容要求</w:t>
            </w:r>
            <w:r>
              <w:rPr>
                <w:rFonts w:hint="eastAsia" w:ascii="宋体" w:hAnsi="宋体" w:cs="宋体"/>
                <w:color w:val="auto"/>
                <w:spacing w:val="-3"/>
                <w:szCs w:val="21"/>
                <w:highlight w:val="none"/>
                <w:lang w:bidi="ar"/>
              </w:rPr>
              <w:t>。</w:t>
            </w:r>
          </w:p>
          <w:p w14:paraId="39FB819C">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注：</w:t>
            </w:r>
            <w:r>
              <w:rPr>
                <w:rFonts w:hint="eastAsia" w:ascii="宋体" w:hAnsi="宋体" w:cs="宋体"/>
                <w:color w:val="auto"/>
                <w:spacing w:val="-3"/>
                <w:szCs w:val="21"/>
                <w:highlight w:val="none"/>
                <w:lang w:val="zh-TW"/>
              </w:rPr>
              <w:t>未提供或提供的内容不符合要求的，不得分；不满足最低档次要求的不得分。</w:t>
            </w:r>
          </w:p>
        </w:tc>
      </w:tr>
      <w:tr w14:paraId="21AA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525" w:type="dxa"/>
            <w:vMerge w:val="continue"/>
            <w:tcBorders>
              <w:left w:val="single" w:color="auto" w:sz="4" w:space="0"/>
              <w:right w:val="single" w:color="auto" w:sz="4" w:space="0"/>
            </w:tcBorders>
            <w:vAlign w:val="center"/>
          </w:tcPr>
          <w:p w14:paraId="49DA6270">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59FF32C9">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2E4C34FE">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（7）硬件设备维保服务方案（满分8分）</w:t>
            </w:r>
          </w:p>
        </w:tc>
        <w:tc>
          <w:tcPr>
            <w:tcW w:w="5655" w:type="dxa"/>
            <w:tcBorders>
              <w:top w:val="single" w:color="auto" w:sz="4" w:space="0"/>
              <w:left w:val="single" w:color="auto" w:sz="4" w:space="0"/>
              <w:right w:val="single" w:color="auto" w:sz="4" w:space="0"/>
            </w:tcBorders>
            <w:vAlign w:val="center"/>
          </w:tcPr>
          <w:p w14:paraId="3C99C44C">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一档（2分）：方案覆盖定期巡检、预防性维护、故障维修、固件升级、服务报告等。提供明确的服务响应与时效承诺，且明确承诺电话响应≤10分钟、远程接入诊断≤30分钟；现场到场时间：同城≤1小时；故障修复时间：普通故障≤4小时、严重故障≤12小时等模块。仅覆盖本档规定内容，满足本档全部内容要求</w:t>
            </w:r>
            <w:r>
              <w:rPr>
                <w:rFonts w:hint="eastAsia" w:ascii="宋体" w:hAnsi="宋体" w:cs="宋体"/>
                <w:color w:val="auto"/>
                <w:spacing w:val="-3"/>
                <w:szCs w:val="21"/>
                <w:highlight w:val="none"/>
              </w:rPr>
              <w:t>。</w:t>
            </w:r>
          </w:p>
          <w:p w14:paraId="720C7125">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二档（5分）：方案覆盖定期巡检、预防性维护、故障维修、固件升级、服务报告等。提供明确的服务响应与时效承诺，且明确承诺电话响应≤5分钟、远程接入诊断≤20分钟；现场到场时间：同城≤1小时；故障修复时间：普通故障≤2小时、严重故障≤8小时等。提供完整的备品备件保障能力、备件更换与测试等。</w:t>
            </w:r>
            <w:r>
              <w:rPr>
                <w:rFonts w:ascii="宋体" w:hAnsi="宋体" w:cs="宋体"/>
                <w:color w:val="auto"/>
                <w:spacing w:val="-3"/>
                <w:szCs w:val="21"/>
                <w:highlight w:val="none"/>
                <w:lang w:bidi="ar"/>
              </w:rPr>
              <w:t>完整覆盖本档全部规定内容，满足本档全部内容要求</w:t>
            </w:r>
            <w:r>
              <w:rPr>
                <w:rFonts w:hint="eastAsia" w:ascii="宋体" w:hAnsi="宋体" w:cs="宋体"/>
                <w:color w:val="auto"/>
                <w:spacing w:val="-3"/>
                <w:szCs w:val="21"/>
                <w:highlight w:val="none"/>
                <w:lang w:bidi="ar"/>
              </w:rPr>
              <w:t>。</w:t>
            </w:r>
          </w:p>
          <w:p w14:paraId="625D9AF7">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三档（8分）：方案覆盖定期巡检、预防性维护、故障维修、固件升级、服务报告等。提供明确的服务响应与时效承诺，且明确承诺电话响应≤5分钟、远程接入诊断≤20分钟；现场到场时间：同城≤1小时；故障修复时间：普通故障≤2小时、严重故障≤8小时等。提供完整的备品备件保障能力、备件更换与测试等。提供完整的维保管理体系，建立完善的标准化运维流程，覆盖事件管理、问题管理、变更管理、配置管理及发布管理五大核心领域。</w:t>
            </w:r>
            <w:r>
              <w:rPr>
                <w:rFonts w:ascii="宋体" w:hAnsi="宋体" w:cs="宋体"/>
                <w:color w:val="auto"/>
                <w:spacing w:val="-3"/>
                <w:szCs w:val="21"/>
                <w:highlight w:val="none"/>
                <w:lang w:bidi="ar"/>
              </w:rPr>
              <w:t>完整覆盖本档全部规定内容，满足本档全部内容要求</w:t>
            </w:r>
            <w:r>
              <w:rPr>
                <w:rFonts w:hint="eastAsia" w:ascii="宋体" w:hAnsi="宋体" w:cs="宋体"/>
                <w:color w:val="auto"/>
                <w:spacing w:val="-3"/>
                <w:szCs w:val="21"/>
                <w:highlight w:val="none"/>
                <w:lang w:bidi="ar"/>
              </w:rPr>
              <w:t>。</w:t>
            </w:r>
          </w:p>
          <w:p w14:paraId="3C0EDFC1">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注：</w:t>
            </w:r>
            <w:r>
              <w:rPr>
                <w:rFonts w:hint="eastAsia" w:ascii="宋体" w:hAnsi="宋体" w:cs="宋体"/>
                <w:color w:val="auto"/>
                <w:spacing w:val="-3"/>
                <w:szCs w:val="21"/>
                <w:highlight w:val="none"/>
                <w:lang w:val="zh-TW"/>
              </w:rPr>
              <w:t>未提供或提供的内容不符合要求的，不得分；不满足最低档次要求的不得分。</w:t>
            </w:r>
          </w:p>
        </w:tc>
      </w:tr>
      <w:tr w14:paraId="28D2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3" w:hRule="atLeast"/>
          <w:jc w:val="center"/>
        </w:trPr>
        <w:tc>
          <w:tcPr>
            <w:tcW w:w="525" w:type="dxa"/>
            <w:vMerge w:val="continue"/>
            <w:tcBorders>
              <w:left w:val="single" w:color="auto" w:sz="4" w:space="0"/>
              <w:right w:val="single" w:color="auto" w:sz="4" w:space="0"/>
            </w:tcBorders>
            <w:vAlign w:val="center"/>
          </w:tcPr>
          <w:p w14:paraId="300BA8E4">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4A5B0540">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20E53A99">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（8）云平台资源优化方案（满分8分）</w:t>
            </w:r>
          </w:p>
        </w:tc>
        <w:tc>
          <w:tcPr>
            <w:tcW w:w="5655" w:type="dxa"/>
            <w:tcBorders>
              <w:top w:val="single" w:color="auto" w:sz="4" w:space="0"/>
              <w:left w:val="single" w:color="auto" w:sz="4" w:space="0"/>
              <w:right w:val="single" w:color="auto" w:sz="4" w:space="0"/>
            </w:tcBorders>
            <w:vAlign w:val="center"/>
          </w:tcPr>
          <w:p w14:paraId="1505CAF6">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第一档（2分）：针对本期项目，分析现有云平台资源现状、提出优化方案。方案可行，但有较明显缺陷，待完善；</w:t>
            </w:r>
          </w:p>
          <w:p w14:paraId="1A480EDE">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第二档（5分）：针对本期项目，分析现有云平台资源现状、提出优化方案，方案含计算资源、存储资源、数据库资源等。仅覆盖本档规定内容，满足本档全部内容要求</w:t>
            </w:r>
            <w:r>
              <w:rPr>
                <w:rFonts w:hint="eastAsia" w:ascii="宋体" w:hAnsi="宋体" w:cs="宋体"/>
                <w:color w:val="auto"/>
                <w:spacing w:val="-3"/>
                <w:szCs w:val="21"/>
                <w:highlight w:val="none"/>
              </w:rPr>
              <w:t>。</w:t>
            </w:r>
          </w:p>
          <w:p w14:paraId="596F29C6">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三档（8分）：针对本期项目，分析现有云平台资源现状，能对现有云资源进行全量盘点，出具完整的资源清单（计算实例、存储卷、数据库、镜像等），标注当前配置规格、容量及所属业务系统。能结合现状提出优化方案，方案含计算资源、存储资源、数据库资源等。能绘制业务流量拓扑图，标注关键链路的传输瓶颈。</w:t>
            </w:r>
            <w:r>
              <w:rPr>
                <w:rFonts w:ascii="宋体" w:hAnsi="宋体" w:cs="宋体"/>
                <w:color w:val="auto"/>
                <w:spacing w:val="-3"/>
                <w:szCs w:val="21"/>
                <w:highlight w:val="none"/>
                <w:lang w:bidi="ar"/>
              </w:rPr>
              <w:t>完整覆盖本档全部规定内容，满足本档全部内容要求</w:t>
            </w:r>
            <w:r>
              <w:rPr>
                <w:rFonts w:ascii="宋体" w:hAnsi="宋体" w:cs="宋体"/>
                <w:color w:val="auto"/>
                <w:spacing w:val="-3"/>
                <w:szCs w:val="21"/>
                <w:highlight w:val="none"/>
              </w:rPr>
              <w:t>。</w:t>
            </w:r>
          </w:p>
          <w:p w14:paraId="18A26394">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注：</w:t>
            </w:r>
            <w:r>
              <w:rPr>
                <w:rFonts w:hint="eastAsia" w:ascii="宋体" w:hAnsi="宋体" w:cs="宋体"/>
                <w:color w:val="auto"/>
                <w:spacing w:val="-3"/>
                <w:szCs w:val="21"/>
                <w:highlight w:val="none"/>
                <w:lang w:val="zh-TW"/>
              </w:rPr>
              <w:t>未提供或提供的内容不符合要求的，不得分；不满足最低档次要求的不得分。</w:t>
            </w:r>
          </w:p>
        </w:tc>
      </w:tr>
      <w:tr w14:paraId="2750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525" w:type="dxa"/>
            <w:vMerge w:val="continue"/>
            <w:tcBorders>
              <w:left w:val="single" w:color="auto" w:sz="4" w:space="0"/>
              <w:right w:val="single" w:color="auto" w:sz="4" w:space="0"/>
            </w:tcBorders>
            <w:vAlign w:val="center"/>
          </w:tcPr>
          <w:p w14:paraId="3DC11D0C">
            <w:pPr>
              <w:widowControl/>
              <w:jc w:val="left"/>
              <w:rPr>
                <w:rFonts w:hint="eastAsia" w:ascii="宋体" w:hAnsi="宋体"/>
                <w:b/>
                <w:color w:val="auto"/>
                <w:szCs w:val="21"/>
                <w:highlight w:val="none"/>
              </w:rPr>
            </w:pPr>
          </w:p>
        </w:tc>
        <w:tc>
          <w:tcPr>
            <w:tcW w:w="1517" w:type="dxa"/>
            <w:vMerge w:val="continue"/>
            <w:tcBorders>
              <w:left w:val="single" w:color="auto" w:sz="4" w:space="0"/>
              <w:right w:val="single" w:color="auto" w:sz="4" w:space="0"/>
            </w:tcBorders>
            <w:vAlign w:val="center"/>
          </w:tcPr>
          <w:p w14:paraId="348425FC">
            <w:pPr>
              <w:widowControl/>
              <w:jc w:val="left"/>
              <w:rPr>
                <w:rFonts w:hint="eastAsia" w:ascii="宋体" w:hAnsi="宋体"/>
                <w:color w:val="auto"/>
                <w:spacing w:val="-18"/>
                <w:szCs w:val="21"/>
                <w:highlight w:val="none"/>
              </w:rPr>
            </w:pPr>
          </w:p>
        </w:tc>
        <w:tc>
          <w:tcPr>
            <w:tcW w:w="1772" w:type="dxa"/>
            <w:tcBorders>
              <w:top w:val="single" w:color="auto" w:sz="4" w:space="0"/>
              <w:left w:val="single" w:color="auto" w:sz="4" w:space="0"/>
              <w:bottom w:val="single" w:color="auto" w:sz="4" w:space="0"/>
              <w:right w:val="single" w:color="auto" w:sz="4" w:space="0"/>
            </w:tcBorders>
            <w:vAlign w:val="center"/>
          </w:tcPr>
          <w:p w14:paraId="4CB1F91B">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（9）网络运维服务方案(满分10分)</w:t>
            </w:r>
          </w:p>
          <w:p w14:paraId="62AE625D">
            <w:pPr>
              <w:spacing w:line="360" w:lineRule="auto"/>
              <w:rPr>
                <w:rFonts w:hint="eastAsia" w:ascii="宋体" w:hAnsi="宋体" w:cs="Courier New"/>
                <w:bCs/>
                <w:color w:val="auto"/>
                <w:szCs w:val="21"/>
                <w:highlight w:val="none"/>
              </w:rPr>
            </w:pPr>
          </w:p>
        </w:tc>
        <w:tc>
          <w:tcPr>
            <w:tcW w:w="5655" w:type="dxa"/>
            <w:tcBorders>
              <w:top w:val="single" w:color="auto" w:sz="4" w:space="0"/>
              <w:left w:val="single" w:color="auto" w:sz="4" w:space="0"/>
              <w:right w:val="single" w:color="auto" w:sz="4" w:space="0"/>
            </w:tcBorders>
            <w:vAlign w:val="center"/>
          </w:tcPr>
          <w:p w14:paraId="570076A8">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一档（3分）：结合医保网络设备现状，绘制详细的二层/三层网络拓扑，提出网络优化方案。梳理现有网络链路，识别拥塞链路并分析成因。识别网络设备安全配置基线进行全面检查（SNMP版本、Telnet/SSH协议、ACL策略合理性、端口安全、ARP防护等）。仅覆盖本档规定内容，满足本档全部内容要求。</w:t>
            </w:r>
          </w:p>
          <w:p w14:paraId="47D4E1F3">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二档（6分）：结合医保网络设备现状，绘制详细的二层/三层网络拓扑，提出网络优化方案。梳理现有网络链路，识别拥塞链路并分析成因。识别网络设备安全配置基线进行全面检查（SNMP版本、Telnet/SSH协议、ACL策略合理性、端口安全、ARP防护等）。提供网络运维服务方案，覆盖日常运维与巡检、网络监控与告警处理、网络变更管理与风险控制等。完整覆盖本档规定内容，满足本档全部内容要求</w:t>
            </w:r>
            <w:r>
              <w:rPr>
                <w:rFonts w:hint="eastAsia" w:ascii="宋体" w:hAnsi="宋体" w:cs="宋体"/>
                <w:color w:val="auto"/>
                <w:spacing w:val="-3"/>
                <w:szCs w:val="21"/>
                <w:highlight w:val="none"/>
              </w:rPr>
              <w:t>。</w:t>
            </w:r>
          </w:p>
          <w:p w14:paraId="4CECF5BA">
            <w:pPr>
              <w:spacing w:line="360" w:lineRule="auto"/>
              <w:ind w:firstLine="408" w:firstLineChars="200"/>
              <w:jc w:val="left"/>
              <w:rPr>
                <w:rFonts w:hint="eastAsia" w:ascii="宋体" w:hAnsi="宋体" w:cs="宋体"/>
                <w:color w:val="auto"/>
                <w:spacing w:val="-3"/>
                <w:szCs w:val="21"/>
                <w:highlight w:val="none"/>
              </w:rPr>
            </w:pPr>
            <w:r>
              <w:rPr>
                <w:rFonts w:ascii="宋体" w:hAnsi="宋体" w:cs="宋体"/>
                <w:color w:val="auto"/>
                <w:spacing w:val="-3"/>
                <w:szCs w:val="21"/>
                <w:highlight w:val="none"/>
              </w:rPr>
              <w:t>第三档（10分）：结合医保网络设备现状，绘制详细的二层/三层网络拓扑，提出网络优化方案。梳理现有网络链路，识别拥塞链路并分析成因。识别网络设备安全配置基线进行全面检查（SNMP版本、Telnet/SSH协议、ACL策略合理性、端口安全、ARP防护等）。提供网络运维服务方案，覆盖日常运维与巡检、网络监控与告警处理、网络变更管理与风险控制。提供完善的终端接入（GRE）服务方案，包含：GRE现状分析、优化方案。</w:t>
            </w:r>
            <w:r>
              <w:rPr>
                <w:rFonts w:ascii="宋体" w:hAnsi="宋体" w:cs="宋体"/>
                <w:color w:val="auto"/>
                <w:spacing w:val="-3"/>
                <w:szCs w:val="21"/>
                <w:highlight w:val="none"/>
                <w:lang w:bidi="ar"/>
              </w:rPr>
              <w:t>完整覆盖本档全部规定内容，满足本档全部内容要求</w:t>
            </w:r>
            <w:r>
              <w:rPr>
                <w:rFonts w:ascii="宋体" w:hAnsi="宋体" w:cs="宋体"/>
                <w:color w:val="auto"/>
                <w:spacing w:val="-3"/>
                <w:szCs w:val="21"/>
                <w:highlight w:val="none"/>
              </w:rPr>
              <w:t>。</w:t>
            </w:r>
          </w:p>
          <w:p w14:paraId="399BC13B">
            <w:pPr>
              <w:spacing w:line="360" w:lineRule="auto"/>
              <w:ind w:firstLine="408" w:firstLineChars="200"/>
              <w:jc w:val="left"/>
              <w:rPr>
                <w:rFonts w:hint="eastAsia" w:ascii="宋体" w:hAnsi="宋体" w:cs="宋体"/>
                <w:color w:val="auto"/>
                <w:spacing w:val="-3"/>
                <w:szCs w:val="21"/>
                <w:highlight w:val="none"/>
              </w:rPr>
            </w:pPr>
            <w:r>
              <w:rPr>
                <w:rFonts w:hint="eastAsia" w:ascii="宋体" w:hAnsi="宋体" w:cs="宋体"/>
                <w:color w:val="auto"/>
                <w:spacing w:val="-3"/>
                <w:szCs w:val="21"/>
                <w:highlight w:val="none"/>
              </w:rPr>
              <w:t>注：</w:t>
            </w:r>
            <w:r>
              <w:rPr>
                <w:rFonts w:hint="eastAsia" w:ascii="宋体" w:hAnsi="宋体" w:cs="宋体"/>
                <w:color w:val="auto"/>
                <w:spacing w:val="-3"/>
                <w:szCs w:val="21"/>
                <w:highlight w:val="none"/>
                <w:lang w:val="zh-TW"/>
              </w:rPr>
              <w:t>未提供或提供的内容不符合要求的，不得分；不满足最低档次要求的不得分。</w:t>
            </w:r>
          </w:p>
        </w:tc>
      </w:tr>
      <w:tr w14:paraId="6BE4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tcBorders>
              <w:left w:val="single" w:color="auto" w:sz="4" w:space="0"/>
              <w:right w:val="single" w:color="auto" w:sz="4" w:space="0"/>
            </w:tcBorders>
            <w:vAlign w:val="center"/>
          </w:tcPr>
          <w:p w14:paraId="5E18125D">
            <w:pPr>
              <w:adjustRightInd w:val="0"/>
              <w:spacing w:line="36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3</w:t>
            </w:r>
          </w:p>
        </w:tc>
        <w:tc>
          <w:tcPr>
            <w:tcW w:w="1517" w:type="dxa"/>
            <w:tcBorders>
              <w:left w:val="single" w:color="auto" w:sz="4" w:space="0"/>
              <w:right w:val="single" w:color="auto" w:sz="4" w:space="0"/>
            </w:tcBorders>
            <w:vAlign w:val="center"/>
          </w:tcPr>
          <w:p w14:paraId="5C856A1A">
            <w:pPr>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商务分</w:t>
            </w:r>
          </w:p>
          <w:p w14:paraId="05444C01">
            <w:pPr>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（满分30分）</w:t>
            </w:r>
          </w:p>
        </w:tc>
        <w:tc>
          <w:tcPr>
            <w:tcW w:w="1772" w:type="dxa"/>
            <w:tcBorders>
              <w:top w:val="single" w:color="auto" w:sz="4" w:space="0"/>
              <w:left w:val="single" w:color="auto" w:sz="4" w:space="0"/>
              <w:right w:val="single" w:color="auto" w:sz="4" w:space="0"/>
            </w:tcBorders>
            <w:vAlign w:val="center"/>
          </w:tcPr>
          <w:p w14:paraId="28246CB3">
            <w:pPr>
              <w:adjustRightInd w:val="0"/>
              <w:spacing w:line="360" w:lineRule="exact"/>
              <w:jc w:val="center"/>
              <w:textAlignment w:val="baseline"/>
              <w:rPr>
                <w:rFonts w:hint="eastAsia" w:ascii="宋体" w:hAnsi="宋体"/>
                <w:color w:val="auto"/>
                <w:szCs w:val="21"/>
                <w:highlight w:val="none"/>
              </w:rPr>
            </w:pPr>
          </w:p>
          <w:p w14:paraId="186ADA8F">
            <w:pPr>
              <w:adjustRightInd w:val="0"/>
              <w:spacing w:line="360" w:lineRule="exact"/>
              <w:jc w:val="center"/>
              <w:textAlignment w:val="baseline"/>
              <w:rPr>
                <w:rFonts w:hint="eastAsia" w:ascii="宋体" w:hAnsi="宋体"/>
                <w:color w:val="auto"/>
                <w:szCs w:val="21"/>
                <w:highlight w:val="none"/>
              </w:rPr>
            </w:pPr>
            <w:r>
              <w:rPr>
                <w:rFonts w:hint="eastAsia" w:ascii="宋体" w:hAnsi="宋体"/>
                <w:color w:val="auto"/>
                <w:szCs w:val="21"/>
                <w:highlight w:val="none"/>
              </w:rPr>
              <w:t>（1）团队服务能力分（满分18分）</w:t>
            </w:r>
          </w:p>
          <w:p w14:paraId="564F5705">
            <w:pPr>
              <w:adjustRightInd w:val="0"/>
              <w:spacing w:line="360" w:lineRule="exact"/>
              <w:jc w:val="center"/>
              <w:textAlignment w:val="baseline"/>
              <w:rPr>
                <w:rFonts w:hint="eastAsia" w:ascii="宋体" w:hAnsi="宋体"/>
                <w:color w:val="auto"/>
                <w:szCs w:val="21"/>
                <w:highlight w:val="none"/>
              </w:rPr>
            </w:pPr>
          </w:p>
        </w:tc>
        <w:tc>
          <w:tcPr>
            <w:tcW w:w="5655" w:type="dxa"/>
            <w:tcBorders>
              <w:top w:val="single" w:color="auto" w:sz="4" w:space="0"/>
              <w:left w:val="single" w:color="auto" w:sz="4" w:space="0"/>
              <w:bottom w:val="single" w:color="auto" w:sz="4" w:space="0"/>
              <w:right w:val="single" w:color="auto" w:sz="4" w:space="0"/>
            </w:tcBorders>
            <w:vAlign w:val="center"/>
          </w:tcPr>
          <w:p w14:paraId="3CCA4810">
            <w:pPr>
              <w:spacing w:line="360" w:lineRule="auto"/>
              <w:rPr>
                <w:rFonts w:hint="eastAsia" w:ascii="宋体" w:hAnsi="宋体" w:cs="Courier New"/>
                <w:b/>
                <w:color w:val="auto"/>
                <w:szCs w:val="21"/>
                <w:highlight w:val="none"/>
              </w:rPr>
            </w:pPr>
          </w:p>
          <w:p w14:paraId="373B6135">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1）项目经理1人（满分5分）</w:t>
            </w:r>
          </w:p>
          <w:p w14:paraId="7C0D0E75">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项目经理具有以下证书：</w:t>
            </w:r>
          </w:p>
          <w:p w14:paraId="1BF0A767">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 xml:space="preserve">①具有信息系统项目管理师证书得2分； </w:t>
            </w:r>
          </w:p>
          <w:p w14:paraId="7A52C87F">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②具有系统规划与管理师证书或系统架构设计师得2分；</w:t>
            </w:r>
          </w:p>
          <w:p w14:paraId="54E2A52C">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③具有通信相关专业高级工程师及以上职称证书得1分。</w:t>
            </w:r>
          </w:p>
          <w:p w14:paraId="15E77EB3">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2）技术负责人1人（满分7分）</w:t>
            </w:r>
          </w:p>
          <w:p w14:paraId="6CF45A36">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技术负责人有以下证书的：</w:t>
            </w:r>
          </w:p>
          <w:p w14:paraId="7535CADE">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 xml:space="preserve">①具有信息系统项目管理师证书得2分； </w:t>
            </w:r>
          </w:p>
          <w:p w14:paraId="2BB48D3A">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②具有系统架构设计师证书得2分；</w:t>
            </w:r>
          </w:p>
          <w:p w14:paraId="489AB72C">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③具有系统分析师证书得2分；</w:t>
            </w:r>
          </w:p>
          <w:p w14:paraId="7271E94D">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④具有通信相关专业高级工程师及以上职称证书或注册信息安全专业人员(CISP)得1分。</w:t>
            </w:r>
          </w:p>
          <w:p w14:paraId="17101268">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3）团队成员（满分6分）</w:t>
            </w:r>
          </w:p>
          <w:p w14:paraId="5E9ED4C1">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团队成员（不含项目经理、技术负责人）具有以下资格的：</w:t>
            </w:r>
          </w:p>
          <w:p w14:paraId="0E54DA11">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①具有系统架构设计师证书的，每个得1分，满分1分；</w:t>
            </w:r>
          </w:p>
          <w:p w14:paraId="683E6B81">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②具有注册信息安全专业人员(CISP)</w:t>
            </w:r>
            <w:r>
              <w:rPr>
                <w:rFonts w:hint="eastAsia" w:ascii="宋体" w:hAnsi="宋体" w:cs="Courier New"/>
                <w:bCs/>
                <w:color w:val="auto"/>
                <w:szCs w:val="21"/>
                <w:highlight w:val="none"/>
                <w:lang w:val="en-US" w:eastAsia="zh-CN"/>
              </w:rPr>
              <w:t>或</w:t>
            </w:r>
            <w:r>
              <w:rPr>
                <w:rFonts w:hint="eastAsia" w:ascii="宋体" w:hAnsi="宋体" w:cs="Courier New"/>
                <w:bCs/>
                <w:color w:val="auto"/>
                <w:szCs w:val="21"/>
                <w:highlight w:val="none"/>
              </w:rPr>
              <w:t>网络规划设计师证书的，每个得1分，满分1分；</w:t>
            </w:r>
          </w:p>
          <w:p w14:paraId="3DAF2FF2">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③具有信息系统项目管理师证书的，每个得1分，满分2分；</w:t>
            </w:r>
          </w:p>
          <w:p w14:paraId="04CF28F7">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④具有通信相关专业高级工程师及以上职称证书的，每个得1分，满分2分。</w:t>
            </w:r>
          </w:p>
          <w:p w14:paraId="1A633B3D">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以上评分项不累计，每人最多评其中一项。拟投入人员必须为本公司职员或分公司职员。投标文件提供拟投入人员相关资格（职称）证书及</w:t>
            </w:r>
            <w:r>
              <w:rPr>
                <w:rFonts w:hint="eastAsia"/>
                <w:color w:val="auto"/>
                <w:szCs w:val="21"/>
                <w:highlight w:val="none"/>
              </w:rPr>
              <w:t>投标截止时间前半年内任意1个月投标人为其缴纳个人社保证明复印件（原件或复印件）扫描件或劳动合同或工资支付记录亦可。</w:t>
            </w:r>
            <w:r>
              <w:rPr>
                <w:rFonts w:hint="eastAsia" w:ascii="宋体" w:hAnsi="宋体" w:cs="Courier New"/>
                <w:bCs/>
                <w:color w:val="auto"/>
                <w:szCs w:val="21"/>
                <w:highlight w:val="none"/>
              </w:rPr>
              <w:t>（并加投标人公章）。</w:t>
            </w:r>
          </w:p>
        </w:tc>
      </w:tr>
      <w:tr w14:paraId="1F74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25" w:type="dxa"/>
            <w:tcBorders>
              <w:left w:val="single" w:color="auto" w:sz="4" w:space="0"/>
              <w:right w:val="single" w:color="auto" w:sz="4" w:space="0"/>
            </w:tcBorders>
            <w:vAlign w:val="center"/>
          </w:tcPr>
          <w:p w14:paraId="30626249">
            <w:pPr>
              <w:adjustRightInd w:val="0"/>
              <w:spacing w:line="360" w:lineRule="exact"/>
              <w:jc w:val="center"/>
              <w:textAlignment w:val="baseline"/>
              <w:rPr>
                <w:rFonts w:hint="eastAsia" w:ascii="宋体" w:hAnsi="宋体"/>
                <w:b/>
                <w:color w:val="auto"/>
                <w:szCs w:val="21"/>
                <w:highlight w:val="none"/>
              </w:rPr>
            </w:pPr>
          </w:p>
        </w:tc>
        <w:tc>
          <w:tcPr>
            <w:tcW w:w="1517" w:type="dxa"/>
            <w:tcBorders>
              <w:left w:val="single" w:color="auto" w:sz="4" w:space="0"/>
              <w:right w:val="single" w:color="auto" w:sz="4" w:space="0"/>
            </w:tcBorders>
            <w:vAlign w:val="center"/>
          </w:tcPr>
          <w:p w14:paraId="496144E3">
            <w:pPr>
              <w:spacing w:line="360" w:lineRule="exact"/>
              <w:jc w:val="center"/>
              <w:rPr>
                <w:rFonts w:hint="eastAsia" w:ascii="宋体" w:hAnsi="宋体"/>
                <w:b/>
                <w:bCs/>
                <w:color w:val="auto"/>
                <w:szCs w:val="21"/>
                <w:highlight w:val="none"/>
              </w:rPr>
            </w:pPr>
          </w:p>
        </w:tc>
        <w:tc>
          <w:tcPr>
            <w:tcW w:w="1772" w:type="dxa"/>
            <w:tcBorders>
              <w:top w:val="single" w:color="auto" w:sz="4" w:space="0"/>
              <w:left w:val="single" w:color="auto" w:sz="4" w:space="0"/>
              <w:right w:val="single" w:color="auto" w:sz="4" w:space="0"/>
            </w:tcBorders>
            <w:vAlign w:val="center"/>
          </w:tcPr>
          <w:p w14:paraId="339CA569">
            <w:pPr>
              <w:adjustRightInd w:val="0"/>
              <w:spacing w:line="360" w:lineRule="exact"/>
              <w:jc w:val="center"/>
              <w:textAlignment w:val="baseline"/>
              <w:rPr>
                <w:rFonts w:hint="eastAsia" w:ascii="宋体" w:hAnsi="宋体"/>
                <w:color w:val="auto"/>
                <w:szCs w:val="21"/>
                <w:highlight w:val="none"/>
              </w:rPr>
            </w:pPr>
            <w:r>
              <w:rPr>
                <w:rFonts w:hint="eastAsia" w:ascii="宋体" w:hAnsi="宋体"/>
                <w:color w:val="auto"/>
                <w:szCs w:val="21"/>
                <w:highlight w:val="none"/>
              </w:rPr>
              <w:t xml:space="preserve">（2）信誉分（满分7分） </w:t>
            </w:r>
          </w:p>
        </w:tc>
        <w:tc>
          <w:tcPr>
            <w:tcW w:w="5655" w:type="dxa"/>
            <w:tcBorders>
              <w:top w:val="single" w:color="auto" w:sz="4" w:space="0"/>
              <w:left w:val="single" w:color="auto" w:sz="4" w:space="0"/>
              <w:bottom w:val="single" w:color="auto" w:sz="4" w:space="0"/>
              <w:right w:val="single" w:color="auto" w:sz="4" w:space="0"/>
            </w:tcBorders>
            <w:vAlign w:val="center"/>
          </w:tcPr>
          <w:p w14:paraId="1B828B08">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①投标人具有ISO9001质量管理体系认证、ISO20000信息技术服务管理体系认证、ISO27001信息安全管理体系认证、ISO27017云服务信息安全管理体系认证、ISO27701隐私信息管理体系认证，提供相关证明复印件并加盖单位印章，每个得1分，满分5分。</w:t>
            </w:r>
          </w:p>
          <w:p w14:paraId="7A1C7C3B">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②供应商具备ITSS信息技术服务标准认证(运行维护服务)一级或二级证书得1分，三级或四级证书得0.5分，提供相关证明复印件并加盖单位印章，</w:t>
            </w:r>
            <w:r>
              <w:rPr>
                <w:rFonts w:hint="eastAsia" w:ascii="宋体" w:hAnsi="宋体" w:cs="Courier New"/>
                <w:bCs/>
                <w:color w:val="auto"/>
                <w:szCs w:val="21"/>
                <w:highlight w:val="none"/>
                <w:lang w:val="en-US" w:eastAsia="zh-CN"/>
              </w:rPr>
              <w:t>满分</w:t>
            </w:r>
            <w:r>
              <w:rPr>
                <w:rFonts w:hint="eastAsia" w:ascii="宋体" w:hAnsi="宋体" w:cs="Courier New"/>
                <w:bCs/>
                <w:color w:val="auto"/>
                <w:szCs w:val="21"/>
                <w:highlight w:val="none"/>
              </w:rPr>
              <w:t>1分，否则不得分。</w:t>
            </w:r>
          </w:p>
          <w:p w14:paraId="31D6EAD5">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③供应商具备CCRC信息安全服务资质认证（信息系统安全运维）一级证书</w:t>
            </w:r>
            <w:r>
              <w:rPr>
                <w:rFonts w:hint="eastAsia"/>
                <w:color w:val="auto"/>
                <w:highlight w:val="none"/>
              </w:rPr>
              <w:t>得1分，二级证书得0.5分，三级证书得0.2分</w:t>
            </w:r>
            <w:r>
              <w:rPr>
                <w:rFonts w:hint="eastAsia" w:ascii="宋体" w:hAnsi="宋体" w:cs="Courier New"/>
                <w:bCs/>
                <w:color w:val="auto"/>
                <w:szCs w:val="21"/>
                <w:highlight w:val="none"/>
              </w:rPr>
              <w:t>，提供相关证明复印件并加盖单位印章，</w:t>
            </w:r>
            <w:r>
              <w:rPr>
                <w:rFonts w:hint="eastAsia" w:ascii="宋体" w:hAnsi="宋体" w:cs="Courier New"/>
                <w:bCs/>
                <w:color w:val="auto"/>
                <w:szCs w:val="21"/>
                <w:highlight w:val="none"/>
                <w:lang w:val="en-US" w:eastAsia="zh-CN"/>
              </w:rPr>
              <w:t>满分</w:t>
            </w:r>
            <w:r>
              <w:rPr>
                <w:rFonts w:hint="eastAsia" w:ascii="宋体" w:hAnsi="宋体" w:cs="Courier New"/>
                <w:bCs/>
                <w:color w:val="auto"/>
                <w:szCs w:val="21"/>
                <w:highlight w:val="none"/>
              </w:rPr>
              <w:t>1分，否则不得分。</w:t>
            </w:r>
          </w:p>
          <w:p w14:paraId="1CFBA98C">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（以上所需认证证书，均需提供证明材料复印件并加盖公章，否则不得分）</w:t>
            </w:r>
          </w:p>
          <w:p w14:paraId="7DA4343A">
            <w:pPr>
              <w:spacing w:line="360" w:lineRule="auto"/>
              <w:rPr>
                <w:rFonts w:hint="eastAsia" w:ascii="宋体" w:hAnsi="宋体" w:cs="Courier New"/>
                <w:bCs/>
                <w:color w:val="auto"/>
                <w:szCs w:val="21"/>
                <w:highlight w:val="none"/>
              </w:rPr>
            </w:pPr>
          </w:p>
        </w:tc>
      </w:tr>
      <w:tr w14:paraId="6B73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25" w:type="dxa"/>
            <w:tcBorders>
              <w:left w:val="single" w:color="auto" w:sz="4" w:space="0"/>
              <w:right w:val="single" w:color="auto" w:sz="4" w:space="0"/>
            </w:tcBorders>
            <w:vAlign w:val="center"/>
          </w:tcPr>
          <w:p w14:paraId="53D7CF79">
            <w:pPr>
              <w:adjustRightInd w:val="0"/>
              <w:spacing w:line="360" w:lineRule="exact"/>
              <w:jc w:val="center"/>
              <w:textAlignment w:val="baseline"/>
              <w:rPr>
                <w:rFonts w:hint="eastAsia" w:ascii="宋体" w:hAnsi="宋体"/>
                <w:b/>
                <w:color w:val="auto"/>
                <w:szCs w:val="21"/>
                <w:highlight w:val="none"/>
              </w:rPr>
            </w:pPr>
          </w:p>
        </w:tc>
        <w:tc>
          <w:tcPr>
            <w:tcW w:w="1517" w:type="dxa"/>
            <w:tcBorders>
              <w:left w:val="single" w:color="auto" w:sz="4" w:space="0"/>
              <w:right w:val="single" w:color="auto" w:sz="4" w:space="0"/>
            </w:tcBorders>
            <w:vAlign w:val="center"/>
          </w:tcPr>
          <w:p w14:paraId="193F352B">
            <w:pPr>
              <w:spacing w:line="360" w:lineRule="exact"/>
              <w:jc w:val="center"/>
              <w:rPr>
                <w:rFonts w:hint="eastAsia" w:ascii="宋体" w:hAnsi="宋体"/>
                <w:b/>
                <w:bCs/>
                <w:color w:val="auto"/>
                <w:szCs w:val="21"/>
                <w:highlight w:val="none"/>
              </w:rPr>
            </w:pPr>
          </w:p>
        </w:tc>
        <w:tc>
          <w:tcPr>
            <w:tcW w:w="1772" w:type="dxa"/>
            <w:tcBorders>
              <w:top w:val="single" w:color="auto" w:sz="4" w:space="0"/>
              <w:left w:val="single" w:color="auto" w:sz="4" w:space="0"/>
              <w:right w:val="single" w:color="auto" w:sz="4" w:space="0"/>
            </w:tcBorders>
            <w:vAlign w:val="center"/>
          </w:tcPr>
          <w:p w14:paraId="28E76ECA">
            <w:pPr>
              <w:adjustRightInd w:val="0"/>
              <w:spacing w:line="360" w:lineRule="exact"/>
              <w:jc w:val="center"/>
              <w:textAlignment w:val="baseline"/>
              <w:rPr>
                <w:rFonts w:hint="eastAsia" w:ascii="宋体" w:hAnsi="宋体"/>
                <w:color w:val="auto"/>
                <w:szCs w:val="21"/>
                <w:highlight w:val="none"/>
              </w:rPr>
            </w:pPr>
            <w:r>
              <w:rPr>
                <w:rFonts w:hint="eastAsia" w:ascii="宋体" w:hAnsi="宋体"/>
                <w:color w:val="auto"/>
                <w:szCs w:val="21"/>
                <w:highlight w:val="none"/>
              </w:rPr>
              <w:t>（3）业绩案例（满分5分）</w:t>
            </w:r>
          </w:p>
        </w:tc>
        <w:tc>
          <w:tcPr>
            <w:tcW w:w="5655" w:type="dxa"/>
            <w:tcBorders>
              <w:top w:val="single" w:color="auto" w:sz="4" w:space="0"/>
              <w:left w:val="single" w:color="auto" w:sz="4" w:space="0"/>
              <w:bottom w:val="single" w:color="auto" w:sz="4" w:space="0"/>
              <w:right w:val="single" w:color="auto" w:sz="4" w:space="0"/>
            </w:tcBorders>
            <w:vAlign w:val="center"/>
          </w:tcPr>
          <w:p w14:paraId="51920FC0">
            <w:pPr>
              <w:spacing w:line="360" w:lineRule="auto"/>
              <w:rPr>
                <w:rFonts w:hint="eastAsia" w:ascii="宋体" w:hAnsi="宋体" w:cs="Courier New"/>
                <w:bCs/>
                <w:color w:val="auto"/>
                <w:szCs w:val="21"/>
                <w:highlight w:val="none"/>
              </w:rPr>
            </w:pPr>
            <w:r>
              <w:rPr>
                <w:rFonts w:hint="eastAsia" w:ascii="宋体" w:hAnsi="宋体" w:cs="Courier New"/>
                <w:bCs/>
                <w:color w:val="auto"/>
                <w:szCs w:val="21"/>
                <w:highlight w:val="none"/>
              </w:rPr>
              <w:t>供应商自2023年1月1日以来类似项目业绩证明每提供一项得1分，满分5分（提供合同复印件并加盖投标人公章，时间以合同签订时间为准，否则不得分）</w:t>
            </w:r>
          </w:p>
        </w:tc>
      </w:tr>
      <w:tr w14:paraId="47D4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469" w:type="dxa"/>
            <w:gridSpan w:val="4"/>
            <w:tcBorders>
              <w:left w:val="single" w:color="auto" w:sz="4" w:space="0"/>
              <w:right w:val="single" w:color="auto" w:sz="4" w:space="0"/>
            </w:tcBorders>
            <w:vAlign w:val="center"/>
          </w:tcPr>
          <w:p w14:paraId="3BA5199C">
            <w:pPr>
              <w:spacing w:line="360" w:lineRule="exact"/>
              <w:rPr>
                <w:color w:val="auto"/>
                <w:highlight w:val="none"/>
              </w:rPr>
            </w:pPr>
            <w:r>
              <w:rPr>
                <w:rFonts w:hint="eastAsia"/>
                <w:color w:val="auto"/>
                <w:highlight w:val="none"/>
              </w:rPr>
              <w:t>总得分=1+2+3</w:t>
            </w:r>
          </w:p>
        </w:tc>
      </w:tr>
    </w:tbl>
    <w:p w14:paraId="36E4274C">
      <w:pPr>
        <w:rPr>
          <w:color w:val="auto"/>
          <w:highlight w:val="none"/>
        </w:rPr>
      </w:pPr>
    </w:p>
    <w:p w14:paraId="69C4629A">
      <w:pPr>
        <w:rPr>
          <w:color w:val="auto"/>
          <w:highlight w:val="none"/>
        </w:rPr>
      </w:pPr>
    </w:p>
    <w:p w14:paraId="2E079F8A">
      <w:pPr>
        <w:rPr>
          <w:color w:val="auto"/>
          <w:highlight w:val="none"/>
        </w:rPr>
      </w:pPr>
    </w:p>
    <w:p w14:paraId="758032B1">
      <w:pPr>
        <w:rPr>
          <w:color w:val="auto"/>
          <w:highlight w:val="none"/>
        </w:rPr>
      </w:pPr>
    </w:p>
    <w:p w14:paraId="5225AE08">
      <w:pPr>
        <w:rPr>
          <w:color w:val="auto"/>
          <w:highlight w:val="none"/>
        </w:rPr>
      </w:pPr>
    </w:p>
    <w:p w14:paraId="0A923AF5">
      <w:pPr>
        <w:pStyle w:val="35"/>
        <w:rPr>
          <w:color w:val="auto"/>
          <w:highlight w:val="none"/>
        </w:rPr>
      </w:pPr>
    </w:p>
    <w:p w14:paraId="26EC7883">
      <w:pPr>
        <w:pStyle w:val="35"/>
        <w:rPr>
          <w:color w:val="auto"/>
          <w:highlight w:val="none"/>
        </w:rPr>
      </w:pPr>
    </w:p>
    <w:p w14:paraId="58D7F335">
      <w:pPr>
        <w:pStyle w:val="35"/>
        <w:rPr>
          <w:color w:val="auto"/>
          <w:highlight w:val="none"/>
        </w:rPr>
      </w:pPr>
    </w:p>
    <w:p w14:paraId="6F9A2C3E">
      <w:pPr>
        <w:pStyle w:val="6"/>
        <w:keepNext w:val="0"/>
        <w:keepLines w:val="0"/>
        <w:ind w:firstLine="602"/>
        <w:jc w:val="center"/>
        <w:rPr>
          <w:color w:val="auto"/>
          <w:sz w:val="30"/>
          <w:szCs w:val="30"/>
          <w:highlight w:val="none"/>
        </w:rPr>
      </w:pPr>
      <w:r>
        <w:rPr>
          <w:rFonts w:hint="eastAsia"/>
          <w:color w:val="auto"/>
          <w:sz w:val="30"/>
          <w:szCs w:val="30"/>
          <w:highlight w:val="none"/>
        </w:rPr>
        <w:t>四、中标候选人推荐原则</w:t>
      </w:r>
    </w:p>
    <w:p w14:paraId="08A02742">
      <w:pPr>
        <w:pStyle w:val="18"/>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（一）综合评分法</w:t>
      </w:r>
    </w:p>
    <w:p w14:paraId="030ED5A3">
      <w:pPr>
        <w:pStyle w:val="18"/>
        <w:spacing w:line="360" w:lineRule="auto"/>
        <w:ind w:firstLine="420" w:firstLineChars="200"/>
        <w:contextualSpacing/>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评标委员会根据原始评标记录和评标结果编写评标报告，并通过电子交易平台向采购人、采购代理机构提交。</w:t>
      </w:r>
    </w:p>
    <w:p w14:paraId="6B268CB4">
      <w:pPr>
        <w:pStyle w:val="18"/>
        <w:spacing w:line="360" w:lineRule="auto"/>
        <w:ind w:firstLine="420" w:firstLineChars="200"/>
        <w:contextualSpacing/>
        <w:rPr>
          <w:rFonts w:hint="eastAsia"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评标委员会将根据总得分由高到低排列次序并推荐中标候选人。得分相同的，以投标报价由低到高顺序排列。得分相同且投标报价相同的并列，投标文件满足采购文件全部实质性要求，且按照评审因素的量化指标评审得分最高的投标人为排名第一的中标候选人。</w:t>
      </w:r>
    </w:p>
    <w:p w14:paraId="40F0C1F7">
      <w:pPr>
        <w:spacing w:before="120" w:beforeLines="50" w:after="120" w:afterLines="50" w:line="400" w:lineRule="exact"/>
        <w:rPr>
          <w:rFonts w:hint="eastAsia" w:ascii="宋体" w:hAnsi="宋体"/>
          <w:b/>
          <w:color w:val="auto"/>
          <w:sz w:val="24"/>
          <w:highlight w:val="none"/>
        </w:rPr>
      </w:pPr>
      <w:r>
        <w:rPr>
          <w:rFonts w:hAnsi="宋体"/>
          <w:color w:val="auto"/>
          <w:sz w:val="24"/>
          <w:highlight w:val="none"/>
        </w:rPr>
        <w:br w:type="page"/>
      </w:r>
    </w:p>
    <w:p w14:paraId="6F4DF2C6">
      <w:pPr>
        <w:pStyle w:val="4"/>
        <w:jc w:val="center"/>
        <w:rPr>
          <w:color w:val="auto"/>
          <w:highlight w:val="none"/>
        </w:rPr>
      </w:pPr>
      <w:bookmarkStart w:id="139" w:name="_Toc187937697"/>
      <w:r>
        <w:rPr>
          <w:rFonts w:hint="eastAsia"/>
          <w:color w:val="auto"/>
          <w:highlight w:val="none"/>
        </w:rPr>
        <w:t>第五章  拟签订的合同文本</w:t>
      </w:r>
      <w:bookmarkEnd w:id="139"/>
    </w:p>
    <w:p w14:paraId="1C67922A">
      <w:pPr>
        <w:spacing w:line="360" w:lineRule="auto"/>
        <w:jc w:val="center"/>
        <w:rPr>
          <w:rFonts w:hint="eastAsia" w:ascii="仿宋" w:hAnsi="仿宋" w:eastAsia="仿宋" w:cs="仿宋"/>
          <w:b/>
          <w:bCs/>
          <w:color w:val="auto"/>
          <w:sz w:val="24"/>
          <w:highlight w:val="none"/>
        </w:rPr>
      </w:pPr>
      <w:bookmarkStart w:id="140" w:name="_Toc112162292"/>
      <w:bookmarkStart w:id="141" w:name="_Toc24876"/>
      <w:bookmarkStart w:id="142" w:name="_Toc23453"/>
      <w:bookmarkStart w:id="143" w:name="_Toc70522891"/>
      <w:bookmarkStart w:id="144" w:name="_Toc30565"/>
      <w:bookmarkStart w:id="145" w:name="_Toc68708931"/>
      <w:bookmarkStart w:id="146" w:name="_Toc100146600"/>
      <w:bookmarkStart w:id="147" w:name="_Toc19174"/>
      <w:r>
        <w:rPr>
          <w:rFonts w:hint="eastAsia" w:ascii="仿宋" w:hAnsi="仿宋" w:eastAsia="仿宋" w:cs="仿宋"/>
          <w:b/>
          <w:bCs/>
          <w:color w:val="auto"/>
          <w:sz w:val="24"/>
          <w:highlight w:val="none"/>
        </w:rPr>
        <w:t>（本合同仅为参考样本，具体内容以采购人与中标供应商签订的内容为准）</w:t>
      </w:r>
      <w:bookmarkEnd w:id="140"/>
      <w:bookmarkEnd w:id="141"/>
      <w:bookmarkEnd w:id="142"/>
      <w:bookmarkEnd w:id="143"/>
      <w:bookmarkEnd w:id="144"/>
      <w:bookmarkEnd w:id="145"/>
      <w:bookmarkEnd w:id="146"/>
      <w:bookmarkEnd w:id="147"/>
    </w:p>
    <w:p w14:paraId="4C5F0F07">
      <w:pPr>
        <w:rPr>
          <w:color w:val="auto"/>
          <w:highlight w:val="none"/>
        </w:rPr>
      </w:pPr>
    </w:p>
    <w:p w14:paraId="75D05B1A">
      <w:pPr>
        <w:snapToGrid w:val="0"/>
        <w:jc w:val="center"/>
        <w:rPr>
          <w:rFonts w:hint="eastAsia" w:ascii="宋体" w:hAnsi="宋体"/>
          <w:bCs/>
          <w:color w:val="auto"/>
          <w:sz w:val="32"/>
          <w:szCs w:val="32"/>
          <w:highlight w:val="none"/>
        </w:rPr>
      </w:pPr>
    </w:p>
    <w:p w14:paraId="5543F34C">
      <w:pPr>
        <w:snapToGrid w:val="0"/>
        <w:jc w:val="center"/>
        <w:rPr>
          <w:rFonts w:hint="eastAsia" w:ascii="宋体" w:hAnsi="宋体"/>
          <w:bCs/>
          <w:color w:val="auto"/>
          <w:sz w:val="32"/>
          <w:szCs w:val="32"/>
          <w:highlight w:val="none"/>
        </w:rPr>
      </w:pPr>
    </w:p>
    <w:p w14:paraId="2AD99862">
      <w:pPr>
        <w:snapToGrid w:val="0"/>
        <w:jc w:val="center"/>
        <w:rPr>
          <w:rFonts w:hint="eastAsia" w:ascii="宋体" w:hAnsi="宋体"/>
          <w:bCs/>
          <w:color w:val="auto"/>
          <w:sz w:val="32"/>
          <w:szCs w:val="32"/>
          <w:highlight w:val="none"/>
        </w:rPr>
      </w:pPr>
    </w:p>
    <w:p w14:paraId="78B79F0C">
      <w:pPr>
        <w:snapToGrid w:val="0"/>
        <w:jc w:val="center"/>
        <w:rPr>
          <w:rFonts w:hint="eastAsia" w:ascii="宋体" w:hAnsi="宋体"/>
          <w:bCs/>
          <w:color w:val="auto"/>
          <w:sz w:val="32"/>
          <w:szCs w:val="32"/>
          <w:highlight w:val="none"/>
        </w:rPr>
      </w:pPr>
    </w:p>
    <w:p w14:paraId="375D7916">
      <w:pPr>
        <w:snapToGrid w:val="0"/>
        <w:jc w:val="center"/>
        <w:rPr>
          <w:rFonts w:hint="eastAsia" w:ascii="宋体" w:hAnsi="宋体"/>
          <w:bCs/>
          <w:color w:val="auto"/>
          <w:sz w:val="32"/>
          <w:szCs w:val="32"/>
          <w:highlight w:val="none"/>
        </w:rPr>
      </w:pPr>
    </w:p>
    <w:p w14:paraId="17FAFFDC">
      <w:pPr>
        <w:snapToGrid w:val="0"/>
        <w:jc w:val="center"/>
        <w:rPr>
          <w:rFonts w:hint="eastAsia" w:ascii="宋体" w:hAnsi="宋体"/>
          <w:bCs/>
          <w:color w:val="auto"/>
          <w:sz w:val="32"/>
          <w:szCs w:val="32"/>
          <w:highlight w:val="none"/>
        </w:rPr>
      </w:pPr>
    </w:p>
    <w:p w14:paraId="13365D9C">
      <w:pPr>
        <w:snapToGrid w:val="0"/>
        <w:jc w:val="center"/>
        <w:rPr>
          <w:rFonts w:hint="eastAsia" w:ascii="宋体" w:hAnsi="宋体"/>
          <w:bCs/>
          <w:color w:val="auto"/>
          <w:sz w:val="32"/>
          <w:szCs w:val="32"/>
          <w:highlight w:val="none"/>
        </w:rPr>
      </w:pPr>
    </w:p>
    <w:p w14:paraId="27B1F67A">
      <w:pPr>
        <w:snapToGrid w:val="0"/>
        <w:jc w:val="center"/>
        <w:rPr>
          <w:rFonts w:hint="eastAsia" w:ascii="宋体" w:hAnsi="宋体"/>
          <w:bCs/>
          <w:color w:val="auto"/>
          <w:sz w:val="32"/>
          <w:szCs w:val="32"/>
          <w:highlight w:val="none"/>
        </w:rPr>
        <w:sectPr>
          <w:footerReference r:id="rId9" w:type="first"/>
          <w:headerReference r:id="rId6" w:type="default"/>
          <w:footerReference r:id="rId7" w:type="default"/>
          <w:footerReference r:id="rId8" w:type="even"/>
          <w:pgSz w:w="11906" w:h="16838"/>
          <w:pgMar w:top="1701" w:right="1701" w:bottom="1701" w:left="1701" w:header="851" w:footer="992" w:gutter="0"/>
          <w:cols w:space="720" w:num="1"/>
          <w:titlePg/>
          <w:docGrid w:linePitch="312" w:charSpace="0"/>
        </w:sectPr>
      </w:pPr>
    </w:p>
    <w:p w14:paraId="714960C3">
      <w:pPr>
        <w:jc w:val="center"/>
        <w:rPr>
          <w:rFonts w:hint="eastAsia" w:ascii="黑体" w:hAnsi="黑体" w:eastAsia="黑体"/>
          <w:color w:val="auto"/>
          <w:sz w:val="32"/>
          <w:szCs w:val="32"/>
          <w:highlight w:val="none"/>
        </w:rPr>
      </w:pPr>
      <w:r>
        <w:rPr>
          <w:rFonts w:hint="eastAsia"/>
          <w:b/>
          <w:bCs/>
          <w:color w:val="auto"/>
          <w:kern w:val="44"/>
          <w:sz w:val="44"/>
          <w:szCs w:val="44"/>
          <w:highlight w:val="none"/>
        </w:rPr>
        <w:t>合同文本</w:t>
      </w:r>
    </w:p>
    <w:p w14:paraId="27120CC1">
      <w:pPr>
        <w:spacing w:line="520" w:lineRule="exact"/>
        <w:rPr>
          <w:rFonts w:hint="eastAsia" w:ascii="宋体" w:hAnsi="宋体" w:cs="Courier New"/>
          <w:b/>
          <w:color w:val="auto"/>
          <w:sz w:val="32"/>
          <w:szCs w:val="32"/>
          <w:highlight w:val="none"/>
        </w:rPr>
      </w:pPr>
    </w:p>
    <w:p w14:paraId="7A8021F3">
      <w:pPr>
        <w:snapToGrid w:val="0"/>
        <w:spacing w:line="360" w:lineRule="auto"/>
        <w:ind w:firstLine="480" w:firstLineChars="200"/>
        <w:rPr>
          <w:rFonts w:hint="eastAsia" w:hAnsi="宋体" w:eastAsia="宋体" w:cs="宋体"/>
          <w:color w:val="auto"/>
          <w:sz w:val="24"/>
          <w:highlight w:val="none"/>
          <w:u w:val="single"/>
          <w:lang w:eastAsia="zh-CN"/>
        </w:rPr>
      </w:pPr>
      <w:r>
        <w:rPr>
          <w:rFonts w:hint="eastAsia" w:hAnsi="宋体" w:cs="宋体"/>
          <w:color w:val="auto"/>
          <w:sz w:val="24"/>
          <w:highlight w:val="none"/>
        </w:rPr>
        <w:t>项目名称：</w:t>
      </w:r>
      <w:r>
        <w:rPr>
          <w:rFonts w:hint="eastAsia" w:hAnsi="宋体" w:cs="宋体"/>
          <w:color w:val="auto"/>
          <w:sz w:val="24"/>
          <w:highlight w:val="none"/>
          <w:u w:val="single"/>
          <w:lang w:eastAsia="zh-CN"/>
        </w:rPr>
        <w:t>2026年云平台基础设施运维服务项目（核心区云平台设备运维、软件运维、数字证书系统运维）</w:t>
      </w:r>
    </w:p>
    <w:p w14:paraId="20A35F51">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项目编号：</w:t>
      </w:r>
    </w:p>
    <w:p w14:paraId="368C599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甲方：（买方）</w:t>
      </w:r>
      <w:r>
        <w:rPr>
          <w:rFonts w:hint="eastAsia" w:hAnsi="宋体" w:cs="宋体"/>
          <w:color w:val="auto"/>
          <w:sz w:val="24"/>
          <w:highlight w:val="none"/>
          <w:u w:val="single"/>
        </w:rPr>
        <w:t>广西壮族自治区医疗保障局</w:t>
      </w:r>
    </w:p>
    <w:p w14:paraId="4156451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乙方：（卖方）</w:t>
      </w:r>
      <w:r>
        <w:rPr>
          <w:rFonts w:hint="eastAsia" w:hAnsi="宋体" w:cs="宋体"/>
          <w:color w:val="auto"/>
          <w:sz w:val="24"/>
          <w:highlight w:val="none"/>
          <w:u w:val="single"/>
        </w:rPr>
        <w:t xml:space="preserve">                        </w:t>
      </w:r>
    </w:p>
    <w:p w14:paraId="25A606AF">
      <w:pPr>
        <w:snapToGrid w:val="0"/>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甲、乙双方根据广西壮族自治区医疗保障局组织的项目采购的结果，签署本合同。</w:t>
      </w:r>
    </w:p>
    <w:p w14:paraId="6D5B344C">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一、购买服务内容</w:t>
      </w:r>
    </w:p>
    <w:p w14:paraId="5EF247CF">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服务期内，乙方派驻</w:t>
      </w:r>
      <w:r>
        <w:rPr>
          <w:rFonts w:hint="eastAsia" w:hAnsi="宋体" w:cs="宋体"/>
          <w:color w:val="auto"/>
          <w:sz w:val="24"/>
          <w:highlight w:val="none"/>
          <w:u w:val="single"/>
        </w:rPr>
        <w:t xml:space="preserve">   </w:t>
      </w:r>
      <w:r>
        <w:rPr>
          <w:rFonts w:hint="eastAsia" w:hAnsi="宋体" w:cs="宋体"/>
          <w:color w:val="auto"/>
          <w:sz w:val="24"/>
          <w:highlight w:val="none"/>
        </w:rPr>
        <w:t>名专职运维人员，全程为本项目提供现场运维服务，服务内容具体如下：</w:t>
      </w:r>
    </w:p>
    <w:p w14:paraId="0FB9C850">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（一）</w:t>
      </w:r>
      <w:r>
        <w:rPr>
          <w:rFonts w:hint="eastAsia" w:hAnsi="宋体" w:cs="宋体"/>
          <w:color w:val="auto"/>
          <w:sz w:val="24"/>
          <w:highlight w:val="none"/>
          <w:u w:val="single"/>
        </w:rPr>
        <w:t>日常检查维护、安全监控服务、安全通告服务、安全风险评估、安全配置与加固、配合等保测评等运维服务（具体服务内容和要求按照采购需求所列内容）。</w:t>
      </w:r>
    </w:p>
    <w:p w14:paraId="65465F0E">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（二）</w:t>
      </w:r>
      <w:r>
        <w:rPr>
          <w:rFonts w:hint="eastAsia" w:hAnsi="宋体" w:cs="宋体"/>
          <w:color w:val="auto"/>
          <w:sz w:val="24"/>
          <w:highlight w:val="none"/>
          <w:u w:val="single"/>
        </w:rPr>
        <w:t>严格执行国家医保局和广西壮族自治区医保局印发的关于医保信息平台运维相关规范和指导文件，在不同时间周期（每月、每季度、每半年、每年）出具交付成果，制定成果文件质量保障措施，确保交付物符合实际需要，文字严谨，数据真实可靠，内容详实，工作成果物包含但不限于以下文件：</w:t>
      </w:r>
    </w:p>
    <w:tbl>
      <w:tblPr>
        <w:tblStyle w:val="36"/>
        <w:tblW w:w="51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26"/>
        <w:gridCol w:w="1330"/>
        <w:gridCol w:w="2264"/>
        <w:gridCol w:w="1011"/>
        <w:gridCol w:w="2906"/>
      </w:tblGrid>
      <w:tr w14:paraId="3F5B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trPr>
        <w:tc>
          <w:tcPr>
            <w:tcW w:w="379" w:type="pct"/>
            <w:noWrap/>
            <w:vAlign w:val="center"/>
          </w:tcPr>
          <w:p w14:paraId="57B98C8D">
            <w:pPr>
              <w:widowControl/>
              <w:jc w:val="center"/>
              <w:textAlignment w:val="center"/>
              <w:rPr>
                <w:rFonts w:hint="eastAsia" w:hAnsi="宋体" w:cs="宋体"/>
                <w:b/>
                <w:bCs/>
                <w:color w:val="auto"/>
                <w:sz w:val="24"/>
                <w:highlight w:val="none"/>
              </w:rPr>
            </w:pPr>
            <w:r>
              <w:rPr>
                <w:rFonts w:hint="eastAsia" w:hAnsi="宋体" w:cs="宋体"/>
                <w:b/>
                <w:bCs/>
                <w:color w:val="auto"/>
                <w:sz w:val="24"/>
                <w:highlight w:val="none"/>
                <w:lang w:bidi="ar"/>
              </w:rPr>
              <w:t>序号</w:t>
            </w:r>
          </w:p>
        </w:tc>
        <w:tc>
          <w:tcPr>
            <w:tcW w:w="407" w:type="pct"/>
            <w:noWrap/>
            <w:vAlign w:val="center"/>
          </w:tcPr>
          <w:p w14:paraId="0451EFB8">
            <w:pPr>
              <w:widowControl/>
              <w:jc w:val="center"/>
              <w:textAlignment w:val="center"/>
              <w:rPr>
                <w:rFonts w:hint="eastAsia" w:hAnsi="宋体" w:cs="宋体"/>
                <w:b/>
                <w:bCs/>
                <w:color w:val="auto"/>
                <w:sz w:val="24"/>
                <w:highlight w:val="none"/>
              </w:rPr>
            </w:pPr>
            <w:r>
              <w:rPr>
                <w:rFonts w:hint="eastAsia" w:hAnsi="宋体" w:cs="宋体"/>
                <w:b/>
                <w:bCs/>
                <w:color w:val="auto"/>
                <w:sz w:val="24"/>
                <w:highlight w:val="none"/>
                <w:lang w:bidi="ar"/>
              </w:rPr>
              <w:t>类别</w:t>
            </w:r>
          </w:p>
        </w:tc>
        <w:tc>
          <w:tcPr>
            <w:tcW w:w="746" w:type="pct"/>
            <w:noWrap/>
            <w:vAlign w:val="center"/>
          </w:tcPr>
          <w:p w14:paraId="566607EF">
            <w:pPr>
              <w:widowControl/>
              <w:jc w:val="center"/>
              <w:textAlignment w:val="center"/>
              <w:rPr>
                <w:rFonts w:hint="eastAsia" w:hAnsi="宋体" w:cs="宋体"/>
                <w:b/>
                <w:bCs/>
                <w:color w:val="auto"/>
                <w:sz w:val="24"/>
                <w:highlight w:val="none"/>
              </w:rPr>
            </w:pPr>
            <w:r>
              <w:rPr>
                <w:rFonts w:hint="eastAsia" w:hAnsi="宋体" w:cs="宋体"/>
                <w:b/>
                <w:bCs/>
                <w:color w:val="auto"/>
                <w:sz w:val="24"/>
                <w:highlight w:val="none"/>
                <w:lang w:bidi="ar"/>
              </w:rPr>
              <w:t>服务分类</w:t>
            </w:r>
          </w:p>
        </w:tc>
        <w:tc>
          <w:tcPr>
            <w:tcW w:w="1270" w:type="pct"/>
            <w:noWrap/>
            <w:vAlign w:val="center"/>
          </w:tcPr>
          <w:p w14:paraId="234B4E77">
            <w:pPr>
              <w:widowControl/>
              <w:jc w:val="center"/>
              <w:textAlignment w:val="center"/>
              <w:rPr>
                <w:rFonts w:hint="eastAsia" w:hAnsi="宋体" w:cs="宋体"/>
                <w:b/>
                <w:bCs/>
                <w:color w:val="auto"/>
                <w:sz w:val="24"/>
                <w:highlight w:val="none"/>
              </w:rPr>
            </w:pPr>
            <w:r>
              <w:rPr>
                <w:rFonts w:hint="eastAsia" w:hAnsi="宋体" w:cs="宋体"/>
                <w:b/>
                <w:bCs/>
                <w:color w:val="auto"/>
                <w:sz w:val="24"/>
                <w:highlight w:val="none"/>
                <w:lang w:bidi="ar"/>
              </w:rPr>
              <w:t>服务内容</w:t>
            </w:r>
          </w:p>
        </w:tc>
        <w:tc>
          <w:tcPr>
            <w:tcW w:w="567" w:type="pct"/>
            <w:noWrap/>
            <w:vAlign w:val="center"/>
          </w:tcPr>
          <w:p w14:paraId="1B0E01A0">
            <w:pPr>
              <w:widowControl/>
              <w:jc w:val="center"/>
              <w:textAlignment w:val="center"/>
              <w:rPr>
                <w:rFonts w:hint="eastAsia" w:hAnsi="宋体" w:cs="宋体"/>
                <w:b/>
                <w:bCs/>
                <w:color w:val="auto"/>
                <w:sz w:val="24"/>
                <w:highlight w:val="none"/>
              </w:rPr>
            </w:pPr>
            <w:r>
              <w:rPr>
                <w:rFonts w:hint="eastAsia" w:hAnsi="宋体" w:cs="宋体"/>
                <w:b/>
                <w:bCs/>
                <w:color w:val="auto"/>
                <w:sz w:val="24"/>
                <w:highlight w:val="none"/>
                <w:lang w:bidi="ar"/>
              </w:rPr>
              <w:t>频次</w:t>
            </w:r>
          </w:p>
        </w:tc>
        <w:tc>
          <w:tcPr>
            <w:tcW w:w="1630" w:type="pct"/>
            <w:noWrap/>
            <w:vAlign w:val="center"/>
          </w:tcPr>
          <w:p w14:paraId="03611B2A">
            <w:pPr>
              <w:widowControl/>
              <w:jc w:val="center"/>
              <w:textAlignment w:val="center"/>
              <w:rPr>
                <w:rFonts w:hint="eastAsia" w:hAnsi="宋体" w:cs="宋体"/>
                <w:b/>
                <w:bCs/>
                <w:color w:val="auto"/>
                <w:sz w:val="24"/>
                <w:highlight w:val="none"/>
              </w:rPr>
            </w:pPr>
            <w:r>
              <w:rPr>
                <w:rFonts w:hint="eastAsia" w:hAnsi="宋体" w:cs="宋体"/>
                <w:b/>
                <w:bCs/>
                <w:color w:val="auto"/>
                <w:sz w:val="24"/>
                <w:highlight w:val="none"/>
                <w:lang w:bidi="ar"/>
              </w:rPr>
              <w:t>工作交付物</w:t>
            </w:r>
          </w:p>
        </w:tc>
      </w:tr>
      <w:tr w14:paraId="4CC0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3F88FBA0">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1</w:t>
            </w:r>
          </w:p>
        </w:tc>
        <w:tc>
          <w:tcPr>
            <w:tcW w:w="407" w:type="pct"/>
            <w:vMerge w:val="restart"/>
            <w:vAlign w:val="center"/>
          </w:tcPr>
          <w:p w14:paraId="0529FD6C">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服务成果</w:t>
            </w:r>
          </w:p>
        </w:tc>
        <w:tc>
          <w:tcPr>
            <w:tcW w:w="746" w:type="pct"/>
            <w:vAlign w:val="center"/>
          </w:tcPr>
          <w:p w14:paraId="36EBD8F9">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组织管理</w:t>
            </w:r>
          </w:p>
        </w:tc>
        <w:tc>
          <w:tcPr>
            <w:tcW w:w="1270" w:type="pct"/>
            <w:vAlign w:val="center"/>
          </w:tcPr>
          <w:p w14:paraId="10EF9FE7">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运维实施方案</w:t>
            </w:r>
          </w:p>
        </w:tc>
        <w:tc>
          <w:tcPr>
            <w:tcW w:w="567" w:type="pct"/>
            <w:vAlign w:val="center"/>
          </w:tcPr>
          <w:p w14:paraId="53D6136B">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一次性</w:t>
            </w:r>
          </w:p>
        </w:tc>
        <w:tc>
          <w:tcPr>
            <w:tcW w:w="1630" w:type="pct"/>
            <w:vAlign w:val="center"/>
          </w:tcPr>
          <w:p w14:paraId="56B3DA0B">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《安全系统运维实施方案》</w:t>
            </w:r>
          </w:p>
        </w:tc>
      </w:tr>
      <w:tr w14:paraId="10AF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19A976F1">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2</w:t>
            </w:r>
          </w:p>
        </w:tc>
        <w:tc>
          <w:tcPr>
            <w:tcW w:w="407" w:type="pct"/>
            <w:vMerge w:val="continue"/>
            <w:vAlign w:val="center"/>
          </w:tcPr>
          <w:p w14:paraId="1544A85C">
            <w:pPr>
              <w:widowControl/>
              <w:jc w:val="center"/>
              <w:textAlignment w:val="center"/>
              <w:rPr>
                <w:rFonts w:hint="eastAsia" w:hAnsi="宋体" w:cs="宋体"/>
                <w:color w:val="auto"/>
                <w:sz w:val="24"/>
                <w:highlight w:val="none"/>
                <w:lang w:bidi="ar"/>
              </w:rPr>
            </w:pPr>
          </w:p>
        </w:tc>
        <w:tc>
          <w:tcPr>
            <w:tcW w:w="746" w:type="pct"/>
            <w:vAlign w:val="center"/>
          </w:tcPr>
          <w:p w14:paraId="05FB9CBB">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组织管理</w:t>
            </w:r>
          </w:p>
        </w:tc>
        <w:tc>
          <w:tcPr>
            <w:tcW w:w="1270" w:type="pct"/>
            <w:vAlign w:val="center"/>
          </w:tcPr>
          <w:p w14:paraId="20B8541A">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运维人员分工</w:t>
            </w:r>
          </w:p>
        </w:tc>
        <w:tc>
          <w:tcPr>
            <w:tcW w:w="567" w:type="pct"/>
            <w:vAlign w:val="center"/>
          </w:tcPr>
          <w:p w14:paraId="5A7F3CB0">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一次性</w:t>
            </w:r>
          </w:p>
        </w:tc>
        <w:tc>
          <w:tcPr>
            <w:tcW w:w="1630" w:type="pct"/>
            <w:vAlign w:val="center"/>
          </w:tcPr>
          <w:p w14:paraId="5E482492">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《运维团队职责分工表》</w:t>
            </w:r>
          </w:p>
        </w:tc>
      </w:tr>
      <w:tr w14:paraId="24D0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462A022F">
            <w:pPr>
              <w:widowControl/>
              <w:jc w:val="center"/>
              <w:textAlignment w:val="center"/>
              <w:rPr>
                <w:rFonts w:hint="eastAsia" w:hAnsi="宋体" w:cs="宋体"/>
                <w:color w:val="auto"/>
                <w:sz w:val="24"/>
                <w:highlight w:val="none"/>
              </w:rPr>
            </w:pPr>
            <w:r>
              <w:rPr>
                <w:rFonts w:hint="eastAsia" w:hAnsi="宋体" w:cs="宋体"/>
                <w:color w:val="auto"/>
                <w:sz w:val="24"/>
                <w:highlight w:val="none"/>
              </w:rPr>
              <w:t>3</w:t>
            </w:r>
          </w:p>
        </w:tc>
        <w:tc>
          <w:tcPr>
            <w:tcW w:w="407" w:type="pct"/>
            <w:vMerge w:val="continue"/>
            <w:vAlign w:val="center"/>
          </w:tcPr>
          <w:p w14:paraId="54A293D3">
            <w:pPr>
              <w:jc w:val="center"/>
              <w:rPr>
                <w:rFonts w:hint="eastAsia" w:hAnsi="宋体" w:cs="宋体"/>
                <w:color w:val="auto"/>
                <w:sz w:val="24"/>
                <w:highlight w:val="none"/>
              </w:rPr>
            </w:pPr>
          </w:p>
        </w:tc>
        <w:tc>
          <w:tcPr>
            <w:tcW w:w="746" w:type="pct"/>
            <w:vAlign w:val="center"/>
          </w:tcPr>
          <w:p w14:paraId="7C0DDBD1">
            <w:pPr>
              <w:widowControl/>
              <w:jc w:val="center"/>
              <w:textAlignment w:val="center"/>
              <w:rPr>
                <w:rFonts w:hint="eastAsia" w:hAnsi="宋体" w:cs="宋体"/>
                <w:color w:val="auto"/>
                <w:sz w:val="24"/>
                <w:highlight w:val="none"/>
              </w:rPr>
            </w:pPr>
            <w:r>
              <w:rPr>
                <w:rFonts w:hint="eastAsia" w:hAnsi="宋体" w:cs="宋体"/>
                <w:color w:val="auto"/>
                <w:sz w:val="24"/>
                <w:highlight w:val="none"/>
              </w:rPr>
              <w:t>运行测试</w:t>
            </w:r>
          </w:p>
        </w:tc>
        <w:tc>
          <w:tcPr>
            <w:tcW w:w="1270" w:type="pct"/>
            <w:vAlign w:val="center"/>
          </w:tcPr>
          <w:p w14:paraId="3AB6DCC8">
            <w:pPr>
              <w:widowControl/>
              <w:jc w:val="center"/>
              <w:textAlignment w:val="center"/>
              <w:rPr>
                <w:rFonts w:hint="eastAsia" w:hAnsi="宋体" w:cs="宋体"/>
                <w:color w:val="auto"/>
                <w:sz w:val="24"/>
                <w:highlight w:val="none"/>
              </w:rPr>
            </w:pPr>
            <w:r>
              <w:rPr>
                <w:rFonts w:hint="eastAsia" w:hAnsi="宋体" w:cs="宋体"/>
                <w:color w:val="auto"/>
                <w:sz w:val="24"/>
                <w:highlight w:val="none"/>
              </w:rPr>
              <w:t>安全系统运行分析</w:t>
            </w:r>
          </w:p>
        </w:tc>
        <w:tc>
          <w:tcPr>
            <w:tcW w:w="567" w:type="pct"/>
            <w:vAlign w:val="center"/>
          </w:tcPr>
          <w:p w14:paraId="1440C83D">
            <w:pPr>
              <w:widowControl/>
              <w:jc w:val="center"/>
              <w:textAlignment w:val="center"/>
              <w:rPr>
                <w:rFonts w:hint="eastAsia" w:hAnsi="宋体" w:cs="宋体"/>
                <w:color w:val="auto"/>
                <w:sz w:val="24"/>
                <w:highlight w:val="none"/>
              </w:rPr>
            </w:pPr>
            <w:r>
              <w:rPr>
                <w:rFonts w:hint="eastAsia" w:hAnsi="宋体" w:cs="宋体"/>
                <w:color w:val="auto"/>
                <w:sz w:val="24"/>
                <w:highlight w:val="none"/>
              </w:rPr>
              <w:t>每季度</w:t>
            </w:r>
          </w:p>
        </w:tc>
        <w:tc>
          <w:tcPr>
            <w:tcW w:w="1630" w:type="pct"/>
            <w:vAlign w:val="center"/>
          </w:tcPr>
          <w:p w14:paraId="144E8F00">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《安全系统运行分析报告》</w:t>
            </w:r>
          </w:p>
        </w:tc>
      </w:tr>
      <w:tr w14:paraId="14CD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73B1E670">
            <w:pPr>
              <w:widowControl/>
              <w:jc w:val="center"/>
              <w:textAlignment w:val="center"/>
              <w:rPr>
                <w:rFonts w:hint="eastAsia" w:hAnsi="宋体" w:cs="宋体"/>
                <w:color w:val="auto"/>
                <w:sz w:val="24"/>
                <w:highlight w:val="none"/>
              </w:rPr>
            </w:pPr>
            <w:r>
              <w:rPr>
                <w:rFonts w:hint="eastAsia" w:hAnsi="宋体" w:cs="宋体"/>
                <w:color w:val="auto"/>
                <w:sz w:val="24"/>
                <w:highlight w:val="none"/>
              </w:rPr>
              <w:t>4</w:t>
            </w:r>
          </w:p>
        </w:tc>
        <w:tc>
          <w:tcPr>
            <w:tcW w:w="407" w:type="pct"/>
            <w:vMerge w:val="continue"/>
            <w:vAlign w:val="center"/>
          </w:tcPr>
          <w:p w14:paraId="0AE24B5B">
            <w:pPr>
              <w:jc w:val="center"/>
              <w:rPr>
                <w:rFonts w:hint="eastAsia" w:hAnsi="宋体" w:cs="宋体"/>
                <w:color w:val="auto"/>
                <w:sz w:val="24"/>
                <w:highlight w:val="none"/>
              </w:rPr>
            </w:pPr>
          </w:p>
        </w:tc>
        <w:tc>
          <w:tcPr>
            <w:tcW w:w="746" w:type="pct"/>
            <w:vAlign w:val="center"/>
          </w:tcPr>
          <w:p w14:paraId="26718E7E">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系统运维</w:t>
            </w:r>
          </w:p>
        </w:tc>
        <w:tc>
          <w:tcPr>
            <w:tcW w:w="1270" w:type="pct"/>
            <w:vAlign w:val="center"/>
          </w:tcPr>
          <w:p w14:paraId="6D744698">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日常巡检与监控</w:t>
            </w:r>
          </w:p>
        </w:tc>
        <w:tc>
          <w:tcPr>
            <w:tcW w:w="567" w:type="pct"/>
            <w:vAlign w:val="center"/>
          </w:tcPr>
          <w:p w14:paraId="20C538B8">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每周/次</w:t>
            </w:r>
          </w:p>
        </w:tc>
        <w:tc>
          <w:tcPr>
            <w:tcW w:w="1630" w:type="pct"/>
            <w:vAlign w:val="center"/>
          </w:tcPr>
          <w:p w14:paraId="491DBC4A">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《系统运维巡检报告》</w:t>
            </w:r>
          </w:p>
        </w:tc>
      </w:tr>
      <w:tr w14:paraId="70E9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232BD986">
            <w:pPr>
              <w:widowControl/>
              <w:jc w:val="center"/>
              <w:textAlignment w:val="center"/>
              <w:rPr>
                <w:rFonts w:hint="eastAsia" w:hAnsi="宋体" w:cs="宋体"/>
                <w:color w:val="auto"/>
                <w:sz w:val="24"/>
                <w:highlight w:val="none"/>
              </w:rPr>
            </w:pPr>
            <w:r>
              <w:rPr>
                <w:rFonts w:hint="eastAsia" w:hAnsi="宋体" w:cs="宋体"/>
                <w:color w:val="auto"/>
                <w:sz w:val="24"/>
                <w:highlight w:val="none"/>
              </w:rPr>
              <w:t>5</w:t>
            </w:r>
          </w:p>
        </w:tc>
        <w:tc>
          <w:tcPr>
            <w:tcW w:w="407" w:type="pct"/>
            <w:vMerge w:val="continue"/>
            <w:vAlign w:val="center"/>
          </w:tcPr>
          <w:p w14:paraId="6444B44E">
            <w:pPr>
              <w:jc w:val="center"/>
              <w:rPr>
                <w:rFonts w:hint="eastAsia" w:hAnsi="宋体" w:cs="宋体"/>
                <w:color w:val="auto"/>
                <w:sz w:val="24"/>
                <w:highlight w:val="none"/>
              </w:rPr>
            </w:pPr>
          </w:p>
        </w:tc>
        <w:tc>
          <w:tcPr>
            <w:tcW w:w="746" w:type="pct"/>
            <w:vAlign w:val="center"/>
          </w:tcPr>
          <w:p w14:paraId="3AC6113E">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质量保障</w:t>
            </w:r>
          </w:p>
        </w:tc>
        <w:tc>
          <w:tcPr>
            <w:tcW w:w="1270" w:type="pct"/>
            <w:vAlign w:val="center"/>
          </w:tcPr>
          <w:p w14:paraId="5B90497E">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运维质量分析</w:t>
            </w:r>
          </w:p>
        </w:tc>
        <w:tc>
          <w:tcPr>
            <w:tcW w:w="567" w:type="pct"/>
            <w:vAlign w:val="center"/>
          </w:tcPr>
          <w:p w14:paraId="49605C09">
            <w:pPr>
              <w:widowControl/>
              <w:jc w:val="center"/>
              <w:textAlignment w:val="center"/>
              <w:rPr>
                <w:rFonts w:hint="eastAsia" w:hAnsi="宋体" w:cs="宋体"/>
                <w:color w:val="auto"/>
                <w:sz w:val="24"/>
                <w:highlight w:val="none"/>
              </w:rPr>
            </w:pPr>
            <w:r>
              <w:rPr>
                <w:rFonts w:hint="eastAsia" w:hAnsi="宋体" w:cs="宋体"/>
                <w:color w:val="auto"/>
                <w:sz w:val="24"/>
                <w:highlight w:val="none"/>
                <w:lang w:bidi="ar"/>
              </w:rPr>
              <w:t>季度/次</w:t>
            </w:r>
          </w:p>
        </w:tc>
        <w:tc>
          <w:tcPr>
            <w:tcW w:w="1630" w:type="pct"/>
            <w:vAlign w:val="center"/>
          </w:tcPr>
          <w:p w14:paraId="10B7A960">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《运维质量分析报告》</w:t>
            </w:r>
          </w:p>
        </w:tc>
      </w:tr>
      <w:tr w14:paraId="2F04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4C0AD0E1">
            <w:pPr>
              <w:widowControl/>
              <w:jc w:val="center"/>
              <w:textAlignment w:val="center"/>
              <w:rPr>
                <w:rFonts w:hint="eastAsia" w:hAnsi="宋体" w:cs="宋体"/>
                <w:color w:val="auto"/>
                <w:sz w:val="24"/>
                <w:highlight w:val="none"/>
              </w:rPr>
            </w:pPr>
            <w:r>
              <w:rPr>
                <w:rFonts w:hint="eastAsia" w:hAnsi="宋体" w:cs="宋体"/>
                <w:color w:val="auto"/>
                <w:sz w:val="24"/>
                <w:highlight w:val="none"/>
              </w:rPr>
              <w:t>6</w:t>
            </w:r>
          </w:p>
        </w:tc>
        <w:tc>
          <w:tcPr>
            <w:tcW w:w="407" w:type="pct"/>
            <w:vMerge w:val="continue"/>
            <w:vAlign w:val="center"/>
          </w:tcPr>
          <w:p w14:paraId="55FC2313">
            <w:pPr>
              <w:jc w:val="center"/>
              <w:rPr>
                <w:rFonts w:hint="eastAsia" w:hAnsi="宋体" w:cs="宋体"/>
                <w:color w:val="auto"/>
                <w:sz w:val="24"/>
                <w:highlight w:val="none"/>
              </w:rPr>
            </w:pPr>
          </w:p>
        </w:tc>
        <w:tc>
          <w:tcPr>
            <w:tcW w:w="746" w:type="pct"/>
            <w:vAlign w:val="center"/>
          </w:tcPr>
          <w:p w14:paraId="44DA79DA">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故障处理报告</w:t>
            </w:r>
          </w:p>
        </w:tc>
        <w:tc>
          <w:tcPr>
            <w:tcW w:w="1270" w:type="pct"/>
            <w:vAlign w:val="center"/>
          </w:tcPr>
          <w:p w14:paraId="0C8173E5">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故障处理报告</w:t>
            </w:r>
          </w:p>
        </w:tc>
        <w:tc>
          <w:tcPr>
            <w:tcW w:w="567" w:type="pct"/>
            <w:vAlign w:val="center"/>
          </w:tcPr>
          <w:p w14:paraId="5D47C78B">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月/次</w:t>
            </w:r>
          </w:p>
        </w:tc>
        <w:tc>
          <w:tcPr>
            <w:tcW w:w="1630" w:type="pct"/>
            <w:vAlign w:val="center"/>
          </w:tcPr>
          <w:p w14:paraId="25BF17E8">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《安全系统运维故障处理报告》</w:t>
            </w:r>
          </w:p>
        </w:tc>
      </w:tr>
      <w:tr w14:paraId="3A7A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6C3D92C9">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7</w:t>
            </w:r>
          </w:p>
        </w:tc>
        <w:tc>
          <w:tcPr>
            <w:tcW w:w="407" w:type="pct"/>
            <w:vMerge w:val="continue"/>
            <w:vAlign w:val="center"/>
          </w:tcPr>
          <w:p w14:paraId="11351D03">
            <w:pPr>
              <w:jc w:val="center"/>
              <w:rPr>
                <w:rFonts w:hint="eastAsia" w:hAnsi="宋体" w:cs="宋体"/>
                <w:color w:val="auto"/>
                <w:sz w:val="24"/>
                <w:highlight w:val="none"/>
              </w:rPr>
            </w:pPr>
          </w:p>
        </w:tc>
        <w:tc>
          <w:tcPr>
            <w:tcW w:w="746" w:type="pct"/>
            <w:vAlign w:val="center"/>
          </w:tcPr>
          <w:p w14:paraId="3DA6B676">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安全策略管理</w:t>
            </w:r>
          </w:p>
        </w:tc>
        <w:tc>
          <w:tcPr>
            <w:tcW w:w="1270" w:type="pct"/>
            <w:vAlign w:val="center"/>
          </w:tcPr>
          <w:p w14:paraId="3FB29373">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安全策略配置方案</w:t>
            </w:r>
          </w:p>
        </w:tc>
        <w:tc>
          <w:tcPr>
            <w:tcW w:w="567" w:type="pct"/>
            <w:vAlign w:val="center"/>
          </w:tcPr>
          <w:p w14:paraId="40CF80AA">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季度/次</w:t>
            </w:r>
          </w:p>
        </w:tc>
        <w:tc>
          <w:tcPr>
            <w:tcW w:w="1630" w:type="pct"/>
            <w:vAlign w:val="center"/>
          </w:tcPr>
          <w:p w14:paraId="7387C415">
            <w:pPr>
              <w:widowControl/>
              <w:jc w:val="center"/>
              <w:textAlignment w:val="center"/>
              <w:rPr>
                <w:rFonts w:hint="eastAsia" w:hAnsi="宋体" w:cs="宋体"/>
                <w:color w:val="auto"/>
                <w:sz w:val="24"/>
                <w:highlight w:val="none"/>
                <w:lang w:bidi="ar"/>
              </w:rPr>
            </w:pPr>
            <w:r>
              <w:rPr>
                <w:rFonts w:hint="eastAsia" w:hAnsi="宋体" w:cs="宋体"/>
                <w:color w:val="auto"/>
                <w:sz w:val="24"/>
                <w:highlight w:val="none"/>
                <w:lang w:bidi="ar"/>
              </w:rPr>
              <w:t>《安全策略配置方案》</w:t>
            </w:r>
          </w:p>
        </w:tc>
      </w:tr>
    </w:tbl>
    <w:p w14:paraId="03E905B7">
      <w:pPr>
        <w:snapToGrid w:val="0"/>
        <w:spacing w:line="360" w:lineRule="auto"/>
        <w:rPr>
          <w:rFonts w:hint="eastAsia" w:hAnsi="宋体" w:cs="宋体"/>
          <w:color w:val="auto"/>
          <w:sz w:val="24"/>
          <w:highlight w:val="none"/>
        </w:rPr>
      </w:pPr>
    </w:p>
    <w:p w14:paraId="1D8CEB7D">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二、项目联系人、职责范围及乙方实施团队约定</w:t>
      </w:r>
    </w:p>
    <w:p w14:paraId="4232E21E">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为保障该项目顺利完成，根据项目要求，乙方需确定项目联系人，便于项目实施过程中日常沟通协调、过程性联络和工作确认、项目沟通函收发等必要的协调配合。乙方联系人负责统筹成员承担的工作，包括项目参与人员分工、培训，项目进度、项目质量和项目内部审核，确保项目按甲方要求按时、保质保量完成。</w:t>
      </w:r>
    </w:p>
    <w:p w14:paraId="35196C38">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乙方联系人员若有变化，须提前3个工作日以书面方式正式通知对方。乙方更换项目负责人的，需事先经甲方书面同意，并保证新的项目负责人具备实施本项目的工作能力及团队管理能力，同时不得因项目负责人变化影响项目工作质量及进度。但是乙方人员正常离职或者调岗不受到甲方限制及约束，无需甲方同意，需告知甲方并提供符合甲方要求的替换人员。</w:t>
      </w:r>
    </w:p>
    <w:p w14:paraId="2B597996">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双方明确，乙方应当对项目团队成员开展必要的安全生产教育培训。乙方团队成员履行本合同期间，发生的安全生产、意外等全部事故，由乙方自行妥善处理，给甲方或者其他第三方造成损失的，由乙方承担损失赔偿责任。</w:t>
      </w:r>
    </w:p>
    <w:p w14:paraId="229A2FC8">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三、项目实施、服务期限及地点</w:t>
      </w:r>
    </w:p>
    <w:p w14:paraId="1027DFA7">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（一）本项目服务期为合同签订后</w:t>
      </w:r>
      <w:r>
        <w:rPr>
          <w:rFonts w:hint="eastAsia" w:hAnsi="宋体" w:cs="宋体"/>
          <w:color w:val="auto"/>
          <w:sz w:val="24"/>
          <w:highlight w:val="none"/>
          <w:u w:val="single"/>
        </w:rPr>
        <w:t xml:space="preserve"> 1 </w:t>
      </w:r>
      <w:r>
        <w:rPr>
          <w:rFonts w:hint="eastAsia" w:hAnsi="宋体" w:cs="宋体"/>
          <w:color w:val="auto"/>
          <w:sz w:val="24"/>
          <w:highlight w:val="none"/>
        </w:rPr>
        <w:t>年，乙方应在项目服务期限内完成服务，并在服务期内为本服务提供可靠的运行保障。甲乙双方明确，项目具体实施周期可根据甲方工作要求进行适当调整，以甲乙双方协定完成日期和期限为准。</w:t>
      </w:r>
    </w:p>
    <w:p w14:paraId="64BBD4E5">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（二）服务地点：</w:t>
      </w:r>
      <w:r>
        <w:rPr>
          <w:rFonts w:hint="eastAsia" w:hAnsi="宋体" w:cs="宋体"/>
          <w:color w:val="auto"/>
          <w:sz w:val="24"/>
          <w:highlight w:val="none"/>
          <w:u w:val="single"/>
        </w:rPr>
        <w:t>南宁市</w:t>
      </w:r>
      <w:r>
        <w:rPr>
          <w:rFonts w:hint="eastAsia" w:hAnsi="宋体" w:cs="宋体"/>
          <w:color w:val="auto"/>
          <w:sz w:val="24"/>
          <w:highlight w:val="none"/>
        </w:rPr>
        <w:t>，具体地点根据实施项目任务需要，由甲方确定，具体地点不限于上述地点范围。</w:t>
      </w:r>
    </w:p>
    <w:p w14:paraId="14E33D1F">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四、双方权利和义务</w:t>
      </w:r>
    </w:p>
    <w:p w14:paraId="6CAC7F43">
      <w:pPr>
        <w:snapToGrid w:val="0"/>
        <w:spacing w:line="360" w:lineRule="auto"/>
        <w:ind w:firstLine="482" w:firstLineChars="200"/>
        <w:rPr>
          <w:rFonts w:hint="eastAsia" w:hAnsi="宋体" w:cs="宋体"/>
          <w:color w:val="auto"/>
          <w:sz w:val="24"/>
          <w:highlight w:val="none"/>
        </w:rPr>
      </w:pPr>
      <w:r>
        <w:rPr>
          <w:rFonts w:hint="eastAsia" w:hAnsi="宋体" w:cs="宋体"/>
          <w:b/>
          <w:bCs/>
          <w:color w:val="auto"/>
          <w:sz w:val="24"/>
          <w:highlight w:val="none"/>
        </w:rPr>
        <w:t>（一）甲方权利和义务</w:t>
      </w:r>
    </w:p>
    <w:p w14:paraId="309B259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1、甲方应在职权及法律法规、规章许可的范围内，加强相互沟通合作。做好与各处室、各关联单位的沟通协调工作，确保各项服务工作顺利开展。</w:t>
      </w:r>
    </w:p>
    <w:p w14:paraId="4AFE4CF3">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2、甲方负责按照乙方的工作统筹建议，组织相关调度推进工作会议、培训活动等，协调相关公文的印发，检查监督乙方项目的实施情况，对项目实施工作过程进行确认，期间发生的各项费用，由乙方承担。</w:t>
      </w:r>
    </w:p>
    <w:p w14:paraId="18DAF579">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3、甲方应按照合同约定及时间向乙方支付合同款。</w:t>
      </w:r>
    </w:p>
    <w:p w14:paraId="2307EBB7">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4、项目实施和服务期限内，因国家政策变动、自然灾害、数据变化、不可抗力、技术变更等因素造成项目需要变更、完善的，甲方有权要求乙方配合成果修改。</w:t>
      </w:r>
    </w:p>
    <w:p w14:paraId="01EA8D46">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5、国家法律、法规所规定由甲方承担的其它责任。</w:t>
      </w:r>
    </w:p>
    <w:p w14:paraId="1E3A55F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（二）乙方的权利和义务</w:t>
      </w:r>
    </w:p>
    <w:p w14:paraId="3F011D5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1、乙方应保质、保量完成项目合同约定的服务内容，根据工作进度需要，选派具有相应技术能力、业务能力的人员入驻甲方，为项目全过程提供技术支撑。</w:t>
      </w:r>
    </w:p>
    <w:p w14:paraId="28D00C1E">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2、乙方根据工作需要接受甲方及政府有关部门的指导，接受甲方的过程监督，有权要求甲方提供合同约定的甲方职责范围内的必要的配合和帮助。</w:t>
      </w:r>
    </w:p>
    <w:p w14:paraId="506DAF7E">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乙方应确保项目实施过程严格遵守国家有关法律、法规和规章制度。遵循中华人民共和国公布的现行有关法律、法令、法规、政策和标准、国家医疗保障局制定的医保行业有关规范和标准以及与本项目相关的其他规范和标准的最新版本执行。</w:t>
      </w:r>
    </w:p>
    <w:p w14:paraId="1AF25163">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4、乙方不得以任何名义向甲方关联单位及系统对接第三方收取接口开发、对接、调试相关的额外费用，所有接口相关服务均已包含在合同总价款中。</w:t>
      </w:r>
    </w:p>
    <w:p w14:paraId="5D2909EC">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5、乙方各单位负责各自项目验收所需的相关资料的准备及整理归档，并配合甲方完成项目验收。</w:t>
      </w:r>
    </w:p>
    <w:p w14:paraId="0A6E7D1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6、乙方在项目实施过程中应严格遵守法律、法规和规章制度。遵守甲方相关标准规范要求，加强对派驻专业技术人员的安全管理和技术统筹，确保工作阳光操作、安全运行。</w:t>
      </w:r>
    </w:p>
    <w:p w14:paraId="4BC2042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7、项目实施和服务期限内，因国家政策变动、自然灾害数据变化、不可抗力、技术变更等因素造成项目需要变更、完善的，乙方有权要求甲方提供以上变动所必需的相关政策、文件、数据及完成修改工作所必要的其他条件。</w:t>
      </w:r>
    </w:p>
    <w:p w14:paraId="6D26C886">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8、国家法律、法规所规定由乙方承担的其它责任。</w:t>
      </w:r>
    </w:p>
    <w:p w14:paraId="03E7B3E5">
      <w:pPr>
        <w:snapToGrid w:val="0"/>
        <w:spacing w:line="360" w:lineRule="auto"/>
        <w:ind w:firstLine="482" w:firstLineChars="200"/>
        <w:rPr>
          <w:rFonts w:hint="eastAsia" w:hAnsi="宋体" w:cs="宋体"/>
          <w:color w:val="auto"/>
          <w:sz w:val="24"/>
          <w:highlight w:val="none"/>
          <w:u w:val="single"/>
        </w:rPr>
      </w:pPr>
      <w:r>
        <w:rPr>
          <w:rFonts w:hint="eastAsia" w:hAnsi="宋体" w:cs="宋体"/>
          <w:b/>
          <w:color w:val="auto"/>
          <w:sz w:val="24"/>
          <w:highlight w:val="none"/>
        </w:rPr>
        <w:t>五、项目验收</w:t>
      </w:r>
    </w:p>
    <w:p w14:paraId="6AED0B5D">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以甲方验收要求为准，并对验收标准拥有解释权。</w:t>
      </w:r>
    </w:p>
    <w:p w14:paraId="22D9F150">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（一）乙方按完成和服务期限要求，对提供的服务内容和成果做出全面自查和整理，并列出清单，做好相关资料的整理和归档，作为甲方验收的依据；</w:t>
      </w:r>
    </w:p>
    <w:p w14:paraId="1E0B4DB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二）甲方依据乙方提交的各类成果资料，组织开展项目验收，通过验收后由甲方出具项目验收报告。若项目经甲方或相关单位验收未通过，乙方应及时整改，直至通过甲方及相关单位的验收时止，因此产生的费用由乙方全部承担。</w:t>
      </w:r>
    </w:p>
    <w:p w14:paraId="32B18CDF">
      <w:pPr>
        <w:pStyle w:val="2"/>
        <w:spacing w:line="360" w:lineRule="auto"/>
        <w:ind w:firstLine="240"/>
        <w:rPr>
          <w:color w:val="auto"/>
          <w:highlight w:val="none"/>
        </w:rPr>
      </w:pPr>
      <w:r>
        <w:rPr>
          <w:rFonts w:hint="eastAsia" w:hAnsi="宋体" w:cs="宋体"/>
          <w:color w:val="auto"/>
          <w:sz w:val="24"/>
          <w:highlight w:val="none"/>
        </w:rPr>
        <w:t>（三）双方约定本项目运维服务实行绩效考核制度，考核周期为半年一次，具体考核规则、评分标准按照《广西壮族自治区医疗保障信息平台运维服务考核管理办法》执行。甲方依该办法实施考核管理，乙方自愿接受考核约束，考核结果作为验收依据。</w:t>
      </w:r>
    </w:p>
    <w:p w14:paraId="6076189B">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六、合同金额及付款方式</w:t>
      </w:r>
    </w:p>
    <w:p w14:paraId="2D9AEB18">
      <w:pPr>
        <w:snapToGrid w:val="0"/>
        <w:spacing w:line="360" w:lineRule="auto"/>
        <w:ind w:firstLine="482" w:firstLineChars="200"/>
        <w:rPr>
          <w:rFonts w:hint="eastAsia" w:hAnsi="宋体" w:cs="宋体"/>
          <w:b/>
          <w:bCs/>
          <w:color w:val="auto"/>
          <w:sz w:val="24"/>
          <w:highlight w:val="none"/>
        </w:rPr>
      </w:pPr>
      <w:r>
        <w:rPr>
          <w:rFonts w:hint="eastAsia" w:hAnsi="宋体" w:cs="宋体"/>
          <w:b/>
          <w:bCs/>
          <w:color w:val="auto"/>
          <w:sz w:val="24"/>
          <w:highlight w:val="none"/>
        </w:rPr>
        <w:t>（一）本合同总金额：大写人民币</w:t>
      </w:r>
      <w:r>
        <w:rPr>
          <w:rFonts w:hint="eastAsia" w:hAnsi="宋体" w:cs="宋体"/>
          <w:b/>
          <w:bCs/>
          <w:color w:val="auto"/>
          <w:sz w:val="24"/>
          <w:highlight w:val="none"/>
          <w:u w:val="single"/>
        </w:rPr>
        <w:t xml:space="preserve">        </w:t>
      </w:r>
      <w:r>
        <w:rPr>
          <w:rFonts w:hint="eastAsia" w:hAnsi="宋体" w:cs="宋体"/>
          <w:b/>
          <w:bCs/>
          <w:color w:val="auto"/>
          <w:sz w:val="24"/>
          <w:highlight w:val="none"/>
        </w:rPr>
        <w:t>元,小写（¥</w:t>
      </w:r>
      <w:r>
        <w:rPr>
          <w:rFonts w:hint="eastAsia" w:hAnsi="宋体" w:cs="宋体"/>
          <w:b/>
          <w:bCs/>
          <w:color w:val="auto"/>
          <w:sz w:val="24"/>
          <w:highlight w:val="none"/>
          <w:u w:val="single"/>
        </w:rPr>
        <w:t xml:space="preserve">            </w:t>
      </w:r>
      <w:r>
        <w:rPr>
          <w:rFonts w:hint="eastAsia" w:hAnsi="宋体" w:cs="宋体"/>
          <w:b/>
          <w:bCs/>
          <w:color w:val="auto"/>
          <w:sz w:val="24"/>
          <w:highlight w:val="none"/>
        </w:rPr>
        <w:t>）。</w:t>
      </w:r>
    </w:p>
    <w:p w14:paraId="2B39CA11">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甲乙双方明确，上述合同价款为乙方实施本合同约定服务事项，并达到甲方验收合格标准，合同履行过程中，采购人不再支付任何费用。包括但不限于：</w:t>
      </w:r>
    </w:p>
    <w:p w14:paraId="6309B98D">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1.服务的费用，包括技术支持、培训、运维服务、驻场服务（如有）、交通费、差旅费、住宿费、伙食费、通讯费等；</w:t>
      </w:r>
    </w:p>
    <w:p w14:paraId="07204C17">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2.必要的代理服务费、保险费用和各项税金；</w:t>
      </w:r>
    </w:p>
    <w:p w14:paraId="7D13B71D">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3.服务时所需的备品和备件的费用；</w:t>
      </w:r>
    </w:p>
    <w:p w14:paraId="7864CC8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4.根据合同规定，履行合同可能产生的其他费用。</w:t>
      </w:r>
    </w:p>
    <w:p w14:paraId="4E07D7D2">
      <w:pPr>
        <w:snapToGrid w:val="0"/>
        <w:spacing w:line="360" w:lineRule="auto"/>
        <w:ind w:firstLine="482" w:firstLineChars="200"/>
        <w:rPr>
          <w:rFonts w:hint="eastAsia" w:hAnsi="宋体" w:cs="宋体"/>
          <w:b/>
          <w:bCs/>
          <w:color w:val="auto"/>
          <w:sz w:val="24"/>
          <w:highlight w:val="none"/>
        </w:rPr>
      </w:pPr>
      <w:r>
        <w:rPr>
          <w:rFonts w:hint="eastAsia" w:hAnsi="宋体" w:cs="宋体"/>
          <w:b/>
          <w:bCs/>
          <w:color w:val="auto"/>
          <w:sz w:val="24"/>
          <w:highlight w:val="none"/>
        </w:rPr>
        <w:t>（二）付款方式：</w:t>
      </w:r>
    </w:p>
    <w:p w14:paraId="1DEF7FB6">
      <w:pPr>
        <w:snapToGrid w:val="0"/>
        <w:spacing w:line="360" w:lineRule="auto"/>
        <w:ind w:firstLine="482" w:firstLineChars="200"/>
        <w:rPr>
          <w:rFonts w:hint="eastAsia" w:hAnsi="宋体" w:cs="宋体"/>
          <w:color w:val="auto"/>
          <w:sz w:val="24"/>
          <w:highlight w:val="none"/>
        </w:rPr>
      </w:pPr>
      <w:r>
        <w:rPr>
          <w:rFonts w:hint="eastAsia" w:hAnsi="宋体" w:cs="宋体"/>
          <w:b/>
          <w:bCs/>
          <w:color w:val="auto"/>
          <w:sz w:val="24"/>
          <w:highlight w:val="none"/>
        </w:rPr>
        <w:t>货款支付</w:t>
      </w:r>
    </w:p>
    <w:p w14:paraId="08033C97">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第一次付款：</w:t>
      </w:r>
      <w:r>
        <w:rPr>
          <w:rFonts w:hint="eastAsia" w:hAnsi="宋体" w:cs="宋体"/>
          <w:color w:val="auto"/>
          <w:sz w:val="24"/>
          <w:highlight w:val="none"/>
          <w:u w:val="single"/>
        </w:rPr>
        <w:t>完成合同签订后，甲方自收到乙方提供的相应金额发票后</w:t>
      </w:r>
      <w:r>
        <w:rPr>
          <w:rFonts w:hint="eastAsia" w:hAnsi="宋体" w:cs="宋体"/>
          <w:color w:val="auto"/>
          <w:sz w:val="24"/>
          <w:highlight w:val="none"/>
        </w:rPr>
        <w:t>15个工作日内，甲方向乙方支付合同总额的30%；</w:t>
      </w:r>
    </w:p>
    <w:p w14:paraId="7F382DA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第二次付款：</w:t>
      </w:r>
      <w:r>
        <w:rPr>
          <w:rFonts w:hint="eastAsia" w:hAnsi="宋体" w:cs="宋体"/>
          <w:color w:val="auto"/>
          <w:sz w:val="24"/>
          <w:highlight w:val="none"/>
          <w:u w:val="single"/>
        </w:rPr>
        <w:t>服务期满50%周期后，甲方自收到乙方提供的相应金额发票后</w:t>
      </w:r>
      <w:r>
        <w:rPr>
          <w:rFonts w:hint="eastAsia" w:hAnsi="宋体" w:cs="宋体"/>
          <w:color w:val="auto"/>
          <w:sz w:val="24"/>
          <w:highlight w:val="none"/>
        </w:rPr>
        <w:t>15个工作日内，甲方向乙方支付合同总额的50%；</w:t>
      </w:r>
    </w:p>
    <w:p w14:paraId="293CD788">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第三次付款：</w:t>
      </w:r>
      <w:r>
        <w:rPr>
          <w:rFonts w:hint="eastAsia" w:hAnsi="宋体" w:cs="宋体"/>
          <w:color w:val="auto"/>
          <w:sz w:val="24"/>
          <w:highlight w:val="none"/>
          <w:u w:val="single"/>
        </w:rPr>
        <w:t>完成项目验收后，甲方自收到乙方提供的相应金额发票后</w:t>
      </w:r>
      <w:r>
        <w:rPr>
          <w:rFonts w:hint="eastAsia" w:hAnsi="宋体" w:cs="宋体"/>
          <w:color w:val="auto"/>
          <w:sz w:val="24"/>
          <w:highlight w:val="none"/>
        </w:rPr>
        <w:t>15个工作日内，甲方向乙方支付合同总额的20%；</w:t>
      </w:r>
    </w:p>
    <w:p w14:paraId="1E255127">
      <w:pPr>
        <w:snapToGrid w:val="0"/>
        <w:spacing w:line="360" w:lineRule="auto"/>
        <w:ind w:firstLine="482" w:firstLineChars="200"/>
        <w:rPr>
          <w:rFonts w:hint="eastAsia" w:hAnsi="宋体" w:cs="宋体"/>
          <w:color w:val="auto"/>
          <w:sz w:val="24"/>
          <w:highlight w:val="none"/>
        </w:rPr>
      </w:pPr>
      <w:r>
        <w:rPr>
          <w:rFonts w:hint="eastAsia" w:hAnsi="宋体" w:cs="宋体"/>
          <w:b/>
          <w:bCs/>
          <w:color w:val="auto"/>
          <w:sz w:val="24"/>
          <w:highlight w:val="none"/>
        </w:rPr>
        <w:t>（三）乙方单位开户银行名称和账号为：</w:t>
      </w:r>
    </w:p>
    <w:p w14:paraId="18A7095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账户名称：</w:t>
      </w:r>
      <w:r>
        <w:rPr>
          <w:rFonts w:hint="eastAsia" w:hAnsi="宋体" w:cs="宋体"/>
          <w:color w:val="auto"/>
          <w:sz w:val="24"/>
          <w:highlight w:val="none"/>
          <w:u w:val="single"/>
        </w:rPr>
        <w:t xml:space="preserve">                </w:t>
      </w:r>
    </w:p>
    <w:p w14:paraId="5B1EA6C6">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开户银行：</w:t>
      </w:r>
      <w:r>
        <w:rPr>
          <w:rFonts w:hint="eastAsia" w:hAnsi="宋体" w:cs="宋体"/>
          <w:color w:val="auto"/>
          <w:sz w:val="24"/>
          <w:highlight w:val="none"/>
          <w:u w:val="single"/>
        </w:rPr>
        <w:t xml:space="preserve">                </w:t>
      </w:r>
    </w:p>
    <w:p w14:paraId="41F0D50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账号：</w:t>
      </w:r>
      <w:r>
        <w:rPr>
          <w:rFonts w:hint="eastAsia" w:hAnsi="宋体" w:cs="宋体"/>
          <w:color w:val="auto"/>
          <w:sz w:val="24"/>
          <w:highlight w:val="none"/>
          <w:u w:val="single"/>
        </w:rPr>
        <w:t xml:space="preserve">                 </w:t>
      </w:r>
    </w:p>
    <w:p w14:paraId="4F29DC0A">
      <w:pPr>
        <w:snapToGrid w:val="0"/>
        <w:spacing w:line="360" w:lineRule="auto"/>
        <w:ind w:firstLine="482" w:firstLineChars="200"/>
        <w:rPr>
          <w:rFonts w:hint="eastAsia" w:hAnsi="宋体" w:cs="宋体"/>
          <w:color w:val="auto"/>
          <w:sz w:val="24"/>
          <w:highlight w:val="none"/>
        </w:rPr>
      </w:pPr>
      <w:r>
        <w:rPr>
          <w:rFonts w:hint="eastAsia" w:hAnsi="宋体" w:cs="宋体"/>
          <w:b/>
          <w:color w:val="auto"/>
          <w:sz w:val="24"/>
          <w:highlight w:val="none"/>
        </w:rPr>
        <w:t>七、知识产权和保密管理</w:t>
      </w:r>
    </w:p>
    <w:p w14:paraId="13EB4BB2">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一）乙方保证其合同履行过程及其向甲方提供的工作成果不侵犯任何第三方的合法权利，包括但不限于专利权、商标权、著作权及其邻接权和其他权利。乙方在本次服务过程中收集、整理及生成的资料数据、项目源代码及相关成果的知识产权归甲方所有。乙方违反本协议知识产权约定，给甲方造成损失的，由乙方各单位根据违约情况分别承担损失赔偿责任，乙方各单位责任无法区分的，由乙方单位共同连带承担。</w:t>
      </w:r>
    </w:p>
    <w:p w14:paraId="44C399E5">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二）乙方不得向任何第三方（甲方指定的协作单位或审查同意的除外）披露所接触到的或以其他任何方式获知的医保数据和保密资料，也不得为其他目的而引用。未经甲方书面同意，乙方不得将本合同及其成果用于其他用途或泄露给第三方。乙方完成本项目实施后，应及时将所有资料移交甲方。</w:t>
      </w:r>
    </w:p>
    <w:p w14:paraId="1EF3C2CE">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（三）对医保数据、保密资料承担责任的范围包括乙方以及乙方的工作人员。乙方员工因违反本合同中的保密信息而给对方造成损失的，该员工所在单位应承担相应的责任。</w:t>
      </w:r>
    </w:p>
    <w:p w14:paraId="08851FCC">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（四）乙方若出现违反本条第一至三款约定的情形，</w:t>
      </w:r>
      <w:bookmarkStart w:id="148" w:name="_Hlk230029060"/>
      <w:r>
        <w:rPr>
          <w:rFonts w:hint="eastAsia" w:hAnsi="宋体" w:cs="宋体"/>
          <w:color w:val="auto"/>
          <w:sz w:val="24"/>
          <w:highlight w:val="none"/>
        </w:rPr>
        <w:t>赔偿甲方因此遭受的全部损失</w:t>
      </w:r>
      <w:bookmarkEnd w:id="148"/>
      <w:r>
        <w:rPr>
          <w:rFonts w:hint="eastAsia" w:hAnsi="宋体" w:cs="宋体"/>
          <w:color w:val="auto"/>
          <w:sz w:val="24"/>
          <w:highlight w:val="none"/>
        </w:rPr>
        <w:t>。</w:t>
      </w:r>
    </w:p>
    <w:p w14:paraId="7621891B">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八、违约责任</w:t>
      </w:r>
    </w:p>
    <w:p w14:paraId="7F95D341">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（一）乙方各单位提供的服务存在以下情况的属于重大违约，除应赔偿甲方因此遭受的全部损失，甲方有权解除合同：</w:t>
      </w:r>
    </w:p>
    <w:p w14:paraId="31D66DF5">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1.</w:t>
      </w:r>
      <w:r>
        <w:rPr>
          <w:rFonts w:hint="eastAsia" w:hAnsi="宋体" w:cs="宋体"/>
          <w:bCs/>
          <w:color w:val="auto"/>
          <w:sz w:val="24"/>
          <w:highlight w:val="none"/>
        </w:rPr>
        <w:tab/>
      </w:r>
      <w:r>
        <w:rPr>
          <w:rFonts w:hint="eastAsia" w:hAnsi="宋体" w:cs="宋体"/>
          <w:bCs/>
          <w:color w:val="auto"/>
          <w:sz w:val="24"/>
          <w:highlight w:val="none"/>
        </w:rPr>
        <w:t>因运维失职或操作不当造成医保平台长时间大范围瘫痪，影响全区医保业务正常办理的；</w:t>
      </w:r>
    </w:p>
    <w:p w14:paraId="0A4527E6">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2.</w:t>
      </w:r>
      <w:r>
        <w:rPr>
          <w:rFonts w:hint="eastAsia" w:hAnsi="宋体" w:cs="宋体"/>
          <w:bCs/>
          <w:color w:val="auto"/>
          <w:sz w:val="24"/>
          <w:highlight w:val="none"/>
        </w:rPr>
        <w:tab/>
      </w:r>
      <w:r>
        <w:rPr>
          <w:rFonts w:hint="eastAsia" w:hAnsi="宋体" w:cs="宋体"/>
          <w:bCs/>
          <w:color w:val="auto"/>
          <w:sz w:val="24"/>
          <w:highlight w:val="none"/>
        </w:rPr>
        <w:t>因运维操作不当发生医保数据泄露、数据篡改等重大安全事故的；</w:t>
      </w:r>
    </w:p>
    <w:p w14:paraId="1A185881">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3.</w:t>
      </w:r>
      <w:r>
        <w:rPr>
          <w:rFonts w:hint="eastAsia" w:hAnsi="宋体" w:cs="宋体"/>
          <w:bCs/>
          <w:color w:val="auto"/>
          <w:sz w:val="24"/>
          <w:highlight w:val="none"/>
        </w:rPr>
        <w:tab/>
      </w:r>
      <w:r>
        <w:rPr>
          <w:rFonts w:hint="eastAsia" w:hAnsi="宋体" w:cs="宋体"/>
          <w:bCs/>
          <w:color w:val="auto"/>
          <w:sz w:val="24"/>
          <w:highlight w:val="none"/>
        </w:rPr>
        <w:t>擅自更改医保系统参数、违规操作造成重大业务差错、基金风险的；</w:t>
      </w:r>
    </w:p>
    <w:p w14:paraId="33081E50">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4. 将云资源擅自用于其他用途、私开其他业务、违规使用运维线路等影响医保平台正常业务的。</w:t>
      </w:r>
    </w:p>
    <w:p w14:paraId="597FA78C">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（二）乙方各单位提供的服务不符合本合同及附件、招标文件</w:t>
      </w:r>
    </w:p>
    <w:p w14:paraId="114B8073">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投标文件或乙方相关承诺的约定的，乙方各单位应当按照甲方要求及时更正或修改，直至通过验收，并承担由此产生的全部费用。</w:t>
      </w:r>
    </w:p>
    <w:p w14:paraId="188B8669">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三）乙方各单位未能按本合同约定提供运维服务的，甲方提出整改要求后三十天仍不能满足要求的，乙方应按照合同总金额的10%向甲方支付违约金；如出现连续两个月未满足整改要求的，乙方应按该子项目预算的30%向甲方支付违约金，甲方有权单方解除合同。</w:t>
      </w:r>
    </w:p>
    <w:p w14:paraId="3BB01A53">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（四）本合同因国家政策或者甲方原因，未完全履约而终止的，乙方有权就已经履约产生的成果向甲方收取相应的经济利益，具体标准由甲乙双方协商确定，甲方支付成果对价后，乙方将成果交付甲方。</w:t>
      </w:r>
    </w:p>
    <w:p w14:paraId="6DEEB41F">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（五）乙方各单位向甲方提交的所有数据资料和成果必须保证真实可靠，发现存在弄虚作假行为的，甲方有权要求弄虚作假的乙方单位赔偿甲方损失。</w:t>
      </w:r>
    </w:p>
    <w:p w14:paraId="7980FE85">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（六）达到付款条件后，甲方应按时支付服务款项的。</w:t>
      </w:r>
    </w:p>
    <w:p w14:paraId="64B13EDB">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（七）一方违约，除按本合同约定，承担相应违约责任，赔偿守约方损失，还应当承担守约方为主张合法权益，发生的诉讼费、律师费、保全费、保全担保费、邮寄费、执行费、鉴定费、公证费等全部费用支出。</w:t>
      </w:r>
    </w:p>
    <w:p w14:paraId="7EC55236">
      <w:pPr>
        <w:snapToGrid w:val="0"/>
        <w:spacing w:line="360" w:lineRule="auto"/>
        <w:ind w:firstLine="480" w:firstLineChars="200"/>
        <w:rPr>
          <w:rFonts w:hint="eastAsia" w:hAnsi="宋体" w:cs="宋体"/>
          <w:b/>
          <w:color w:val="auto"/>
          <w:sz w:val="24"/>
          <w:highlight w:val="none"/>
        </w:rPr>
      </w:pPr>
      <w:r>
        <w:rPr>
          <w:rFonts w:hint="eastAsia" w:hAnsi="宋体" w:cs="宋体"/>
          <w:bCs/>
          <w:color w:val="auto"/>
          <w:sz w:val="24"/>
          <w:highlight w:val="none"/>
        </w:rPr>
        <w:t>（八）其它违约责任按《中华人民共和国民法典》处理。</w:t>
      </w:r>
    </w:p>
    <w:p w14:paraId="72EFEF14">
      <w:pPr>
        <w:snapToGrid w:val="0"/>
        <w:spacing w:line="360" w:lineRule="auto"/>
        <w:ind w:firstLine="482" w:firstLineChars="200"/>
        <w:rPr>
          <w:rFonts w:hint="eastAsia" w:hAnsi="宋体" w:cs="宋体"/>
          <w:bCs/>
          <w:color w:val="auto"/>
          <w:sz w:val="24"/>
          <w:highlight w:val="none"/>
        </w:rPr>
      </w:pPr>
      <w:r>
        <w:rPr>
          <w:rFonts w:hint="eastAsia" w:hAnsi="宋体" w:cs="宋体"/>
          <w:b/>
          <w:color w:val="auto"/>
          <w:sz w:val="24"/>
          <w:highlight w:val="none"/>
        </w:rPr>
        <w:t>九、不可抗力</w:t>
      </w:r>
    </w:p>
    <w:p w14:paraId="79B3D011">
      <w:pPr>
        <w:snapToGrid w:val="0"/>
        <w:spacing w:line="360" w:lineRule="auto"/>
        <w:ind w:firstLine="480" w:firstLineChars="200"/>
        <w:rPr>
          <w:rFonts w:hint="eastAsia" w:hAnsi="宋体" w:cs="宋体"/>
          <w:bCs/>
          <w:color w:val="auto"/>
          <w:sz w:val="24"/>
          <w:highlight w:val="none"/>
        </w:rPr>
      </w:pPr>
      <w:r>
        <w:rPr>
          <w:rFonts w:hint="eastAsia" w:hAnsi="宋体" w:cs="宋体"/>
          <w:bCs/>
          <w:color w:val="auto"/>
          <w:sz w:val="24"/>
          <w:highlight w:val="none"/>
        </w:rPr>
        <w:t>在合同有效期内，任何一方由于不可抗力原因（指不能预见、不能避免、不能克服的客观情况，如地震、台风、洪水、战争、疫情等）不能履行合同时，不可抗力原因发生时应及时通知对方，乙方在不可抗力发生期间应采取必要措施减少甲方损失，不可抗力原因消失后，乙方应继续履行合同，并应根据甲方项目工作需要保质保量完成任务。</w:t>
      </w:r>
    </w:p>
    <w:p w14:paraId="02421B7C">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十.通知送达</w:t>
      </w:r>
    </w:p>
    <w:p w14:paraId="3D25088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本合同载明的双方地址、电话、邮箱等联系方式，系双方的有效联系方式，如发生变更，应提前3日书面告知对方。否则一方按照本合同约定联系方式或双方工商登记备案的地址、邮箱等任一联系方式给另一方发出相关文书（包括诉讼、仲裁各阶段相关法律文书）的，邮政信函于投寄之日起第三日或退回之日即视为已送达；派人专程递送的，签收日视为送达；以邮箱、彩信、短信及其他方式发出的，发出之日即视为送达。</w:t>
      </w:r>
    </w:p>
    <w:p w14:paraId="50C55B38">
      <w:pPr>
        <w:numPr>
          <w:ilvl w:val="0"/>
          <w:numId w:val="15"/>
        </w:num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争议解决</w:t>
      </w:r>
    </w:p>
    <w:p w14:paraId="3E494FF5">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双方因履行本合同而发生的争议，应协商、调解解决。协商、调解不成的，确定按以下方式处理：依法向甲方所在地有管辖权的人民法院起诉。</w:t>
      </w:r>
    </w:p>
    <w:p w14:paraId="1D8D30F7">
      <w:pPr>
        <w:snapToGrid w:val="0"/>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十二、其它</w:t>
      </w:r>
    </w:p>
    <w:p w14:paraId="4C9C27BB">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（一）本合同在甲乙双方法定代表人或其授权代表签字及加盖单位公章后生效。</w:t>
      </w:r>
    </w:p>
    <w:p w14:paraId="1DAD0D06">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（二）本合同不涉及其他关联交易。</w:t>
      </w:r>
    </w:p>
    <w:p w14:paraId="12D95BBA">
      <w:pPr>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（三）本合同</w:t>
      </w:r>
      <w:r>
        <w:rPr>
          <w:rFonts w:hint="eastAsia" w:hAnsi="宋体" w:cs="宋体"/>
          <w:color w:val="auto"/>
          <w:sz w:val="24"/>
          <w:highlight w:val="none"/>
          <w:u w:val="single"/>
        </w:rPr>
        <w:t xml:space="preserve"> 肆</w:t>
      </w:r>
      <w:r>
        <w:rPr>
          <w:color w:val="auto"/>
          <w:sz w:val="24"/>
          <w:highlight w:val="none"/>
          <w:u w:val="single"/>
        </w:rPr>
        <w:t>‌</w:t>
      </w:r>
      <w:r>
        <w:rPr>
          <w:rFonts w:hint="eastAsia" w:hAnsi="宋体" w:cs="宋体"/>
          <w:color w:val="auto"/>
          <w:sz w:val="24"/>
          <w:highlight w:val="none"/>
          <w:u w:val="single"/>
        </w:rPr>
        <w:t xml:space="preserve"> </w:t>
      </w:r>
      <w:r>
        <w:rPr>
          <w:rFonts w:hint="eastAsia" w:hAnsi="宋体" w:cs="宋体"/>
          <w:color w:val="auto"/>
          <w:sz w:val="24"/>
          <w:highlight w:val="none"/>
        </w:rPr>
        <w:t>份，甲方</w:t>
      </w:r>
      <w:r>
        <w:rPr>
          <w:rFonts w:hint="eastAsia" w:hAnsi="宋体" w:cs="宋体"/>
          <w:color w:val="auto"/>
          <w:sz w:val="24"/>
          <w:highlight w:val="none"/>
          <w:u w:val="single"/>
        </w:rPr>
        <w:t xml:space="preserve"> 贰</w:t>
      </w:r>
      <w:r>
        <w:rPr>
          <w:color w:val="auto"/>
          <w:sz w:val="24"/>
          <w:highlight w:val="none"/>
          <w:u w:val="single"/>
        </w:rPr>
        <w:t>‌</w:t>
      </w:r>
      <w:r>
        <w:rPr>
          <w:rFonts w:hint="eastAsia" w:hAnsi="宋体" w:cs="宋体"/>
          <w:color w:val="auto"/>
          <w:sz w:val="24"/>
          <w:highlight w:val="none"/>
          <w:u w:val="single"/>
        </w:rPr>
        <w:t xml:space="preserve"> </w:t>
      </w:r>
      <w:r>
        <w:rPr>
          <w:rFonts w:hint="eastAsia" w:hAnsi="宋体" w:cs="宋体"/>
          <w:color w:val="auto"/>
          <w:sz w:val="24"/>
          <w:highlight w:val="none"/>
        </w:rPr>
        <w:t>份，乙方</w:t>
      </w:r>
      <w:r>
        <w:rPr>
          <w:rFonts w:hint="eastAsia" w:hAnsi="宋体" w:cs="宋体"/>
          <w:color w:val="auto"/>
          <w:sz w:val="24"/>
          <w:highlight w:val="none"/>
          <w:u w:val="single"/>
        </w:rPr>
        <w:t xml:space="preserve"> 贰</w:t>
      </w:r>
      <w:r>
        <w:rPr>
          <w:color w:val="auto"/>
          <w:sz w:val="24"/>
          <w:highlight w:val="none"/>
          <w:u w:val="single"/>
        </w:rPr>
        <w:t>‌</w:t>
      </w:r>
      <w:r>
        <w:rPr>
          <w:rFonts w:hint="eastAsia" w:hAnsi="宋体" w:cs="宋体"/>
          <w:color w:val="auto"/>
          <w:sz w:val="24"/>
          <w:highlight w:val="none"/>
          <w:u w:val="single"/>
        </w:rPr>
        <w:t xml:space="preserve"> </w:t>
      </w:r>
      <w:r>
        <w:rPr>
          <w:rFonts w:hint="eastAsia" w:hAnsi="宋体" w:cs="宋体"/>
          <w:color w:val="auto"/>
          <w:sz w:val="24"/>
          <w:highlight w:val="none"/>
        </w:rPr>
        <w:t>份，经双方法定代表人或其授权代表签字并加盖单位公章之日起生效，均具有同等法律效力。</w:t>
      </w:r>
    </w:p>
    <w:p w14:paraId="37A0990E">
      <w:pPr>
        <w:snapToGrid w:val="0"/>
        <w:ind w:firstLine="480" w:firstLineChars="200"/>
        <w:rPr>
          <w:rFonts w:hint="eastAsia" w:hAnsi="宋体" w:cs="宋体"/>
          <w:color w:val="auto"/>
          <w:sz w:val="24"/>
          <w:highlight w:val="none"/>
        </w:rPr>
      </w:pPr>
      <w:r>
        <w:rPr>
          <w:rFonts w:hint="eastAsia" w:hAnsi="宋体" w:cs="宋体"/>
          <w:color w:val="auto"/>
          <w:sz w:val="24"/>
          <w:highlight w:val="none"/>
        </w:rPr>
        <w:t>（四）本合同附件与本合同具有同等法律效力。</w:t>
      </w:r>
    </w:p>
    <w:p w14:paraId="271C878D">
      <w:pPr>
        <w:snapToGrid w:val="0"/>
        <w:ind w:firstLine="480" w:firstLineChars="200"/>
        <w:rPr>
          <w:rFonts w:hint="eastAsia" w:hAnsi="宋体" w:cs="宋体"/>
          <w:color w:val="auto"/>
          <w:sz w:val="24"/>
          <w:highlight w:val="none"/>
        </w:rPr>
      </w:pPr>
    </w:p>
    <w:p w14:paraId="0C89016B">
      <w:pPr>
        <w:pStyle w:val="18"/>
        <w:snapToGrid w:val="0"/>
        <w:spacing w:before="120" w:after="120" w:line="0" w:lineRule="atLeast"/>
        <w:ind w:left="480" w:hanging="480" w:hangingChars="200"/>
        <w:rPr>
          <w:rFonts w:hint="eastAsia" w:hAnsi="宋体" w:cs="宋体"/>
          <w:color w:val="auto"/>
          <w:sz w:val="24"/>
          <w:szCs w:val="24"/>
          <w:highlight w:val="none"/>
        </w:rPr>
      </w:pPr>
      <w:r>
        <w:rPr>
          <w:rFonts w:hint="eastAsia" w:hAnsi="宋体" w:cs="宋体"/>
          <w:color w:val="auto"/>
          <w:sz w:val="24"/>
          <w:szCs w:val="24"/>
          <w:highlight w:val="none"/>
        </w:rPr>
        <w:t xml:space="preserve">  甲方：                       乙方： </w:t>
      </w:r>
    </w:p>
    <w:p w14:paraId="7F082D80">
      <w:pPr>
        <w:pStyle w:val="18"/>
        <w:snapToGrid w:val="0"/>
        <w:spacing w:before="120" w:after="120" w:line="0" w:lineRule="atLeast"/>
        <w:rPr>
          <w:rFonts w:hint="eastAsia" w:hAnsi="宋体" w:cs="宋体"/>
          <w:color w:val="auto"/>
          <w:sz w:val="24"/>
          <w:szCs w:val="24"/>
          <w:highlight w:val="none"/>
        </w:rPr>
      </w:pPr>
      <w:r>
        <w:rPr>
          <w:rFonts w:hint="eastAsia" w:hAnsi="宋体" w:cs="宋体"/>
          <w:color w:val="auto"/>
          <w:sz w:val="24"/>
          <w:szCs w:val="24"/>
          <w:highlight w:val="none"/>
        </w:rPr>
        <w:t xml:space="preserve">  地址：                       地址：</w:t>
      </w:r>
    </w:p>
    <w:p w14:paraId="77C67A36">
      <w:pPr>
        <w:pStyle w:val="18"/>
        <w:snapToGrid w:val="0"/>
        <w:spacing w:before="120" w:after="120" w:line="0" w:lineRule="atLeast"/>
        <w:rPr>
          <w:rFonts w:hint="eastAsia" w:hAnsi="宋体" w:cs="宋体"/>
          <w:color w:val="auto"/>
          <w:sz w:val="24"/>
          <w:szCs w:val="24"/>
          <w:highlight w:val="none"/>
        </w:rPr>
      </w:pPr>
      <w:r>
        <w:rPr>
          <w:rFonts w:hint="eastAsia" w:hAnsi="宋体" w:cs="宋体"/>
          <w:color w:val="auto"/>
          <w:sz w:val="24"/>
          <w:szCs w:val="24"/>
          <w:highlight w:val="none"/>
        </w:rPr>
        <w:t xml:space="preserve">  法定代表人或授权代表：       法定代表人或授权代表：</w:t>
      </w:r>
    </w:p>
    <w:p w14:paraId="144B6D6B">
      <w:pPr>
        <w:pStyle w:val="18"/>
        <w:snapToGrid w:val="0"/>
        <w:spacing w:before="120" w:after="120" w:line="0" w:lineRule="atLeast"/>
        <w:rPr>
          <w:rFonts w:hint="eastAsia" w:hAnsi="宋体" w:cs="宋体"/>
          <w:color w:val="auto"/>
          <w:sz w:val="24"/>
          <w:szCs w:val="24"/>
          <w:highlight w:val="none"/>
        </w:rPr>
      </w:pPr>
      <w:r>
        <w:rPr>
          <w:rFonts w:hint="eastAsia" w:hAnsi="宋体" w:cs="宋体"/>
          <w:color w:val="auto"/>
          <w:sz w:val="24"/>
          <w:szCs w:val="24"/>
          <w:highlight w:val="none"/>
        </w:rPr>
        <w:t xml:space="preserve">  联系电话：                   联系电话：</w:t>
      </w:r>
    </w:p>
    <w:p w14:paraId="2CB168D4">
      <w:pPr>
        <w:pStyle w:val="18"/>
        <w:snapToGrid w:val="0"/>
        <w:spacing w:before="120" w:after="120" w:line="0" w:lineRule="atLeast"/>
        <w:jc w:val="center"/>
        <w:rPr>
          <w:rFonts w:hint="eastAsia" w:hAnsi="宋体" w:cs="宋体"/>
          <w:color w:val="auto"/>
          <w:sz w:val="24"/>
          <w:szCs w:val="24"/>
          <w:highlight w:val="none"/>
        </w:rPr>
      </w:pPr>
    </w:p>
    <w:p w14:paraId="2D0F6761">
      <w:pPr>
        <w:pStyle w:val="18"/>
        <w:snapToGrid w:val="0"/>
        <w:spacing w:before="120" w:after="120" w:line="0" w:lineRule="atLeast"/>
        <w:ind w:firstLine="3840" w:firstLineChars="1600"/>
        <w:rPr>
          <w:rFonts w:hint="eastAsia" w:hAnsi="宋体" w:cs="宋体"/>
          <w:color w:val="auto"/>
          <w:sz w:val="24"/>
          <w:szCs w:val="24"/>
          <w:highlight w:val="none"/>
        </w:rPr>
      </w:pPr>
      <w:r>
        <w:rPr>
          <w:rFonts w:hint="eastAsia" w:hAnsi="宋体" w:cs="宋体"/>
          <w:color w:val="auto"/>
          <w:sz w:val="24"/>
          <w:szCs w:val="24"/>
          <w:highlight w:val="none"/>
        </w:rPr>
        <w:t>签订日期：  年   月   日</w:t>
      </w:r>
      <w:bookmarkStart w:id="149" w:name="_Hlt16619369"/>
      <w:bookmarkEnd w:id="149"/>
    </w:p>
    <w:p w14:paraId="42FDD053">
      <w:pPr>
        <w:rPr>
          <w:color w:val="auto"/>
          <w:highlight w:val="none"/>
        </w:rPr>
      </w:pPr>
      <w:r>
        <w:rPr>
          <w:color w:val="auto"/>
          <w:highlight w:val="none"/>
        </w:rPr>
        <w:br w:type="page"/>
      </w:r>
    </w:p>
    <w:p w14:paraId="1E2DE30F">
      <w:pPr>
        <w:pStyle w:val="33"/>
        <w:jc w:val="left"/>
        <w:rPr>
          <w:color w:val="auto"/>
          <w:highlight w:val="none"/>
        </w:rPr>
      </w:pPr>
      <w:r>
        <w:rPr>
          <w:color w:val="auto"/>
          <w:highlight w:val="none"/>
        </w:rPr>
        <w:t>附件一</w:t>
      </w:r>
    </w:p>
    <w:p w14:paraId="616C874C">
      <w:pPr>
        <w:pStyle w:val="4"/>
        <w:jc w:val="center"/>
        <w:rPr>
          <w:color w:val="auto"/>
          <w:highlight w:val="none"/>
        </w:rPr>
      </w:pPr>
      <w:r>
        <w:rPr>
          <w:rFonts w:hint="eastAsia"/>
          <w:color w:val="auto"/>
          <w:highlight w:val="none"/>
        </w:rPr>
        <w:t>采购</w:t>
      </w:r>
      <w:r>
        <w:rPr>
          <w:color w:val="auto"/>
          <w:highlight w:val="none"/>
        </w:rPr>
        <w:t>需求</w:t>
      </w:r>
    </w:p>
    <w:p w14:paraId="1B8F4814">
      <w:pPr>
        <w:pStyle w:val="33"/>
        <w:jc w:val="left"/>
        <w:rPr>
          <w:color w:val="auto"/>
          <w:highlight w:val="none"/>
        </w:rPr>
      </w:pPr>
      <w:r>
        <w:rPr>
          <w:color w:val="auto"/>
          <w:highlight w:val="none"/>
        </w:rPr>
        <w:t>附件二</w:t>
      </w:r>
    </w:p>
    <w:p w14:paraId="62CCD618">
      <w:pPr>
        <w:pStyle w:val="4"/>
        <w:jc w:val="center"/>
        <w:rPr>
          <w:color w:val="auto"/>
          <w:highlight w:val="none"/>
        </w:rPr>
      </w:pPr>
      <w:r>
        <w:rPr>
          <w:rFonts w:hint="eastAsia"/>
          <w:color w:val="auto"/>
          <w:highlight w:val="none"/>
        </w:rPr>
        <w:t>运维服务质量考核标准</w:t>
      </w:r>
    </w:p>
    <w:tbl>
      <w:tblPr>
        <w:tblStyle w:val="36"/>
        <w:tblW w:w="0" w:type="auto"/>
        <w:jc w:val="center"/>
        <w:tblLayout w:type="fixed"/>
        <w:tblCellMar>
          <w:top w:w="0" w:type="dxa"/>
          <w:left w:w="108" w:type="dxa"/>
          <w:bottom w:w="0" w:type="dxa"/>
          <w:right w:w="108" w:type="dxa"/>
        </w:tblCellMar>
      </w:tblPr>
      <w:tblGrid>
        <w:gridCol w:w="638"/>
        <w:gridCol w:w="661"/>
        <w:gridCol w:w="762"/>
        <w:gridCol w:w="5774"/>
        <w:gridCol w:w="461"/>
      </w:tblGrid>
      <w:tr w14:paraId="013E3B3A">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73E44B6">
            <w:pPr>
              <w:pStyle w:val="2"/>
              <w:adjustRightInd w:val="0"/>
              <w:snapToGrid w:val="0"/>
              <w:spacing w:after="0"/>
              <w:ind w:firstLine="0" w:firstLineChars="0"/>
              <w:rPr>
                <w:rFonts w:hint="eastAsia" w:hAnsi="宋体"/>
                <w:b/>
                <w:bCs/>
                <w:color w:val="auto"/>
                <w:szCs w:val="21"/>
                <w:highlight w:val="none"/>
              </w:rPr>
            </w:pPr>
            <w:r>
              <w:rPr>
                <w:rFonts w:hAnsi="宋体"/>
                <w:b/>
                <w:bCs/>
                <w:color w:val="auto"/>
                <w:szCs w:val="21"/>
                <w:highlight w:val="none"/>
              </w:rPr>
              <w:t>序号</w:t>
            </w:r>
          </w:p>
        </w:tc>
        <w:tc>
          <w:tcPr>
            <w:tcW w:w="661" w:type="dxa"/>
            <w:tcBorders>
              <w:top w:val="single" w:color="000000" w:sz="4" w:space="0"/>
              <w:left w:val="single" w:color="000000" w:sz="4" w:space="0"/>
              <w:bottom w:val="single" w:color="000000" w:sz="4" w:space="0"/>
              <w:right w:val="single" w:color="000000" w:sz="4" w:space="0"/>
            </w:tcBorders>
            <w:vAlign w:val="center"/>
          </w:tcPr>
          <w:p w14:paraId="5ADEECD5">
            <w:pPr>
              <w:pStyle w:val="2"/>
              <w:adjustRightInd w:val="0"/>
              <w:snapToGrid w:val="0"/>
              <w:spacing w:after="0"/>
              <w:ind w:firstLine="0" w:firstLineChars="0"/>
              <w:rPr>
                <w:rFonts w:hint="eastAsia" w:hAnsi="宋体"/>
                <w:b/>
                <w:bCs/>
                <w:color w:val="auto"/>
                <w:szCs w:val="21"/>
                <w:highlight w:val="none"/>
              </w:rPr>
            </w:pPr>
            <w:r>
              <w:rPr>
                <w:rFonts w:hAnsi="宋体"/>
                <w:b/>
                <w:bCs/>
                <w:color w:val="auto"/>
                <w:szCs w:val="21"/>
                <w:highlight w:val="none"/>
              </w:rPr>
              <w:t>考核类别</w:t>
            </w:r>
          </w:p>
        </w:tc>
        <w:tc>
          <w:tcPr>
            <w:tcW w:w="762" w:type="dxa"/>
            <w:tcBorders>
              <w:top w:val="single" w:color="000000" w:sz="4" w:space="0"/>
              <w:left w:val="single" w:color="000000" w:sz="4" w:space="0"/>
              <w:bottom w:val="single" w:color="000000" w:sz="4" w:space="0"/>
              <w:right w:val="single" w:color="000000" w:sz="4" w:space="0"/>
            </w:tcBorders>
            <w:vAlign w:val="center"/>
          </w:tcPr>
          <w:p w14:paraId="353084BE">
            <w:pPr>
              <w:pStyle w:val="2"/>
              <w:adjustRightInd w:val="0"/>
              <w:snapToGrid w:val="0"/>
              <w:spacing w:after="0"/>
              <w:ind w:firstLine="0" w:firstLineChars="0"/>
              <w:rPr>
                <w:rFonts w:hint="eastAsia" w:hAnsi="宋体"/>
                <w:b/>
                <w:bCs/>
                <w:color w:val="auto"/>
                <w:szCs w:val="21"/>
                <w:highlight w:val="none"/>
              </w:rPr>
            </w:pPr>
            <w:r>
              <w:rPr>
                <w:rFonts w:hAnsi="宋体"/>
                <w:b/>
                <w:bCs/>
                <w:color w:val="auto"/>
                <w:szCs w:val="21"/>
                <w:highlight w:val="none"/>
              </w:rPr>
              <w:t>考核项目</w:t>
            </w:r>
          </w:p>
        </w:tc>
        <w:tc>
          <w:tcPr>
            <w:tcW w:w="5774" w:type="dxa"/>
            <w:tcBorders>
              <w:top w:val="single" w:color="000000" w:sz="4" w:space="0"/>
              <w:left w:val="single" w:color="000000" w:sz="4" w:space="0"/>
              <w:bottom w:val="single" w:color="000000" w:sz="4" w:space="0"/>
              <w:right w:val="single" w:color="000000" w:sz="4" w:space="0"/>
            </w:tcBorders>
            <w:vAlign w:val="center"/>
          </w:tcPr>
          <w:p w14:paraId="21612CF1">
            <w:pPr>
              <w:pStyle w:val="2"/>
              <w:adjustRightInd w:val="0"/>
              <w:snapToGrid w:val="0"/>
              <w:spacing w:after="0"/>
              <w:ind w:firstLine="0" w:firstLineChars="0"/>
              <w:rPr>
                <w:rFonts w:hint="eastAsia" w:hAnsi="宋体"/>
                <w:b/>
                <w:bCs/>
                <w:color w:val="auto"/>
                <w:szCs w:val="21"/>
                <w:highlight w:val="none"/>
              </w:rPr>
            </w:pPr>
            <w:r>
              <w:rPr>
                <w:rFonts w:hAnsi="宋体"/>
                <w:b/>
                <w:bCs/>
                <w:color w:val="auto"/>
                <w:szCs w:val="21"/>
                <w:highlight w:val="none"/>
              </w:rPr>
              <w:t>考核内容</w:t>
            </w:r>
          </w:p>
        </w:tc>
        <w:tc>
          <w:tcPr>
            <w:tcW w:w="461" w:type="dxa"/>
            <w:tcBorders>
              <w:top w:val="single" w:color="000000" w:sz="4" w:space="0"/>
              <w:left w:val="single" w:color="000000" w:sz="4" w:space="0"/>
              <w:bottom w:val="single" w:color="000000" w:sz="4" w:space="0"/>
              <w:right w:val="single" w:color="000000" w:sz="4" w:space="0"/>
            </w:tcBorders>
            <w:vAlign w:val="center"/>
          </w:tcPr>
          <w:p w14:paraId="2805CAB5">
            <w:pPr>
              <w:pStyle w:val="2"/>
              <w:adjustRightInd w:val="0"/>
              <w:snapToGrid w:val="0"/>
              <w:spacing w:after="0"/>
              <w:ind w:firstLine="0" w:firstLineChars="0"/>
              <w:rPr>
                <w:rFonts w:hint="eastAsia" w:hAnsi="宋体"/>
                <w:b/>
                <w:bCs/>
                <w:color w:val="auto"/>
                <w:szCs w:val="21"/>
                <w:highlight w:val="none"/>
              </w:rPr>
            </w:pPr>
            <w:r>
              <w:rPr>
                <w:rFonts w:hAnsi="宋体"/>
                <w:b/>
                <w:bCs/>
                <w:color w:val="auto"/>
                <w:szCs w:val="21"/>
                <w:highlight w:val="none"/>
              </w:rPr>
              <w:t>满分</w:t>
            </w:r>
          </w:p>
        </w:tc>
      </w:tr>
      <w:tr w14:paraId="70E52662">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B72DFC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10FEFE7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团队人员考核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21747971">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人员岗位设置</w:t>
            </w:r>
          </w:p>
        </w:tc>
        <w:tc>
          <w:tcPr>
            <w:tcW w:w="5774" w:type="dxa"/>
            <w:tcBorders>
              <w:top w:val="single" w:color="000000" w:sz="4" w:space="0"/>
              <w:left w:val="single" w:color="000000" w:sz="4" w:space="0"/>
              <w:bottom w:val="single" w:color="000000" w:sz="4" w:space="0"/>
              <w:right w:val="single" w:color="000000" w:sz="4" w:space="0"/>
            </w:tcBorders>
            <w:vAlign w:val="center"/>
          </w:tcPr>
          <w:p w14:paraId="0C639A9A">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符合合同人数要求与资质要求，不满足要求人数与资质要求，每发现一次扣4分；如不整改属重大违约，终止合同；</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42EC269">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15</w:t>
            </w:r>
          </w:p>
        </w:tc>
      </w:tr>
      <w:tr w14:paraId="34F79D68">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1FE818D">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3BBCD31E">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55FBF80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人员稳定性</w:t>
            </w:r>
          </w:p>
        </w:tc>
        <w:tc>
          <w:tcPr>
            <w:tcW w:w="5774" w:type="dxa"/>
            <w:tcBorders>
              <w:top w:val="single" w:color="000000" w:sz="4" w:space="0"/>
              <w:left w:val="single" w:color="000000" w:sz="4" w:space="0"/>
              <w:bottom w:val="single" w:color="000000" w:sz="4" w:space="0"/>
              <w:right w:val="single" w:color="000000" w:sz="4" w:space="0"/>
            </w:tcBorders>
            <w:vAlign w:val="center"/>
          </w:tcPr>
          <w:p w14:paraId="3E66B4A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服务团队人员在服务期间未经业主单位许可出现离职更换，属于现场服务人员的，在月度考核结果中每发现一次扣4分，属于其他服务人员的，在月度考核结果中每发现一次扣2分；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052D4689">
            <w:pPr>
              <w:pStyle w:val="2"/>
              <w:adjustRightInd w:val="0"/>
              <w:snapToGrid w:val="0"/>
              <w:spacing w:after="0"/>
              <w:ind w:firstLine="0" w:firstLineChars="0"/>
              <w:rPr>
                <w:rFonts w:hint="eastAsia" w:hAnsi="宋体"/>
                <w:color w:val="auto"/>
                <w:szCs w:val="21"/>
                <w:highlight w:val="none"/>
              </w:rPr>
            </w:pPr>
          </w:p>
        </w:tc>
      </w:tr>
      <w:tr w14:paraId="3C7226FF">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1A5E7BFF">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3</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35C7979D">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451041CB">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人员业务水平</w:t>
            </w:r>
          </w:p>
        </w:tc>
        <w:tc>
          <w:tcPr>
            <w:tcW w:w="5774" w:type="dxa"/>
            <w:tcBorders>
              <w:top w:val="single" w:color="000000" w:sz="4" w:space="0"/>
              <w:left w:val="single" w:color="000000" w:sz="4" w:space="0"/>
              <w:bottom w:val="single" w:color="000000" w:sz="4" w:space="0"/>
              <w:right w:val="single" w:color="000000" w:sz="4" w:space="0"/>
            </w:tcBorders>
            <w:vAlign w:val="center"/>
          </w:tcPr>
          <w:p w14:paraId="1BB8E7D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考核工程师对业务的熟悉程度、相关知识掌握程度、运维项目保密工作等。出现误操作事件每人次扣4分；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1FA29D1D">
            <w:pPr>
              <w:pStyle w:val="2"/>
              <w:adjustRightInd w:val="0"/>
              <w:snapToGrid w:val="0"/>
              <w:spacing w:after="0"/>
              <w:ind w:firstLine="0" w:firstLineChars="0"/>
              <w:rPr>
                <w:rFonts w:hint="eastAsia" w:hAnsi="宋体"/>
                <w:color w:val="auto"/>
                <w:szCs w:val="21"/>
                <w:highlight w:val="none"/>
              </w:rPr>
            </w:pPr>
          </w:p>
        </w:tc>
      </w:tr>
      <w:tr w14:paraId="347DA70B">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24EC6BA">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4</w:t>
            </w:r>
          </w:p>
        </w:tc>
        <w:tc>
          <w:tcPr>
            <w:tcW w:w="661" w:type="dxa"/>
            <w:tcBorders>
              <w:top w:val="single" w:color="000000" w:sz="4" w:space="0"/>
              <w:left w:val="single" w:color="000000" w:sz="4" w:space="0"/>
              <w:bottom w:val="single" w:color="000000" w:sz="4" w:space="0"/>
              <w:right w:val="single" w:color="000000" w:sz="4" w:space="0"/>
            </w:tcBorders>
            <w:vAlign w:val="center"/>
          </w:tcPr>
          <w:p w14:paraId="232A88FE">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满意度考核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31D62D54">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运维服务满意度</w:t>
            </w:r>
          </w:p>
        </w:tc>
        <w:tc>
          <w:tcPr>
            <w:tcW w:w="5774" w:type="dxa"/>
            <w:tcBorders>
              <w:top w:val="single" w:color="000000" w:sz="4" w:space="0"/>
              <w:left w:val="single" w:color="000000" w:sz="4" w:space="0"/>
              <w:bottom w:val="single" w:color="000000" w:sz="4" w:space="0"/>
              <w:right w:val="single" w:color="000000" w:sz="4" w:space="0"/>
            </w:tcBorders>
            <w:vAlign w:val="center"/>
          </w:tcPr>
          <w:p w14:paraId="0095AAB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牵头业务部门满意度</w:t>
            </w:r>
          </w:p>
        </w:tc>
        <w:tc>
          <w:tcPr>
            <w:tcW w:w="461" w:type="dxa"/>
            <w:tcBorders>
              <w:top w:val="single" w:color="000000" w:sz="4" w:space="0"/>
              <w:left w:val="single" w:color="000000" w:sz="4" w:space="0"/>
              <w:bottom w:val="single" w:color="000000" w:sz="4" w:space="0"/>
              <w:right w:val="single" w:color="000000" w:sz="4" w:space="0"/>
            </w:tcBorders>
            <w:vAlign w:val="center"/>
          </w:tcPr>
          <w:p w14:paraId="08C2CEA1">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20</w:t>
            </w:r>
          </w:p>
        </w:tc>
      </w:tr>
      <w:tr w14:paraId="6F060161">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37E2AF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5</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2A427539">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日常维护考核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5297CBB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巡检和应急支持</w:t>
            </w:r>
          </w:p>
        </w:tc>
        <w:tc>
          <w:tcPr>
            <w:tcW w:w="5774" w:type="dxa"/>
            <w:tcBorders>
              <w:top w:val="single" w:color="000000" w:sz="4" w:space="0"/>
              <w:left w:val="single" w:color="000000" w:sz="4" w:space="0"/>
              <w:bottom w:val="single" w:color="000000" w:sz="4" w:space="0"/>
              <w:right w:val="single" w:color="000000" w:sz="4" w:space="0"/>
            </w:tcBorders>
            <w:vAlign w:val="center"/>
          </w:tcPr>
          <w:p w14:paraId="246E4A2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按要求完成日常运维任务，未按时进行巡检的，每次扣3分；未按要求响应支持应急和处理事件的，每次扣5分；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61F6F8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20</w:t>
            </w:r>
          </w:p>
        </w:tc>
      </w:tr>
      <w:tr w14:paraId="1EA3A8C2">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46FCBB1">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6</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5FE61D0A">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19F4FD60">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软硬件升级</w:t>
            </w:r>
          </w:p>
        </w:tc>
        <w:tc>
          <w:tcPr>
            <w:tcW w:w="5774" w:type="dxa"/>
            <w:tcBorders>
              <w:top w:val="single" w:color="000000" w:sz="4" w:space="0"/>
              <w:left w:val="single" w:color="000000" w:sz="4" w:space="0"/>
              <w:bottom w:val="single" w:color="000000" w:sz="4" w:space="0"/>
              <w:right w:val="single" w:color="000000" w:sz="4" w:space="0"/>
            </w:tcBorders>
            <w:vAlign w:val="center"/>
          </w:tcPr>
          <w:p w14:paraId="66A8FF33">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升级前没有事先向业主单位申请或沟通而造成不良影响的，每次扣2分；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7C53319F">
            <w:pPr>
              <w:pStyle w:val="2"/>
              <w:adjustRightInd w:val="0"/>
              <w:snapToGrid w:val="0"/>
              <w:spacing w:after="0"/>
              <w:ind w:firstLine="0" w:firstLineChars="0"/>
              <w:rPr>
                <w:rFonts w:hint="eastAsia" w:hAnsi="宋体"/>
                <w:color w:val="auto"/>
                <w:szCs w:val="21"/>
                <w:highlight w:val="none"/>
              </w:rPr>
            </w:pPr>
          </w:p>
        </w:tc>
      </w:tr>
      <w:tr w14:paraId="59BDC369">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8DE808">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7</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6A0B2E4E">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49FC576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故障处理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0B1E7ED">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出现故障后未按故障正确的处理流程操作导致重大损失或造成恶劣影响的，每次扣15分；故障报告未在一周内提交给业主单位的，每次扣5分；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741B634F">
            <w:pPr>
              <w:pStyle w:val="2"/>
              <w:adjustRightInd w:val="0"/>
              <w:snapToGrid w:val="0"/>
              <w:spacing w:after="0"/>
              <w:ind w:firstLine="0" w:firstLineChars="0"/>
              <w:rPr>
                <w:rFonts w:hint="eastAsia" w:hAnsi="宋体"/>
                <w:color w:val="auto"/>
                <w:szCs w:val="21"/>
                <w:highlight w:val="none"/>
              </w:rPr>
            </w:pPr>
          </w:p>
        </w:tc>
      </w:tr>
      <w:tr w14:paraId="2CB8012A">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FFE7AC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8</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40B8B96C">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09AE469E">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合作处理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DD7E1D4">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根据问题情况与其他厂商联合进行故障排查，问题处理，拖延或推诿问题解决每次扣5分。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5DFF7853">
            <w:pPr>
              <w:pStyle w:val="2"/>
              <w:adjustRightInd w:val="0"/>
              <w:snapToGrid w:val="0"/>
              <w:spacing w:after="0"/>
              <w:ind w:firstLine="0" w:firstLineChars="0"/>
              <w:rPr>
                <w:rFonts w:hint="eastAsia" w:hAnsi="宋体"/>
                <w:color w:val="auto"/>
                <w:szCs w:val="21"/>
                <w:highlight w:val="none"/>
              </w:rPr>
            </w:pPr>
          </w:p>
        </w:tc>
      </w:tr>
      <w:tr w14:paraId="4414BA74">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A116926">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9</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78FB95D1">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66AF69E9">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监控管理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27EFA90">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监控产生的告警信息未按时处理的，扣2分/次，由此产生恶劣影响的，每次扣10分；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0C5F6E3C">
            <w:pPr>
              <w:pStyle w:val="2"/>
              <w:adjustRightInd w:val="0"/>
              <w:snapToGrid w:val="0"/>
              <w:spacing w:after="0"/>
              <w:ind w:firstLine="0" w:firstLineChars="0"/>
              <w:rPr>
                <w:rFonts w:hint="eastAsia" w:hAnsi="宋体"/>
                <w:color w:val="auto"/>
                <w:szCs w:val="21"/>
                <w:highlight w:val="none"/>
              </w:rPr>
            </w:pPr>
          </w:p>
        </w:tc>
      </w:tr>
      <w:tr w14:paraId="5DDE659F">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A41D8FE">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10</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7B2E74D7">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404563E0">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安全管理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4115674F">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违反安全管理制度，人为造成严重、重大故障的，每次扣15分；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6D2920DB">
            <w:pPr>
              <w:pStyle w:val="2"/>
              <w:adjustRightInd w:val="0"/>
              <w:snapToGrid w:val="0"/>
              <w:spacing w:after="0"/>
              <w:ind w:firstLine="0" w:firstLineChars="0"/>
              <w:rPr>
                <w:rFonts w:hint="eastAsia" w:hAnsi="宋体"/>
                <w:color w:val="auto"/>
                <w:szCs w:val="21"/>
                <w:highlight w:val="none"/>
              </w:rPr>
            </w:pPr>
          </w:p>
        </w:tc>
      </w:tr>
      <w:tr w14:paraId="768E3E3F">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7ED6C8A">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11</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2A69B390">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341A7574">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保密管理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618AA5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违反保密管理制度，人为造成严重、重大损失的，视为重大违约，终止合同；</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2B4AFB0F">
            <w:pPr>
              <w:pStyle w:val="2"/>
              <w:adjustRightInd w:val="0"/>
              <w:snapToGrid w:val="0"/>
              <w:spacing w:after="0"/>
              <w:ind w:firstLine="0" w:firstLineChars="0"/>
              <w:rPr>
                <w:rFonts w:hint="eastAsia" w:hAnsi="宋体"/>
                <w:color w:val="auto"/>
                <w:szCs w:val="21"/>
                <w:highlight w:val="none"/>
              </w:rPr>
            </w:pPr>
          </w:p>
        </w:tc>
      </w:tr>
      <w:tr w14:paraId="7409A2C6">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9F6E1E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12</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1F4483A1">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227A79E0">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任务管理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4FA25DAA">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未按时完成其他交办的维护任务的，每个扣2分；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22F0340D">
            <w:pPr>
              <w:pStyle w:val="2"/>
              <w:adjustRightInd w:val="0"/>
              <w:snapToGrid w:val="0"/>
              <w:spacing w:after="0"/>
              <w:ind w:firstLine="0" w:firstLineChars="0"/>
              <w:rPr>
                <w:rFonts w:hint="eastAsia" w:hAnsi="宋体"/>
                <w:color w:val="auto"/>
                <w:szCs w:val="21"/>
                <w:highlight w:val="none"/>
              </w:rPr>
            </w:pPr>
          </w:p>
        </w:tc>
      </w:tr>
      <w:tr w14:paraId="7161D8A0">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0B66DC8">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13</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619E6234">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运行质量考核</w:t>
            </w:r>
          </w:p>
        </w:tc>
        <w:tc>
          <w:tcPr>
            <w:tcW w:w="762" w:type="dxa"/>
            <w:vMerge w:val="restart"/>
            <w:tcBorders>
              <w:top w:val="single" w:color="000000" w:sz="4" w:space="0"/>
              <w:left w:val="single" w:color="000000" w:sz="4" w:space="0"/>
              <w:right w:val="single" w:color="000000" w:sz="4" w:space="0"/>
            </w:tcBorders>
            <w:vAlign w:val="center"/>
          </w:tcPr>
          <w:p w14:paraId="142A48D9">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总体可用性</w:t>
            </w:r>
          </w:p>
        </w:tc>
        <w:tc>
          <w:tcPr>
            <w:tcW w:w="5774" w:type="dxa"/>
            <w:tcBorders>
              <w:top w:val="single" w:color="000000" w:sz="4" w:space="0"/>
              <w:left w:val="single" w:color="000000" w:sz="4" w:space="0"/>
              <w:bottom w:val="single" w:color="000000" w:sz="4" w:space="0"/>
              <w:right w:val="single" w:color="000000" w:sz="4" w:space="0"/>
            </w:tcBorders>
            <w:vAlign w:val="center"/>
          </w:tcPr>
          <w:p w14:paraId="35396C26">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出现故障每次扣2分；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6F6B3EF">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10</w:t>
            </w:r>
          </w:p>
        </w:tc>
      </w:tr>
      <w:tr w14:paraId="3536EC71">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1C05541">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14</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5A938471">
            <w:pPr>
              <w:pStyle w:val="2"/>
              <w:adjustRightInd w:val="0"/>
              <w:snapToGrid w:val="0"/>
              <w:spacing w:after="0"/>
              <w:ind w:firstLine="0" w:firstLineChars="0"/>
              <w:rPr>
                <w:rFonts w:hint="eastAsia" w:hAnsi="宋体"/>
                <w:color w:val="auto"/>
                <w:szCs w:val="21"/>
                <w:highlight w:val="none"/>
              </w:rPr>
            </w:pPr>
          </w:p>
        </w:tc>
        <w:tc>
          <w:tcPr>
            <w:tcW w:w="762" w:type="dxa"/>
            <w:vMerge w:val="continue"/>
            <w:tcBorders>
              <w:left w:val="single" w:color="000000" w:sz="4" w:space="0"/>
              <w:right w:val="single" w:color="000000" w:sz="4" w:space="0"/>
            </w:tcBorders>
            <w:vAlign w:val="center"/>
          </w:tcPr>
          <w:p w14:paraId="684CB71E">
            <w:pPr>
              <w:pStyle w:val="2"/>
              <w:adjustRightInd w:val="0"/>
              <w:snapToGrid w:val="0"/>
              <w:spacing w:after="0"/>
              <w:ind w:firstLine="0" w:firstLineChars="0"/>
              <w:rPr>
                <w:rFonts w:hint="eastAsia" w:hAnsi="宋体"/>
                <w:color w:val="auto"/>
                <w:szCs w:val="21"/>
                <w:highlight w:val="none"/>
              </w:rPr>
            </w:pPr>
          </w:p>
        </w:tc>
        <w:tc>
          <w:tcPr>
            <w:tcW w:w="5774" w:type="dxa"/>
            <w:tcBorders>
              <w:top w:val="single" w:color="000000" w:sz="4" w:space="0"/>
              <w:left w:val="single" w:color="000000" w:sz="4" w:space="0"/>
              <w:bottom w:val="single" w:color="000000" w:sz="4" w:space="0"/>
              <w:right w:val="single" w:color="000000" w:sz="4" w:space="0"/>
            </w:tcBorders>
            <w:vAlign w:val="center"/>
          </w:tcPr>
          <w:p w14:paraId="6219F27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软件要求&gt;99%（每月不可用时间累计＜7小时），每超过0.5小时扣2分。此项不包括因网络、硬件问题造成的故障及有计划的系统升级、维护时间；</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18775650">
            <w:pPr>
              <w:pStyle w:val="2"/>
              <w:adjustRightInd w:val="0"/>
              <w:snapToGrid w:val="0"/>
              <w:spacing w:after="0"/>
              <w:ind w:firstLine="0" w:firstLineChars="0"/>
              <w:rPr>
                <w:rFonts w:hint="eastAsia" w:hAnsi="宋体"/>
                <w:color w:val="auto"/>
                <w:szCs w:val="21"/>
                <w:highlight w:val="none"/>
              </w:rPr>
            </w:pPr>
          </w:p>
        </w:tc>
      </w:tr>
      <w:tr w14:paraId="6F6D8679">
        <w:tblPrEx>
          <w:tblCellMar>
            <w:top w:w="0" w:type="dxa"/>
            <w:left w:w="108" w:type="dxa"/>
            <w:bottom w:w="0" w:type="dxa"/>
            <w:right w:w="108" w:type="dxa"/>
          </w:tblCellMar>
        </w:tblPrEx>
        <w:trPr>
          <w:trHeight w:val="567"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1719796E">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15</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47542449">
            <w:pPr>
              <w:pStyle w:val="2"/>
              <w:adjustRightInd w:val="0"/>
              <w:snapToGrid w:val="0"/>
              <w:spacing w:after="0"/>
              <w:ind w:firstLine="0" w:firstLineChars="0"/>
              <w:rPr>
                <w:rFonts w:hint="eastAsia" w:hAnsi="宋体"/>
                <w:color w:val="auto"/>
                <w:szCs w:val="21"/>
                <w:highlight w:val="none"/>
              </w:rPr>
            </w:pPr>
          </w:p>
        </w:tc>
        <w:tc>
          <w:tcPr>
            <w:tcW w:w="762" w:type="dxa"/>
            <w:vMerge w:val="continue"/>
            <w:tcBorders>
              <w:left w:val="single" w:color="000000" w:sz="4" w:space="0"/>
              <w:bottom w:val="single" w:color="000000" w:sz="4" w:space="0"/>
              <w:right w:val="single" w:color="000000" w:sz="4" w:space="0"/>
            </w:tcBorders>
            <w:vAlign w:val="center"/>
          </w:tcPr>
          <w:p w14:paraId="0200EE9F">
            <w:pPr>
              <w:pStyle w:val="2"/>
              <w:adjustRightInd w:val="0"/>
              <w:snapToGrid w:val="0"/>
              <w:spacing w:after="0"/>
              <w:ind w:firstLine="0" w:firstLineChars="0"/>
              <w:rPr>
                <w:rFonts w:hint="eastAsia" w:hAnsi="宋体"/>
                <w:color w:val="auto"/>
                <w:szCs w:val="21"/>
                <w:highlight w:val="none"/>
              </w:rPr>
            </w:pPr>
          </w:p>
        </w:tc>
        <w:tc>
          <w:tcPr>
            <w:tcW w:w="5774" w:type="dxa"/>
            <w:tcBorders>
              <w:top w:val="single" w:color="000000" w:sz="4" w:space="0"/>
              <w:left w:val="single" w:color="000000" w:sz="4" w:space="0"/>
              <w:bottom w:val="single" w:color="000000" w:sz="4" w:space="0"/>
              <w:right w:val="single" w:color="000000" w:sz="4" w:space="0"/>
            </w:tcBorders>
            <w:vAlign w:val="center"/>
          </w:tcPr>
          <w:p w14:paraId="78CF0507">
            <w:pPr>
              <w:pStyle w:val="2"/>
              <w:adjustRightInd w:val="0"/>
              <w:snapToGrid w:val="0"/>
              <w:spacing w:after="0"/>
              <w:ind w:firstLine="0" w:firstLineChars="0"/>
              <w:rPr>
                <w:rFonts w:hint="eastAsia" w:hAnsi="宋体"/>
                <w:color w:val="auto"/>
                <w:szCs w:val="21"/>
                <w:highlight w:val="none"/>
              </w:rPr>
            </w:pPr>
            <w:r>
              <w:rPr>
                <w:rFonts w:hint="eastAsia" w:hAnsi="宋体"/>
                <w:color w:val="auto"/>
                <w:szCs w:val="21"/>
                <w:highlight w:val="none"/>
              </w:rPr>
              <w:t>硬件要求&gt;99%（每月不可用时间累计＜7小时），每超过0.5小时扣2分；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3900D163">
            <w:pPr>
              <w:pStyle w:val="2"/>
              <w:adjustRightInd w:val="0"/>
              <w:snapToGrid w:val="0"/>
              <w:spacing w:after="0"/>
              <w:ind w:firstLine="0" w:firstLineChars="0"/>
              <w:rPr>
                <w:rFonts w:hint="eastAsia" w:hAnsi="宋体"/>
                <w:color w:val="auto"/>
                <w:szCs w:val="21"/>
                <w:highlight w:val="none"/>
              </w:rPr>
            </w:pPr>
          </w:p>
        </w:tc>
      </w:tr>
      <w:tr w14:paraId="75CD0A55">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7CCC30C">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w:t>
            </w:r>
            <w:r>
              <w:rPr>
                <w:rFonts w:hint="eastAsia" w:hAnsi="宋体"/>
                <w:color w:val="auto"/>
                <w:szCs w:val="21"/>
                <w:highlight w:val="none"/>
              </w:rPr>
              <w:t>6</w:t>
            </w:r>
          </w:p>
        </w:tc>
        <w:tc>
          <w:tcPr>
            <w:tcW w:w="661" w:type="dxa"/>
            <w:tcBorders>
              <w:top w:val="single" w:color="000000" w:sz="4" w:space="0"/>
              <w:left w:val="single" w:color="000000" w:sz="4" w:space="0"/>
              <w:bottom w:val="single" w:color="000000" w:sz="4" w:space="0"/>
              <w:right w:val="single" w:color="000000" w:sz="4" w:space="0"/>
            </w:tcBorders>
            <w:vAlign w:val="center"/>
          </w:tcPr>
          <w:p w14:paraId="65637D3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产出物考核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34C6DF33">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提交报告情况</w:t>
            </w:r>
          </w:p>
        </w:tc>
        <w:tc>
          <w:tcPr>
            <w:tcW w:w="5774" w:type="dxa"/>
            <w:tcBorders>
              <w:top w:val="single" w:color="000000" w:sz="4" w:space="0"/>
              <w:left w:val="single" w:color="000000" w:sz="4" w:space="0"/>
              <w:bottom w:val="single" w:color="000000" w:sz="4" w:space="0"/>
              <w:right w:val="single" w:color="000000" w:sz="4" w:space="0"/>
            </w:tcBorders>
            <w:vAlign w:val="center"/>
          </w:tcPr>
          <w:p w14:paraId="4C6D80EB">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包括季报、月报、周报、日报、专题报告、评估方案等，未按要求提交每次扣1分；</w:t>
            </w:r>
          </w:p>
        </w:tc>
        <w:tc>
          <w:tcPr>
            <w:tcW w:w="461" w:type="dxa"/>
            <w:tcBorders>
              <w:top w:val="single" w:color="000000" w:sz="4" w:space="0"/>
              <w:left w:val="single" w:color="000000" w:sz="4" w:space="0"/>
              <w:bottom w:val="single" w:color="000000" w:sz="4" w:space="0"/>
              <w:right w:val="single" w:color="000000" w:sz="4" w:space="0"/>
            </w:tcBorders>
            <w:vAlign w:val="center"/>
          </w:tcPr>
          <w:p w14:paraId="1FF78599">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5</w:t>
            </w:r>
          </w:p>
        </w:tc>
      </w:tr>
      <w:tr w14:paraId="3AD2BC7E">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6125138">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w:t>
            </w:r>
            <w:r>
              <w:rPr>
                <w:rFonts w:hint="eastAsia" w:hAnsi="宋体"/>
                <w:color w:val="auto"/>
                <w:szCs w:val="21"/>
                <w:highlight w:val="none"/>
              </w:rPr>
              <w:t>7</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17C2B261">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响应效率质量考核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2341EF5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事件响应时间</w:t>
            </w:r>
          </w:p>
        </w:tc>
        <w:tc>
          <w:tcPr>
            <w:tcW w:w="5774" w:type="dxa"/>
            <w:tcBorders>
              <w:top w:val="single" w:color="000000" w:sz="4" w:space="0"/>
              <w:left w:val="single" w:color="000000" w:sz="4" w:space="0"/>
              <w:bottom w:val="single" w:color="000000" w:sz="4" w:space="0"/>
              <w:right w:val="single" w:color="000000" w:sz="4" w:space="0"/>
            </w:tcBorders>
            <w:vAlign w:val="center"/>
          </w:tcPr>
          <w:p w14:paraId="33875D48">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重大故障10分钟内响应，一般故障30分钟内响应。超时响应每次扣2分，超时1小时以上每次扣5分；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B125EFB">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15</w:t>
            </w:r>
          </w:p>
        </w:tc>
      </w:tr>
      <w:tr w14:paraId="1C88C1B0">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1960A9C">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w:t>
            </w:r>
            <w:r>
              <w:rPr>
                <w:rFonts w:hint="eastAsia" w:hAnsi="宋体"/>
                <w:color w:val="auto"/>
                <w:szCs w:val="21"/>
                <w:highlight w:val="none"/>
              </w:rPr>
              <w:t>8</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3421DE89">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1262FBC6">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事件处理时间</w:t>
            </w:r>
          </w:p>
        </w:tc>
        <w:tc>
          <w:tcPr>
            <w:tcW w:w="5774" w:type="dxa"/>
            <w:tcBorders>
              <w:top w:val="single" w:color="000000" w:sz="4" w:space="0"/>
              <w:left w:val="single" w:color="000000" w:sz="4" w:space="0"/>
              <w:bottom w:val="single" w:color="000000" w:sz="4" w:space="0"/>
              <w:right w:val="single" w:color="000000" w:sz="4" w:space="0"/>
            </w:tcBorders>
            <w:vAlign w:val="center"/>
          </w:tcPr>
          <w:p w14:paraId="7A6191C6">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重大故障2小时内处置完毕，一般故障0.5小时内闭环解决。故障超时未修复，每超时1小时扣2分；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0C2257A3">
            <w:pPr>
              <w:pStyle w:val="2"/>
              <w:adjustRightInd w:val="0"/>
              <w:snapToGrid w:val="0"/>
              <w:spacing w:after="0"/>
              <w:ind w:firstLine="0" w:firstLineChars="0"/>
              <w:rPr>
                <w:rFonts w:hint="eastAsia" w:hAnsi="宋体"/>
                <w:color w:val="auto"/>
                <w:szCs w:val="21"/>
                <w:highlight w:val="none"/>
              </w:rPr>
            </w:pPr>
          </w:p>
        </w:tc>
      </w:tr>
      <w:tr w14:paraId="131E38E4">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57B3CA0">
            <w:pPr>
              <w:pStyle w:val="2"/>
              <w:adjustRightInd w:val="0"/>
              <w:snapToGrid w:val="0"/>
              <w:spacing w:after="0"/>
              <w:ind w:firstLine="0" w:firstLineChars="0"/>
              <w:rPr>
                <w:rFonts w:hint="eastAsia" w:hAnsi="宋体"/>
                <w:color w:val="auto"/>
                <w:szCs w:val="21"/>
                <w:highlight w:val="none"/>
              </w:rPr>
            </w:pPr>
            <w:r>
              <w:rPr>
                <w:rFonts w:hint="eastAsia" w:hAnsi="宋体"/>
                <w:color w:val="auto"/>
                <w:szCs w:val="21"/>
                <w:highlight w:val="none"/>
              </w:rPr>
              <w:t>19</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23D1AF1A">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3E373E4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事件完成与归档</w:t>
            </w:r>
          </w:p>
        </w:tc>
        <w:tc>
          <w:tcPr>
            <w:tcW w:w="5774" w:type="dxa"/>
            <w:tcBorders>
              <w:top w:val="single" w:color="000000" w:sz="4" w:space="0"/>
              <w:left w:val="single" w:color="000000" w:sz="4" w:space="0"/>
              <w:bottom w:val="single" w:color="000000" w:sz="4" w:space="0"/>
              <w:right w:val="single" w:color="000000" w:sz="4" w:space="0"/>
            </w:tcBorders>
            <w:vAlign w:val="center"/>
          </w:tcPr>
          <w:p w14:paraId="685D0EB8">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处置完成后及时反馈，出现漏登记、无复盘、无归档情况，每次扣1分；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550A9C62">
            <w:pPr>
              <w:pStyle w:val="2"/>
              <w:adjustRightInd w:val="0"/>
              <w:snapToGrid w:val="0"/>
              <w:spacing w:after="0"/>
              <w:ind w:firstLine="0" w:firstLineChars="0"/>
              <w:rPr>
                <w:rFonts w:hint="eastAsia" w:hAnsi="宋体"/>
                <w:color w:val="auto"/>
                <w:szCs w:val="21"/>
                <w:highlight w:val="none"/>
              </w:rPr>
            </w:pPr>
          </w:p>
        </w:tc>
      </w:tr>
      <w:tr w14:paraId="02A19764">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9793BC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w:t>
            </w:r>
            <w:r>
              <w:rPr>
                <w:rFonts w:hint="eastAsia" w:hAnsi="宋体"/>
                <w:color w:val="auto"/>
                <w:szCs w:val="21"/>
                <w:highlight w:val="none"/>
              </w:rPr>
              <w:t>0</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0AF6F69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其他服务</w:t>
            </w:r>
          </w:p>
        </w:tc>
        <w:tc>
          <w:tcPr>
            <w:tcW w:w="762" w:type="dxa"/>
            <w:vMerge w:val="restart"/>
            <w:tcBorders>
              <w:top w:val="single" w:color="000000" w:sz="4" w:space="0"/>
              <w:left w:val="single" w:color="000000" w:sz="4" w:space="0"/>
              <w:right w:val="single" w:color="000000" w:sz="4" w:space="0"/>
            </w:tcBorders>
            <w:vAlign w:val="center"/>
          </w:tcPr>
          <w:p w14:paraId="3F5DF823">
            <w:pPr>
              <w:pStyle w:val="2"/>
              <w:adjustRightInd w:val="0"/>
              <w:snapToGrid w:val="0"/>
              <w:spacing w:after="0"/>
              <w:ind w:firstLine="0" w:firstLineChars="0"/>
              <w:rPr>
                <w:rFonts w:hint="eastAsia" w:hAnsi="宋体"/>
                <w:color w:val="auto"/>
                <w:szCs w:val="21"/>
                <w:highlight w:val="none"/>
              </w:rPr>
            </w:pPr>
            <w:r>
              <w:rPr>
                <w:rFonts w:hint="eastAsia" w:hAnsi="宋体"/>
                <w:color w:val="auto"/>
                <w:szCs w:val="21"/>
                <w:highlight w:val="none"/>
              </w:rPr>
              <w:t>备件服务</w:t>
            </w:r>
          </w:p>
        </w:tc>
        <w:tc>
          <w:tcPr>
            <w:tcW w:w="5774" w:type="dxa"/>
            <w:tcBorders>
              <w:top w:val="single" w:color="000000" w:sz="4" w:space="0"/>
              <w:left w:val="single" w:color="000000" w:sz="4" w:space="0"/>
              <w:bottom w:val="single" w:color="000000" w:sz="4" w:space="0"/>
              <w:right w:val="single" w:color="000000" w:sz="4" w:space="0"/>
            </w:tcBorders>
            <w:vAlign w:val="center"/>
          </w:tcPr>
          <w:p w14:paraId="130519EE">
            <w:pPr>
              <w:pStyle w:val="2"/>
              <w:adjustRightInd w:val="0"/>
              <w:snapToGrid w:val="0"/>
              <w:spacing w:after="0"/>
              <w:ind w:firstLine="0" w:firstLineChars="0"/>
              <w:rPr>
                <w:rFonts w:hint="eastAsia" w:hAnsi="宋体"/>
                <w:color w:val="auto"/>
                <w:szCs w:val="21"/>
                <w:highlight w:val="none"/>
              </w:rPr>
            </w:pPr>
            <w:r>
              <w:rPr>
                <w:rFonts w:hint="eastAsia" w:hAnsi="宋体"/>
                <w:color w:val="auto"/>
                <w:szCs w:val="21"/>
                <w:highlight w:val="none"/>
              </w:rPr>
              <w:t>在接到业主需求无法在短时间内对设备完成修复的，应马上提供备件更换，超出业主规定时间更换备件的，每次扣3分；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5C07050">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15</w:t>
            </w:r>
          </w:p>
        </w:tc>
      </w:tr>
      <w:tr w14:paraId="4CF4C820">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C398124">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w:t>
            </w:r>
            <w:r>
              <w:rPr>
                <w:rFonts w:hint="eastAsia" w:hAnsi="宋体"/>
                <w:color w:val="auto"/>
                <w:szCs w:val="21"/>
                <w:highlight w:val="none"/>
              </w:rPr>
              <w:t>1</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151C0332">
            <w:pPr>
              <w:pStyle w:val="2"/>
              <w:adjustRightInd w:val="0"/>
              <w:snapToGrid w:val="0"/>
              <w:spacing w:after="0"/>
              <w:ind w:firstLine="0" w:firstLineChars="0"/>
              <w:rPr>
                <w:rFonts w:hint="eastAsia" w:hAnsi="宋体"/>
                <w:color w:val="auto"/>
                <w:szCs w:val="21"/>
                <w:highlight w:val="none"/>
              </w:rPr>
            </w:pPr>
          </w:p>
        </w:tc>
        <w:tc>
          <w:tcPr>
            <w:tcW w:w="762" w:type="dxa"/>
            <w:vMerge w:val="continue"/>
            <w:tcBorders>
              <w:left w:val="single" w:color="000000" w:sz="4" w:space="0"/>
              <w:bottom w:val="single" w:color="000000" w:sz="4" w:space="0"/>
              <w:right w:val="single" w:color="000000" w:sz="4" w:space="0"/>
            </w:tcBorders>
            <w:vAlign w:val="center"/>
          </w:tcPr>
          <w:p w14:paraId="6EB359B6">
            <w:pPr>
              <w:pStyle w:val="2"/>
              <w:adjustRightInd w:val="0"/>
              <w:snapToGrid w:val="0"/>
              <w:spacing w:after="0"/>
              <w:ind w:firstLine="0" w:firstLineChars="0"/>
              <w:rPr>
                <w:rFonts w:hint="eastAsia" w:hAnsi="宋体"/>
                <w:color w:val="auto"/>
                <w:szCs w:val="21"/>
                <w:highlight w:val="none"/>
              </w:rPr>
            </w:pPr>
          </w:p>
        </w:tc>
        <w:tc>
          <w:tcPr>
            <w:tcW w:w="5774" w:type="dxa"/>
            <w:tcBorders>
              <w:top w:val="single" w:color="000000" w:sz="4" w:space="0"/>
              <w:left w:val="single" w:color="000000" w:sz="4" w:space="0"/>
              <w:bottom w:val="single" w:color="000000" w:sz="4" w:space="0"/>
              <w:right w:val="single" w:color="000000" w:sz="4" w:space="0"/>
            </w:tcBorders>
            <w:vAlign w:val="center"/>
          </w:tcPr>
          <w:p w14:paraId="718593C9">
            <w:pPr>
              <w:pStyle w:val="2"/>
              <w:adjustRightInd w:val="0"/>
              <w:snapToGrid w:val="0"/>
              <w:spacing w:after="0"/>
              <w:ind w:firstLine="0" w:firstLineChars="0"/>
              <w:rPr>
                <w:rFonts w:hint="eastAsia" w:hAnsi="宋体"/>
                <w:color w:val="auto"/>
                <w:szCs w:val="21"/>
                <w:highlight w:val="none"/>
              </w:rPr>
            </w:pPr>
            <w:r>
              <w:rPr>
                <w:rFonts w:hint="eastAsia" w:hAnsi="宋体"/>
                <w:color w:val="auto"/>
                <w:szCs w:val="21"/>
                <w:highlight w:val="none"/>
              </w:rPr>
              <w:t>因运维单位未按时更换备件造成重大事故的，每次扣15分；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2C838792">
            <w:pPr>
              <w:pStyle w:val="2"/>
              <w:adjustRightInd w:val="0"/>
              <w:snapToGrid w:val="0"/>
              <w:spacing w:after="0"/>
              <w:ind w:firstLine="0" w:firstLineChars="0"/>
              <w:rPr>
                <w:rFonts w:hint="eastAsia" w:hAnsi="宋体"/>
                <w:color w:val="auto"/>
                <w:szCs w:val="21"/>
                <w:highlight w:val="none"/>
              </w:rPr>
            </w:pPr>
          </w:p>
        </w:tc>
      </w:tr>
      <w:tr w14:paraId="736183C8">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5AE5687">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w:t>
            </w:r>
            <w:r>
              <w:rPr>
                <w:rFonts w:hint="eastAsia" w:hAnsi="宋体"/>
                <w:color w:val="auto"/>
                <w:szCs w:val="21"/>
                <w:highlight w:val="none"/>
              </w:rPr>
              <w:t>2</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6C3A7040">
            <w:pPr>
              <w:pStyle w:val="2"/>
              <w:adjustRightInd w:val="0"/>
              <w:snapToGrid w:val="0"/>
              <w:spacing w:after="0"/>
              <w:ind w:firstLine="0" w:firstLineChars="0"/>
              <w:rPr>
                <w:rFonts w:hint="eastAsia" w:hAnsi="宋体"/>
                <w:color w:val="auto"/>
                <w:szCs w:val="21"/>
                <w:highlight w:val="none"/>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18F14715">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安全保障</w:t>
            </w:r>
          </w:p>
        </w:tc>
        <w:tc>
          <w:tcPr>
            <w:tcW w:w="5774" w:type="dxa"/>
            <w:tcBorders>
              <w:top w:val="single" w:color="000000" w:sz="4" w:space="0"/>
              <w:left w:val="single" w:color="000000" w:sz="4" w:space="0"/>
              <w:bottom w:val="single" w:color="000000" w:sz="4" w:space="0"/>
              <w:right w:val="single" w:color="000000" w:sz="4" w:space="0"/>
            </w:tcBorders>
            <w:vAlign w:val="center"/>
          </w:tcPr>
          <w:p w14:paraId="7B409F9B">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定期开展安全巡检、漏洞扫描、系统备份、恢复演练、等保测评或自查，高危、中危漏洞修复率100%，无特殊情况下高风险未修复每个扣5分，中低危每个扣3分，未提交说明文件按规扣分；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7937F93D">
            <w:pPr>
              <w:pStyle w:val="2"/>
              <w:adjustRightInd w:val="0"/>
              <w:snapToGrid w:val="0"/>
              <w:spacing w:after="0"/>
              <w:ind w:firstLine="0" w:firstLineChars="0"/>
              <w:rPr>
                <w:rFonts w:hint="eastAsia" w:hAnsi="宋体"/>
                <w:color w:val="auto"/>
                <w:szCs w:val="21"/>
                <w:highlight w:val="none"/>
              </w:rPr>
            </w:pPr>
          </w:p>
        </w:tc>
      </w:tr>
      <w:tr w14:paraId="6142D052">
        <w:tblPrEx>
          <w:tblCellMar>
            <w:top w:w="0" w:type="dxa"/>
            <w:left w:w="108" w:type="dxa"/>
            <w:bottom w:w="0" w:type="dxa"/>
            <w:right w:w="108" w:type="dxa"/>
          </w:tblCellMar>
        </w:tblPrEx>
        <w:trPr>
          <w:trHeight w:val="600" w:hRule="atLeast"/>
          <w:jc w:val="center"/>
        </w:trPr>
        <w:tc>
          <w:tcPr>
            <w:tcW w:w="638" w:type="dxa"/>
            <w:tcBorders>
              <w:top w:val="nil"/>
              <w:left w:val="single" w:color="000000" w:sz="4" w:space="0"/>
              <w:bottom w:val="nil"/>
              <w:right w:val="single" w:color="000000" w:sz="4" w:space="0"/>
            </w:tcBorders>
            <w:vAlign w:val="center"/>
          </w:tcPr>
          <w:p w14:paraId="7F097BC6">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2</w:t>
            </w:r>
            <w:r>
              <w:rPr>
                <w:rFonts w:hint="eastAsia" w:hAnsi="宋体"/>
                <w:color w:val="auto"/>
                <w:szCs w:val="21"/>
                <w:highlight w:val="none"/>
              </w:rPr>
              <w:t>3</w:t>
            </w:r>
          </w:p>
        </w:tc>
        <w:tc>
          <w:tcPr>
            <w:tcW w:w="661" w:type="dxa"/>
            <w:tcBorders>
              <w:top w:val="nil"/>
              <w:left w:val="single" w:color="000000" w:sz="4" w:space="0"/>
              <w:bottom w:val="single" w:color="000000" w:sz="4" w:space="0"/>
              <w:right w:val="single" w:color="000000" w:sz="4" w:space="0"/>
            </w:tcBorders>
            <w:vAlign w:val="center"/>
          </w:tcPr>
          <w:p w14:paraId="29DE5F54">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加分项</w:t>
            </w:r>
          </w:p>
        </w:tc>
        <w:tc>
          <w:tcPr>
            <w:tcW w:w="762" w:type="dxa"/>
            <w:tcBorders>
              <w:top w:val="nil"/>
              <w:left w:val="single" w:color="000000" w:sz="4" w:space="0"/>
              <w:bottom w:val="single" w:color="000000" w:sz="4" w:space="0"/>
              <w:right w:val="single" w:color="000000" w:sz="4" w:space="0"/>
            </w:tcBorders>
            <w:vAlign w:val="center"/>
          </w:tcPr>
          <w:p w14:paraId="52FBF1DB">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完成合同外任务</w:t>
            </w:r>
          </w:p>
        </w:tc>
        <w:tc>
          <w:tcPr>
            <w:tcW w:w="5774" w:type="dxa"/>
            <w:tcBorders>
              <w:top w:val="nil"/>
              <w:left w:val="single" w:color="000000" w:sz="4" w:space="0"/>
              <w:bottom w:val="single" w:color="000000" w:sz="4" w:space="0"/>
              <w:right w:val="single" w:color="000000" w:sz="4" w:space="0"/>
            </w:tcBorders>
            <w:vAlign w:val="center"/>
          </w:tcPr>
          <w:p w14:paraId="267A3E52">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承接在合同范围外，完成国家医保局或自治区医保局布置工作，每一次加5分。</w:t>
            </w:r>
          </w:p>
        </w:tc>
        <w:tc>
          <w:tcPr>
            <w:tcW w:w="461" w:type="dxa"/>
            <w:tcBorders>
              <w:top w:val="nil"/>
              <w:left w:val="single" w:color="000000" w:sz="4" w:space="0"/>
              <w:bottom w:val="single" w:color="000000" w:sz="4" w:space="0"/>
              <w:right w:val="single" w:color="000000" w:sz="4" w:space="0"/>
            </w:tcBorders>
            <w:vAlign w:val="center"/>
          </w:tcPr>
          <w:p w14:paraId="3AB58883">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10</w:t>
            </w:r>
          </w:p>
        </w:tc>
      </w:tr>
      <w:tr w14:paraId="122FDA20">
        <w:tblPrEx>
          <w:tblCellMar>
            <w:top w:w="0" w:type="dxa"/>
            <w:left w:w="108" w:type="dxa"/>
            <w:bottom w:w="0" w:type="dxa"/>
            <w:right w:w="108" w:type="dxa"/>
          </w:tblCellMar>
        </w:tblPrEx>
        <w:trPr>
          <w:trHeight w:val="1000" w:hRule="atLeast"/>
          <w:jc w:val="center"/>
        </w:trPr>
        <w:tc>
          <w:tcPr>
            <w:tcW w:w="8296" w:type="dxa"/>
            <w:gridSpan w:val="5"/>
            <w:tcBorders>
              <w:top w:val="nil"/>
              <w:left w:val="nil"/>
              <w:bottom w:val="nil"/>
              <w:right w:val="nil"/>
            </w:tcBorders>
            <w:vAlign w:val="center"/>
          </w:tcPr>
          <w:p w14:paraId="5B3EC59C">
            <w:pPr>
              <w:pStyle w:val="2"/>
              <w:adjustRightInd w:val="0"/>
              <w:snapToGrid w:val="0"/>
              <w:spacing w:after="0"/>
              <w:ind w:firstLine="0" w:firstLineChars="0"/>
              <w:rPr>
                <w:rFonts w:hint="eastAsia" w:hAnsi="宋体"/>
                <w:color w:val="auto"/>
                <w:szCs w:val="21"/>
                <w:highlight w:val="none"/>
              </w:rPr>
            </w:pPr>
            <w:r>
              <w:rPr>
                <w:rFonts w:hAnsi="宋体"/>
                <w:color w:val="auto"/>
                <w:szCs w:val="21"/>
                <w:highlight w:val="none"/>
              </w:rPr>
              <w:t>注：1.因不可抗力（如地震、台风）导致故障处置延迟的，经考核小组审核后，不纳入扣分；2.运维人员对考核结果有异议的，需在结果公示后 3 个工作日内提交书面申诉，考核小组 5 个工作日内复核并反馈结果，确保考核公正性。</w:t>
            </w:r>
          </w:p>
        </w:tc>
      </w:tr>
    </w:tbl>
    <w:p w14:paraId="50CFB90B">
      <w:pPr>
        <w:pStyle w:val="2"/>
        <w:spacing w:after="0" w:line="360" w:lineRule="auto"/>
        <w:ind w:firstLine="0" w:firstLineChars="0"/>
        <w:rPr>
          <w:rFonts w:hint="eastAsia" w:ascii="宋体" w:hAnsi="宋体"/>
          <w:color w:val="auto"/>
          <w:sz w:val="24"/>
          <w:highlight w:val="none"/>
        </w:rPr>
      </w:pPr>
    </w:p>
    <w:p w14:paraId="4BFAB669">
      <w:pPr>
        <w:rPr>
          <w:color w:val="auto"/>
          <w:highlight w:val="none"/>
        </w:rPr>
      </w:pPr>
    </w:p>
    <w:p w14:paraId="6C34A4B2">
      <w:pPr>
        <w:snapToGrid w:val="0"/>
        <w:jc w:val="center"/>
        <w:rPr>
          <w:rFonts w:hint="eastAsia" w:ascii="宋体" w:hAnsi="宋体"/>
          <w:bCs/>
          <w:color w:val="auto"/>
          <w:sz w:val="32"/>
          <w:szCs w:val="32"/>
          <w:highlight w:val="none"/>
        </w:rPr>
      </w:pPr>
      <w:r>
        <w:rPr>
          <w:rFonts w:ascii="宋体" w:hAnsi="宋体"/>
          <w:b/>
          <w:color w:val="auto"/>
          <w:szCs w:val="21"/>
          <w:highlight w:val="none"/>
        </w:rPr>
        <w:br w:type="page"/>
      </w:r>
    </w:p>
    <w:p w14:paraId="3A9F369A">
      <w:pPr>
        <w:snapToGrid w:val="0"/>
        <w:jc w:val="center"/>
        <w:rPr>
          <w:rFonts w:hint="eastAsia" w:ascii="宋体" w:hAnsi="宋体"/>
          <w:bCs/>
          <w:color w:val="auto"/>
          <w:sz w:val="32"/>
          <w:szCs w:val="32"/>
          <w:highlight w:val="none"/>
        </w:rPr>
      </w:pPr>
    </w:p>
    <w:p w14:paraId="08FE8831">
      <w:pPr>
        <w:snapToGrid w:val="0"/>
        <w:jc w:val="center"/>
        <w:rPr>
          <w:rFonts w:hint="eastAsia" w:ascii="宋体" w:hAnsi="宋体"/>
          <w:bCs/>
          <w:color w:val="auto"/>
          <w:sz w:val="32"/>
          <w:szCs w:val="32"/>
          <w:highlight w:val="none"/>
        </w:rPr>
      </w:pPr>
    </w:p>
    <w:p w14:paraId="27BB75E7">
      <w:pPr>
        <w:snapToGrid w:val="0"/>
        <w:jc w:val="center"/>
        <w:rPr>
          <w:rFonts w:hint="eastAsia" w:ascii="宋体" w:hAnsi="宋体"/>
          <w:bCs/>
          <w:color w:val="auto"/>
          <w:sz w:val="32"/>
          <w:szCs w:val="32"/>
          <w:highlight w:val="none"/>
        </w:rPr>
      </w:pPr>
    </w:p>
    <w:p w14:paraId="5DA6D7F0">
      <w:pPr>
        <w:snapToGrid w:val="0"/>
        <w:jc w:val="center"/>
        <w:rPr>
          <w:rFonts w:hint="eastAsia" w:ascii="宋体" w:hAnsi="宋体"/>
          <w:bCs/>
          <w:color w:val="auto"/>
          <w:sz w:val="32"/>
          <w:szCs w:val="32"/>
          <w:highlight w:val="none"/>
        </w:rPr>
      </w:pPr>
    </w:p>
    <w:p w14:paraId="64B6F4CB">
      <w:pPr>
        <w:snapToGrid w:val="0"/>
        <w:jc w:val="center"/>
        <w:rPr>
          <w:rFonts w:hint="eastAsia" w:ascii="宋体" w:hAnsi="宋体"/>
          <w:bCs/>
          <w:color w:val="auto"/>
          <w:sz w:val="32"/>
          <w:szCs w:val="32"/>
          <w:highlight w:val="none"/>
        </w:rPr>
      </w:pPr>
    </w:p>
    <w:p w14:paraId="59D9EB15">
      <w:pPr>
        <w:pStyle w:val="4"/>
        <w:jc w:val="center"/>
        <w:rPr>
          <w:color w:val="auto"/>
          <w:highlight w:val="none"/>
        </w:rPr>
      </w:pPr>
      <w:bookmarkStart w:id="150" w:name="_Toc187937698"/>
      <w:r>
        <w:rPr>
          <w:rFonts w:hint="eastAsia"/>
          <w:color w:val="auto"/>
          <w:highlight w:val="none"/>
        </w:rPr>
        <w:t>第六章　投标文件格式</w:t>
      </w:r>
      <w:bookmarkEnd w:id="150"/>
    </w:p>
    <w:p w14:paraId="181C6E95">
      <w:pPr>
        <w:snapToGrid w:val="0"/>
        <w:spacing w:before="50" w:after="50"/>
        <w:outlineLvl w:val="1"/>
        <w:rPr>
          <w:rFonts w:hint="eastAsia" w:ascii="宋体" w:hAnsi="宋体"/>
          <w:color w:val="auto"/>
          <w:sz w:val="32"/>
          <w:szCs w:val="20"/>
          <w:highlight w:val="none"/>
        </w:rPr>
      </w:pPr>
    </w:p>
    <w:p w14:paraId="15CAF777">
      <w:pPr>
        <w:snapToGrid w:val="0"/>
        <w:spacing w:before="50" w:after="50"/>
        <w:outlineLvl w:val="1"/>
        <w:rPr>
          <w:rFonts w:hint="eastAsia" w:ascii="宋体" w:hAnsi="宋体"/>
          <w:color w:val="auto"/>
          <w:sz w:val="32"/>
          <w:szCs w:val="20"/>
          <w:highlight w:val="none"/>
        </w:rPr>
      </w:pPr>
    </w:p>
    <w:p w14:paraId="26843F96">
      <w:pPr>
        <w:snapToGrid w:val="0"/>
        <w:spacing w:before="50" w:after="50"/>
        <w:outlineLvl w:val="1"/>
        <w:rPr>
          <w:rFonts w:hint="eastAsia" w:ascii="宋体" w:hAnsi="宋体"/>
          <w:color w:val="auto"/>
          <w:sz w:val="32"/>
          <w:szCs w:val="20"/>
          <w:highlight w:val="none"/>
        </w:rPr>
      </w:pPr>
    </w:p>
    <w:p w14:paraId="3A882F8A">
      <w:pPr>
        <w:snapToGrid w:val="0"/>
        <w:spacing w:before="50" w:after="50"/>
        <w:outlineLvl w:val="1"/>
        <w:rPr>
          <w:rFonts w:hint="eastAsia" w:ascii="宋体" w:hAnsi="宋体"/>
          <w:color w:val="auto"/>
          <w:sz w:val="32"/>
          <w:szCs w:val="20"/>
          <w:highlight w:val="none"/>
        </w:rPr>
      </w:pPr>
    </w:p>
    <w:p w14:paraId="15949701">
      <w:pPr>
        <w:snapToGrid w:val="0"/>
        <w:spacing w:before="50" w:after="50"/>
        <w:outlineLvl w:val="1"/>
        <w:rPr>
          <w:rFonts w:hint="eastAsia" w:ascii="宋体" w:hAnsi="宋体"/>
          <w:color w:val="auto"/>
          <w:sz w:val="32"/>
          <w:szCs w:val="20"/>
          <w:highlight w:val="none"/>
        </w:rPr>
      </w:pPr>
    </w:p>
    <w:p w14:paraId="0071BAFD">
      <w:pPr>
        <w:snapToGrid w:val="0"/>
        <w:spacing w:before="50" w:after="50"/>
        <w:outlineLvl w:val="1"/>
        <w:rPr>
          <w:rFonts w:hint="eastAsia" w:ascii="宋体" w:hAnsi="宋体"/>
          <w:color w:val="auto"/>
          <w:sz w:val="32"/>
          <w:szCs w:val="20"/>
          <w:highlight w:val="none"/>
        </w:rPr>
      </w:pPr>
    </w:p>
    <w:p w14:paraId="261F232D">
      <w:pPr>
        <w:snapToGrid w:val="0"/>
        <w:spacing w:before="50" w:after="50"/>
        <w:outlineLvl w:val="1"/>
        <w:rPr>
          <w:rFonts w:hint="eastAsia" w:ascii="宋体" w:hAnsi="宋体"/>
          <w:color w:val="auto"/>
          <w:sz w:val="32"/>
          <w:szCs w:val="20"/>
          <w:highlight w:val="none"/>
        </w:rPr>
      </w:pPr>
    </w:p>
    <w:p w14:paraId="13952FB9">
      <w:pPr>
        <w:snapToGrid w:val="0"/>
        <w:spacing w:before="50" w:after="50"/>
        <w:outlineLvl w:val="1"/>
        <w:rPr>
          <w:rFonts w:hint="eastAsia" w:ascii="宋体" w:hAnsi="宋体"/>
          <w:color w:val="auto"/>
          <w:sz w:val="32"/>
          <w:szCs w:val="20"/>
          <w:highlight w:val="none"/>
        </w:rPr>
      </w:pPr>
    </w:p>
    <w:p w14:paraId="5D5477ED">
      <w:pPr>
        <w:snapToGrid w:val="0"/>
        <w:spacing w:before="50" w:after="50"/>
        <w:outlineLvl w:val="1"/>
        <w:rPr>
          <w:rFonts w:hint="eastAsia" w:ascii="宋体" w:hAnsi="宋体"/>
          <w:color w:val="auto"/>
          <w:sz w:val="32"/>
          <w:szCs w:val="20"/>
          <w:highlight w:val="none"/>
        </w:rPr>
      </w:pPr>
    </w:p>
    <w:p w14:paraId="0C89ABA2">
      <w:pPr>
        <w:snapToGrid w:val="0"/>
        <w:spacing w:before="50" w:after="50"/>
        <w:outlineLvl w:val="1"/>
        <w:rPr>
          <w:rFonts w:hint="eastAsia" w:ascii="宋体" w:hAnsi="宋体"/>
          <w:color w:val="auto"/>
          <w:sz w:val="32"/>
          <w:szCs w:val="20"/>
          <w:highlight w:val="none"/>
        </w:rPr>
      </w:pPr>
    </w:p>
    <w:p w14:paraId="188A30A2">
      <w:pPr>
        <w:rPr>
          <w:b/>
          <w:color w:val="auto"/>
          <w:sz w:val="28"/>
          <w:szCs w:val="28"/>
          <w:highlight w:val="none"/>
        </w:rPr>
      </w:pPr>
      <w:r>
        <w:rPr>
          <w:color w:val="auto"/>
          <w:sz w:val="32"/>
          <w:szCs w:val="20"/>
          <w:highlight w:val="none"/>
        </w:rPr>
        <w:br w:type="page"/>
      </w:r>
      <w:bookmarkStart w:id="151" w:name="_Toc19686836"/>
      <w:bookmarkStart w:id="152" w:name="_Toc254970557"/>
      <w:bookmarkStart w:id="153" w:name="_Toc254970698"/>
      <w:r>
        <w:rPr>
          <w:rFonts w:hint="eastAsia"/>
          <w:b/>
          <w:color w:val="auto"/>
          <w:sz w:val="28"/>
          <w:szCs w:val="28"/>
          <w:highlight w:val="none"/>
        </w:rPr>
        <w:t>一、报价文件格式</w:t>
      </w:r>
      <w:bookmarkEnd w:id="151"/>
    </w:p>
    <w:p w14:paraId="087874F9">
      <w:pPr>
        <w:snapToGrid w:val="0"/>
        <w:spacing w:before="120" w:beforeLines="50" w:after="50" w:line="360" w:lineRule="auto"/>
        <w:ind w:left="142"/>
        <w:jc w:val="left"/>
        <w:rPr>
          <w:rFonts w:hint="eastAsia" w:ascii="宋体" w:hAnsi="宋体"/>
          <w:color w:val="auto"/>
          <w:sz w:val="24"/>
          <w:szCs w:val="20"/>
          <w:highlight w:val="none"/>
        </w:rPr>
      </w:pPr>
      <w:r>
        <w:rPr>
          <w:rFonts w:hint="eastAsia" w:ascii="宋体" w:hAnsi="宋体"/>
          <w:b/>
          <w:color w:val="auto"/>
          <w:sz w:val="24"/>
          <w:highlight w:val="none"/>
        </w:rPr>
        <w:t xml:space="preserve">1. 报价文件封面格式： </w:t>
      </w:r>
    </w:p>
    <w:p w14:paraId="102C17D4">
      <w:pPr>
        <w:snapToGrid w:val="0"/>
        <w:spacing w:before="120" w:beforeLines="50" w:after="50" w:line="360" w:lineRule="auto"/>
        <w:ind w:left="142"/>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069AC94E">
      <w:pPr>
        <w:snapToGrid w:val="0"/>
        <w:spacing w:before="120" w:beforeLines="50" w:after="50" w:line="400" w:lineRule="exact"/>
        <w:rPr>
          <w:rFonts w:hint="eastAsia" w:ascii="宋体" w:hAnsi="宋体"/>
          <w:bCs/>
          <w:color w:val="auto"/>
          <w:sz w:val="32"/>
          <w:szCs w:val="20"/>
          <w:highlight w:val="none"/>
        </w:rPr>
      </w:pPr>
      <w:r>
        <w:rPr>
          <w:rFonts w:hint="eastAsia" w:ascii="宋体" w:hAnsi="宋体"/>
          <w:color w:val="auto"/>
          <w:sz w:val="24"/>
          <w:highlight w:val="none"/>
        </w:rPr>
        <w:t xml:space="preserve">                 </w:t>
      </w:r>
    </w:p>
    <w:p w14:paraId="7B296C08">
      <w:pPr>
        <w:snapToGrid w:val="0"/>
        <w:spacing w:before="120" w:beforeLines="50" w:after="50" w:line="400" w:lineRule="exact"/>
        <w:jc w:val="center"/>
        <w:rPr>
          <w:rFonts w:hint="eastAsia" w:ascii="宋体" w:hAnsi="宋体"/>
          <w:bCs/>
          <w:color w:val="auto"/>
          <w:sz w:val="24"/>
          <w:szCs w:val="20"/>
          <w:highlight w:val="none"/>
        </w:rPr>
      </w:pPr>
    </w:p>
    <w:p w14:paraId="7F225FAB">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w:t>
      </w:r>
    </w:p>
    <w:p w14:paraId="64BD318F">
      <w:pPr>
        <w:snapToGrid w:val="0"/>
        <w:spacing w:before="120" w:beforeLines="50" w:after="50" w:line="400" w:lineRule="exact"/>
        <w:rPr>
          <w:rFonts w:hint="eastAsia" w:ascii="宋体" w:hAnsi="宋体"/>
          <w:bCs/>
          <w:color w:val="auto"/>
          <w:sz w:val="24"/>
          <w:szCs w:val="20"/>
          <w:highlight w:val="none"/>
        </w:rPr>
      </w:pPr>
    </w:p>
    <w:p w14:paraId="49232054">
      <w:pPr>
        <w:snapToGrid w:val="0"/>
        <w:spacing w:before="120" w:beforeLines="50" w:after="50" w:line="400" w:lineRule="exact"/>
        <w:rPr>
          <w:rFonts w:hint="eastAsia" w:ascii="宋体" w:hAnsi="宋体"/>
          <w:bCs/>
          <w:color w:val="auto"/>
          <w:sz w:val="24"/>
          <w:szCs w:val="20"/>
          <w:highlight w:val="none"/>
        </w:rPr>
      </w:pPr>
    </w:p>
    <w:p w14:paraId="639C0723">
      <w:pPr>
        <w:snapToGrid w:val="0"/>
        <w:spacing w:before="120" w:beforeLines="50" w:after="50" w:line="400" w:lineRule="exact"/>
        <w:rPr>
          <w:rFonts w:hint="eastAsia" w:ascii="宋体" w:hAnsi="宋体"/>
          <w:bCs/>
          <w:color w:val="auto"/>
          <w:sz w:val="24"/>
          <w:szCs w:val="20"/>
          <w:highlight w:val="none"/>
        </w:rPr>
      </w:pPr>
    </w:p>
    <w:p w14:paraId="73CAB4A2">
      <w:pPr>
        <w:snapToGrid w:val="0"/>
        <w:spacing w:before="120" w:beforeLines="50" w:after="50" w:line="400" w:lineRule="exact"/>
        <w:rPr>
          <w:rFonts w:hint="eastAsia" w:ascii="宋体" w:hAnsi="宋体"/>
          <w:bCs/>
          <w:color w:val="auto"/>
          <w:sz w:val="24"/>
          <w:szCs w:val="20"/>
          <w:highlight w:val="none"/>
        </w:rPr>
      </w:pPr>
    </w:p>
    <w:p w14:paraId="4280B2C6">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项目名称： </w:t>
      </w:r>
    </w:p>
    <w:p w14:paraId="5E571C96">
      <w:pPr>
        <w:snapToGrid w:val="0"/>
        <w:spacing w:before="120" w:beforeLines="50" w:after="50" w:line="400" w:lineRule="exact"/>
        <w:ind w:firstLine="360" w:firstLineChars="150"/>
        <w:rPr>
          <w:rFonts w:hint="eastAsia" w:ascii="宋体" w:hAnsi="宋体"/>
          <w:bCs/>
          <w:color w:val="auto"/>
          <w:sz w:val="24"/>
          <w:highlight w:val="none"/>
        </w:rPr>
      </w:pPr>
    </w:p>
    <w:p w14:paraId="4EF08B5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7D1E9B89">
      <w:pPr>
        <w:snapToGrid w:val="0"/>
        <w:spacing w:before="120" w:beforeLines="50" w:after="50" w:line="400" w:lineRule="exact"/>
        <w:ind w:firstLine="360" w:firstLineChars="150"/>
        <w:rPr>
          <w:rFonts w:hint="eastAsia" w:ascii="宋体" w:hAnsi="宋体"/>
          <w:bCs/>
          <w:color w:val="auto"/>
          <w:sz w:val="24"/>
          <w:highlight w:val="none"/>
        </w:rPr>
      </w:pPr>
    </w:p>
    <w:p w14:paraId="1A41DE8B">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6C033311">
      <w:pPr>
        <w:snapToGrid w:val="0"/>
        <w:spacing w:before="120" w:beforeLines="50" w:after="50" w:line="400" w:lineRule="exact"/>
        <w:ind w:firstLine="360" w:firstLineChars="150"/>
        <w:rPr>
          <w:rFonts w:hint="eastAsia" w:ascii="宋体" w:hAnsi="宋体"/>
          <w:bCs/>
          <w:color w:val="auto"/>
          <w:sz w:val="24"/>
          <w:highlight w:val="none"/>
        </w:rPr>
      </w:pPr>
    </w:p>
    <w:p w14:paraId="51CAF255">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71BF9B17">
      <w:pPr>
        <w:snapToGrid w:val="0"/>
        <w:spacing w:before="120" w:beforeLines="50" w:after="50" w:line="400" w:lineRule="exact"/>
        <w:ind w:firstLine="360" w:firstLineChars="150"/>
        <w:rPr>
          <w:rFonts w:hint="eastAsia" w:ascii="宋体" w:hAnsi="宋体"/>
          <w:bCs/>
          <w:color w:val="auto"/>
          <w:sz w:val="24"/>
          <w:highlight w:val="none"/>
        </w:rPr>
      </w:pPr>
    </w:p>
    <w:p w14:paraId="5EADB6FE">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49520F01">
      <w:pPr>
        <w:pStyle w:val="9"/>
        <w:snapToGrid w:val="0"/>
        <w:spacing w:before="50" w:after="50" w:line="400" w:lineRule="exact"/>
        <w:ind w:firstLine="960" w:firstLineChars="400"/>
        <w:rPr>
          <w:rFonts w:hint="eastAsia" w:ascii="宋体" w:hAnsi="宋体"/>
          <w:bCs/>
          <w:color w:val="auto"/>
          <w:sz w:val="24"/>
          <w:szCs w:val="24"/>
          <w:highlight w:val="none"/>
        </w:rPr>
      </w:pPr>
    </w:p>
    <w:p w14:paraId="6C16864F">
      <w:pPr>
        <w:snapToGrid w:val="0"/>
        <w:spacing w:before="120" w:beforeLines="5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372B6296">
      <w:pPr>
        <w:snapToGrid w:val="0"/>
        <w:spacing w:before="120" w:beforeLines="5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1671DEE6">
      <w:pPr>
        <w:snapToGrid w:val="0"/>
        <w:spacing w:before="50" w:after="120" w:afterLines="50" w:line="360" w:lineRule="auto"/>
        <w:jc w:val="left"/>
        <w:rPr>
          <w:rFonts w:hint="eastAsia" w:ascii="宋体" w:hAnsi="宋体"/>
          <w:b/>
          <w:color w:val="auto"/>
          <w:sz w:val="24"/>
          <w:highlight w:val="none"/>
        </w:rPr>
      </w:pPr>
      <w:r>
        <w:rPr>
          <w:rFonts w:hint="eastAsia" w:ascii="宋体" w:hAnsi="宋体"/>
          <w:color w:val="auto"/>
          <w:szCs w:val="21"/>
          <w:highlight w:val="none"/>
        </w:rPr>
        <w:t>根据采购文件规定及投标人提供的材料自行编写目录。</w:t>
      </w:r>
    </w:p>
    <w:p w14:paraId="2980DF32">
      <w:pPr>
        <w:snapToGrid w:val="0"/>
        <w:spacing w:before="120" w:beforeLines="50" w:after="50"/>
        <w:rPr>
          <w:rFonts w:hint="eastAsia" w:ascii="宋体" w:hAnsi="宋体"/>
          <w:b/>
          <w:color w:val="auto"/>
          <w:sz w:val="24"/>
          <w:highlight w:val="none"/>
        </w:rPr>
      </w:pPr>
    </w:p>
    <w:p w14:paraId="4FFF3923">
      <w:pPr>
        <w:snapToGrid w:val="0"/>
        <w:spacing w:before="120" w:beforeLines="50" w:after="50"/>
        <w:rPr>
          <w:rFonts w:hint="eastAsia" w:ascii="宋体" w:hAnsi="宋体"/>
          <w:b/>
          <w:color w:val="auto"/>
          <w:sz w:val="24"/>
          <w:highlight w:val="none"/>
        </w:rPr>
      </w:pPr>
    </w:p>
    <w:p w14:paraId="0D3FC17E">
      <w:pPr>
        <w:snapToGrid w:val="0"/>
        <w:spacing w:before="120" w:beforeLines="50" w:after="50"/>
        <w:rPr>
          <w:rFonts w:hint="eastAsia" w:ascii="宋体" w:hAnsi="宋体"/>
          <w:b/>
          <w:color w:val="auto"/>
          <w:sz w:val="24"/>
          <w:highlight w:val="none"/>
        </w:rPr>
      </w:pPr>
    </w:p>
    <w:p w14:paraId="61EEC714">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投标函格式：</w:t>
      </w:r>
    </w:p>
    <w:p w14:paraId="20582EF9">
      <w:pPr>
        <w:snapToGrid w:val="0"/>
        <w:spacing w:before="120" w:beforeLines="50" w:after="50"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 标 函</w:t>
      </w:r>
    </w:p>
    <w:p w14:paraId="720EBEBA">
      <w:pPr>
        <w:snapToGrid w:val="0"/>
        <w:spacing w:before="120" w:beforeLines="50" w:after="50" w:line="320" w:lineRule="exact"/>
        <w:jc w:val="center"/>
        <w:rPr>
          <w:rFonts w:hint="eastAsia" w:ascii="宋体" w:hAnsi="宋体"/>
          <w:b/>
          <w:color w:val="auto"/>
          <w:sz w:val="24"/>
          <w:szCs w:val="20"/>
          <w:highlight w:val="none"/>
        </w:rPr>
      </w:pPr>
    </w:p>
    <w:p w14:paraId="3AB7CF38">
      <w:pPr>
        <w:snapToGrid w:val="0"/>
        <w:spacing w:before="120" w:beforeLines="50" w:after="50" w:line="320" w:lineRule="exact"/>
        <w:jc w:val="center"/>
        <w:rPr>
          <w:rFonts w:hint="eastAsia" w:ascii="宋体" w:hAnsi="宋体"/>
          <w:b/>
          <w:color w:val="auto"/>
          <w:sz w:val="24"/>
          <w:szCs w:val="20"/>
          <w:highlight w:val="none"/>
        </w:rPr>
      </w:pPr>
    </w:p>
    <w:p w14:paraId="389575AE">
      <w:pPr>
        <w:snapToGrid w:val="0"/>
        <w:spacing w:before="120" w:beforeLines="50" w:after="50" w:line="320" w:lineRule="exact"/>
        <w:jc w:val="center"/>
        <w:rPr>
          <w:rFonts w:hint="eastAsia" w:ascii="宋体" w:hAnsi="宋体"/>
          <w:b/>
          <w:color w:val="auto"/>
          <w:sz w:val="24"/>
          <w:szCs w:val="20"/>
          <w:highlight w:val="none"/>
        </w:rPr>
      </w:pPr>
    </w:p>
    <w:p w14:paraId="58D061FC">
      <w:pPr>
        <w:snapToGrid w:val="0"/>
        <w:spacing w:line="360" w:lineRule="auto"/>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4D4BEF37">
      <w:pPr>
        <w:snapToGrid w:val="0"/>
        <w:spacing w:line="360" w:lineRule="auto"/>
        <w:ind w:firstLine="480"/>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）的采购文件，签字代表______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7524F5AE">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据此函，我方宣布同意如下：</w:t>
      </w:r>
    </w:p>
    <w:p w14:paraId="25F21936">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1.我方已详细审查全部“采购文件”，包括修改文件（如有的话）以及全部参考资料和有关附件，已经了解我方对于采购文件、采购过程、采购结果有依法进行询问、质疑、投诉的权利及相关渠道和要求。</w:t>
      </w:r>
    </w:p>
    <w:p w14:paraId="53BDEFFA">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2.我方在投标之前已经完全理解并接受采购文件的各项规定和要求，对采购文件的合理性、合法性不再有异议。</w:t>
      </w:r>
    </w:p>
    <w:p w14:paraId="38AC2EF9">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4092E88A">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4.如中标，本投标文件至本项目合同履行完毕止均保持有效，我方将按“采购文件”及政府采购法律、法规的规定履行合同责任和义务。</w:t>
      </w:r>
    </w:p>
    <w:p w14:paraId="5EEFC70E">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2FB44485">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31B57364">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19188B5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5DA62B1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4ACF40A8">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BF0552F">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9.与本项目有关的一切正式往来信函请寄：</w:t>
      </w:r>
    </w:p>
    <w:p w14:paraId="1E00B1FC">
      <w:pPr>
        <w:snapToGrid w:val="0"/>
        <w:spacing w:line="360" w:lineRule="auto"/>
        <w:ind w:firstLine="480" w:firstLineChars="200"/>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1BB8D615">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CF9ACB0">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3162933C">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DB74096">
      <w:pPr>
        <w:snapToGrid w:val="0"/>
        <w:spacing w:line="360" w:lineRule="auto"/>
        <w:ind w:firstLine="480" w:firstLineChars="200"/>
        <w:jc w:val="left"/>
        <w:rPr>
          <w:rFonts w:hint="eastAsia" w:ascii="宋体" w:hAnsi="宋体"/>
          <w:color w:val="auto"/>
          <w:sz w:val="24"/>
          <w:highlight w:val="none"/>
        </w:rPr>
      </w:pPr>
    </w:p>
    <w:p w14:paraId="6A358186">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21B6D304">
      <w:pPr>
        <w:pStyle w:val="18"/>
        <w:snapToGrid w:val="0"/>
        <w:spacing w:before="295" w:after="295" w:line="360" w:lineRule="auto"/>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7DC9F20D">
      <w:pPr>
        <w:pStyle w:val="18"/>
        <w:snapToGrid w:val="0"/>
        <w:spacing w:before="295" w:after="295" w:line="360" w:lineRule="auto"/>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4757E65E">
      <w:pPr>
        <w:snapToGrid w:val="0"/>
        <w:spacing w:before="120" w:beforeLines="50" w:after="50"/>
        <w:jc w:val="left"/>
        <w:rPr>
          <w:rFonts w:hint="eastAsia"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rPr>
        <w:t>4. 开标一览表</w:t>
      </w:r>
    </w:p>
    <w:p w14:paraId="122D718D">
      <w:pP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7469FA0C">
      <w:pPr>
        <w:snapToGrid w:val="0"/>
        <w:spacing w:before="50" w:after="50"/>
        <w:jc w:val="center"/>
        <w:rPr>
          <w:rFonts w:hint="eastAsia" w:ascii="宋体" w:hAnsi="宋体"/>
          <w:b/>
          <w:color w:val="auto"/>
          <w:sz w:val="30"/>
          <w:szCs w:val="20"/>
          <w:highlight w:val="none"/>
        </w:rPr>
      </w:pPr>
    </w:p>
    <w:p w14:paraId="20AA97AC">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B8957F5">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标项：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F002DDD">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tbl>
      <w:tblPr>
        <w:tblStyle w:val="36"/>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2550"/>
        <w:gridCol w:w="855"/>
        <w:gridCol w:w="1304"/>
        <w:gridCol w:w="2126"/>
        <w:gridCol w:w="1171"/>
      </w:tblGrid>
      <w:tr w14:paraId="4263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trPr>
        <w:tc>
          <w:tcPr>
            <w:tcW w:w="1807" w:type="dxa"/>
            <w:tcBorders>
              <w:top w:val="single" w:color="auto" w:sz="4" w:space="0"/>
              <w:left w:val="single" w:color="auto" w:sz="4" w:space="0"/>
              <w:bottom w:val="single" w:color="auto" w:sz="4" w:space="0"/>
              <w:right w:val="single" w:color="auto" w:sz="4" w:space="0"/>
            </w:tcBorders>
            <w:vAlign w:val="center"/>
          </w:tcPr>
          <w:p w14:paraId="74EC6BA5">
            <w:pPr>
              <w:jc w:val="center"/>
              <w:rPr>
                <w:rFonts w:hint="eastAsia" w:ascii="宋体" w:hAnsi="宋体" w:cs="宋体"/>
                <w:color w:val="auto"/>
                <w:sz w:val="24"/>
                <w:highlight w:val="none"/>
              </w:rPr>
            </w:pPr>
            <w:r>
              <w:rPr>
                <w:rFonts w:hint="eastAsia" w:ascii="宋体" w:hAnsi="宋体" w:cs="宋体"/>
                <w:color w:val="auto"/>
                <w:sz w:val="24"/>
                <w:highlight w:val="none"/>
              </w:rPr>
              <w:t>服务名称</w:t>
            </w:r>
          </w:p>
        </w:tc>
        <w:tc>
          <w:tcPr>
            <w:tcW w:w="2550" w:type="dxa"/>
            <w:tcBorders>
              <w:top w:val="single" w:color="auto" w:sz="4" w:space="0"/>
              <w:left w:val="single" w:color="auto" w:sz="4" w:space="0"/>
              <w:bottom w:val="single" w:color="auto" w:sz="4" w:space="0"/>
              <w:right w:val="single" w:color="auto" w:sz="4" w:space="0"/>
            </w:tcBorders>
            <w:vAlign w:val="center"/>
          </w:tcPr>
          <w:p w14:paraId="2CEA9C98">
            <w:pPr>
              <w:jc w:val="center"/>
              <w:rPr>
                <w:rFonts w:hint="eastAsia" w:ascii="宋体" w:hAnsi="宋体" w:cs="宋体"/>
                <w:color w:val="auto"/>
                <w:sz w:val="24"/>
                <w:highlight w:val="none"/>
              </w:rPr>
            </w:pPr>
            <w:r>
              <w:rPr>
                <w:rFonts w:hint="eastAsia" w:ascii="宋体" w:hAnsi="宋体" w:cs="宋体"/>
                <w:color w:val="auto"/>
                <w:sz w:val="24"/>
                <w:highlight w:val="none"/>
              </w:rPr>
              <w:t>具体服务内容（含具体服务范围、服务时间、服务标准等内容）</w:t>
            </w:r>
          </w:p>
        </w:tc>
        <w:tc>
          <w:tcPr>
            <w:tcW w:w="855" w:type="dxa"/>
            <w:tcBorders>
              <w:top w:val="single" w:color="auto" w:sz="4" w:space="0"/>
              <w:left w:val="single" w:color="auto" w:sz="4" w:space="0"/>
              <w:bottom w:val="single" w:color="auto" w:sz="4" w:space="0"/>
              <w:right w:val="single" w:color="auto" w:sz="4" w:space="0"/>
            </w:tcBorders>
            <w:vAlign w:val="center"/>
          </w:tcPr>
          <w:p w14:paraId="3F862C3D">
            <w:pPr>
              <w:jc w:val="center"/>
              <w:rPr>
                <w:rFonts w:hint="eastAsia" w:ascii="宋体" w:hAnsi="宋体" w:cs="宋体"/>
                <w:color w:val="auto"/>
                <w:sz w:val="24"/>
                <w:highlight w:val="none"/>
              </w:rPr>
            </w:pPr>
            <w:r>
              <w:rPr>
                <w:rFonts w:hint="eastAsia" w:ascii="宋体" w:hAnsi="宋体" w:cs="宋体"/>
                <w:color w:val="auto"/>
                <w:sz w:val="24"/>
                <w:highlight w:val="none"/>
              </w:rPr>
              <w:t>数量</w:t>
            </w:r>
          </w:p>
          <w:p w14:paraId="195C02C5">
            <w:pPr>
              <w:jc w:val="center"/>
              <w:rPr>
                <w:rFonts w:hint="eastAsia" w:ascii="宋体" w:hAnsi="宋体" w:cs="宋体"/>
                <w:color w:val="auto"/>
                <w:sz w:val="24"/>
                <w:highlight w:val="none"/>
              </w:rPr>
            </w:pPr>
            <w:r>
              <w:rPr>
                <w:rFonts w:hint="eastAsia" w:ascii="宋体" w:hAnsi="宋体" w:cs="宋体"/>
                <w:color w:val="auto"/>
                <w:sz w:val="24"/>
                <w:highlight w:val="none"/>
              </w:rPr>
              <w:t>①</w:t>
            </w:r>
          </w:p>
        </w:tc>
        <w:tc>
          <w:tcPr>
            <w:tcW w:w="1304" w:type="dxa"/>
            <w:tcBorders>
              <w:top w:val="single" w:color="auto" w:sz="4" w:space="0"/>
              <w:left w:val="single" w:color="auto" w:sz="4" w:space="0"/>
              <w:bottom w:val="single" w:color="auto" w:sz="4" w:space="0"/>
              <w:right w:val="single" w:color="auto" w:sz="4" w:space="0"/>
            </w:tcBorders>
            <w:vAlign w:val="center"/>
          </w:tcPr>
          <w:p w14:paraId="79E2F48A">
            <w:pPr>
              <w:jc w:val="center"/>
              <w:rPr>
                <w:rFonts w:hint="eastAsia" w:ascii="宋体" w:hAnsi="宋体" w:cs="宋体"/>
                <w:color w:val="auto"/>
                <w:sz w:val="24"/>
                <w:highlight w:val="none"/>
              </w:rPr>
            </w:pPr>
            <w:r>
              <w:rPr>
                <w:rFonts w:hint="eastAsia" w:ascii="宋体" w:hAnsi="宋体" w:cs="宋体"/>
                <w:color w:val="auto"/>
                <w:sz w:val="24"/>
                <w:highlight w:val="none"/>
              </w:rPr>
              <w:t>单价(元)②</w:t>
            </w:r>
          </w:p>
        </w:tc>
        <w:tc>
          <w:tcPr>
            <w:tcW w:w="2126" w:type="dxa"/>
            <w:tcBorders>
              <w:top w:val="single" w:color="auto" w:sz="4" w:space="0"/>
              <w:left w:val="single" w:color="auto" w:sz="4" w:space="0"/>
              <w:bottom w:val="single" w:color="auto" w:sz="4" w:space="0"/>
              <w:right w:val="single" w:color="auto" w:sz="4" w:space="0"/>
            </w:tcBorders>
            <w:vAlign w:val="center"/>
          </w:tcPr>
          <w:p w14:paraId="12CC3C16">
            <w:pPr>
              <w:jc w:val="center"/>
              <w:rPr>
                <w:rFonts w:hint="eastAsia" w:ascii="宋体" w:hAnsi="宋体" w:cs="宋体"/>
                <w:color w:val="auto"/>
                <w:sz w:val="24"/>
                <w:highlight w:val="none"/>
              </w:rPr>
            </w:pPr>
            <w:r>
              <w:rPr>
                <w:rFonts w:hint="eastAsia" w:ascii="宋体" w:hAnsi="宋体" w:cs="宋体"/>
                <w:color w:val="auto"/>
                <w:sz w:val="24"/>
                <w:highlight w:val="none"/>
              </w:rPr>
              <w:t>单项合价（元）</w:t>
            </w:r>
          </w:p>
          <w:p w14:paraId="4029C579">
            <w:pPr>
              <w:jc w:val="center"/>
              <w:rPr>
                <w:rFonts w:hint="eastAsia" w:ascii="宋体" w:hAnsi="宋体" w:cs="宋体"/>
                <w:color w:val="auto"/>
                <w:sz w:val="24"/>
                <w:highlight w:val="none"/>
              </w:rPr>
            </w:pPr>
            <w:r>
              <w:rPr>
                <w:rFonts w:hint="eastAsia" w:ascii="宋体" w:hAnsi="宋体" w:cs="宋体"/>
                <w:color w:val="auto"/>
                <w:sz w:val="24"/>
                <w:highlight w:val="none"/>
              </w:rPr>
              <w:t>③＝①×②</w:t>
            </w:r>
          </w:p>
        </w:tc>
        <w:tc>
          <w:tcPr>
            <w:tcW w:w="1171" w:type="dxa"/>
            <w:tcBorders>
              <w:top w:val="single" w:color="auto" w:sz="4" w:space="0"/>
              <w:left w:val="single" w:color="auto" w:sz="4" w:space="0"/>
              <w:bottom w:val="single" w:color="auto" w:sz="4" w:space="0"/>
              <w:right w:val="single" w:color="auto" w:sz="4" w:space="0"/>
            </w:tcBorders>
            <w:vAlign w:val="center"/>
          </w:tcPr>
          <w:p w14:paraId="1D89969D">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2ECE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trPr>
        <w:tc>
          <w:tcPr>
            <w:tcW w:w="1807" w:type="dxa"/>
            <w:tcBorders>
              <w:top w:val="single" w:color="auto" w:sz="4" w:space="0"/>
              <w:left w:val="single" w:color="auto" w:sz="4" w:space="0"/>
              <w:bottom w:val="single" w:color="auto" w:sz="4" w:space="0"/>
              <w:right w:val="single" w:color="auto" w:sz="4" w:space="0"/>
            </w:tcBorders>
            <w:vAlign w:val="center"/>
          </w:tcPr>
          <w:p w14:paraId="0A02E4BA">
            <w:pPr>
              <w:rPr>
                <w:rFonts w:hint="eastAsia" w:ascii="宋体" w:hAnsi="宋体" w:cs="宋体"/>
                <w:color w:val="auto"/>
                <w:sz w:val="24"/>
                <w:highlight w:val="none"/>
              </w:rPr>
            </w:pPr>
          </w:p>
        </w:tc>
        <w:tc>
          <w:tcPr>
            <w:tcW w:w="2550" w:type="dxa"/>
            <w:tcBorders>
              <w:top w:val="single" w:color="auto" w:sz="4" w:space="0"/>
              <w:left w:val="single" w:color="auto" w:sz="4" w:space="0"/>
              <w:bottom w:val="single" w:color="auto" w:sz="4" w:space="0"/>
              <w:right w:val="single" w:color="auto" w:sz="4" w:space="0"/>
            </w:tcBorders>
            <w:vAlign w:val="center"/>
          </w:tcPr>
          <w:p w14:paraId="2C0D6626">
            <w:pPr>
              <w:rPr>
                <w:rFonts w:hint="eastAsia" w:ascii="宋体" w:hAnsi="宋体" w:cs="宋体"/>
                <w:color w:val="auto"/>
                <w:sz w:val="24"/>
                <w:highlight w:val="none"/>
              </w:rPr>
            </w:pPr>
          </w:p>
        </w:tc>
        <w:tc>
          <w:tcPr>
            <w:tcW w:w="855" w:type="dxa"/>
            <w:tcBorders>
              <w:top w:val="single" w:color="auto" w:sz="4" w:space="0"/>
              <w:left w:val="single" w:color="auto" w:sz="4" w:space="0"/>
              <w:bottom w:val="single" w:color="auto" w:sz="4" w:space="0"/>
              <w:right w:val="single" w:color="auto" w:sz="4" w:space="0"/>
            </w:tcBorders>
            <w:vAlign w:val="center"/>
          </w:tcPr>
          <w:p w14:paraId="19148A96">
            <w:pPr>
              <w:jc w:val="center"/>
              <w:rPr>
                <w:rFonts w:hint="eastAsia" w:ascii="宋体" w:hAnsi="宋体" w:cs="宋体"/>
                <w:color w:val="auto"/>
                <w:sz w:val="24"/>
                <w:highlight w:val="none"/>
              </w:rPr>
            </w:pPr>
            <w:r>
              <w:rPr>
                <w:rFonts w:hint="eastAsia" w:ascii="宋体" w:hAnsi="宋体" w:cs="宋体"/>
                <w:color w:val="auto"/>
                <w:sz w:val="24"/>
                <w:highlight w:val="none"/>
              </w:rPr>
              <w:t>1项</w:t>
            </w:r>
          </w:p>
        </w:tc>
        <w:tc>
          <w:tcPr>
            <w:tcW w:w="1304" w:type="dxa"/>
            <w:tcBorders>
              <w:top w:val="single" w:color="auto" w:sz="4" w:space="0"/>
              <w:left w:val="single" w:color="auto" w:sz="4" w:space="0"/>
              <w:bottom w:val="single" w:color="auto" w:sz="4" w:space="0"/>
              <w:right w:val="single" w:color="auto" w:sz="4" w:space="0"/>
            </w:tcBorders>
            <w:vAlign w:val="center"/>
          </w:tcPr>
          <w:p w14:paraId="44155A9C">
            <w:pPr>
              <w:rPr>
                <w:rFonts w:hint="eastAsia" w:ascii="宋体" w:hAnsi="宋体" w:cs="宋体"/>
                <w:color w:val="auto"/>
                <w:sz w:val="24"/>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0241DC68">
            <w:pPr>
              <w:rPr>
                <w:rFonts w:hint="eastAsia" w:ascii="宋体" w:hAnsi="宋体" w:cs="宋体"/>
                <w:color w:val="auto"/>
                <w:sz w:val="24"/>
                <w:highlight w:val="none"/>
              </w:rPr>
            </w:pPr>
          </w:p>
        </w:tc>
        <w:tc>
          <w:tcPr>
            <w:tcW w:w="1171" w:type="dxa"/>
            <w:tcBorders>
              <w:top w:val="single" w:color="auto" w:sz="4" w:space="0"/>
              <w:left w:val="single" w:color="auto" w:sz="4" w:space="0"/>
              <w:bottom w:val="single" w:color="auto" w:sz="4" w:space="0"/>
              <w:right w:val="single" w:color="auto" w:sz="4" w:space="0"/>
            </w:tcBorders>
          </w:tcPr>
          <w:p w14:paraId="33B12B11">
            <w:pPr>
              <w:rPr>
                <w:rFonts w:hint="eastAsia" w:ascii="宋体" w:hAnsi="宋体" w:cs="宋体"/>
                <w:color w:val="auto"/>
                <w:sz w:val="24"/>
                <w:highlight w:val="none"/>
              </w:rPr>
            </w:pPr>
          </w:p>
        </w:tc>
      </w:tr>
      <w:tr w14:paraId="0A8C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trPr>
        <w:tc>
          <w:tcPr>
            <w:tcW w:w="9813" w:type="dxa"/>
            <w:gridSpan w:val="6"/>
            <w:tcBorders>
              <w:top w:val="single" w:color="auto" w:sz="4" w:space="0"/>
              <w:left w:val="single" w:color="auto" w:sz="4" w:space="0"/>
              <w:bottom w:val="single" w:color="auto" w:sz="4" w:space="0"/>
              <w:right w:val="single" w:color="auto" w:sz="4" w:space="0"/>
            </w:tcBorders>
            <w:vAlign w:val="center"/>
          </w:tcPr>
          <w:p w14:paraId="311EED91">
            <w:pPr>
              <w:rPr>
                <w:rFonts w:hint="eastAsia" w:ascii="宋体" w:hAnsi="宋体" w:cs="宋体"/>
                <w:color w:val="auto"/>
                <w:sz w:val="24"/>
                <w:highlight w:val="none"/>
              </w:rPr>
            </w:pPr>
            <w:r>
              <w:rPr>
                <w:rFonts w:hint="eastAsia" w:ascii="宋体" w:hAnsi="宋体" w:cs="宋体"/>
                <w:color w:val="auto"/>
                <w:sz w:val="24"/>
                <w:highlight w:val="none"/>
              </w:rPr>
              <w:t>报价合计（包含税费等所有费用）：（大写）人民币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tc>
      </w:tr>
      <w:tr w14:paraId="4E93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9813" w:type="dxa"/>
            <w:gridSpan w:val="6"/>
            <w:tcBorders>
              <w:top w:val="single" w:color="auto" w:sz="4" w:space="0"/>
              <w:left w:val="single" w:color="auto" w:sz="4" w:space="0"/>
              <w:bottom w:val="single" w:color="auto" w:sz="4" w:space="0"/>
              <w:right w:val="single" w:color="auto" w:sz="4" w:space="0"/>
            </w:tcBorders>
          </w:tcPr>
          <w:p w14:paraId="52ACE9D4">
            <w:pPr>
              <w:rPr>
                <w:rFonts w:hint="eastAsia" w:ascii="宋体" w:hAnsi="宋体" w:cs="宋体"/>
                <w:color w:val="auto"/>
                <w:sz w:val="24"/>
                <w:highlight w:val="none"/>
              </w:rPr>
            </w:pPr>
            <w:r>
              <w:rPr>
                <w:rFonts w:hint="eastAsia" w:ascii="宋体" w:hAnsi="宋体" w:cs="宋体"/>
                <w:color w:val="auto"/>
                <w:sz w:val="24"/>
                <w:highlight w:val="none"/>
              </w:rPr>
              <w:t>验收标准：</w:t>
            </w:r>
          </w:p>
        </w:tc>
      </w:tr>
      <w:tr w14:paraId="6C37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9813" w:type="dxa"/>
            <w:gridSpan w:val="6"/>
            <w:tcBorders>
              <w:top w:val="single" w:color="auto" w:sz="4" w:space="0"/>
              <w:left w:val="single" w:color="auto" w:sz="4" w:space="0"/>
              <w:bottom w:val="single" w:color="auto" w:sz="4" w:space="0"/>
              <w:right w:val="single" w:color="auto" w:sz="4" w:space="0"/>
            </w:tcBorders>
          </w:tcPr>
          <w:p w14:paraId="068D0CF8">
            <w:pPr>
              <w:rPr>
                <w:rFonts w:hint="eastAsia" w:ascii="宋体" w:hAnsi="宋体" w:cs="宋体"/>
                <w:color w:val="auto"/>
                <w:sz w:val="24"/>
                <w:highlight w:val="none"/>
              </w:rPr>
            </w:pPr>
            <w:r>
              <w:rPr>
                <w:rFonts w:hint="eastAsia" w:ascii="宋体" w:hAnsi="宋体" w:cs="宋体"/>
                <w:color w:val="auto"/>
                <w:sz w:val="24"/>
                <w:highlight w:val="none"/>
              </w:rPr>
              <w:t>优惠及其它：</w:t>
            </w:r>
          </w:p>
        </w:tc>
      </w:tr>
    </w:tbl>
    <w:p w14:paraId="1FE74DD9">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7A244C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7735D3BE">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67092279">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647C5EEF">
      <w:pPr>
        <w:snapToGrid w:val="0"/>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3.如有多分标，按分标分别提供开标一览表</w:t>
      </w:r>
      <w:r>
        <w:rPr>
          <w:rFonts w:hint="eastAsia" w:ascii="宋体" w:hAnsi="宋体" w:cs="宋体"/>
          <w:b/>
          <w:color w:val="auto"/>
          <w:szCs w:val="21"/>
          <w:highlight w:val="none"/>
        </w:rPr>
        <w:t>。</w:t>
      </w:r>
    </w:p>
    <w:p w14:paraId="1252F502">
      <w:pPr>
        <w:snapToGrid w:val="0"/>
        <w:spacing w:line="360" w:lineRule="auto"/>
        <w:ind w:firstLine="422" w:firstLineChars="200"/>
        <w:rPr>
          <w:rFonts w:hint="eastAsia" w:ascii="宋体" w:hAnsi="宋体" w:cs="宋体"/>
          <w:b/>
          <w:color w:val="auto"/>
          <w:szCs w:val="21"/>
          <w:highlight w:val="none"/>
        </w:rPr>
      </w:pPr>
    </w:p>
    <w:p w14:paraId="138DFCB6">
      <w:pPr>
        <w:snapToGrid w:val="0"/>
        <w:spacing w:line="360" w:lineRule="auto"/>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49248152">
      <w:pPr>
        <w:snapToGrid w:val="0"/>
        <w:spacing w:line="360" w:lineRule="auto"/>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18821144">
      <w:pPr>
        <w:snapToGrid w:val="0"/>
        <w:spacing w:line="360" w:lineRule="auto"/>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50DD1573">
      <w:pPr>
        <w:snapToGrid w:val="0"/>
        <w:spacing w:line="360" w:lineRule="auto"/>
        <w:ind w:left="-6" w:leftChars="-15" w:right="-817" w:rightChars="-389" w:hanging="25" w:hangingChars="12"/>
        <w:rPr>
          <w:rFonts w:hint="eastAsia" w:ascii="宋体" w:hAnsi="宋体" w:cs="宋体"/>
          <w:color w:val="auto"/>
          <w:szCs w:val="21"/>
          <w:highlight w:val="none"/>
        </w:rPr>
      </w:pPr>
    </w:p>
    <w:p w14:paraId="4C8CBC03">
      <w:pPr>
        <w:pStyle w:val="18"/>
        <w:snapToGrid w:val="0"/>
        <w:spacing w:before="295" w:after="295" w:line="360" w:lineRule="exact"/>
        <w:ind w:firstLine="1968" w:firstLineChars="700"/>
        <w:rPr>
          <w:rFonts w:hint="eastAsia" w:hAnsi="宋体"/>
          <w:b/>
          <w:color w:val="auto"/>
          <w:sz w:val="28"/>
          <w:szCs w:val="28"/>
          <w:highlight w:val="none"/>
        </w:rPr>
      </w:pPr>
    </w:p>
    <w:p w14:paraId="4E1593C2">
      <w:pPr>
        <w:rPr>
          <w:b/>
          <w:color w:val="auto"/>
          <w:sz w:val="28"/>
          <w:szCs w:val="28"/>
          <w:highlight w:val="none"/>
        </w:rPr>
      </w:pPr>
      <w:bookmarkStart w:id="154" w:name="_Toc19686837"/>
    </w:p>
    <w:p w14:paraId="2CD25D0F">
      <w:pPr>
        <w:rPr>
          <w:b/>
          <w:color w:val="auto"/>
          <w:sz w:val="28"/>
          <w:szCs w:val="28"/>
          <w:highlight w:val="none"/>
        </w:rPr>
      </w:pPr>
    </w:p>
    <w:p w14:paraId="1D48CB4A">
      <w:pPr>
        <w:rPr>
          <w:b/>
          <w:color w:val="auto"/>
          <w:sz w:val="28"/>
          <w:szCs w:val="28"/>
          <w:highlight w:val="none"/>
        </w:rPr>
      </w:pPr>
      <w:r>
        <w:rPr>
          <w:rFonts w:hint="eastAsia"/>
          <w:b/>
          <w:color w:val="auto"/>
          <w:sz w:val="28"/>
          <w:szCs w:val="28"/>
          <w:highlight w:val="none"/>
        </w:rPr>
        <w:t>二、资格证明文件格式</w:t>
      </w:r>
      <w:bookmarkEnd w:id="152"/>
      <w:bookmarkEnd w:id="153"/>
      <w:bookmarkEnd w:id="154"/>
    </w:p>
    <w:p w14:paraId="0CAB8A43">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1.资格证明文件封面格式： </w:t>
      </w:r>
    </w:p>
    <w:p w14:paraId="2BE3DE8B">
      <w:pPr>
        <w:snapToGrid w:val="0"/>
        <w:spacing w:before="120" w:beforeLines="50" w:after="50"/>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5FDD48CB">
      <w:pPr>
        <w:snapToGrid w:val="0"/>
        <w:spacing w:before="120" w:beforeLines="50" w:after="50"/>
        <w:rPr>
          <w:rFonts w:hint="eastAsia" w:ascii="宋体" w:hAnsi="宋体"/>
          <w:color w:val="auto"/>
          <w:sz w:val="24"/>
          <w:szCs w:val="20"/>
          <w:highlight w:val="none"/>
        </w:rPr>
      </w:pPr>
      <w:r>
        <w:rPr>
          <w:rFonts w:hint="eastAsia" w:ascii="宋体" w:hAnsi="宋体"/>
          <w:color w:val="auto"/>
          <w:sz w:val="24"/>
          <w:highlight w:val="none"/>
        </w:rPr>
        <w:t xml:space="preserve">                 </w:t>
      </w:r>
    </w:p>
    <w:p w14:paraId="473E8CD5">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45AD8F3C">
      <w:pPr>
        <w:snapToGrid w:val="0"/>
        <w:spacing w:before="120" w:beforeLines="50" w:after="50"/>
        <w:rPr>
          <w:rFonts w:hint="eastAsia" w:ascii="宋体" w:hAnsi="宋体"/>
          <w:bCs/>
          <w:color w:val="auto"/>
          <w:sz w:val="24"/>
          <w:szCs w:val="20"/>
          <w:highlight w:val="none"/>
        </w:rPr>
      </w:pPr>
    </w:p>
    <w:p w14:paraId="2E5CD20E">
      <w:pPr>
        <w:snapToGrid w:val="0"/>
        <w:spacing w:before="120" w:beforeLines="50" w:after="50"/>
        <w:rPr>
          <w:rFonts w:hint="eastAsia" w:ascii="宋体" w:hAnsi="宋体"/>
          <w:bCs/>
          <w:color w:val="auto"/>
          <w:sz w:val="24"/>
          <w:szCs w:val="20"/>
          <w:highlight w:val="none"/>
        </w:rPr>
      </w:pPr>
    </w:p>
    <w:p w14:paraId="39F33416">
      <w:pPr>
        <w:snapToGrid w:val="0"/>
        <w:spacing w:before="120" w:beforeLines="50" w:after="50"/>
        <w:rPr>
          <w:rFonts w:hint="eastAsia" w:ascii="宋体" w:hAnsi="宋体"/>
          <w:bCs/>
          <w:color w:val="auto"/>
          <w:sz w:val="24"/>
          <w:szCs w:val="20"/>
          <w:highlight w:val="none"/>
        </w:rPr>
      </w:pPr>
    </w:p>
    <w:p w14:paraId="4221F108">
      <w:pPr>
        <w:snapToGrid w:val="0"/>
        <w:spacing w:before="120" w:beforeLines="50" w:after="50"/>
        <w:rPr>
          <w:rFonts w:hint="eastAsia" w:ascii="宋体" w:hAnsi="宋体"/>
          <w:bCs/>
          <w:color w:val="auto"/>
          <w:sz w:val="24"/>
          <w:szCs w:val="20"/>
          <w:highlight w:val="none"/>
        </w:rPr>
      </w:pPr>
    </w:p>
    <w:p w14:paraId="2B288CDC">
      <w:pPr>
        <w:snapToGrid w:val="0"/>
        <w:spacing w:before="120" w:beforeLines="50" w:after="50"/>
        <w:rPr>
          <w:rFonts w:hint="eastAsia" w:ascii="宋体" w:hAnsi="宋体"/>
          <w:bCs/>
          <w:color w:val="auto"/>
          <w:sz w:val="24"/>
          <w:szCs w:val="20"/>
          <w:highlight w:val="none"/>
        </w:rPr>
      </w:pPr>
    </w:p>
    <w:p w14:paraId="4DB09C4D">
      <w:pPr>
        <w:snapToGrid w:val="0"/>
        <w:spacing w:before="120" w:beforeLines="50" w:after="50"/>
        <w:rPr>
          <w:rFonts w:hint="eastAsia" w:ascii="宋体" w:hAnsi="宋体"/>
          <w:bCs/>
          <w:color w:val="auto"/>
          <w:sz w:val="24"/>
          <w:szCs w:val="20"/>
          <w:highlight w:val="none"/>
        </w:rPr>
      </w:pPr>
    </w:p>
    <w:p w14:paraId="0B6921A6">
      <w:pPr>
        <w:snapToGrid w:val="0"/>
        <w:spacing w:before="120" w:beforeLines="50" w:after="50"/>
        <w:rPr>
          <w:rFonts w:hint="eastAsia" w:ascii="宋体" w:hAnsi="宋体"/>
          <w:bCs/>
          <w:color w:val="auto"/>
          <w:sz w:val="24"/>
          <w:szCs w:val="20"/>
          <w:highlight w:val="none"/>
        </w:rPr>
      </w:pPr>
    </w:p>
    <w:p w14:paraId="5B3C9174">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3DA4F92A">
      <w:pPr>
        <w:snapToGrid w:val="0"/>
        <w:spacing w:before="120" w:beforeLines="50" w:after="50"/>
        <w:ind w:firstLine="540" w:firstLineChars="225"/>
        <w:rPr>
          <w:rFonts w:hint="eastAsia" w:ascii="宋体" w:hAnsi="宋体"/>
          <w:bCs/>
          <w:color w:val="auto"/>
          <w:sz w:val="24"/>
          <w:szCs w:val="20"/>
          <w:highlight w:val="none"/>
        </w:rPr>
      </w:pPr>
    </w:p>
    <w:p w14:paraId="7CF79AEB">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41FF2155">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73AE8C5F">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0A4C1831">
      <w:pPr>
        <w:pStyle w:val="9"/>
        <w:snapToGrid w:val="0"/>
        <w:spacing w:before="50" w:after="50"/>
        <w:ind w:firstLine="540" w:firstLineChars="225"/>
        <w:rPr>
          <w:rFonts w:hint="eastAsia" w:ascii="宋体" w:hAnsi="宋体"/>
          <w:bCs/>
          <w:color w:val="auto"/>
          <w:sz w:val="24"/>
          <w:szCs w:val="24"/>
          <w:highlight w:val="none"/>
        </w:rPr>
      </w:pPr>
    </w:p>
    <w:p w14:paraId="2448D70F">
      <w:pPr>
        <w:pStyle w:val="9"/>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196F2A53">
      <w:pPr>
        <w:pStyle w:val="9"/>
        <w:snapToGrid w:val="0"/>
        <w:spacing w:before="50" w:after="50"/>
        <w:ind w:firstLine="540" w:firstLineChars="225"/>
        <w:rPr>
          <w:rFonts w:hint="eastAsia" w:ascii="宋体" w:hAnsi="宋体"/>
          <w:bCs/>
          <w:color w:val="auto"/>
          <w:sz w:val="24"/>
          <w:szCs w:val="24"/>
          <w:highlight w:val="none"/>
        </w:rPr>
      </w:pPr>
    </w:p>
    <w:p w14:paraId="58B77DC1">
      <w:pPr>
        <w:pStyle w:val="9"/>
        <w:snapToGrid w:val="0"/>
        <w:spacing w:before="50" w:after="50"/>
        <w:ind w:firstLine="960" w:firstLineChars="400"/>
        <w:rPr>
          <w:rFonts w:hint="eastAsia" w:ascii="宋体" w:hAnsi="宋体"/>
          <w:bCs/>
          <w:color w:val="auto"/>
          <w:sz w:val="24"/>
          <w:szCs w:val="24"/>
          <w:highlight w:val="none"/>
        </w:rPr>
      </w:pPr>
    </w:p>
    <w:p w14:paraId="12603985">
      <w:pP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年  月  日</w:t>
      </w:r>
    </w:p>
    <w:p w14:paraId="108B6615">
      <w:pPr>
        <w:snapToGrid w:val="0"/>
        <w:spacing w:before="120"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4ED7E109">
      <w:pPr>
        <w:snapToGrid w:val="0"/>
        <w:spacing w:before="120" w:beforeLines="50" w:after="50"/>
        <w:rPr>
          <w:rFonts w:hint="eastAsia" w:ascii="宋体" w:hAnsi="宋体"/>
          <w:color w:val="auto"/>
          <w:sz w:val="24"/>
          <w:szCs w:val="20"/>
          <w:highlight w:val="none"/>
        </w:rPr>
      </w:pPr>
    </w:p>
    <w:p w14:paraId="4AE0F2F5">
      <w:pPr>
        <w:snapToGrid w:val="0"/>
        <w:spacing w:before="120" w:beforeLines="50" w:after="50" w:line="360" w:lineRule="auto"/>
        <w:jc w:val="left"/>
        <w:rPr>
          <w:rFonts w:hint="eastAsia"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2.资格证明文件目录</w:t>
      </w:r>
    </w:p>
    <w:p w14:paraId="32D56EE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根据采购文件规定及投标人提供的材料自行编写目录。</w:t>
      </w:r>
    </w:p>
    <w:p w14:paraId="410D76B4">
      <w:pPr>
        <w:snapToGrid w:val="0"/>
        <w:spacing w:before="50" w:after="120" w:afterLines="50"/>
        <w:jc w:val="left"/>
        <w:rPr>
          <w:rFonts w:hint="eastAsia" w:ascii="宋体" w:hAnsi="宋体"/>
          <w:color w:val="auto"/>
          <w:sz w:val="24"/>
          <w:highlight w:val="none"/>
        </w:rPr>
      </w:pPr>
    </w:p>
    <w:p w14:paraId="3C8FB3DA">
      <w:pPr>
        <w:snapToGrid w:val="0"/>
        <w:spacing w:before="50" w:after="120" w:afterLines="50"/>
        <w:jc w:val="left"/>
        <w:rPr>
          <w:rFonts w:hint="eastAsia" w:ascii="宋体" w:hAnsi="宋体"/>
          <w:color w:val="auto"/>
          <w:sz w:val="24"/>
          <w:highlight w:val="none"/>
        </w:rPr>
      </w:pPr>
    </w:p>
    <w:p w14:paraId="6FF39194">
      <w:pPr>
        <w:snapToGrid w:val="0"/>
        <w:spacing w:before="120" w:beforeLines="50" w:after="5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w:t>
      </w:r>
      <w:r>
        <w:rPr>
          <w:rFonts w:hint="eastAsia" w:ascii="宋体" w:hAnsi="宋体"/>
          <w:b/>
          <w:color w:val="auto"/>
          <w:sz w:val="28"/>
          <w:szCs w:val="28"/>
          <w:highlight w:val="none"/>
        </w:rPr>
        <w:t>投标人直接控股股东信息表</w:t>
      </w:r>
    </w:p>
    <w:p w14:paraId="6E24BD5E">
      <w:pPr>
        <w:snapToGrid w:val="0"/>
        <w:spacing w:before="50" w:after="120" w:afterLines="50"/>
        <w:jc w:val="center"/>
        <w:rPr>
          <w:rFonts w:hint="eastAsia" w:ascii="宋体" w:hAnsi="宋体"/>
          <w:b/>
          <w:color w:val="auto"/>
          <w:sz w:val="28"/>
          <w:szCs w:val="28"/>
          <w:highlight w:val="none"/>
        </w:rPr>
      </w:pPr>
    </w:p>
    <w:p w14:paraId="1281C0DA">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36"/>
        <w:tblW w:w="8954" w:type="dxa"/>
        <w:tblInd w:w="0" w:type="dxa"/>
        <w:tblLayout w:type="fixed"/>
        <w:tblCellMar>
          <w:top w:w="0" w:type="dxa"/>
          <w:left w:w="0" w:type="dxa"/>
          <w:bottom w:w="0" w:type="dxa"/>
          <w:right w:w="0" w:type="dxa"/>
        </w:tblCellMar>
      </w:tblPr>
      <w:tblGrid>
        <w:gridCol w:w="828"/>
        <w:gridCol w:w="2269"/>
        <w:gridCol w:w="1239"/>
        <w:gridCol w:w="3103"/>
        <w:gridCol w:w="1515"/>
      </w:tblGrid>
      <w:tr w14:paraId="6DBF1E07">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6D02EDC">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A26239">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F9EF64E">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5BE0C3">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CA44D2">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5C8E82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7EFF6CA">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DB9427">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CF5DCF">
            <w:pPr>
              <w:spacing w:line="360" w:lineRule="auto"/>
              <w:jc w:val="center"/>
              <w:rPr>
                <w:rFonts w:hint="eastAsia" w:ascii="宋体" w:hAnsi="宋体" w:cs="宋体"/>
                <w:color w:val="auto"/>
                <w:kern w:val="0"/>
                <w:sz w:val="24"/>
                <w:highlight w:val="none"/>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4E862C">
            <w:pPr>
              <w:spacing w:line="360" w:lineRule="auto"/>
              <w:jc w:val="center"/>
              <w:rPr>
                <w:rFonts w:hint="eastAsia" w:ascii="宋体" w:hAnsi="宋体" w:cs="宋体"/>
                <w:color w:val="auto"/>
                <w:kern w:val="0"/>
                <w:sz w:val="24"/>
                <w:highlight w:val="none"/>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7E13C2">
            <w:pPr>
              <w:spacing w:line="360" w:lineRule="auto"/>
              <w:jc w:val="center"/>
              <w:rPr>
                <w:rFonts w:hint="eastAsia" w:ascii="宋体" w:hAnsi="宋体" w:cs="宋体"/>
                <w:color w:val="auto"/>
                <w:kern w:val="0"/>
                <w:sz w:val="24"/>
                <w:highlight w:val="none"/>
              </w:rPr>
            </w:pPr>
          </w:p>
        </w:tc>
      </w:tr>
      <w:tr w14:paraId="6E25690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7EB838">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36E21F2">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192672">
            <w:pPr>
              <w:spacing w:line="360" w:lineRule="auto"/>
              <w:jc w:val="center"/>
              <w:rPr>
                <w:rFonts w:hint="eastAsia" w:ascii="宋体" w:hAnsi="宋体" w:cs="宋体"/>
                <w:color w:val="auto"/>
                <w:kern w:val="0"/>
                <w:sz w:val="24"/>
                <w:highlight w:val="none"/>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E49B9C">
            <w:pPr>
              <w:spacing w:line="360" w:lineRule="auto"/>
              <w:jc w:val="center"/>
              <w:rPr>
                <w:rFonts w:hint="eastAsia" w:ascii="宋体" w:hAnsi="宋体" w:cs="宋体"/>
                <w:color w:val="auto"/>
                <w:kern w:val="0"/>
                <w:sz w:val="24"/>
                <w:highlight w:val="none"/>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32925A">
            <w:pPr>
              <w:spacing w:line="360" w:lineRule="auto"/>
              <w:jc w:val="center"/>
              <w:rPr>
                <w:rFonts w:hint="eastAsia" w:ascii="宋体" w:hAnsi="宋体" w:cs="宋体"/>
                <w:color w:val="auto"/>
                <w:kern w:val="0"/>
                <w:sz w:val="24"/>
                <w:highlight w:val="none"/>
              </w:rPr>
            </w:pPr>
          </w:p>
        </w:tc>
      </w:tr>
      <w:tr w14:paraId="79DF6E7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C3A0AD4">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9BE3B29">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F06D10">
            <w:pPr>
              <w:spacing w:line="360" w:lineRule="auto"/>
              <w:jc w:val="center"/>
              <w:rPr>
                <w:rFonts w:hint="eastAsia" w:ascii="宋体" w:hAnsi="宋体" w:cs="宋体"/>
                <w:color w:val="auto"/>
                <w:kern w:val="0"/>
                <w:sz w:val="24"/>
                <w:highlight w:val="none"/>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94B823">
            <w:pPr>
              <w:spacing w:line="360" w:lineRule="auto"/>
              <w:jc w:val="center"/>
              <w:rPr>
                <w:rFonts w:hint="eastAsia" w:ascii="宋体" w:hAnsi="宋体" w:cs="宋体"/>
                <w:color w:val="auto"/>
                <w:kern w:val="0"/>
                <w:sz w:val="24"/>
                <w:highlight w:val="none"/>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68C878">
            <w:pPr>
              <w:spacing w:line="360" w:lineRule="auto"/>
              <w:jc w:val="center"/>
              <w:rPr>
                <w:rFonts w:hint="eastAsia" w:ascii="宋体" w:hAnsi="宋体" w:cs="宋体"/>
                <w:color w:val="auto"/>
                <w:kern w:val="0"/>
                <w:sz w:val="24"/>
                <w:highlight w:val="none"/>
              </w:rPr>
            </w:pPr>
          </w:p>
        </w:tc>
      </w:tr>
      <w:tr w14:paraId="2C4707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B9CF6DD">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B7420C">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6D7DF5">
            <w:pPr>
              <w:spacing w:line="360" w:lineRule="auto"/>
              <w:jc w:val="center"/>
              <w:rPr>
                <w:rFonts w:hint="eastAsia" w:ascii="宋体" w:hAnsi="宋体" w:cs="宋体"/>
                <w:color w:val="auto"/>
                <w:kern w:val="0"/>
                <w:sz w:val="24"/>
                <w:highlight w:val="none"/>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785F14E">
            <w:pPr>
              <w:spacing w:line="360" w:lineRule="auto"/>
              <w:jc w:val="center"/>
              <w:rPr>
                <w:rFonts w:hint="eastAsia" w:ascii="宋体" w:hAnsi="宋体" w:cs="宋体"/>
                <w:color w:val="auto"/>
                <w:kern w:val="0"/>
                <w:sz w:val="24"/>
                <w:highlight w:val="none"/>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86F3E2">
            <w:pPr>
              <w:spacing w:line="360" w:lineRule="auto"/>
              <w:jc w:val="center"/>
              <w:rPr>
                <w:rFonts w:hint="eastAsia" w:ascii="宋体" w:hAnsi="宋体" w:cs="宋体"/>
                <w:color w:val="auto"/>
                <w:kern w:val="0"/>
                <w:sz w:val="24"/>
                <w:highlight w:val="none"/>
              </w:rPr>
            </w:pPr>
          </w:p>
        </w:tc>
      </w:tr>
    </w:tbl>
    <w:p w14:paraId="3C0825B4">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1F9B47FA">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32516A4">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0E25CBB">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670C52E4">
      <w:pPr>
        <w:snapToGrid w:val="0"/>
        <w:spacing w:line="360" w:lineRule="auto"/>
        <w:jc w:val="left"/>
        <w:rPr>
          <w:rFonts w:hint="eastAsia" w:ascii="宋体" w:hAnsi="宋体"/>
          <w:color w:val="auto"/>
          <w:sz w:val="24"/>
          <w:highlight w:val="none"/>
        </w:rPr>
      </w:pPr>
    </w:p>
    <w:p w14:paraId="5ED4D050">
      <w:pPr>
        <w:snapToGrid w:val="0"/>
        <w:spacing w:line="360" w:lineRule="auto"/>
        <w:jc w:val="left"/>
        <w:rPr>
          <w:rFonts w:hint="eastAsia" w:ascii="宋体" w:hAnsi="宋体"/>
          <w:color w:val="auto"/>
          <w:sz w:val="24"/>
          <w:highlight w:val="none"/>
        </w:rPr>
      </w:pPr>
    </w:p>
    <w:p w14:paraId="254884F3">
      <w:pPr>
        <w:snapToGrid w:val="0"/>
        <w:spacing w:line="360" w:lineRule="auto"/>
        <w:jc w:val="left"/>
        <w:rPr>
          <w:rFonts w:hint="eastAsia" w:ascii="宋体" w:hAnsi="宋体"/>
          <w:color w:val="auto"/>
          <w:sz w:val="24"/>
          <w:highlight w:val="none"/>
        </w:rPr>
      </w:pPr>
    </w:p>
    <w:p w14:paraId="6A2129BA">
      <w:pPr>
        <w:snapToGrid w:val="0"/>
        <w:spacing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154AC167">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6FEA576B">
      <w:pPr>
        <w:snapToGrid w:val="0"/>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0C289D42">
      <w:pPr>
        <w:snapToGrid w:val="0"/>
        <w:jc w:val="center"/>
        <w:rPr>
          <w:rFonts w:hint="eastAsia" w:ascii="宋体" w:hAnsi="宋体"/>
          <w:b/>
          <w:color w:val="auto"/>
          <w:sz w:val="28"/>
          <w:szCs w:val="28"/>
          <w:highlight w:val="none"/>
        </w:rPr>
      </w:pPr>
    </w:p>
    <w:p w14:paraId="0D25AA59">
      <w:pPr>
        <w:snapToGrid w:val="0"/>
        <w:spacing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投标人直接管理关系信息表</w:t>
      </w:r>
    </w:p>
    <w:p w14:paraId="7904C2BD">
      <w:pPr>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36"/>
        <w:tblW w:w="8924" w:type="dxa"/>
        <w:tblInd w:w="0" w:type="dxa"/>
        <w:tblLayout w:type="fixed"/>
        <w:tblCellMar>
          <w:top w:w="0" w:type="dxa"/>
          <w:left w:w="0" w:type="dxa"/>
          <w:bottom w:w="0" w:type="dxa"/>
          <w:right w:w="0" w:type="dxa"/>
        </w:tblCellMar>
      </w:tblPr>
      <w:tblGrid>
        <w:gridCol w:w="1005"/>
        <w:gridCol w:w="2659"/>
        <w:gridCol w:w="3295"/>
        <w:gridCol w:w="1965"/>
      </w:tblGrid>
      <w:tr w14:paraId="4D21582A">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AFC585">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3958B4">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0CE5FB">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DF99EF">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751E2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40244B">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EBD0D57">
            <w:pPr>
              <w:spacing w:line="360" w:lineRule="auto"/>
              <w:jc w:val="center"/>
              <w:rPr>
                <w:rFonts w:hint="eastAsia" w:ascii="宋体" w:hAnsi="宋体" w:cs="宋体"/>
                <w:color w:val="auto"/>
                <w:kern w:val="0"/>
                <w:sz w:val="24"/>
                <w:highlight w:val="none"/>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B59001">
            <w:pPr>
              <w:spacing w:line="360" w:lineRule="auto"/>
              <w:jc w:val="center"/>
              <w:rPr>
                <w:rFonts w:hint="eastAsia" w:ascii="宋体" w:hAnsi="宋体" w:cs="宋体"/>
                <w:color w:val="auto"/>
                <w:kern w:val="0"/>
                <w:sz w:val="24"/>
                <w:highlight w:val="none"/>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162688E">
            <w:pPr>
              <w:spacing w:line="360" w:lineRule="auto"/>
              <w:jc w:val="center"/>
              <w:rPr>
                <w:rFonts w:hint="eastAsia" w:ascii="宋体" w:hAnsi="宋体" w:cs="宋体"/>
                <w:color w:val="auto"/>
                <w:kern w:val="0"/>
                <w:sz w:val="24"/>
                <w:highlight w:val="none"/>
              </w:rPr>
            </w:pPr>
          </w:p>
        </w:tc>
      </w:tr>
      <w:tr w14:paraId="3BF30F8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B6C582C">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7F3E84">
            <w:pPr>
              <w:spacing w:line="360" w:lineRule="auto"/>
              <w:jc w:val="center"/>
              <w:rPr>
                <w:rFonts w:hint="eastAsia" w:ascii="宋体" w:hAnsi="宋体" w:cs="宋体"/>
                <w:color w:val="auto"/>
                <w:kern w:val="0"/>
                <w:sz w:val="24"/>
                <w:highlight w:val="none"/>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8E2012">
            <w:pPr>
              <w:spacing w:line="360" w:lineRule="auto"/>
              <w:jc w:val="center"/>
              <w:rPr>
                <w:rFonts w:hint="eastAsia" w:ascii="宋体" w:hAnsi="宋体" w:cs="宋体"/>
                <w:color w:val="auto"/>
                <w:kern w:val="0"/>
                <w:sz w:val="24"/>
                <w:highlight w:val="none"/>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7155BC">
            <w:pPr>
              <w:spacing w:line="360" w:lineRule="auto"/>
              <w:jc w:val="center"/>
              <w:rPr>
                <w:rFonts w:hint="eastAsia" w:ascii="宋体" w:hAnsi="宋体" w:cs="宋体"/>
                <w:color w:val="auto"/>
                <w:kern w:val="0"/>
                <w:sz w:val="24"/>
                <w:highlight w:val="none"/>
              </w:rPr>
            </w:pPr>
          </w:p>
        </w:tc>
      </w:tr>
      <w:tr w14:paraId="2B1282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A755AD">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C8ED16D">
            <w:pPr>
              <w:spacing w:line="360" w:lineRule="auto"/>
              <w:jc w:val="center"/>
              <w:rPr>
                <w:rFonts w:hint="eastAsia" w:ascii="宋体" w:hAnsi="宋体" w:cs="宋体"/>
                <w:color w:val="auto"/>
                <w:kern w:val="0"/>
                <w:sz w:val="24"/>
                <w:highlight w:val="none"/>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E04F493">
            <w:pPr>
              <w:spacing w:line="360" w:lineRule="auto"/>
              <w:jc w:val="center"/>
              <w:rPr>
                <w:rFonts w:hint="eastAsia" w:ascii="宋体" w:hAnsi="宋体" w:cs="宋体"/>
                <w:color w:val="auto"/>
                <w:kern w:val="0"/>
                <w:sz w:val="24"/>
                <w:highlight w:val="none"/>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278B28">
            <w:pPr>
              <w:spacing w:line="360" w:lineRule="auto"/>
              <w:jc w:val="center"/>
              <w:rPr>
                <w:rFonts w:hint="eastAsia" w:ascii="宋体" w:hAnsi="宋体" w:cs="宋体"/>
                <w:color w:val="auto"/>
                <w:kern w:val="0"/>
                <w:sz w:val="24"/>
                <w:highlight w:val="none"/>
              </w:rPr>
            </w:pPr>
          </w:p>
        </w:tc>
      </w:tr>
      <w:tr w14:paraId="585A55E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379DFF">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B4E5B3">
            <w:pPr>
              <w:spacing w:line="360" w:lineRule="auto"/>
              <w:jc w:val="center"/>
              <w:rPr>
                <w:rFonts w:hint="eastAsia" w:ascii="宋体" w:hAnsi="宋体" w:cs="宋体"/>
                <w:color w:val="auto"/>
                <w:kern w:val="0"/>
                <w:sz w:val="24"/>
                <w:highlight w:val="none"/>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DCE85B">
            <w:pPr>
              <w:spacing w:line="360" w:lineRule="auto"/>
              <w:jc w:val="center"/>
              <w:rPr>
                <w:rFonts w:hint="eastAsia" w:ascii="宋体" w:hAnsi="宋体" w:cs="宋体"/>
                <w:color w:val="auto"/>
                <w:kern w:val="0"/>
                <w:sz w:val="24"/>
                <w:highlight w:val="none"/>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3CADBAD">
            <w:pPr>
              <w:spacing w:line="360" w:lineRule="auto"/>
              <w:jc w:val="center"/>
              <w:rPr>
                <w:rFonts w:hint="eastAsia" w:ascii="宋体" w:hAnsi="宋体" w:cs="宋体"/>
                <w:color w:val="auto"/>
                <w:kern w:val="0"/>
                <w:sz w:val="24"/>
                <w:highlight w:val="none"/>
              </w:rPr>
            </w:pPr>
          </w:p>
        </w:tc>
      </w:tr>
    </w:tbl>
    <w:p w14:paraId="1C9EB239">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0F2801BD">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0CD758A6">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3C70997E">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46BD51A9">
      <w:pPr>
        <w:snapToGrid w:val="0"/>
        <w:spacing w:line="360" w:lineRule="auto"/>
        <w:jc w:val="left"/>
        <w:rPr>
          <w:rFonts w:hint="eastAsia" w:ascii="宋体" w:hAnsi="宋体"/>
          <w:color w:val="auto"/>
          <w:sz w:val="24"/>
          <w:highlight w:val="none"/>
        </w:rPr>
      </w:pPr>
    </w:p>
    <w:p w14:paraId="67F2A6E5">
      <w:pPr>
        <w:snapToGrid w:val="0"/>
        <w:spacing w:line="360" w:lineRule="auto"/>
        <w:jc w:val="left"/>
        <w:rPr>
          <w:rFonts w:hint="eastAsia" w:ascii="宋体" w:hAnsi="宋体"/>
          <w:color w:val="auto"/>
          <w:sz w:val="24"/>
          <w:highlight w:val="none"/>
        </w:rPr>
      </w:pPr>
    </w:p>
    <w:p w14:paraId="62F98B9C">
      <w:pPr>
        <w:snapToGrid w:val="0"/>
        <w:spacing w:line="360" w:lineRule="auto"/>
        <w:jc w:val="left"/>
        <w:rPr>
          <w:rFonts w:hint="eastAsia" w:ascii="宋体" w:hAnsi="宋体"/>
          <w:color w:val="auto"/>
          <w:sz w:val="24"/>
          <w:highlight w:val="none"/>
        </w:rPr>
      </w:pPr>
    </w:p>
    <w:p w14:paraId="1A6DD982">
      <w:pPr>
        <w:snapToGrid w:val="0"/>
        <w:spacing w:line="360" w:lineRule="auto"/>
        <w:jc w:val="left"/>
        <w:rPr>
          <w:color w:val="auto"/>
          <w:sz w:val="24"/>
          <w:highlight w:val="none"/>
        </w:rPr>
      </w:pPr>
    </w:p>
    <w:p w14:paraId="033E110B">
      <w:pPr>
        <w:snapToGrid w:val="0"/>
        <w:spacing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7F208B0A">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1E82F9BF">
      <w:pPr>
        <w:snapToGrid w:val="0"/>
        <w:spacing w:line="360" w:lineRule="auto"/>
        <w:ind w:right="480" w:firstLine="240" w:firstLineChars="10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21B3C937">
      <w:pPr>
        <w:snapToGrid w:val="0"/>
        <w:spacing w:before="120" w:beforeLines="50" w:after="50"/>
        <w:jc w:val="left"/>
        <w:rPr>
          <w:rFonts w:hint="eastAsia" w:ascii="宋体" w:hAnsi="宋体"/>
          <w:color w:val="auto"/>
          <w:sz w:val="24"/>
          <w:highlight w:val="none"/>
        </w:rPr>
      </w:pPr>
    </w:p>
    <w:p w14:paraId="093AF8A2">
      <w:pPr>
        <w:snapToGrid w:val="0"/>
        <w:spacing w:before="50" w:after="120" w:afterLines="50"/>
        <w:jc w:val="left"/>
        <w:rPr>
          <w:rFonts w:hint="eastAsia" w:ascii="宋体" w:hAnsi="宋体"/>
          <w:color w:val="auto"/>
          <w:szCs w:val="21"/>
          <w:highlight w:val="none"/>
        </w:rPr>
      </w:pPr>
    </w:p>
    <w:p w14:paraId="3661146D">
      <w:pPr>
        <w:snapToGrid w:val="0"/>
        <w:spacing w:before="120" w:beforeLines="50" w:after="50"/>
        <w:jc w:val="left"/>
        <w:rPr>
          <w:rFonts w:hint="eastAsia" w:ascii="宋体" w:hAnsi="宋体"/>
          <w:b/>
          <w:color w:val="auto"/>
          <w:sz w:val="24"/>
          <w:szCs w:val="20"/>
          <w:highlight w:val="none"/>
        </w:rPr>
      </w:pPr>
    </w:p>
    <w:p w14:paraId="45596E91">
      <w:pPr>
        <w:snapToGrid w:val="0"/>
        <w:spacing w:before="120" w:beforeLines="50" w:after="50"/>
        <w:ind w:left="142"/>
        <w:jc w:val="left"/>
        <w:rPr>
          <w:rFonts w:hint="eastAsia" w:ascii="宋体" w:hAnsi="宋体"/>
          <w:b/>
          <w:color w:val="auto"/>
          <w:sz w:val="24"/>
          <w:highlight w:val="none"/>
        </w:rPr>
      </w:pPr>
    </w:p>
    <w:p w14:paraId="12F389C5">
      <w:pPr>
        <w:snapToGrid w:val="0"/>
        <w:spacing w:before="120" w:beforeLines="50" w:after="50"/>
        <w:ind w:left="142"/>
        <w:jc w:val="left"/>
        <w:rPr>
          <w:rFonts w:hint="eastAsia" w:ascii="宋体" w:hAnsi="宋体"/>
          <w:b/>
          <w:color w:val="auto"/>
          <w:sz w:val="24"/>
          <w:highlight w:val="none"/>
        </w:rPr>
      </w:pPr>
    </w:p>
    <w:p w14:paraId="23F8FCEC">
      <w:pPr>
        <w:snapToGrid w:val="0"/>
        <w:spacing w:before="120" w:beforeLines="50" w:after="50"/>
        <w:ind w:left="142"/>
        <w:jc w:val="left"/>
        <w:rPr>
          <w:rFonts w:hint="eastAsia" w:ascii="宋体" w:hAnsi="宋体"/>
          <w:b/>
          <w:color w:val="auto"/>
          <w:sz w:val="24"/>
          <w:highlight w:val="none"/>
        </w:rPr>
      </w:pPr>
    </w:p>
    <w:p w14:paraId="220B9F9C">
      <w:pPr>
        <w:snapToGrid w:val="0"/>
        <w:spacing w:before="120" w:beforeLines="50" w:after="50"/>
        <w:ind w:left="142"/>
        <w:jc w:val="left"/>
        <w:rPr>
          <w:rFonts w:hint="eastAsia" w:ascii="宋体" w:hAnsi="宋体"/>
          <w:b/>
          <w:color w:val="auto"/>
          <w:sz w:val="24"/>
          <w:highlight w:val="none"/>
        </w:rPr>
      </w:pPr>
    </w:p>
    <w:p w14:paraId="32F6EE27">
      <w:pPr>
        <w:snapToGrid w:val="0"/>
        <w:spacing w:before="120" w:beforeLines="50" w:after="50"/>
        <w:ind w:left="142"/>
        <w:jc w:val="left"/>
        <w:rPr>
          <w:rFonts w:hint="eastAsia" w:ascii="宋体" w:hAnsi="宋体"/>
          <w:b/>
          <w:color w:val="auto"/>
          <w:sz w:val="24"/>
          <w:szCs w:val="20"/>
          <w:highlight w:val="none"/>
        </w:rPr>
      </w:pPr>
      <w:r>
        <w:rPr>
          <w:rFonts w:hint="eastAsia" w:ascii="宋体" w:hAnsi="宋体"/>
          <w:b/>
          <w:color w:val="auto"/>
          <w:sz w:val="24"/>
          <w:highlight w:val="none"/>
        </w:rPr>
        <w:t>5.投标声明</w:t>
      </w:r>
    </w:p>
    <w:p w14:paraId="461B16C6">
      <w:pPr>
        <w:snapToGrid w:val="0"/>
        <w:spacing w:before="50" w:after="120" w:afterLines="50"/>
        <w:jc w:val="left"/>
        <w:rPr>
          <w:rFonts w:hint="eastAsia" w:ascii="宋体" w:hAnsi="宋体"/>
          <w:color w:val="auto"/>
          <w:highlight w:val="none"/>
        </w:rPr>
      </w:pPr>
    </w:p>
    <w:p w14:paraId="18458425">
      <w:pPr>
        <w:snapToGrid w:val="0"/>
        <w:spacing w:before="50" w:after="120" w:afterLines="50"/>
        <w:jc w:val="center"/>
        <w:rPr>
          <w:rFonts w:hint="eastAsia" w:ascii="宋体" w:hAnsi="宋体"/>
          <w:b/>
          <w:color w:val="auto"/>
          <w:sz w:val="32"/>
          <w:szCs w:val="32"/>
          <w:highlight w:val="none"/>
        </w:rPr>
      </w:pPr>
      <w:r>
        <w:rPr>
          <w:rFonts w:hint="eastAsia" w:ascii="宋体" w:hAnsi="宋体"/>
          <w:b/>
          <w:color w:val="auto"/>
          <w:sz w:val="32"/>
          <w:szCs w:val="32"/>
          <w:highlight w:val="none"/>
        </w:rPr>
        <w:t>投标声明</w:t>
      </w:r>
    </w:p>
    <w:p w14:paraId="3DEB4D98">
      <w:pPr>
        <w:spacing w:line="400" w:lineRule="exact"/>
        <w:contextualSpacing/>
        <w:jc w:val="left"/>
        <w:rPr>
          <w:color w:val="auto"/>
          <w:sz w:val="24"/>
          <w:highlight w:val="none"/>
        </w:rPr>
      </w:pPr>
      <w:r>
        <w:rPr>
          <w:rFonts w:hint="eastAsia"/>
          <w:color w:val="auto"/>
          <w:sz w:val="24"/>
          <w:highlight w:val="none"/>
        </w:rPr>
        <w:t>（采购人名称）：</w:t>
      </w:r>
    </w:p>
    <w:p w14:paraId="070C8502">
      <w:pPr>
        <w:spacing w:line="400" w:lineRule="exact"/>
        <w:ind w:firstLine="523" w:firstLineChars="218"/>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06574777">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D5D5A60">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6160ECEA">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5E6DB741">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（一）具有独立承担民事责任的能力；</w:t>
      </w:r>
    </w:p>
    <w:p w14:paraId="321C282F">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（二）具有良好的商业信誉和健全的财务会计制度；</w:t>
      </w:r>
    </w:p>
    <w:p w14:paraId="7D3E584E">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（三）具有履行合同所必需的设备和专业技术能力；</w:t>
      </w:r>
    </w:p>
    <w:p w14:paraId="5BCEA23E">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（四）有依法缴纳税收和社会保障资金的良好记录；</w:t>
      </w:r>
    </w:p>
    <w:p w14:paraId="213312BF">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3F62E448">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4FDC6F27">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56A11291">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特此承诺。</w:t>
      </w:r>
    </w:p>
    <w:p w14:paraId="7C5237FD">
      <w:pPr>
        <w:snapToGrid w:val="0"/>
        <w:spacing w:before="50" w:after="50"/>
        <w:ind w:firstLine="1063" w:firstLineChars="441"/>
        <w:rPr>
          <w:rFonts w:hint="eastAsia" w:ascii="宋体" w:hAnsi="宋体"/>
          <w:color w:val="auto"/>
          <w:spacing w:val="20"/>
          <w:sz w:val="24"/>
          <w:highlight w:val="none"/>
          <w:u w:val="single"/>
        </w:rPr>
      </w:pPr>
      <w:r>
        <w:rPr>
          <w:rFonts w:hint="eastAsia" w:ascii="宋体" w:hAnsi="宋体"/>
          <w:b/>
          <w:color w:val="auto"/>
          <w:sz w:val="24"/>
          <w:highlight w:val="none"/>
        </w:rPr>
        <w:t xml:space="preserve"> </w:t>
      </w: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793AD3A7">
      <w:pPr>
        <w:spacing w:line="400" w:lineRule="exact"/>
        <w:contextualSpacing/>
        <w:jc w:val="left"/>
        <w:rPr>
          <w:rFonts w:hint="eastAsia" w:ascii="宋体" w:hAnsi="宋体"/>
          <w:color w:val="auto"/>
          <w:sz w:val="24"/>
          <w:highlight w:val="none"/>
        </w:rPr>
      </w:pPr>
    </w:p>
    <w:p w14:paraId="60D6997D">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23CB38F0">
      <w:pPr>
        <w:spacing w:line="400" w:lineRule="exact"/>
        <w:contextualSpacing/>
        <w:jc w:val="left"/>
        <w:rPr>
          <w:rFonts w:hint="eastAsia" w:ascii="宋体" w:hAnsi="宋体"/>
          <w:color w:val="auto"/>
          <w:highlight w:val="none"/>
        </w:rPr>
      </w:pPr>
      <w:r>
        <w:rPr>
          <w:rFonts w:hint="eastAsia" w:ascii="宋体" w:hAnsi="宋体"/>
          <w:color w:val="auto"/>
          <w:sz w:val="24"/>
          <w:highlight w:val="none"/>
        </w:rPr>
        <w:t xml:space="preserve">                                                  年    月    日</w:t>
      </w:r>
    </w:p>
    <w:p w14:paraId="46541193">
      <w:pPr>
        <w:spacing w:line="440" w:lineRule="exact"/>
        <w:contextualSpacing/>
        <w:rPr>
          <w:rFonts w:hint="eastAsia" w:ascii="宋体" w:hAnsi="宋体"/>
          <w:b/>
          <w:color w:val="auto"/>
          <w:sz w:val="24"/>
          <w:highlight w:val="none"/>
        </w:rPr>
      </w:pPr>
      <w:r>
        <w:rPr>
          <w:rFonts w:hint="eastAsia" w:ascii="宋体" w:hAnsi="宋体"/>
          <w:b/>
          <w:color w:val="auto"/>
          <w:sz w:val="24"/>
          <w:highlight w:val="none"/>
        </w:rPr>
        <w:t>注：如为联合体投标，盖章处须加盖联合体牵头人电子签章并由联合体牵头人法定代表人分别签字或者盖章或者电子签名，否则投标无效。</w:t>
      </w:r>
    </w:p>
    <w:p w14:paraId="22330BB2">
      <w:pPr>
        <w:spacing w:line="400" w:lineRule="exact"/>
        <w:contextualSpacing/>
        <w:jc w:val="left"/>
        <w:rPr>
          <w:rFonts w:hint="eastAsia" w:ascii="宋体" w:hAnsi="宋体"/>
          <w:color w:val="auto"/>
          <w:sz w:val="24"/>
          <w:highlight w:val="none"/>
        </w:rPr>
      </w:pPr>
    </w:p>
    <w:p w14:paraId="1B547698">
      <w:pPr>
        <w:spacing w:line="400" w:lineRule="exact"/>
        <w:contextualSpacing/>
        <w:jc w:val="left"/>
        <w:rPr>
          <w:rFonts w:hint="eastAsia" w:ascii="宋体" w:hAnsi="宋体"/>
          <w:color w:val="auto"/>
          <w:sz w:val="24"/>
          <w:highlight w:val="none"/>
        </w:rPr>
      </w:pPr>
    </w:p>
    <w:p w14:paraId="12567146">
      <w:pPr>
        <w:spacing w:line="400" w:lineRule="exact"/>
        <w:contextualSpacing/>
        <w:jc w:val="left"/>
        <w:rPr>
          <w:rFonts w:hint="eastAsia" w:ascii="宋体" w:hAnsi="宋体"/>
          <w:color w:val="auto"/>
          <w:sz w:val="24"/>
          <w:highlight w:val="none"/>
        </w:rPr>
      </w:pPr>
    </w:p>
    <w:p w14:paraId="19444BEB">
      <w:pPr>
        <w:rPr>
          <w:b/>
          <w:color w:val="auto"/>
          <w:sz w:val="28"/>
          <w:szCs w:val="28"/>
          <w:highlight w:val="none"/>
        </w:rPr>
      </w:pPr>
      <w:bookmarkStart w:id="155" w:name="_Toc19686838"/>
    </w:p>
    <w:p w14:paraId="6C2146C4">
      <w:pPr>
        <w:rPr>
          <w:b/>
          <w:color w:val="auto"/>
          <w:sz w:val="28"/>
          <w:szCs w:val="28"/>
          <w:highlight w:val="none"/>
        </w:rPr>
      </w:pPr>
      <w:r>
        <w:rPr>
          <w:rFonts w:hint="eastAsia"/>
          <w:b/>
          <w:color w:val="auto"/>
          <w:sz w:val="28"/>
          <w:szCs w:val="28"/>
          <w:highlight w:val="none"/>
        </w:rPr>
        <w:t>三、商务及技术文件格式</w:t>
      </w:r>
      <w:bookmarkEnd w:id="155"/>
    </w:p>
    <w:p w14:paraId="53A4C995">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1.商务及技术文件封面格式： </w:t>
      </w:r>
    </w:p>
    <w:p w14:paraId="73D6470C">
      <w:pPr>
        <w:snapToGrid w:val="0"/>
        <w:spacing w:before="120" w:beforeLines="50" w:after="50"/>
        <w:jc w:val="center"/>
        <w:rPr>
          <w:rFonts w:hint="eastAsia"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7E70831A">
      <w:pPr>
        <w:snapToGrid w:val="0"/>
        <w:spacing w:before="120" w:beforeLines="50" w:after="50"/>
        <w:rPr>
          <w:rFonts w:hint="eastAsia" w:ascii="宋体" w:hAnsi="宋体"/>
          <w:color w:val="auto"/>
          <w:sz w:val="24"/>
          <w:szCs w:val="20"/>
          <w:highlight w:val="none"/>
        </w:rPr>
      </w:pPr>
      <w:r>
        <w:rPr>
          <w:rFonts w:hint="eastAsia" w:ascii="宋体" w:hAnsi="宋体"/>
          <w:color w:val="auto"/>
          <w:sz w:val="24"/>
          <w:highlight w:val="none"/>
        </w:rPr>
        <w:t xml:space="preserve">                </w:t>
      </w:r>
    </w:p>
    <w:p w14:paraId="3D628471">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商务及技术文件</w:t>
      </w:r>
    </w:p>
    <w:p w14:paraId="077FB09B">
      <w:pPr>
        <w:snapToGrid w:val="0"/>
        <w:spacing w:before="120" w:beforeLines="50" w:after="50"/>
        <w:rPr>
          <w:rFonts w:hint="eastAsia" w:ascii="宋体" w:hAnsi="宋体"/>
          <w:bCs/>
          <w:color w:val="auto"/>
          <w:sz w:val="24"/>
          <w:szCs w:val="20"/>
          <w:highlight w:val="none"/>
        </w:rPr>
      </w:pPr>
    </w:p>
    <w:p w14:paraId="48A6DDB6">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449459D2">
      <w:pPr>
        <w:snapToGrid w:val="0"/>
        <w:spacing w:before="120" w:beforeLines="50" w:after="50"/>
        <w:ind w:firstLine="540" w:firstLineChars="225"/>
        <w:rPr>
          <w:rFonts w:hint="eastAsia" w:ascii="宋体" w:hAnsi="宋体"/>
          <w:bCs/>
          <w:color w:val="auto"/>
          <w:sz w:val="24"/>
          <w:szCs w:val="20"/>
          <w:highlight w:val="none"/>
        </w:rPr>
      </w:pPr>
    </w:p>
    <w:p w14:paraId="0A46AACE">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54134852">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02CA676E">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29EEA12F">
      <w:pPr>
        <w:snapToGrid w:val="0"/>
        <w:spacing w:before="120" w:beforeLines="50" w:after="50"/>
        <w:ind w:firstLine="540" w:firstLineChars="225"/>
        <w:rPr>
          <w:rFonts w:hint="eastAsia" w:ascii="宋体" w:hAnsi="宋体"/>
          <w:bCs/>
          <w:color w:val="auto"/>
          <w:sz w:val="24"/>
          <w:szCs w:val="20"/>
          <w:highlight w:val="none"/>
        </w:rPr>
      </w:pPr>
    </w:p>
    <w:p w14:paraId="42AA40B9">
      <w:pPr>
        <w:pStyle w:val="9"/>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1881CFFA">
      <w:pPr>
        <w:pStyle w:val="9"/>
        <w:snapToGrid w:val="0"/>
        <w:spacing w:before="50" w:after="50"/>
        <w:ind w:firstLine="540" w:firstLineChars="225"/>
        <w:rPr>
          <w:rFonts w:hint="eastAsia" w:ascii="宋体" w:hAnsi="宋体"/>
          <w:bCs/>
          <w:color w:val="auto"/>
          <w:sz w:val="24"/>
          <w:szCs w:val="24"/>
          <w:highlight w:val="none"/>
        </w:rPr>
      </w:pPr>
    </w:p>
    <w:p w14:paraId="47146A55">
      <w:pPr>
        <w:pStyle w:val="9"/>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754027C7">
      <w:pPr>
        <w:pStyle w:val="9"/>
        <w:snapToGrid w:val="0"/>
        <w:spacing w:before="50" w:after="50"/>
        <w:ind w:firstLine="960" w:firstLineChars="400"/>
        <w:rPr>
          <w:rFonts w:hint="eastAsia" w:ascii="宋体" w:hAnsi="宋体"/>
          <w:bCs/>
          <w:color w:val="auto"/>
          <w:sz w:val="24"/>
          <w:szCs w:val="24"/>
          <w:highlight w:val="none"/>
        </w:rPr>
      </w:pPr>
    </w:p>
    <w:p w14:paraId="3942E286">
      <w:pPr>
        <w:snapToGrid w:val="0"/>
        <w:spacing w:before="120" w:beforeLines="50" w:after="50"/>
        <w:ind w:firstLine="645"/>
        <w:rPr>
          <w:rFonts w:hint="eastAsia" w:ascii="宋体" w:hAnsi="宋体"/>
          <w:color w:val="auto"/>
          <w:sz w:val="24"/>
          <w:highlight w:val="none"/>
        </w:rPr>
      </w:pPr>
      <w:r>
        <w:rPr>
          <w:rFonts w:hint="eastAsia" w:ascii="宋体" w:hAnsi="宋体"/>
          <w:color w:val="auto"/>
          <w:sz w:val="24"/>
          <w:highlight w:val="none"/>
        </w:rPr>
        <w:t xml:space="preserve">                        年  月  日</w:t>
      </w:r>
    </w:p>
    <w:p w14:paraId="55F8F171">
      <w:pPr>
        <w:snapToGrid w:val="0"/>
        <w:spacing w:before="120"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4A534FD2">
      <w:pPr>
        <w:snapToGrid w:val="0"/>
        <w:spacing w:line="360" w:lineRule="auto"/>
        <w:jc w:val="left"/>
        <w:rPr>
          <w:rFonts w:hint="eastAsia"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8"/>
          <w:szCs w:val="28"/>
          <w:highlight w:val="none"/>
        </w:rPr>
        <w:t>2.商务及技术文件目录</w:t>
      </w:r>
    </w:p>
    <w:p w14:paraId="792A07F9">
      <w:pPr>
        <w:snapToGrid w:val="0"/>
        <w:spacing w:before="50" w:after="120" w:afterLines="50" w:line="360" w:lineRule="auto"/>
        <w:jc w:val="left"/>
        <w:rPr>
          <w:rFonts w:hint="eastAsia" w:ascii="微软雅黑" w:hAnsi="微软雅黑" w:eastAsia="微软雅黑"/>
          <w:b/>
          <w:bCs/>
          <w:color w:val="auto"/>
          <w:sz w:val="24"/>
          <w:highlight w:val="none"/>
        </w:rPr>
      </w:pPr>
      <w:r>
        <w:rPr>
          <w:rFonts w:hint="eastAsia" w:ascii="宋体" w:hAnsi="宋体"/>
          <w:color w:val="auto"/>
          <w:szCs w:val="21"/>
          <w:highlight w:val="none"/>
        </w:rPr>
        <w:t>根据采购文件规定及投标人提供的材料自行编写目录。</w:t>
      </w:r>
    </w:p>
    <w:p w14:paraId="5C80CFBF">
      <w:pPr>
        <w:snapToGrid w:val="0"/>
        <w:spacing w:before="50" w:after="120" w:afterLines="50"/>
        <w:jc w:val="left"/>
        <w:rPr>
          <w:rFonts w:hint="eastAsia" w:ascii="宋体" w:hAnsi="宋体"/>
          <w:color w:val="auto"/>
          <w:highlight w:val="none"/>
        </w:rPr>
      </w:pPr>
    </w:p>
    <w:p w14:paraId="54AEA8A1">
      <w:pPr>
        <w:snapToGrid w:val="0"/>
        <w:spacing w:before="120" w:beforeLines="50" w:after="5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3.投标人参加本项目无围标串标行为的承诺</w:t>
      </w:r>
    </w:p>
    <w:p w14:paraId="4B8804F3">
      <w:pPr>
        <w:snapToGrid w:val="0"/>
        <w:spacing w:before="120" w:beforeLines="50" w:after="50"/>
        <w:jc w:val="left"/>
        <w:rPr>
          <w:rFonts w:hint="eastAsia" w:ascii="宋体" w:hAnsi="宋体"/>
          <w:b/>
          <w:color w:val="auto"/>
          <w:sz w:val="24"/>
          <w:highlight w:val="none"/>
        </w:rPr>
      </w:pPr>
    </w:p>
    <w:p w14:paraId="3C32BDA9">
      <w:pPr>
        <w:snapToGrid w:val="0"/>
        <w:spacing w:before="120" w:beforeLines="50" w:after="50"/>
        <w:ind w:left="420"/>
        <w:jc w:val="center"/>
        <w:rPr>
          <w:rFonts w:hint="eastAsia" w:ascii="宋体" w:hAnsi="宋体"/>
          <w:b/>
          <w:color w:val="auto"/>
          <w:spacing w:val="-17"/>
          <w:sz w:val="32"/>
          <w:szCs w:val="32"/>
          <w:highlight w:val="none"/>
        </w:rPr>
      </w:pPr>
      <w:r>
        <w:rPr>
          <w:rFonts w:hint="eastAsia" w:ascii="方正小标宋简体" w:hAnsi="方正小标宋简体" w:eastAsia="方正小标宋简体" w:cs="方正小标宋简体"/>
          <w:bCs/>
          <w:color w:val="auto"/>
          <w:spacing w:val="-17"/>
          <w:sz w:val="44"/>
          <w:szCs w:val="44"/>
          <w:highlight w:val="none"/>
        </w:rPr>
        <w:t>投标人参加本项目无围标串标行为的承诺函</w:t>
      </w:r>
    </w:p>
    <w:p w14:paraId="01A2DF01">
      <w:pPr>
        <w:snapToGrid w:val="0"/>
        <w:spacing w:before="120" w:beforeLines="50" w:after="50"/>
        <w:rPr>
          <w:rFonts w:hint="eastAsia" w:ascii="宋体" w:hAnsi="宋体"/>
          <w:b/>
          <w:color w:val="auto"/>
          <w:sz w:val="24"/>
          <w:highlight w:val="none"/>
        </w:rPr>
      </w:pPr>
    </w:p>
    <w:p w14:paraId="6051DE56">
      <w:pPr>
        <w:spacing w:line="400" w:lineRule="exact"/>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3FCB7331">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 xml:space="preserve">1.不同投标人的投标文件由同一单位或者个人编制； </w:t>
      </w:r>
    </w:p>
    <w:p w14:paraId="7B0EFDF5">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09319412">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4E0A37F3">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79115511">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28F96DAE">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03F17379">
      <w:pPr>
        <w:spacing w:line="400" w:lineRule="exact"/>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60E79277">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2EEAD133">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01684F92">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19C156CE">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292BCA3F">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5.投标人之间事先约定一致抬高或者压低投标报价，或者在采购项目中事先约定轮流以高价位或者低价位中标，或者事先约定由某一特定投标人中标，然后再参加投标；</w:t>
      </w:r>
    </w:p>
    <w:p w14:paraId="0FFA94B7">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1B27E6B2">
      <w:pPr>
        <w:spacing w:line="40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4C9EAF4">
      <w:pPr>
        <w:spacing w:line="400" w:lineRule="exact"/>
        <w:ind w:firstLine="472" w:firstLineChars="196"/>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3147823F">
      <w:pPr>
        <w:spacing w:line="400" w:lineRule="exact"/>
        <w:ind w:firstLine="472" w:firstLineChars="196"/>
        <w:contextualSpacing/>
        <w:jc w:val="left"/>
        <w:rPr>
          <w:rFonts w:hint="eastAsia" w:ascii="宋体" w:hAnsi="宋体"/>
          <w:b/>
          <w:color w:val="auto"/>
          <w:sz w:val="24"/>
          <w:highlight w:val="none"/>
        </w:rPr>
      </w:pPr>
    </w:p>
    <w:p w14:paraId="1F5C86C0">
      <w:pPr>
        <w:pStyle w:val="18"/>
        <w:spacing w:line="440" w:lineRule="exact"/>
        <w:ind w:firstLine="960" w:firstLineChars="400"/>
        <w:rPr>
          <w:rFonts w:hint="eastAsia"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3BAA41C0">
      <w:pPr>
        <w:pStyle w:val="18"/>
        <w:spacing w:line="400" w:lineRule="exact"/>
        <w:contextualSpacing/>
        <w:jc w:val="center"/>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0DA93FF7">
      <w:pPr>
        <w:pStyle w:val="18"/>
        <w:spacing w:line="400" w:lineRule="exact"/>
        <w:contextualSpacing/>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310798B5">
      <w:pPr>
        <w:snapToGrid w:val="0"/>
        <w:spacing w:before="120" w:beforeLines="50" w:after="50"/>
        <w:ind w:firstLine="472" w:firstLineChars="196"/>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4.法定代表人身份证明</w:t>
      </w:r>
    </w:p>
    <w:p w14:paraId="0B7A3784">
      <w:pPr>
        <w:spacing w:before="240" w:beforeLines="100" w:after="120" w:afterLines="50"/>
        <w:ind w:left="540"/>
        <w:jc w:val="center"/>
        <w:rPr>
          <w:rFonts w:ascii="宋体" w:hAnsi="Courier New"/>
          <w:b/>
          <w:color w:val="auto"/>
          <w:sz w:val="32"/>
          <w:szCs w:val="32"/>
          <w:highlight w:val="none"/>
        </w:rPr>
      </w:pPr>
    </w:p>
    <w:p w14:paraId="6AB07BAC">
      <w:pPr>
        <w:spacing w:before="240" w:beforeLines="100" w:after="120" w:afterLines="50"/>
        <w:ind w:left="54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0F856295">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0B23B397">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3AD69F0">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5EC62455">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726CAC5D">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E1D63AB">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588588F0">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15E335A8">
      <w:pPr>
        <w:spacing w:line="500" w:lineRule="exact"/>
        <w:ind w:left="540"/>
        <w:rPr>
          <w:rFonts w:hint="eastAsia" w:ascii="宋体" w:hAnsi="宋体"/>
          <w:color w:val="auto"/>
          <w:sz w:val="24"/>
          <w:highlight w:val="none"/>
        </w:rPr>
      </w:pPr>
    </w:p>
    <w:p w14:paraId="488E3909">
      <w:pPr>
        <w:spacing w:line="500" w:lineRule="exact"/>
        <w:ind w:left="540"/>
        <w:rPr>
          <w:rFonts w:hint="eastAsia" w:ascii="宋体" w:hAnsi="宋体"/>
          <w:color w:val="auto"/>
          <w:sz w:val="24"/>
          <w:highlight w:val="none"/>
        </w:rPr>
      </w:pPr>
    </w:p>
    <w:p w14:paraId="132EE14B">
      <w:pPr>
        <w:spacing w:line="500" w:lineRule="exact"/>
        <w:ind w:left="540"/>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0885B79E">
      <w:pPr>
        <w:spacing w:line="500" w:lineRule="exact"/>
        <w:ind w:left="540"/>
        <w:rPr>
          <w:rFonts w:hint="eastAsia" w:ascii="宋体" w:hAnsi="宋体"/>
          <w:color w:val="auto"/>
          <w:sz w:val="24"/>
          <w:highlight w:val="none"/>
        </w:rPr>
      </w:pPr>
    </w:p>
    <w:p w14:paraId="0CE1D2D0">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投标人名称（电子签章）</w:t>
      </w:r>
    </w:p>
    <w:p w14:paraId="4E6121B2">
      <w:pPr>
        <w:snapToGrid w:val="0"/>
        <w:spacing w:before="120" w:beforeLines="5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7F5682FA">
      <w:pPr>
        <w:snapToGrid w:val="0"/>
        <w:spacing w:before="120" w:beforeLines="50" w:after="50"/>
        <w:jc w:val="center"/>
        <w:rPr>
          <w:rFonts w:hint="eastAsia" w:ascii="宋体" w:hAnsi="宋体"/>
          <w:b/>
          <w:color w:val="auto"/>
          <w:sz w:val="24"/>
          <w:highlight w:val="none"/>
        </w:rPr>
      </w:pPr>
    </w:p>
    <w:p w14:paraId="34EB9E71">
      <w:pPr>
        <w:snapToGrid w:val="0"/>
        <w:spacing w:before="120" w:beforeLines="5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4E2A2500">
      <w:pPr>
        <w:snapToGrid w:val="0"/>
        <w:spacing w:before="120" w:beforeLines="50" w:after="5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5.授权委托书格式</w:t>
      </w:r>
    </w:p>
    <w:p w14:paraId="41DA4392">
      <w:pPr>
        <w:snapToGrid w:val="0"/>
        <w:spacing w:before="120" w:beforeLines="50" w:after="50"/>
        <w:jc w:val="center"/>
        <w:rPr>
          <w:rFonts w:hint="eastAsia" w:ascii="宋体" w:hAnsi="宋体"/>
          <w:b/>
          <w:color w:val="auto"/>
          <w:sz w:val="44"/>
          <w:szCs w:val="44"/>
          <w:highlight w:val="none"/>
        </w:rPr>
      </w:pPr>
    </w:p>
    <w:p w14:paraId="6D5F1852">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7434EB49">
      <w:pPr>
        <w:snapToGrid w:val="0"/>
        <w:spacing w:before="120" w:beforeLines="50" w:after="50"/>
        <w:jc w:val="center"/>
        <w:rPr>
          <w:rFonts w:hint="eastAsia" w:ascii="宋体" w:hAnsi="宋体"/>
          <w:b/>
          <w:color w:val="auto"/>
          <w:sz w:val="32"/>
          <w:szCs w:val="32"/>
          <w:highlight w:val="none"/>
        </w:rPr>
      </w:pPr>
      <w:r>
        <w:rPr>
          <w:rFonts w:hint="eastAsia" w:ascii="宋体" w:hAnsi="宋体"/>
          <w:b/>
          <w:color w:val="auto"/>
          <w:sz w:val="32"/>
          <w:szCs w:val="32"/>
          <w:highlight w:val="none"/>
        </w:rPr>
        <w:t>（非联合体投标格式）</w:t>
      </w:r>
    </w:p>
    <w:p w14:paraId="2D334622">
      <w:pPr>
        <w:snapToGrid w:val="0"/>
        <w:spacing w:before="120" w:beforeLines="50" w:after="50"/>
        <w:jc w:val="center"/>
        <w:rPr>
          <w:rFonts w:hint="eastAsia" w:ascii="宋体" w:hAnsi="宋体"/>
          <w:b/>
          <w:color w:val="auto"/>
          <w:sz w:val="24"/>
          <w:highlight w:val="none"/>
        </w:rPr>
      </w:pPr>
      <w:r>
        <w:rPr>
          <w:rFonts w:hint="eastAsia" w:ascii="宋体" w:hAnsi="宋体"/>
          <w:b/>
          <w:color w:val="auto"/>
          <w:sz w:val="32"/>
          <w:szCs w:val="32"/>
          <w:highlight w:val="none"/>
        </w:rPr>
        <w:t>（如有委托时）</w:t>
      </w:r>
    </w:p>
    <w:p w14:paraId="23164E82">
      <w:pPr>
        <w:snapToGrid w:val="0"/>
        <w:spacing w:before="120" w:beforeLines="50" w:after="50"/>
        <w:jc w:val="center"/>
        <w:rPr>
          <w:rFonts w:hint="eastAsia" w:ascii="宋体" w:hAnsi="宋体"/>
          <w:b/>
          <w:color w:val="auto"/>
          <w:sz w:val="24"/>
          <w:highlight w:val="none"/>
        </w:rPr>
      </w:pPr>
    </w:p>
    <w:p w14:paraId="29CEA7FF">
      <w:pPr>
        <w:spacing w:line="360" w:lineRule="auto"/>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780FA226">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0ACC74B5">
      <w:pPr>
        <w:spacing w:line="360" w:lineRule="auto"/>
        <w:contextualSpacing/>
        <w:rPr>
          <w:rFonts w:hint="eastAsia"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60A6029E">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5BBF5072">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557E1894">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6181C692">
      <w:pPr>
        <w:spacing w:line="360" w:lineRule="auto"/>
        <w:contextualSpacing/>
        <w:rPr>
          <w:rFonts w:hint="eastAsia" w:ascii="宋体" w:hAnsi="宋体"/>
          <w:color w:val="auto"/>
          <w:sz w:val="24"/>
          <w:highlight w:val="none"/>
        </w:rPr>
      </w:pPr>
    </w:p>
    <w:p w14:paraId="4AABC2F4">
      <w:pPr>
        <w:spacing w:line="440" w:lineRule="exact"/>
        <w:contextualSpacing/>
        <w:rPr>
          <w:rFonts w:hint="eastAsia"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3A62E468">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7EE1347B">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20A7568F">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w:t>
      </w:r>
    </w:p>
    <w:p w14:paraId="4EB079CD">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633D7CBF">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48E78BF8">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w:t>
      </w:r>
      <w:bookmarkStart w:id="156" w:name="_Hlk65851555"/>
      <w:bookmarkStart w:id="157"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156"/>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57"/>
    </w:p>
    <w:p w14:paraId="75F1881A">
      <w:pPr>
        <w:spacing w:line="440" w:lineRule="exact"/>
        <w:ind w:firstLine="480" w:firstLineChars="20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DFF3392">
      <w:pPr>
        <w:snapToGrid w:val="0"/>
        <w:spacing w:before="120" w:beforeLines="50" w:after="50"/>
        <w:ind w:firstLine="566" w:firstLineChars="236"/>
        <w:jc w:val="center"/>
        <w:rPr>
          <w:rFonts w:hint="eastAsia"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526A580E">
      <w:pPr>
        <w:snapToGrid w:val="0"/>
        <w:spacing w:before="120" w:beforeLines="50" w:after="50"/>
        <w:ind w:firstLine="758" w:firstLineChars="236"/>
        <w:jc w:val="center"/>
        <w:rPr>
          <w:rFonts w:hint="eastAsia" w:ascii="宋体" w:hAnsi="宋体"/>
          <w:b/>
          <w:bCs/>
          <w:color w:val="auto"/>
          <w:sz w:val="32"/>
          <w:szCs w:val="32"/>
          <w:highlight w:val="none"/>
        </w:rPr>
      </w:pPr>
      <w:r>
        <w:rPr>
          <w:rFonts w:hint="eastAsia" w:ascii="宋体" w:hAnsi="宋体"/>
          <w:b/>
          <w:bCs/>
          <w:color w:val="auto"/>
          <w:sz w:val="32"/>
          <w:szCs w:val="32"/>
          <w:highlight w:val="none"/>
        </w:rPr>
        <w:t>（联合体投标格式）</w:t>
      </w:r>
    </w:p>
    <w:p w14:paraId="54C10021">
      <w:pPr>
        <w:snapToGrid w:val="0"/>
        <w:spacing w:before="120" w:beforeLines="50" w:after="50"/>
        <w:ind w:firstLine="758" w:firstLineChars="236"/>
        <w:jc w:val="center"/>
        <w:rPr>
          <w:rFonts w:hint="eastAsia" w:ascii="宋体" w:hAnsi="宋体"/>
          <w:color w:val="auto"/>
          <w:sz w:val="24"/>
          <w:highlight w:val="none"/>
        </w:rPr>
      </w:pPr>
      <w:r>
        <w:rPr>
          <w:rFonts w:hint="eastAsia" w:ascii="宋体" w:hAnsi="宋体"/>
          <w:b/>
          <w:bCs/>
          <w:color w:val="auto"/>
          <w:sz w:val="32"/>
          <w:szCs w:val="32"/>
          <w:highlight w:val="none"/>
        </w:rPr>
        <w:t>（如有委托时）</w:t>
      </w:r>
    </w:p>
    <w:p w14:paraId="0B2ED32C">
      <w:pPr>
        <w:spacing w:line="360" w:lineRule="auto"/>
        <w:contextualSpacing/>
        <w:jc w:val="left"/>
        <w:rPr>
          <w:rFonts w:hint="eastAsia"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E680904">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182EA39D">
      <w:pPr>
        <w:spacing w:line="440" w:lineRule="exact"/>
        <w:ind w:firstLine="566" w:firstLineChars="236"/>
        <w:contextualSpacing/>
        <w:rPr>
          <w:rFonts w:hint="eastAsia" w:ascii="宋体" w:hAnsi="宋体"/>
          <w:color w:val="auto"/>
          <w:sz w:val="24"/>
          <w:highlight w:val="none"/>
        </w:rPr>
      </w:pPr>
      <w:bookmarkStart w:id="158" w:name="_Hlk65852658"/>
      <w:r>
        <w:rPr>
          <w:rFonts w:hint="eastAsia" w:ascii="宋体" w:hAnsi="宋体"/>
          <w:color w:val="auto"/>
          <w:sz w:val="24"/>
          <w:highlight w:val="none"/>
        </w:rPr>
        <w:t>我方对委托代理人的签字或者电子签名事项负全部责任。</w:t>
      </w:r>
    </w:p>
    <w:p w14:paraId="50478A9C">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639D74F0">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2A9BF51A">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3C16BF16">
      <w:pPr>
        <w:spacing w:line="440" w:lineRule="exact"/>
        <w:ind w:firstLine="566" w:firstLineChars="236"/>
        <w:contextualSpacing/>
        <w:rPr>
          <w:rFonts w:hint="eastAsia" w:ascii="宋体" w:hAnsi="宋体"/>
          <w:color w:val="auto"/>
          <w:sz w:val="24"/>
          <w:highlight w:val="none"/>
        </w:rPr>
      </w:pPr>
    </w:p>
    <w:p w14:paraId="4FAD8443">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牵头人法定代表人（签字或者盖章或者电子签名）：</w:t>
      </w:r>
    </w:p>
    <w:p w14:paraId="4EB7CCF0">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牵头人（电子签章）：</w:t>
      </w:r>
    </w:p>
    <w:p w14:paraId="7C3E01C7">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日期：    年   月   日</w:t>
      </w:r>
    </w:p>
    <w:p w14:paraId="71D73364">
      <w:pPr>
        <w:spacing w:line="440" w:lineRule="exact"/>
        <w:ind w:firstLine="566" w:firstLineChars="236"/>
        <w:contextualSpacing/>
        <w:rPr>
          <w:rFonts w:hint="eastAsia" w:ascii="宋体" w:hAnsi="宋体"/>
          <w:color w:val="auto"/>
          <w:sz w:val="24"/>
          <w:highlight w:val="none"/>
        </w:rPr>
      </w:pPr>
    </w:p>
    <w:p w14:paraId="67DB6628">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被授权人（签字或者电子签名）：</w:t>
      </w:r>
    </w:p>
    <w:p w14:paraId="66EAFCD9">
      <w:pPr>
        <w:spacing w:line="440" w:lineRule="exact"/>
        <w:ind w:firstLine="566" w:firstLineChars="236"/>
        <w:contextualSpacing/>
        <w:rPr>
          <w:rFonts w:hint="eastAsia" w:ascii="宋体" w:hAnsi="宋体" w:cs="仿宋_GB2312"/>
          <w:color w:val="auto"/>
          <w:sz w:val="32"/>
          <w:szCs w:val="32"/>
          <w:highlight w:val="none"/>
        </w:rPr>
      </w:pPr>
      <w:r>
        <w:rPr>
          <w:rFonts w:hint="eastAsia" w:ascii="宋体" w:hAnsi="宋体"/>
          <w:color w:val="auto"/>
          <w:sz w:val="24"/>
          <w:highlight w:val="none"/>
        </w:rPr>
        <w:t>日期：    年   月   日</w:t>
      </w:r>
    </w:p>
    <w:p w14:paraId="5FF2F562">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06BCA7AB">
      <w:pPr>
        <w:spacing w:line="440" w:lineRule="exact"/>
        <w:ind w:firstLine="480" w:firstLineChars="20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0E78F04A">
      <w:pPr>
        <w:spacing w:line="440" w:lineRule="exact"/>
        <w:contextualSpacing/>
        <w:rPr>
          <w:rFonts w:hint="eastAsia" w:ascii="宋体" w:hAnsi="宋体"/>
          <w:color w:val="auto"/>
          <w:sz w:val="24"/>
          <w:highlight w:val="none"/>
        </w:rPr>
      </w:pPr>
    </w:p>
    <w:bookmarkEnd w:id="158"/>
    <w:p w14:paraId="50A6FDF4">
      <w:pPr>
        <w:snapToGrid w:val="0"/>
        <w:spacing w:before="50" w:after="120" w:afterLines="50"/>
        <w:ind w:firstLine="480" w:firstLineChars="200"/>
        <w:jc w:val="left"/>
        <w:rPr>
          <w:rFonts w:hint="eastAsia" w:ascii="宋体" w:hAnsi="宋体"/>
          <w:color w:val="auto"/>
          <w:sz w:val="24"/>
          <w:highlight w:val="none"/>
        </w:rPr>
        <w:sectPr>
          <w:footerReference r:id="rId10" w:type="default"/>
          <w:pgSz w:w="11906" w:h="16838"/>
          <w:pgMar w:top="1701" w:right="1701" w:bottom="1701" w:left="1701" w:header="851" w:footer="992" w:gutter="0"/>
          <w:cols w:space="720" w:num="1"/>
          <w:titlePg/>
          <w:docGrid w:linePitch="312" w:charSpace="0"/>
        </w:sectPr>
      </w:pPr>
    </w:p>
    <w:p w14:paraId="316966E3">
      <w:pPr>
        <w:rPr>
          <w:rFonts w:hint="eastAsia" w:ascii="宋体" w:hAnsi="宋体"/>
          <w:color w:val="auto"/>
          <w:sz w:val="24"/>
          <w:highlight w:val="none"/>
        </w:rPr>
      </w:pPr>
    </w:p>
    <w:p w14:paraId="339CE5DC">
      <w:pPr>
        <w:rPr>
          <w:rFonts w:hint="eastAsia" w:ascii="宋体" w:hAnsi="宋体"/>
          <w:b/>
          <w:color w:val="auto"/>
          <w:sz w:val="24"/>
          <w:szCs w:val="20"/>
          <w:highlight w:val="none"/>
        </w:rPr>
      </w:pPr>
      <w:r>
        <w:rPr>
          <w:rFonts w:hint="eastAsia" w:ascii="宋体" w:hAnsi="宋体"/>
          <w:b/>
          <w:color w:val="auto"/>
          <w:sz w:val="24"/>
          <w:highlight w:val="none"/>
        </w:rPr>
        <w:t>6.商务要求偏离表格式</w:t>
      </w:r>
    </w:p>
    <w:p w14:paraId="252B0922">
      <w:pPr>
        <w:snapToGrid w:val="0"/>
        <w:spacing w:before="50"/>
        <w:jc w:val="left"/>
        <w:rPr>
          <w:rFonts w:hint="eastAsia" w:ascii="宋体" w:hAnsi="宋体"/>
          <w:color w:val="auto"/>
          <w:sz w:val="24"/>
          <w:highlight w:val="none"/>
        </w:rPr>
      </w:pPr>
    </w:p>
    <w:p w14:paraId="7F0A1984">
      <w:pPr>
        <w:pStyle w:val="18"/>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4181D7B0">
      <w:pPr>
        <w:snapToGrid w:val="0"/>
        <w:spacing w:before="50"/>
        <w:jc w:val="left"/>
        <w:rPr>
          <w:rFonts w:hint="eastAsia" w:ascii="宋体" w:hAnsi="宋体"/>
          <w:color w:val="auto"/>
          <w:sz w:val="24"/>
          <w:highlight w:val="none"/>
          <w:u w:val="single"/>
        </w:rPr>
      </w:pPr>
    </w:p>
    <w:tbl>
      <w:tblPr>
        <w:tblStyle w:val="3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24A8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2D3C42CC">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7BDB4700">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采购文件商务要求</w:t>
            </w:r>
          </w:p>
        </w:tc>
        <w:tc>
          <w:tcPr>
            <w:tcW w:w="1760" w:type="dxa"/>
            <w:tcBorders>
              <w:top w:val="single" w:color="auto" w:sz="4" w:space="0"/>
              <w:left w:val="single" w:color="auto" w:sz="4" w:space="0"/>
              <w:bottom w:val="single" w:color="auto" w:sz="4" w:space="0"/>
              <w:right w:val="single" w:color="auto" w:sz="4" w:space="0"/>
            </w:tcBorders>
          </w:tcPr>
          <w:p w14:paraId="263FC25D">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77102AE5">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偏离说明</w:t>
            </w:r>
          </w:p>
        </w:tc>
      </w:tr>
      <w:tr w14:paraId="7CBBE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41224595">
            <w:pPr>
              <w:jc w:val="center"/>
              <w:rPr>
                <w:rFonts w:hint="eastAsia"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5AD42AD0">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187B448F">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4C01D101">
            <w:pPr>
              <w:snapToGrid w:val="0"/>
              <w:spacing w:before="120" w:beforeLines="50"/>
              <w:jc w:val="center"/>
              <w:rPr>
                <w:rFonts w:hint="eastAsia" w:ascii="宋体" w:hAnsi="宋体"/>
                <w:color w:val="auto"/>
                <w:sz w:val="24"/>
                <w:highlight w:val="none"/>
              </w:rPr>
            </w:pPr>
          </w:p>
        </w:tc>
      </w:tr>
      <w:tr w14:paraId="7BDAD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50EF30E8">
            <w:pPr>
              <w:jc w:val="center"/>
              <w:rPr>
                <w:rFonts w:hint="eastAsia"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033412EB">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7FC684A7">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DDBFF37">
            <w:pPr>
              <w:snapToGrid w:val="0"/>
              <w:spacing w:before="120" w:beforeLines="50"/>
              <w:ind w:left="43"/>
              <w:jc w:val="center"/>
              <w:rPr>
                <w:rFonts w:hint="eastAsia" w:ascii="宋体" w:hAnsi="宋体"/>
                <w:color w:val="auto"/>
                <w:sz w:val="24"/>
                <w:highlight w:val="none"/>
              </w:rPr>
            </w:pPr>
          </w:p>
        </w:tc>
      </w:tr>
      <w:tr w14:paraId="7B41A4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168A9EFF">
            <w:pPr>
              <w:jc w:val="center"/>
              <w:rPr>
                <w:rFonts w:hint="eastAsia" w:ascii="宋体" w:hAnsi="宋体"/>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5F026218">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797A1B2A">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5C712267">
            <w:pPr>
              <w:snapToGrid w:val="0"/>
              <w:spacing w:before="120" w:beforeLines="50"/>
              <w:ind w:left="43"/>
              <w:jc w:val="center"/>
              <w:rPr>
                <w:rFonts w:hint="eastAsia" w:ascii="宋体" w:hAnsi="宋体"/>
                <w:color w:val="auto"/>
                <w:sz w:val="24"/>
                <w:highlight w:val="none"/>
              </w:rPr>
            </w:pPr>
          </w:p>
        </w:tc>
      </w:tr>
      <w:tr w14:paraId="1EAA5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206029CE">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24308F4A">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1760" w:type="dxa"/>
            <w:tcBorders>
              <w:top w:val="single" w:color="auto" w:sz="4" w:space="0"/>
              <w:left w:val="single" w:color="auto" w:sz="4" w:space="0"/>
              <w:bottom w:val="single" w:color="auto" w:sz="4" w:space="0"/>
              <w:right w:val="single" w:color="auto" w:sz="4" w:space="0"/>
            </w:tcBorders>
          </w:tcPr>
          <w:p w14:paraId="75F5E059">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2035" w:type="dxa"/>
            <w:tcBorders>
              <w:top w:val="single" w:color="auto" w:sz="4" w:space="0"/>
              <w:left w:val="single" w:color="auto" w:sz="4" w:space="0"/>
              <w:bottom w:val="single" w:color="auto" w:sz="4" w:space="0"/>
              <w:right w:val="single" w:color="auto" w:sz="4" w:space="0"/>
            </w:tcBorders>
          </w:tcPr>
          <w:p w14:paraId="74ACA7B2">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r>
    </w:tbl>
    <w:p w14:paraId="06F6FD0A">
      <w:pPr>
        <w:pStyle w:val="14"/>
        <w:rPr>
          <w:rFonts w:hint="eastAsia" w:ascii="宋体" w:hAnsi="宋体"/>
          <w:color w:val="auto"/>
          <w:highlight w:val="none"/>
        </w:rPr>
      </w:pPr>
      <w:r>
        <w:rPr>
          <w:rFonts w:hint="eastAsia" w:ascii="宋体" w:hAnsi="宋体"/>
          <w:color w:val="auto"/>
          <w:highlight w:val="none"/>
        </w:rPr>
        <w:t>注：</w:t>
      </w:r>
    </w:p>
    <w:p w14:paraId="4C5615E4">
      <w:pPr>
        <w:pStyle w:val="15"/>
        <w:spacing w:line="520" w:lineRule="exact"/>
        <w:ind w:firstLine="0"/>
        <w:rPr>
          <w:rFonts w:hint="eastAsia" w:hAnsi="仿宋_GB2312" w:cs="仿宋_GB2312"/>
          <w:color w:val="auto"/>
          <w:szCs w:val="32"/>
          <w:highlight w:val="none"/>
        </w:rPr>
      </w:pPr>
      <w:r>
        <w:rPr>
          <w:rFonts w:hint="eastAsia" w:hAnsi="宋体"/>
          <w:color w:val="auto"/>
          <w:sz w:val="24"/>
          <w:szCs w:val="24"/>
          <w:highlight w:val="none"/>
        </w:rPr>
        <w:t>1. 说明：应对照采购文件“第二章 采购需求”中的商务要求逐条作明确的投标响应，并作出偏离说明。</w:t>
      </w:r>
    </w:p>
    <w:p w14:paraId="1D929A95">
      <w:pPr>
        <w:pStyle w:val="14"/>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投标人应根据自身的承诺，对照采购文件要求在“偏离说明”中注明“正偏离”“负偏离”或者“无偏离”。既不属于“正偏离”也不属于“负偏离”即为“无偏离”。</w:t>
      </w:r>
    </w:p>
    <w:p w14:paraId="1C40F5F0">
      <w:pPr>
        <w:snapToGrid w:val="0"/>
        <w:spacing w:before="50" w:after="50"/>
        <w:rPr>
          <w:rFonts w:hint="eastAsia" w:ascii="宋体" w:hAnsi="宋体"/>
          <w:color w:val="auto"/>
          <w:sz w:val="24"/>
          <w:highlight w:val="none"/>
        </w:rPr>
      </w:pPr>
    </w:p>
    <w:p w14:paraId="0327A752">
      <w:pPr>
        <w:snapToGrid w:val="0"/>
        <w:spacing w:before="50" w:after="50"/>
        <w:rPr>
          <w:rFonts w:hint="eastAsia" w:ascii="宋体" w:hAnsi="宋体"/>
          <w:color w:val="auto"/>
          <w:sz w:val="24"/>
          <w:highlight w:val="none"/>
        </w:rPr>
      </w:pPr>
    </w:p>
    <w:p w14:paraId="234AB1EF">
      <w:pPr>
        <w:snapToGrid w:val="0"/>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0398D9B3">
      <w:pPr>
        <w:snapToGrid w:val="0"/>
        <w:spacing w:before="120" w:beforeLines="50"/>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9E4512A">
      <w:pPr>
        <w:snapToGrid w:val="0"/>
        <w:spacing w:before="120" w:beforeLines="5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670A8761">
      <w:pPr>
        <w:snapToGrid w:val="0"/>
        <w:spacing w:before="120" w:beforeLines="50"/>
        <w:rPr>
          <w:rFonts w:hint="eastAsia" w:ascii="宋体" w:hAnsi="宋体"/>
          <w:color w:val="auto"/>
          <w:sz w:val="24"/>
          <w:szCs w:val="20"/>
          <w:highlight w:val="none"/>
        </w:rPr>
      </w:pPr>
    </w:p>
    <w:p w14:paraId="19F88D40">
      <w:pPr>
        <w:snapToGrid w:val="0"/>
        <w:spacing w:before="120" w:beforeLines="50" w:after="50"/>
        <w:jc w:val="left"/>
        <w:rPr>
          <w:rFonts w:hint="eastAsia" w:ascii="宋体" w:hAnsi="宋体"/>
          <w:color w:val="auto"/>
          <w:sz w:val="24"/>
          <w:szCs w:val="20"/>
          <w:highlight w:val="none"/>
        </w:rPr>
        <w:sectPr>
          <w:footerReference r:id="rId14" w:type="first"/>
          <w:headerReference r:id="rId11" w:type="default"/>
          <w:footerReference r:id="rId12" w:type="default"/>
          <w:footerReference r:id="rId13" w:type="even"/>
          <w:pgSz w:w="11906" w:h="16838"/>
          <w:pgMar w:top="1440" w:right="1797" w:bottom="1440" w:left="1797" w:header="851" w:footer="992" w:gutter="0"/>
          <w:cols w:space="720" w:num="1"/>
          <w:docGrid w:linePitch="312" w:charSpace="0"/>
        </w:sectPr>
      </w:pPr>
    </w:p>
    <w:p w14:paraId="6F4F9123">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7.投标人业绩证明材料</w:t>
      </w:r>
    </w:p>
    <w:p w14:paraId="5A7FD117">
      <w:pPr>
        <w:pStyle w:val="27"/>
        <w:snapToGrid w:val="0"/>
        <w:ind w:left="480" w:hanging="480"/>
        <w:rPr>
          <w:rFonts w:hint="eastAsia" w:ascii="宋体" w:hAnsi="宋体"/>
          <w:color w:val="auto"/>
          <w:sz w:val="24"/>
          <w:highlight w:val="none"/>
        </w:rPr>
      </w:pPr>
    </w:p>
    <w:p w14:paraId="7485566A">
      <w:pPr>
        <w:pStyle w:val="27"/>
        <w:snapToGrid w:val="0"/>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3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3"/>
        <w:gridCol w:w="1770"/>
        <w:gridCol w:w="1770"/>
        <w:gridCol w:w="2855"/>
      </w:tblGrid>
      <w:tr w14:paraId="7A65B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0"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3A511266">
            <w:pPr>
              <w:pStyle w:val="15"/>
              <w:spacing w:line="520" w:lineRule="exact"/>
              <w:ind w:firstLine="0"/>
              <w:jc w:val="center"/>
              <w:rPr>
                <w:rFonts w:hint="eastAsia" w:hAnsi="宋体"/>
                <w:color w:val="auto"/>
                <w:sz w:val="24"/>
                <w:szCs w:val="24"/>
                <w:highlight w:val="none"/>
              </w:rPr>
            </w:pPr>
            <w:r>
              <w:rPr>
                <w:rFonts w:hint="eastAsia" w:hAnsi="宋体"/>
                <w:color w:val="auto"/>
                <w:sz w:val="24"/>
                <w:szCs w:val="24"/>
                <w:highlight w:val="none"/>
              </w:rPr>
              <w:t>采购人名称</w:t>
            </w:r>
          </w:p>
        </w:tc>
        <w:tc>
          <w:tcPr>
            <w:tcW w:w="1037" w:type="pct"/>
            <w:vMerge w:val="restart"/>
            <w:tcBorders>
              <w:top w:val="single" w:color="auto" w:sz="4" w:space="0"/>
              <w:left w:val="single" w:color="auto" w:sz="4" w:space="0"/>
              <w:bottom w:val="single" w:color="auto" w:sz="4" w:space="0"/>
              <w:right w:val="single" w:color="auto" w:sz="4" w:space="0"/>
            </w:tcBorders>
            <w:vAlign w:val="center"/>
          </w:tcPr>
          <w:p w14:paraId="533BB07D">
            <w:pPr>
              <w:pStyle w:val="15"/>
              <w:spacing w:line="520" w:lineRule="exact"/>
              <w:ind w:firstLine="0"/>
              <w:jc w:val="center"/>
              <w:rPr>
                <w:rFonts w:hint="eastAsia" w:hAnsi="宋体"/>
                <w:color w:val="auto"/>
                <w:sz w:val="24"/>
                <w:szCs w:val="24"/>
                <w:highlight w:val="none"/>
              </w:rPr>
            </w:pPr>
            <w:r>
              <w:rPr>
                <w:rFonts w:hint="eastAsia" w:hAnsi="宋体"/>
                <w:color w:val="auto"/>
                <w:sz w:val="24"/>
                <w:szCs w:val="24"/>
                <w:highlight w:val="none"/>
              </w:rPr>
              <w:t>项目名称</w:t>
            </w:r>
          </w:p>
        </w:tc>
        <w:tc>
          <w:tcPr>
            <w:tcW w:w="1037" w:type="pct"/>
            <w:vMerge w:val="restart"/>
            <w:tcBorders>
              <w:top w:val="single" w:color="auto" w:sz="4" w:space="0"/>
              <w:left w:val="single" w:color="auto" w:sz="4" w:space="0"/>
              <w:bottom w:val="single" w:color="auto" w:sz="4" w:space="0"/>
              <w:right w:val="single" w:color="auto" w:sz="4" w:space="0"/>
            </w:tcBorders>
            <w:vAlign w:val="center"/>
          </w:tcPr>
          <w:p w14:paraId="33EE98A8">
            <w:pPr>
              <w:pStyle w:val="15"/>
              <w:spacing w:line="520" w:lineRule="exact"/>
              <w:ind w:firstLine="0"/>
              <w:jc w:val="center"/>
              <w:rPr>
                <w:rFonts w:hint="eastAsia" w:hAnsi="宋体"/>
                <w:color w:val="auto"/>
                <w:sz w:val="24"/>
                <w:szCs w:val="24"/>
                <w:highlight w:val="none"/>
              </w:rPr>
            </w:pPr>
            <w:r>
              <w:rPr>
                <w:rFonts w:hint="eastAsia" w:hAnsi="宋体"/>
                <w:color w:val="auto"/>
                <w:sz w:val="24"/>
                <w:szCs w:val="24"/>
                <w:highlight w:val="none"/>
              </w:rPr>
              <w:t>合同金额</w:t>
            </w:r>
          </w:p>
          <w:p w14:paraId="6363386D">
            <w:pPr>
              <w:pStyle w:val="15"/>
              <w:spacing w:line="520" w:lineRule="exact"/>
              <w:ind w:firstLine="0"/>
              <w:jc w:val="center"/>
              <w:rPr>
                <w:rFonts w:hint="eastAsia" w:hAnsi="宋体"/>
                <w:color w:val="auto"/>
                <w:sz w:val="24"/>
                <w:szCs w:val="24"/>
                <w:highlight w:val="none"/>
              </w:rPr>
            </w:pPr>
            <w:r>
              <w:rPr>
                <w:rFonts w:hint="eastAsia" w:hAnsi="宋体"/>
                <w:color w:val="auto"/>
                <w:sz w:val="24"/>
                <w:szCs w:val="24"/>
                <w:highlight w:val="none"/>
              </w:rPr>
              <w:t>（万元）</w:t>
            </w:r>
          </w:p>
        </w:tc>
        <w:tc>
          <w:tcPr>
            <w:tcW w:w="1673" w:type="pct"/>
            <w:vMerge w:val="restart"/>
            <w:tcBorders>
              <w:top w:val="single" w:color="auto" w:sz="4" w:space="0"/>
              <w:left w:val="single" w:color="auto" w:sz="4" w:space="0"/>
              <w:bottom w:val="single" w:color="auto" w:sz="4" w:space="0"/>
              <w:right w:val="single" w:color="auto" w:sz="4" w:space="0"/>
            </w:tcBorders>
            <w:vAlign w:val="center"/>
          </w:tcPr>
          <w:p w14:paraId="70788DCE">
            <w:pPr>
              <w:pStyle w:val="15"/>
              <w:spacing w:line="520" w:lineRule="exact"/>
              <w:ind w:firstLine="0"/>
              <w:jc w:val="center"/>
              <w:rPr>
                <w:rFonts w:hint="eastAsia" w:hAnsi="宋体"/>
                <w:color w:val="auto"/>
                <w:sz w:val="24"/>
                <w:szCs w:val="24"/>
                <w:highlight w:val="none"/>
              </w:rPr>
            </w:pPr>
            <w:r>
              <w:rPr>
                <w:rFonts w:hint="eastAsia" w:hAnsi="宋体"/>
                <w:color w:val="auto"/>
                <w:sz w:val="24"/>
                <w:szCs w:val="24"/>
                <w:highlight w:val="none"/>
              </w:rPr>
              <w:t>采购人联系人及</w:t>
            </w:r>
          </w:p>
          <w:p w14:paraId="5BE4FA5E">
            <w:pPr>
              <w:pStyle w:val="15"/>
              <w:spacing w:line="520" w:lineRule="exact"/>
              <w:ind w:firstLine="0"/>
              <w:jc w:val="center"/>
              <w:rPr>
                <w:rFonts w:hint="eastAsia" w:hAnsi="宋体"/>
                <w:color w:val="auto"/>
                <w:sz w:val="24"/>
                <w:szCs w:val="24"/>
                <w:highlight w:val="none"/>
              </w:rPr>
            </w:pPr>
            <w:r>
              <w:rPr>
                <w:rFonts w:hint="eastAsia" w:hAnsi="宋体"/>
                <w:color w:val="auto"/>
                <w:sz w:val="24"/>
                <w:szCs w:val="24"/>
                <w:highlight w:val="none"/>
              </w:rPr>
              <w:t>联系电话</w:t>
            </w:r>
          </w:p>
        </w:tc>
      </w:tr>
      <w:tr w14:paraId="28D22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2C00E1E5">
            <w:pPr>
              <w:jc w:val="left"/>
              <w:rPr>
                <w:rFonts w:hint="eastAsia" w:ascii="宋体" w:hAnsi="宋体"/>
                <w:color w:val="auto"/>
                <w:sz w:val="24"/>
                <w:highlight w:val="none"/>
              </w:rPr>
            </w:pPr>
          </w:p>
        </w:tc>
        <w:tc>
          <w:tcPr>
            <w:tcW w:w="1037" w:type="pct"/>
            <w:vMerge w:val="continue"/>
            <w:tcBorders>
              <w:top w:val="single" w:color="auto" w:sz="4" w:space="0"/>
              <w:left w:val="single" w:color="auto" w:sz="4" w:space="0"/>
              <w:bottom w:val="single" w:color="auto" w:sz="4" w:space="0"/>
              <w:right w:val="single" w:color="auto" w:sz="4" w:space="0"/>
            </w:tcBorders>
            <w:vAlign w:val="center"/>
          </w:tcPr>
          <w:p w14:paraId="38E6DD8B">
            <w:pPr>
              <w:jc w:val="left"/>
              <w:rPr>
                <w:rFonts w:hint="eastAsia" w:ascii="宋体" w:hAnsi="宋体"/>
                <w:color w:val="auto"/>
                <w:sz w:val="24"/>
                <w:highlight w:val="none"/>
              </w:rPr>
            </w:pPr>
          </w:p>
        </w:tc>
        <w:tc>
          <w:tcPr>
            <w:tcW w:w="1037" w:type="pct"/>
            <w:vMerge w:val="continue"/>
            <w:tcBorders>
              <w:top w:val="single" w:color="auto" w:sz="4" w:space="0"/>
              <w:left w:val="single" w:color="auto" w:sz="4" w:space="0"/>
              <w:bottom w:val="single" w:color="auto" w:sz="4" w:space="0"/>
              <w:right w:val="single" w:color="auto" w:sz="4" w:space="0"/>
            </w:tcBorders>
            <w:vAlign w:val="center"/>
          </w:tcPr>
          <w:p w14:paraId="0BCDDEB0">
            <w:pPr>
              <w:jc w:val="left"/>
              <w:rPr>
                <w:rFonts w:hint="eastAsia" w:ascii="宋体" w:hAnsi="宋体"/>
                <w:color w:val="auto"/>
                <w:sz w:val="24"/>
                <w:highlight w:val="none"/>
              </w:rPr>
            </w:pPr>
          </w:p>
        </w:tc>
        <w:tc>
          <w:tcPr>
            <w:tcW w:w="1673" w:type="pct"/>
            <w:vMerge w:val="continue"/>
            <w:tcBorders>
              <w:top w:val="single" w:color="auto" w:sz="4" w:space="0"/>
              <w:left w:val="single" w:color="auto" w:sz="4" w:space="0"/>
              <w:bottom w:val="single" w:color="auto" w:sz="4" w:space="0"/>
              <w:right w:val="single" w:color="auto" w:sz="4" w:space="0"/>
            </w:tcBorders>
            <w:vAlign w:val="center"/>
          </w:tcPr>
          <w:p w14:paraId="73E4BA76">
            <w:pPr>
              <w:jc w:val="left"/>
              <w:rPr>
                <w:rFonts w:hint="eastAsia" w:ascii="宋体" w:hAnsi="宋体"/>
                <w:color w:val="auto"/>
                <w:sz w:val="24"/>
                <w:highlight w:val="none"/>
              </w:rPr>
            </w:pPr>
          </w:p>
        </w:tc>
      </w:tr>
      <w:tr w14:paraId="5B03C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50" w:type="pct"/>
            <w:tcBorders>
              <w:top w:val="single" w:color="auto" w:sz="4" w:space="0"/>
              <w:left w:val="single" w:color="auto" w:sz="4" w:space="0"/>
              <w:bottom w:val="single" w:color="auto" w:sz="4" w:space="0"/>
              <w:right w:val="single" w:color="auto" w:sz="4" w:space="0"/>
            </w:tcBorders>
          </w:tcPr>
          <w:p w14:paraId="213D2D92">
            <w:pPr>
              <w:snapToGrid w:val="0"/>
              <w:spacing w:line="24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430A0D82">
            <w:pPr>
              <w:snapToGrid w:val="0"/>
              <w:spacing w:line="24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73B51B66">
            <w:pPr>
              <w:snapToGrid w:val="0"/>
              <w:spacing w:line="240" w:lineRule="exact"/>
              <w:jc w:val="left"/>
              <w:rPr>
                <w:rFonts w:hint="eastAsia" w:ascii="宋体" w:hAnsi="宋体"/>
                <w:color w:val="auto"/>
                <w:sz w:val="24"/>
                <w:highlight w:val="none"/>
              </w:rPr>
            </w:pPr>
          </w:p>
        </w:tc>
        <w:tc>
          <w:tcPr>
            <w:tcW w:w="1673" w:type="pct"/>
            <w:tcBorders>
              <w:top w:val="single" w:color="auto" w:sz="4" w:space="0"/>
              <w:left w:val="single" w:color="auto" w:sz="4" w:space="0"/>
              <w:bottom w:val="single" w:color="auto" w:sz="4" w:space="0"/>
              <w:right w:val="single" w:color="auto" w:sz="4" w:space="0"/>
            </w:tcBorders>
          </w:tcPr>
          <w:p w14:paraId="05E91CD5">
            <w:pPr>
              <w:snapToGrid w:val="0"/>
              <w:spacing w:line="240" w:lineRule="exact"/>
              <w:jc w:val="left"/>
              <w:rPr>
                <w:rFonts w:hint="eastAsia" w:ascii="宋体" w:hAnsi="宋体"/>
                <w:color w:val="auto"/>
                <w:sz w:val="24"/>
                <w:highlight w:val="none"/>
              </w:rPr>
            </w:pPr>
          </w:p>
        </w:tc>
      </w:tr>
      <w:tr w14:paraId="2987D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3AC68E06">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6E436141">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29F6FC17">
            <w:pPr>
              <w:snapToGrid w:val="0"/>
              <w:spacing w:before="50" w:after="120" w:afterLines="50" w:line="400" w:lineRule="exact"/>
              <w:jc w:val="left"/>
              <w:rPr>
                <w:rFonts w:hint="eastAsia" w:ascii="宋体" w:hAnsi="宋体"/>
                <w:color w:val="auto"/>
                <w:sz w:val="24"/>
                <w:highlight w:val="none"/>
              </w:rPr>
            </w:pPr>
          </w:p>
        </w:tc>
        <w:tc>
          <w:tcPr>
            <w:tcW w:w="1673" w:type="pct"/>
            <w:tcBorders>
              <w:top w:val="single" w:color="auto" w:sz="4" w:space="0"/>
              <w:left w:val="single" w:color="auto" w:sz="4" w:space="0"/>
              <w:bottom w:val="single" w:color="auto" w:sz="4" w:space="0"/>
              <w:right w:val="single" w:color="auto" w:sz="4" w:space="0"/>
            </w:tcBorders>
          </w:tcPr>
          <w:p w14:paraId="0331D367">
            <w:pPr>
              <w:snapToGrid w:val="0"/>
              <w:spacing w:before="50" w:after="120" w:afterLines="50" w:line="400" w:lineRule="exact"/>
              <w:jc w:val="left"/>
              <w:rPr>
                <w:rFonts w:hint="eastAsia" w:ascii="宋体" w:hAnsi="宋体"/>
                <w:color w:val="auto"/>
                <w:sz w:val="24"/>
                <w:highlight w:val="none"/>
              </w:rPr>
            </w:pPr>
          </w:p>
        </w:tc>
      </w:tr>
      <w:tr w14:paraId="54A7E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5A47BD21">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0D2F8E9B">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747E8E32">
            <w:pPr>
              <w:snapToGrid w:val="0"/>
              <w:spacing w:before="50" w:after="120" w:afterLines="50" w:line="400" w:lineRule="exact"/>
              <w:jc w:val="left"/>
              <w:rPr>
                <w:rFonts w:hint="eastAsia" w:ascii="宋体" w:hAnsi="宋体"/>
                <w:color w:val="auto"/>
                <w:sz w:val="24"/>
                <w:highlight w:val="none"/>
              </w:rPr>
            </w:pPr>
          </w:p>
        </w:tc>
        <w:tc>
          <w:tcPr>
            <w:tcW w:w="1673" w:type="pct"/>
            <w:tcBorders>
              <w:top w:val="single" w:color="auto" w:sz="4" w:space="0"/>
              <w:left w:val="single" w:color="auto" w:sz="4" w:space="0"/>
              <w:bottom w:val="single" w:color="auto" w:sz="4" w:space="0"/>
              <w:right w:val="single" w:color="auto" w:sz="4" w:space="0"/>
            </w:tcBorders>
          </w:tcPr>
          <w:p w14:paraId="362215B7">
            <w:pPr>
              <w:snapToGrid w:val="0"/>
              <w:spacing w:before="50" w:after="120" w:afterLines="50" w:line="400" w:lineRule="exact"/>
              <w:jc w:val="left"/>
              <w:rPr>
                <w:rFonts w:hint="eastAsia" w:ascii="宋体" w:hAnsi="宋体"/>
                <w:color w:val="auto"/>
                <w:sz w:val="24"/>
                <w:highlight w:val="none"/>
              </w:rPr>
            </w:pPr>
          </w:p>
        </w:tc>
      </w:tr>
      <w:tr w14:paraId="12652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8B84295">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5FDF1EFA">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0DB4364A">
            <w:pPr>
              <w:snapToGrid w:val="0"/>
              <w:spacing w:before="50" w:after="120" w:afterLines="50" w:line="400" w:lineRule="exact"/>
              <w:jc w:val="left"/>
              <w:rPr>
                <w:rFonts w:hint="eastAsia" w:ascii="宋体" w:hAnsi="宋体"/>
                <w:color w:val="auto"/>
                <w:sz w:val="24"/>
                <w:highlight w:val="none"/>
              </w:rPr>
            </w:pPr>
          </w:p>
        </w:tc>
        <w:tc>
          <w:tcPr>
            <w:tcW w:w="1673" w:type="pct"/>
            <w:tcBorders>
              <w:top w:val="single" w:color="auto" w:sz="4" w:space="0"/>
              <w:left w:val="single" w:color="auto" w:sz="4" w:space="0"/>
              <w:bottom w:val="single" w:color="auto" w:sz="4" w:space="0"/>
              <w:right w:val="single" w:color="auto" w:sz="4" w:space="0"/>
            </w:tcBorders>
          </w:tcPr>
          <w:p w14:paraId="559363B6">
            <w:pPr>
              <w:snapToGrid w:val="0"/>
              <w:spacing w:before="50" w:after="120" w:afterLines="50" w:line="400" w:lineRule="exact"/>
              <w:jc w:val="left"/>
              <w:rPr>
                <w:rFonts w:hint="eastAsia" w:ascii="宋体" w:hAnsi="宋体"/>
                <w:color w:val="auto"/>
                <w:sz w:val="24"/>
                <w:highlight w:val="none"/>
              </w:rPr>
            </w:pPr>
          </w:p>
        </w:tc>
      </w:tr>
      <w:tr w14:paraId="04C86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E33C3E3">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32EEB8D4">
            <w:pPr>
              <w:snapToGrid w:val="0"/>
              <w:spacing w:before="50" w:after="120" w:afterLines="50" w:line="400" w:lineRule="exact"/>
              <w:jc w:val="left"/>
              <w:rPr>
                <w:rFonts w:hint="eastAsia" w:ascii="宋体" w:hAnsi="宋体"/>
                <w:color w:val="auto"/>
                <w:sz w:val="24"/>
                <w:highlight w:val="none"/>
              </w:rPr>
            </w:pPr>
          </w:p>
        </w:tc>
        <w:tc>
          <w:tcPr>
            <w:tcW w:w="1037" w:type="pct"/>
            <w:tcBorders>
              <w:top w:val="single" w:color="auto" w:sz="4" w:space="0"/>
              <w:left w:val="single" w:color="auto" w:sz="4" w:space="0"/>
              <w:bottom w:val="single" w:color="auto" w:sz="4" w:space="0"/>
              <w:right w:val="single" w:color="auto" w:sz="4" w:space="0"/>
            </w:tcBorders>
          </w:tcPr>
          <w:p w14:paraId="0B355CEF">
            <w:pPr>
              <w:snapToGrid w:val="0"/>
              <w:spacing w:before="50" w:after="120" w:afterLines="50" w:line="400" w:lineRule="exact"/>
              <w:jc w:val="left"/>
              <w:rPr>
                <w:rFonts w:hint="eastAsia" w:ascii="宋体" w:hAnsi="宋体"/>
                <w:color w:val="auto"/>
                <w:sz w:val="24"/>
                <w:highlight w:val="none"/>
              </w:rPr>
            </w:pPr>
          </w:p>
        </w:tc>
        <w:tc>
          <w:tcPr>
            <w:tcW w:w="1673" w:type="pct"/>
            <w:tcBorders>
              <w:top w:val="single" w:color="auto" w:sz="4" w:space="0"/>
              <w:left w:val="single" w:color="auto" w:sz="4" w:space="0"/>
              <w:bottom w:val="single" w:color="auto" w:sz="4" w:space="0"/>
              <w:right w:val="single" w:color="auto" w:sz="4" w:space="0"/>
            </w:tcBorders>
          </w:tcPr>
          <w:p w14:paraId="193AEDFB">
            <w:pPr>
              <w:snapToGrid w:val="0"/>
              <w:spacing w:before="50" w:after="120" w:afterLines="50" w:line="400" w:lineRule="exact"/>
              <w:jc w:val="left"/>
              <w:rPr>
                <w:rFonts w:hint="eastAsia" w:ascii="宋体" w:hAnsi="宋体"/>
                <w:color w:val="auto"/>
                <w:sz w:val="24"/>
                <w:highlight w:val="none"/>
              </w:rPr>
            </w:pPr>
          </w:p>
        </w:tc>
      </w:tr>
    </w:tbl>
    <w:p w14:paraId="18703FB9">
      <w:pPr>
        <w:pStyle w:val="11"/>
        <w:spacing w:before="0" w:after="0" w:line="360" w:lineRule="auto"/>
        <w:contextualSpacing/>
        <w:rPr>
          <w:rFonts w:hint="eastAsia" w:ascii="宋体" w:hAnsi="宋体" w:eastAsia="宋体"/>
          <w:color w:val="auto"/>
          <w:sz w:val="24"/>
          <w:szCs w:val="24"/>
          <w:highlight w:val="none"/>
        </w:rPr>
      </w:pPr>
    </w:p>
    <w:p w14:paraId="25495ED2">
      <w:pPr>
        <w:pStyle w:val="11"/>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0AC76420">
      <w:pPr>
        <w:pStyle w:val="11"/>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1E58DE31">
      <w:pP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5250CAFA">
      <w:pPr>
        <w:snapToGrid w:val="0"/>
        <w:spacing w:before="120" w:beforeLines="50" w:after="50"/>
        <w:jc w:val="left"/>
        <w:rPr>
          <w:rFonts w:hint="eastAsia" w:ascii="方正小标宋简体" w:hAnsi="方正小标宋简体" w:eastAsia="方正小标宋简体" w:cs="方正小标宋简体"/>
          <w:bCs/>
          <w:color w:val="auto"/>
          <w:szCs w:val="21"/>
          <w:highlight w:val="none"/>
        </w:rPr>
      </w:pPr>
      <w:r>
        <w:rPr>
          <w:rFonts w:ascii="宋体" w:hAnsi="宋体"/>
          <w:color w:val="auto"/>
          <w:sz w:val="24"/>
          <w:highlight w:val="none"/>
        </w:rPr>
        <w:br w:type="page"/>
      </w:r>
      <w:r>
        <w:rPr>
          <w:rFonts w:hint="eastAsia" w:ascii="宋体" w:hAnsi="宋体"/>
          <w:color w:val="auto"/>
          <w:sz w:val="24"/>
          <w:highlight w:val="none"/>
        </w:rPr>
        <w:t>8.</w:t>
      </w:r>
      <w:r>
        <w:rPr>
          <w:rFonts w:hint="eastAsia" w:ascii="方正小标宋简体" w:hAnsi="方正小标宋简体" w:eastAsia="方正小标宋简体" w:cs="方正小标宋简体"/>
          <w:bCs/>
          <w:color w:val="auto"/>
          <w:szCs w:val="21"/>
          <w:highlight w:val="none"/>
        </w:rPr>
        <w:t xml:space="preserve"> 代理服务费承诺书</w:t>
      </w:r>
    </w:p>
    <w:p w14:paraId="0087B61C">
      <w:pPr>
        <w:snapToGrid w:val="0"/>
        <w:spacing w:before="120" w:beforeLines="50" w:after="50"/>
        <w:jc w:val="left"/>
        <w:rPr>
          <w:rFonts w:hint="eastAsia" w:ascii="方正小标宋简体" w:hAnsi="方正小标宋简体" w:eastAsia="方正小标宋简体" w:cs="方正小标宋简体"/>
          <w:bCs/>
          <w:color w:val="auto"/>
          <w:szCs w:val="21"/>
          <w:highlight w:val="none"/>
        </w:rPr>
      </w:pPr>
    </w:p>
    <w:p w14:paraId="7162091D">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代理服务费承诺书</w:t>
      </w:r>
    </w:p>
    <w:p w14:paraId="59049F89">
      <w:pPr>
        <w:snapToGrid w:val="0"/>
        <w:spacing w:before="120" w:beforeLines="50" w:after="50"/>
        <w:jc w:val="center"/>
        <w:rPr>
          <w:rFonts w:hint="eastAsia" w:ascii="宋体" w:hAnsi="宋体"/>
          <w:b/>
          <w:color w:val="auto"/>
          <w:sz w:val="24"/>
          <w:highlight w:val="none"/>
        </w:rPr>
      </w:pPr>
    </w:p>
    <w:p w14:paraId="216935D8">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5C43689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21109A37">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1.我方承诺，若本单位中标，保证在发出中标通知书之后，按本项目采购文件的规定标准向贵单位一次性足额支付代理服务费， 在领取中标通知书后，由于被质疑、投诉或者其他原因而导致中标结果改变，我方将放弃对已缴纳的中标服务费追还的一切权利。</w:t>
      </w:r>
    </w:p>
    <w:p w14:paraId="14F8E149">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2AE774EE">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0C7D85E9">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686FF01">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3F1AE84">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29C0E009">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675F8A31">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7455A3B">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（3）在税局登记的地址</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1AA380DF">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（4）在税局登记的电话</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0D93B305">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6478FA5">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325E9C10">
      <w:pPr>
        <w:spacing w:line="440" w:lineRule="exact"/>
        <w:rPr>
          <w:rFonts w:hint="eastAsia" w:ascii="宋体" w:hAnsi="宋体"/>
          <w:color w:val="auto"/>
          <w:sz w:val="24"/>
          <w:highlight w:val="none"/>
        </w:rPr>
      </w:pPr>
    </w:p>
    <w:p w14:paraId="7295D3AC">
      <w:pPr>
        <w:spacing w:line="440" w:lineRule="exact"/>
        <w:rPr>
          <w:rFonts w:hint="eastAsia" w:ascii="宋体" w:hAnsi="宋体"/>
          <w:color w:val="auto"/>
          <w:sz w:val="24"/>
          <w:highlight w:val="none"/>
        </w:rPr>
      </w:pPr>
    </w:p>
    <w:p w14:paraId="78E660B9">
      <w:pPr>
        <w:spacing w:line="440" w:lineRule="exact"/>
        <w:rPr>
          <w:rFonts w:hint="eastAsia" w:ascii="宋体" w:hAnsi="宋体"/>
          <w:color w:val="auto"/>
          <w:sz w:val="24"/>
          <w:highlight w:val="none"/>
        </w:rPr>
      </w:pPr>
    </w:p>
    <w:p w14:paraId="39198122">
      <w:pPr>
        <w:snapToGrid w:val="0"/>
        <w:spacing w:line="360" w:lineRule="auto"/>
        <w:ind w:left="-2" w:leftChars="-1" w:right="-817" w:rightChars="-389" w:firstLine="1920" w:firstLineChars="80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227BCCCC">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026C609D">
      <w:pPr>
        <w:snapToGrid w:val="0"/>
        <w:spacing w:line="360" w:lineRule="auto"/>
        <w:ind w:right="480" w:firstLine="240" w:firstLineChars="100"/>
        <w:jc w:val="left"/>
        <w:rPr>
          <w:rFonts w:hint="eastAsia" w:ascii="宋体" w:hAnsi="宋体"/>
          <w:color w:val="auto"/>
          <w:szCs w:val="21"/>
          <w:highlight w:val="none"/>
        </w:rPr>
        <w:sectPr>
          <w:pgSz w:w="11906" w:h="16838"/>
          <w:pgMar w:top="1440" w:right="1797" w:bottom="1440" w:left="1797" w:header="851" w:footer="992" w:gutter="0"/>
          <w:cols w:space="720" w:num="1"/>
        </w:sectPr>
      </w:pPr>
      <w:r>
        <w:rPr>
          <w:rFonts w:hint="eastAsia" w:ascii="宋体" w:hAnsi="宋体"/>
          <w:color w:val="auto"/>
          <w:sz w:val="24"/>
          <w:highlight w:val="none"/>
        </w:rPr>
        <w:t xml:space="preserve">                                    日期：    年   月   日</w:t>
      </w:r>
    </w:p>
    <w:p w14:paraId="12C32AD9">
      <w:pPr>
        <w:snapToGrid w:val="0"/>
        <w:spacing w:before="165" w:beforeLines="50" w:after="50"/>
        <w:jc w:val="left"/>
        <w:rPr>
          <w:rFonts w:hint="eastAsia" w:ascii="宋体" w:hAnsi="宋体"/>
          <w:b/>
          <w:color w:val="auto"/>
          <w:sz w:val="24"/>
          <w:highlight w:val="none"/>
        </w:rPr>
      </w:pPr>
      <w:r>
        <w:rPr>
          <w:rFonts w:hint="eastAsia" w:ascii="宋体" w:hAnsi="宋体"/>
          <w:b/>
          <w:color w:val="auto"/>
          <w:sz w:val="24"/>
          <w:highlight w:val="none"/>
        </w:rPr>
        <w:t>9.技术要求偏离表格式</w:t>
      </w:r>
    </w:p>
    <w:p w14:paraId="644F8912">
      <w:pPr>
        <w:snapToGrid w:val="0"/>
        <w:spacing w:before="165" w:beforeLines="50" w:after="50"/>
        <w:ind w:left="142"/>
        <w:jc w:val="left"/>
        <w:rPr>
          <w:rFonts w:hint="eastAsia" w:ascii="宋体" w:hAnsi="宋体"/>
          <w:b/>
          <w:color w:val="auto"/>
          <w:sz w:val="24"/>
          <w:highlight w:val="none"/>
        </w:rPr>
      </w:pPr>
    </w:p>
    <w:p w14:paraId="5A4A57E5">
      <w:pPr>
        <w:snapToGrid w:val="0"/>
        <w:spacing w:before="165"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技术要求偏离表</w:t>
      </w:r>
    </w:p>
    <w:p w14:paraId="711ADCA8">
      <w:pPr>
        <w:pStyle w:val="18"/>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CFC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2E900B86">
            <w:pPr>
              <w:pStyle w:val="18"/>
              <w:spacing w:line="400" w:lineRule="exact"/>
              <w:jc w:val="center"/>
              <w:rPr>
                <w:rFonts w:hint="eastAsia" w:hAnsi="宋体" w:cs="Courier New"/>
                <w:color w:val="auto"/>
                <w:sz w:val="24"/>
                <w:szCs w:val="24"/>
                <w:highlight w:val="none"/>
              </w:rPr>
            </w:pPr>
            <w:r>
              <w:rPr>
                <w:rFonts w:hint="eastAsia" w:hAnsi="宋体" w:cs="Courier New"/>
                <w:color w:val="auto"/>
                <w:sz w:val="24"/>
                <w:szCs w:val="24"/>
                <w:highlight w:val="none"/>
              </w:rPr>
              <w:t>项号</w:t>
            </w:r>
          </w:p>
        </w:tc>
        <w:tc>
          <w:tcPr>
            <w:tcW w:w="2143" w:type="dxa"/>
            <w:vAlign w:val="center"/>
          </w:tcPr>
          <w:p w14:paraId="6716DC22">
            <w:pPr>
              <w:pStyle w:val="18"/>
              <w:spacing w:line="400" w:lineRule="exact"/>
              <w:jc w:val="center"/>
              <w:rPr>
                <w:rFonts w:hint="eastAsia" w:hAnsi="宋体" w:cs="Courier New"/>
                <w:color w:val="auto"/>
                <w:sz w:val="24"/>
                <w:szCs w:val="24"/>
                <w:highlight w:val="none"/>
              </w:rPr>
            </w:pPr>
            <w:r>
              <w:rPr>
                <w:rFonts w:hint="eastAsia" w:hAnsi="宋体" w:cs="Courier New"/>
                <w:color w:val="auto"/>
                <w:sz w:val="24"/>
                <w:szCs w:val="24"/>
                <w:highlight w:val="none"/>
              </w:rPr>
              <w:t>标的的名称</w:t>
            </w:r>
          </w:p>
        </w:tc>
        <w:tc>
          <w:tcPr>
            <w:tcW w:w="1834" w:type="dxa"/>
            <w:vAlign w:val="center"/>
          </w:tcPr>
          <w:p w14:paraId="7307F6FD">
            <w:pPr>
              <w:pStyle w:val="18"/>
              <w:spacing w:line="400" w:lineRule="exact"/>
              <w:jc w:val="center"/>
              <w:rPr>
                <w:rFonts w:hint="eastAsia" w:hAnsi="宋体" w:cs="Courier New"/>
                <w:color w:val="auto"/>
                <w:sz w:val="24"/>
                <w:szCs w:val="24"/>
                <w:highlight w:val="none"/>
              </w:rPr>
            </w:pPr>
            <w:r>
              <w:rPr>
                <w:rFonts w:hint="eastAsia" w:hAnsi="宋体" w:cs="Courier New"/>
                <w:color w:val="auto"/>
                <w:sz w:val="24"/>
                <w:szCs w:val="24"/>
                <w:highlight w:val="none"/>
              </w:rPr>
              <w:t>技术要求</w:t>
            </w:r>
          </w:p>
        </w:tc>
        <w:tc>
          <w:tcPr>
            <w:tcW w:w="2181" w:type="dxa"/>
            <w:vAlign w:val="center"/>
          </w:tcPr>
          <w:p w14:paraId="139B44AB">
            <w:pPr>
              <w:pStyle w:val="18"/>
              <w:spacing w:line="400" w:lineRule="exact"/>
              <w:jc w:val="center"/>
              <w:rPr>
                <w:rFonts w:hint="eastAsia" w:hAnsi="宋体" w:cs="Courier New"/>
                <w:color w:val="auto"/>
                <w:sz w:val="24"/>
                <w:szCs w:val="24"/>
                <w:highlight w:val="none"/>
              </w:rPr>
            </w:pPr>
            <w:r>
              <w:rPr>
                <w:rFonts w:hint="eastAsia" w:hAnsi="宋体" w:cs="Courier New"/>
                <w:color w:val="auto"/>
                <w:sz w:val="24"/>
                <w:szCs w:val="24"/>
                <w:highlight w:val="none"/>
              </w:rPr>
              <w:t>投标响应</w:t>
            </w:r>
          </w:p>
        </w:tc>
        <w:tc>
          <w:tcPr>
            <w:tcW w:w="1934" w:type="dxa"/>
            <w:vAlign w:val="center"/>
          </w:tcPr>
          <w:p w14:paraId="46A6183B">
            <w:pPr>
              <w:pStyle w:val="18"/>
              <w:spacing w:line="400" w:lineRule="exact"/>
              <w:jc w:val="center"/>
              <w:rPr>
                <w:rFonts w:hint="eastAsia" w:hAnsi="宋体" w:cs="Courier New"/>
                <w:color w:val="auto"/>
                <w:sz w:val="24"/>
                <w:szCs w:val="24"/>
                <w:highlight w:val="none"/>
              </w:rPr>
            </w:pPr>
            <w:r>
              <w:rPr>
                <w:rFonts w:hint="eastAsia" w:hAnsi="宋体" w:cs="Courier New"/>
                <w:color w:val="auto"/>
                <w:sz w:val="24"/>
                <w:szCs w:val="24"/>
                <w:highlight w:val="none"/>
              </w:rPr>
              <w:t>偏离说明</w:t>
            </w:r>
          </w:p>
        </w:tc>
      </w:tr>
      <w:tr w14:paraId="4DA2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B034CBB">
            <w:pPr>
              <w:pStyle w:val="18"/>
              <w:spacing w:line="600" w:lineRule="exact"/>
              <w:jc w:val="center"/>
              <w:rPr>
                <w:rFonts w:hint="eastAsia" w:hAnsi="宋体" w:cs="Courier New"/>
                <w:color w:val="auto"/>
                <w:sz w:val="24"/>
                <w:szCs w:val="24"/>
                <w:highlight w:val="none"/>
              </w:rPr>
            </w:pPr>
          </w:p>
        </w:tc>
        <w:tc>
          <w:tcPr>
            <w:tcW w:w="2143" w:type="dxa"/>
            <w:vAlign w:val="center"/>
          </w:tcPr>
          <w:p w14:paraId="38A376AE">
            <w:pPr>
              <w:pStyle w:val="18"/>
              <w:spacing w:line="600" w:lineRule="exact"/>
              <w:jc w:val="center"/>
              <w:rPr>
                <w:rFonts w:hint="eastAsia" w:hAnsi="宋体" w:cs="Courier New"/>
                <w:color w:val="auto"/>
                <w:sz w:val="24"/>
                <w:szCs w:val="24"/>
                <w:highlight w:val="none"/>
              </w:rPr>
            </w:pPr>
          </w:p>
        </w:tc>
        <w:tc>
          <w:tcPr>
            <w:tcW w:w="1834" w:type="dxa"/>
            <w:vAlign w:val="center"/>
          </w:tcPr>
          <w:p w14:paraId="720CB565">
            <w:pPr>
              <w:pStyle w:val="18"/>
              <w:spacing w:line="600" w:lineRule="exact"/>
              <w:jc w:val="center"/>
              <w:rPr>
                <w:rFonts w:hint="eastAsia" w:hAnsi="宋体" w:cs="Courier New"/>
                <w:color w:val="auto"/>
                <w:sz w:val="24"/>
                <w:szCs w:val="24"/>
                <w:highlight w:val="none"/>
              </w:rPr>
            </w:pPr>
          </w:p>
        </w:tc>
        <w:tc>
          <w:tcPr>
            <w:tcW w:w="2181" w:type="dxa"/>
            <w:vAlign w:val="center"/>
          </w:tcPr>
          <w:p w14:paraId="6C97C8C4">
            <w:pPr>
              <w:pStyle w:val="18"/>
              <w:spacing w:line="600" w:lineRule="exact"/>
              <w:jc w:val="center"/>
              <w:rPr>
                <w:rFonts w:hint="eastAsia" w:hAnsi="宋体" w:cs="Courier New"/>
                <w:color w:val="auto"/>
                <w:sz w:val="24"/>
                <w:szCs w:val="24"/>
                <w:highlight w:val="none"/>
              </w:rPr>
            </w:pPr>
          </w:p>
        </w:tc>
        <w:tc>
          <w:tcPr>
            <w:tcW w:w="1934" w:type="dxa"/>
            <w:vAlign w:val="center"/>
          </w:tcPr>
          <w:p w14:paraId="15FE08C2">
            <w:pPr>
              <w:pStyle w:val="18"/>
              <w:spacing w:line="600" w:lineRule="exact"/>
              <w:jc w:val="center"/>
              <w:rPr>
                <w:rFonts w:hint="eastAsia" w:hAnsi="宋体" w:cs="Courier New"/>
                <w:color w:val="auto"/>
                <w:sz w:val="24"/>
                <w:szCs w:val="24"/>
                <w:highlight w:val="none"/>
              </w:rPr>
            </w:pPr>
          </w:p>
        </w:tc>
      </w:tr>
      <w:tr w14:paraId="2D8B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54E776E">
            <w:pPr>
              <w:pStyle w:val="18"/>
              <w:spacing w:line="600" w:lineRule="exact"/>
              <w:rPr>
                <w:rFonts w:hint="eastAsia" w:hAnsi="宋体" w:cs="Courier New"/>
                <w:color w:val="auto"/>
                <w:sz w:val="24"/>
                <w:szCs w:val="24"/>
                <w:highlight w:val="none"/>
              </w:rPr>
            </w:pPr>
          </w:p>
        </w:tc>
        <w:tc>
          <w:tcPr>
            <w:tcW w:w="2143" w:type="dxa"/>
          </w:tcPr>
          <w:p w14:paraId="5E48AE2C">
            <w:pPr>
              <w:pStyle w:val="18"/>
              <w:spacing w:line="600" w:lineRule="exact"/>
              <w:rPr>
                <w:rFonts w:hint="eastAsia" w:hAnsi="宋体" w:cs="Courier New"/>
                <w:color w:val="auto"/>
                <w:sz w:val="24"/>
                <w:szCs w:val="24"/>
                <w:highlight w:val="none"/>
              </w:rPr>
            </w:pPr>
          </w:p>
        </w:tc>
        <w:tc>
          <w:tcPr>
            <w:tcW w:w="1834" w:type="dxa"/>
          </w:tcPr>
          <w:p w14:paraId="254EA787">
            <w:pPr>
              <w:pStyle w:val="18"/>
              <w:spacing w:line="600" w:lineRule="exact"/>
              <w:rPr>
                <w:rFonts w:hint="eastAsia" w:hAnsi="宋体" w:cs="Courier New"/>
                <w:color w:val="auto"/>
                <w:sz w:val="24"/>
                <w:szCs w:val="24"/>
                <w:highlight w:val="none"/>
              </w:rPr>
            </w:pPr>
          </w:p>
        </w:tc>
        <w:tc>
          <w:tcPr>
            <w:tcW w:w="2181" w:type="dxa"/>
          </w:tcPr>
          <w:p w14:paraId="557D9BD7">
            <w:pPr>
              <w:pStyle w:val="18"/>
              <w:spacing w:line="600" w:lineRule="exact"/>
              <w:rPr>
                <w:rFonts w:hint="eastAsia" w:hAnsi="宋体" w:cs="Courier New"/>
                <w:color w:val="auto"/>
                <w:sz w:val="24"/>
                <w:szCs w:val="24"/>
                <w:highlight w:val="none"/>
              </w:rPr>
            </w:pPr>
          </w:p>
        </w:tc>
        <w:tc>
          <w:tcPr>
            <w:tcW w:w="1934" w:type="dxa"/>
          </w:tcPr>
          <w:p w14:paraId="4ED070FB">
            <w:pPr>
              <w:pStyle w:val="18"/>
              <w:spacing w:line="600" w:lineRule="exact"/>
              <w:rPr>
                <w:rFonts w:hint="eastAsia" w:hAnsi="宋体" w:cs="Courier New"/>
                <w:color w:val="auto"/>
                <w:sz w:val="24"/>
                <w:szCs w:val="24"/>
                <w:highlight w:val="none"/>
              </w:rPr>
            </w:pPr>
          </w:p>
        </w:tc>
      </w:tr>
      <w:tr w14:paraId="190D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C6DD97C">
            <w:pPr>
              <w:pStyle w:val="18"/>
              <w:spacing w:line="600" w:lineRule="exact"/>
              <w:rPr>
                <w:rFonts w:hint="eastAsia" w:hAnsi="宋体" w:cs="Courier New"/>
                <w:color w:val="auto"/>
                <w:sz w:val="24"/>
                <w:szCs w:val="24"/>
                <w:highlight w:val="none"/>
              </w:rPr>
            </w:pPr>
          </w:p>
        </w:tc>
        <w:tc>
          <w:tcPr>
            <w:tcW w:w="2143" w:type="dxa"/>
          </w:tcPr>
          <w:p w14:paraId="2D3D3BB8">
            <w:pPr>
              <w:pStyle w:val="18"/>
              <w:spacing w:line="600" w:lineRule="exact"/>
              <w:rPr>
                <w:rFonts w:hint="eastAsia" w:hAnsi="宋体" w:cs="Courier New"/>
                <w:color w:val="auto"/>
                <w:sz w:val="24"/>
                <w:szCs w:val="24"/>
                <w:highlight w:val="none"/>
              </w:rPr>
            </w:pPr>
          </w:p>
        </w:tc>
        <w:tc>
          <w:tcPr>
            <w:tcW w:w="1834" w:type="dxa"/>
          </w:tcPr>
          <w:p w14:paraId="2128DB3C">
            <w:pPr>
              <w:pStyle w:val="18"/>
              <w:spacing w:line="600" w:lineRule="exact"/>
              <w:rPr>
                <w:rFonts w:hint="eastAsia" w:hAnsi="宋体" w:cs="Courier New"/>
                <w:color w:val="auto"/>
                <w:sz w:val="24"/>
                <w:szCs w:val="24"/>
                <w:highlight w:val="none"/>
              </w:rPr>
            </w:pPr>
          </w:p>
        </w:tc>
        <w:tc>
          <w:tcPr>
            <w:tcW w:w="2181" w:type="dxa"/>
          </w:tcPr>
          <w:p w14:paraId="376F5B06">
            <w:pPr>
              <w:pStyle w:val="18"/>
              <w:spacing w:line="600" w:lineRule="exact"/>
              <w:rPr>
                <w:rFonts w:hint="eastAsia" w:hAnsi="宋体" w:cs="Courier New"/>
                <w:color w:val="auto"/>
                <w:sz w:val="24"/>
                <w:szCs w:val="24"/>
                <w:highlight w:val="none"/>
              </w:rPr>
            </w:pPr>
          </w:p>
        </w:tc>
        <w:tc>
          <w:tcPr>
            <w:tcW w:w="1934" w:type="dxa"/>
          </w:tcPr>
          <w:p w14:paraId="4603C0EF">
            <w:pPr>
              <w:pStyle w:val="18"/>
              <w:spacing w:line="600" w:lineRule="exact"/>
              <w:rPr>
                <w:rFonts w:hint="eastAsia" w:hAnsi="宋体" w:cs="Courier New"/>
                <w:color w:val="auto"/>
                <w:sz w:val="24"/>
                <w:szCs w:val="24"/>
                <w:highlight w:val="none"/>
              </w:rPr>
            </w:pPr>
          </w:p>
        </w:tc>
      </w:tr>
      <w:tr w14:paraId="751F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0AE055B">
            <w:pPr>
              <w:pStyle w:val="18"/>
              <w:spacing w:line="600" w:lineRule="exact"/>
              <w:rPr>
                <w:rFonts w:hint="eastAsia" w:hAnsi="宋体" w:cs="Courier New"/>
                <w:color w:val="auto"/>
                <w:sz w:val="24"/>
                <w:szCs w:val="24"/>
                <w:highlight w:val="none"/>
              </w:rPr>
            </w:pPr>
          </w:p>
        </w:tc>
        <w:tc>
          <w:tcPr>
            <w:tcW w:w="2143" w:type="dxa"/>
          </w:tcPr>
          <w:p w14:paraId="1F104894">
            <w:pPr>
              <w:pStyle w:val="18"/>
              <w:spacing w:line="600" w:lineRule="exact"/>
              <w:rPr>
                <w:rFonts w:hint="eastAsia" w:hAnsi="宋体" w:cs="Courier New"/>
                <w:color w:val="auto"/>
                <w:sz w:val="24"/>
                <w:szCs w:val="24"/>
                <w:highlight w:val="none"/>
              </w:rPr>
            </w:pPr>
          </w:p>
        </w:tc>
        <w:tc>
          <w:tcPr>
            <w:tcW w:w="1834" w:type="dxa"/>
          </w:tcPr>
          <w:p w14:paraId="4EBD2B68">
            <w:pPr>
              <w:pStyle w:val="18"/>
              <w:spacing w:line="600" w:lineRule="exact"/>
              <w:rPr>
                <w:rFonts w:hint="eastAsia" w:hAnsi="宋体" w:cs="Courier New"/>
                <w:color w:val="auto"/>
                <w:sz w:val="24"/>
                <w:szCs w:val="24"/>
                <w:highlight w:val="none"/>
              </w:rPr>
            </w:pPr>
          </w:p>
        </w:tc>
        <w:tc>
          <w:tcPr>
            <w:tcW w:w="2181" w:type="dxa"/>
          </w:tcPr>
          <w:p w14:paraId="4A372639">
            <w:pPr>
              <w:pStyle w:val="18"/>
              <w:spacing w:line="600" w:lineRule="exact"/>
              <w:rPr>
                <w:rFonts w:hint="eastAsia" w:hAnsi="宋体" w:cs="Courier New"/>
                <w:color w:val="auto"/>
                <w:sz w:val="24"/>
                <w:szCs w:val="24"/>
                <w:highlight w:val="none"/>
              </w:rPr>
            </w:pPr>
          </w:p>
        </w:tc>
        <w:tc>
          <w:tcPr>
            <w:tcW w:w="1934" w:type="dxa"/>
          </w:tcPr>
          <w:p w14:paraId="40C232B2">
            <w:pPr>
              <w:pStyle w:val="18"/>
              <w:spacing w:line="600" w:lineRule="exact"/>
              <w:rPr>
                <w:rFonts w:hint="eastAsia" w:hAnsi="宋体" w:cs="Courier New"/>
                <w:color w:val="auto"/>
                <w:sz w:val="24"/>
                <w:szCs w:val="24"/>
                <w:highlight w:val="none"/>
              </w:rPr>
            </w:pPr>
          </w:p>
        </w:tc>
      </w:tr>
      <w:tr w14:paraId="6637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CA06C93">
            <w:pPr>
              <w:pStyle w:val="18"/>
              <w:spacing w:line="600" w:lineRule="exact"/>
              <w:rPr>
                <w:rFonts w:hint="eastAsia" w:hAnsi="宋体" w:cs="Courier New"/>
                <w:color w:val="auto"/>
                <w:sz w:val="24"/>
                <w:szCs w:val="24"/>
                <w:highlight w:val="none"/>
              </w:rPr>
            </w:pPr>
          </w:p>
        </w:tc>
        <w:tc>
          <w:tcPr>
            <w:tcW w:w="2143" w:type="dxa"/>
          </w:tcPr>
          <w:p w14:paraId="117238D1">
            <w:pPr>
              <w:pStyle w:val="18"/>
              <w:spacing w:line="600" w:lineRule="exact"/>
              <w:rPr>
                <w:rFonts w:hint="eastAsia" w:hAnsi="宋体" w:cs="Courier New"/>
                <w:color w:val="auto"/>
                <w:sz w:val="24"/>
                <w:szCs w:val="24"/>
                <w:highlight w:val="none"/>
              </w:rPr>
            </w:pPr>
          </w:p>
        </w:tc>
        <w:tc>
          <w:tcPr>
            <w:tcW w:w="1834" w:type="dxa"/>
          </w:tcPr>
          <w:p w14:paraId="65FA759A">
            <w:pPr>
              <w:pStyle w:val="18"/>
              <w:spacing w:line="600" w:lineRule="exact"/>
              <w:rPr>
                <w:rFonts w:hint="eastAsia" w:hAnsi="宋体" w:cs="Courier New"/>
                <w:color w:val="auto"/>
                <w:sz w:val="24"/>
                <w:szCs w:val="24"/>
                <w:highlight w:val="none"/>
              </w:rPr>
            </w:pPr>
          </w:p>
        </w:tc>
        <w:tc>
          <w:tcPr>
            <w:tcW w:w="2181" w:type="dxa"/>
          </w:tcPr>
          <w:p w14:paraId="547E8051">
            <w:pPr>
              <w:pStyle w:val="18"/>
              <w:spacing w:line="600" w:lineRule="exact"/>
              <w:rPr>
                <w:rFonts w:hint="eastAsia" w:hAnsi="宋体" w:cs="Courier New"/>
                <w:color w:val="auto"/>
                <w:sz w:val="24"/>
                <w:szCs w:val="24"/>
                <w:highlight w:val="none"/>
              </w:rPr>
            </w:pPr>
          </w:p>
        </w:tc>
        <w:tc>
          <w:tcPr>
            <w:tcW w:w="1934" w:type="dxa"/>
          </w:tcPr>
          <w:p w14:paraId="140D886F">
            <w:pPr>
              <w:pStyle w:val="18"/>
              <w:spacing w:line="600" w:lineRule="exact"/>
              <w:rPr>
                <w:rFonts w:hint="eastAsia" w:hAnsi="宋体" w:cs="Courier New"/>
                <w:color w:val="auto"/>
                <w:sz w:val="24"/>
                <w:szCs w:val="24"/>
                <w:highlight w:val="none"/>
              </w:rPr>
            </w:pPr>
          </w:p>
        </w:tc>
      </w:tr>
      <w:tr w14:paraId="1D49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29EBCFA">
            <w:pPr>
              <w:pStyle w:val="18"/>
              <w:spacing w:line="600" w:lineRule="exact"/>
              <w:rPr>
                <w:rFonts w:hint="eastAsia" w:hAnsi="宋体" w:cs="Courier New"/>
                <w:color w:val="auto"/>
                <w:sz w:val="24"/>
                <w:szCs w:val="24"/>
                <w:highlight w:val="none"/>
              </w:rPr>
            </w:pPr>
          </w:p>
        </w:tc>
        <w:tc>
          <w:tcPr>
            <w:tcW w:w="2143" w:type="dxa"/>
          </w:tcPr>
          <w:p w14:paraId="1EC47C25">
            <w:pPr>
              <w:pStyle w:val="18"/>
              <w:spacing w:line="600" w:lineRule="exact"/>
              <w:rPr>
                <w:rFonts w:hint="eastAsia" w:hAnsi="宋体" w:cs="Courier New"/>
                <w:color w:val="auto"/>
                <w:sz w:val="24"/>
                <w:szCs w:val="24"/>
                <w:highlight w:val="none"/>
              </w:rPr>
            </w:pPr>
          </w:p>
        </w:tc>
        <w:tc>
          <w:tcPr>
            <w:tcW w:w="1834" w:type="dxa"/>
          </w:tcPr>
          <w:p w14:paraId="72DB4932">
            <w:pPr>
              <w:pStyle w:val="18"/>
              <w:spacing w:line="600" w:lineRule="exact"/>
              <w:rPr>
                <w:rFonts w:hint="eastAsia" w:hAnsi="宋体" w:cs="Courier New"/>
                <w:color w:val="auto"/>
                <w:sz w:val="24"/>
                <w:szCs w:val="24"/>
                <w:highlight w:val="none"/>
              </w:rPr>
            </w:pPr>
          </w:p>
        </w:tc>
        <w:tc>
          <w:tcPr>
            <w:tcW w:w="2181" w:type="dxa"/>
          </w:tcPr>
          <w:p w14:paraId="6193E505">
            <w:pPr>
              <w:pStyle w:val="18"/>
              <w:spacing w:line="600" w:lineRule="exact"/>
              <w:rPr>
                <w:rFonts w:hint="eastAsia" w:hAnsi="宋体" w:cs="Courier New"/>
                <w:color w:val="auto"/>
                <w:sz w:val="24"/>
                <w:szCs w:val="24"/>
                <w:highlight w:val="none"/>
              </w:rPr>
            </w:pPr>
          </w:p>
        </w:tc>
        <w:tc>
          <w:tcPr>
            <w:tcW w:w="1934" w:type="dxa"/>
          </w:tcPr>
          <w:p w14:paraId="01C5D35A">
            <w:pPr>
              <w:pStyle w:val="18"/>
              <w:spacing w:line="600" w:lineRule="exact"/>
              <w:rPr>
                <w:rFonts w:hint="eastAsia" w:hAnsi="宋体" w:cs="Courier New"/>
                <w:color w:val="auto"/>
                <w:sz w:val="24"/>
                <w:szCs w:val="24"/>
                <w:highlight w:val="none"/>
              </w:rPr>
            </w:pPr>
          </w:p>
        </w:tc>
      </w:tr>
      <w:tr w14:paraId="3AB0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3FEAE1A">
            <w:pPr>
              <w:pStyle w:val="18"/>
              <w:spacing w:line="600" w:lineRule="exact"/>
              <w:rPr>
                <w:rFonts w:hint="eastAsia" w:hAnsi="宋体" w:cs="Courier New"/>
                <w:color w:val="auto"/>
                <w:sz w:val="24"/>
                <w:szCs w:val="24"/>
                <w:highlight w:val="none"/>
              </w:rPr>
            </w:pPr>
          </w:p>
        </w:tc>
        <w:tc>
          <w:tcPr>
            <w:tcW w:w="2143" w:type="dxa"/>
          </w:tcPr>
          <w:p w14:paraId="4C69DF68">
            <w:pPr>
              <w:pStyle w:val="18"/>
              <w:spacing w:line="600" w:lineRule="exact"/>
              <w:rPr>
                <w:rFonts w:hint="eastAsia" w:hAnsi="宋体" w:cs="Courier New"/>
                <w:color w:val="auto"/>
                <w:sz w:val="24"/>
                <w:szCs w:val="24"/>
                <w:highlight w:val="none"/>
              </w:rPr>
            </w:pPr>
          </w:p>
        </w:tc>
        <w:tc>
          <w:tcPr>
            <w:tcW w:w="1834" w:type="dxa"/>
          </w:tcPr>
          <w:p w14:paraId="14AC68F5">
            <w:pPr>
              <w:pStyle w:val="18"/>
              <w:spacing w:line="600" w:lineRule="exact"/>
              <w:rPr>
                <w:rFonts w:hint="eastAsia" w:hAnsi="宋体" w:cs="Courier New"/>
                <w:color w:val="auto"/>
                <w:sz w:val="24"/>
                <w:szCs w:val="24"/>
                <w:highlight w:val="none"/>
              </w:rPr>
            </w:pPr>
          </w:p>
        </w:tc>
        <w:tc>
          <w:tcPr>
            <w:tcW w:w="2181" w:type="dxa"/>
          </w:tcPr>
          <w:p w14:paraId="3543401E">
            <w:pPr>
              <w:pStyle w:val="18"/>
              <w:spacing w:line="600" w:lineRule="exact"/>
              <w:rPr>
                <w:rFonts w:hint="eastAsia" w:hAnsi="宋体" w:cs="Courier New"/>
                <w:color w:val="auto"/>
                <w:sz w:val="24"/>
                <w:szCs w:val="24"/>
                <w:highlight w:val="none"/>
              </w:rPr>
            </w:pPr>
          </w:p>
        </w:tc>
        <w:tc>
          <w:tcPr>
            <w:tcW w:w="1934" w:type="dxa"/>
          </w:tcPr>
          <w:p w14:paraId="6FFF92D1">
            <w:pPr>
              <w:pStyle w:val="18"/>
              <w:spacing w:line="600" w:lineRule="exact"/>
              <w:rPr>
                <w:rFonts w:hint="eastAsia" w:hAnsi="宋体" w:cs="Courier New"/>
                <w:color w:val="auto"/>
                <w:sz w:val="24"/>
                <w:szCs w:val="24"/>
                <w:highlight w:val="none"/>
              </w:rPr>
            </w:pPr>
          </w:p>
        </w:tc>
      </w:tr>
    </w:tbl>
    <w:p w14:paraId="178F54FC">
      <w:pPr>
        <w:pStyle w:val="14"/>
        <w:spacing w:line="360" w:lineRule="auto"/>
        <w:contextualSpacing/>
        <w:rPr>
          <w:rFonts w:hint="eastAsia" w:ascii="宋体" w:hAnsi="宋体"/>
          <w:color w:val="auto"/>
          <w:highlight w:val="none"/>
        </w:rPr>
      </w:pPr>
      <w:r>
        <w:rPr>
          <w:rFonts w:hint="eastAsia" w:ascii="宋体" w:hAnsi="宋体"/>
          <w:color w:val="auto"/>
          <w:highlight w:val="none"/>
        </w:rPr>
        <w:t>注：</w:t>
      </w:r>
    </w:p>
    <w:p w14:paraId="70BBFF24">
      <w:pPr>
        <w:pStyle w:val="15"/>
        <w:spacing w:line="360" w:lineRule="auto"/>
        <w:ind w:firstLine="0"/>
        <w:contextualSpacing/>
        <w:rPr>
          <w:rFonts w:hint="eastAsia" w:hAnsi="仿宋_GB2312" w:cs="仿宋_GB2312"/>
          <w:color w:val="auto"/>
          <w:szCs w:val="32"/>
          <w:highlight w:val="none"/>
        </w:rPr>
      </w:pPr>
      <w:r>
        <w:rPr>
          <w:rFonts w:hint="eastAsia" w:hAnsi="宋体"/>
          <w:color w:val="auto"/>
          <w:sz w:val="24"/>
          <w:szCs w:val="24"/>
          <w:highlight w:val="none"/>
        </w:rPr>
        <w:t>1. 说明：应对照采购文件“第二章 采购需求”中的技术要求逐条作明确的投标响应，并作出偏离说明。</w:t>
      </w:r>
    </w:p>
    <w:p w14:paraId="7737FFBC">
      <w:pPr>
        <w:pStyle w:val="14"/>
        <w:spacing w:line="360" w:lineRule="auto"/>
        <w:contextualSpacing/>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投标人应根据自身的承诺，对照采购文件要求，在“偏离说明”中注明“正偏离”“负偏离”或者“无偏离”。既不属于“正偏离”也不属于“负偏离”即为“无偏离”。</w:t>
      </w:r>
    </w:p>
    <w:p w14:paraId="3A5AD2A6">
      <w:pPr>
        <w:pStyle w:val="14"/>
        <w:spacing w:line="360" w:lineRule="auto"/>
        <w:contextualSpacing/>
        <w:rPr>
          <w:rFonts w:hint="eastAsia" w:ascii="宋体" w:hAnsi="宋体"/>
          <w:color w:val="auto"/>
          <w:spacing w:val="20"/>
          <w:highlight w:val="none"/>
        </w:rPr>
      </w:pPr>
    </w:p>
    <w:p w14:paraId="494FEDD1">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1A6337A8">
      <w:pPr>
        <w:spacing w:line="360" w:lineRule="auto"/>
        <w:contextualSpacing/>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6B5ADB81">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7A3DBE7">
      <w:pPr>
        <w:spacing w:line="360" w:lineRule="auto"/>
        <w:contextualSpacing/>
        <w:rPr>
          <w:rFonts w:hint="eastAsia" w:ascii="宋体" w:hAnsi="宋体"/>
          <w:color w:val="auto"/>
          <w:spacing w:val="20"/>
          <w:sz w:val="24"/>
          <w:highlight w:val="none"/>
          <w:u w:val="single"/>
        </w:rPr>
      </w:pPr>
    </w:p>
    <w:p w14:paraId="0437E019">
      <w:pPr>
        <w:spacing w:line="360" w:lineRule="auto"/>
        <w:contextualSpacing/>
        <w:rPr>
          <w:rFonts w:hint="eastAsia" w:ascii="宋体" w:hAnsi="宋体"/>
          <w:color w:val="auto"/>
          <w:sz w:val="24"/>
          <w:szCs w:val="20"/>
          <w:highlight w:val="none"/>
        </w:rPr>
      </w:pPr>
    </w:p>
    <w:p w14:paraId="6E9CD4E1">
      <w:pPr>
        <w:snapToGrid w:val="0"/>
        <w:spacing w:before="165"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10.项目实施人员一览表格式</w:t>
      </w:r>
    </w:p>
    <w:p w14:paraId="119FA59D">
      <w:pPr>
        <w:snapToGrid w:val="0"/>
        <w:spacing w:before="165" w:beforeLines="50" w:after="50"/>
        <w:ind w:left="142"/>
        <w:jc w:val="left"/>
        <w:rPr>
          <w:rFonts w:hint="eastAsia" w:ascii="宋体" w:hAnsi="宋体"/>
          <w:b/>
          <w:color w:val="auto"/>
          <w:sz w:val="24"/>
          <w:highlight w:val="none"/>
        </w:rPr>
      </w:pPr>
    </w:p>
    <w:p w14:paraId="34A144D6">
      <w:pPr>
        <w:snapToGrid w:val="0"/>
        <w:spacing w:before="165"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29DAA68D">
      <w:pPr>
        <w:pStyle w:val="18"/>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16BB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4343CC6">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230C51B2">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vAlign w:val="center"/>
          </w:tcPr>
          <w:p w14:paraId="2AA6E45F">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vAlign w:val="center"/>
          </w:tcPr>
          <w:p w14:paraId="5F93C7A8">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vAlign w:val="center"/>
          </w:tcPr>
          <w:p w14:paraId="435F6C3F">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3EC87C29">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vAlign w:val="center"/>
          </w:tcPr>
          <w:p w14:paraId="2C50117B">
            <w:pPr>
              <w:snapToGrid w:val="0"/>
              <w:spacing w:before="50" w:after="165" w:afterLines="5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6574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B9F00A5">
            <w:pPr>
              <w:snapToGrid w:val="0"/>
              <w:spacing w:before="50" w:after="165" w:afterLines="50"/>
              <w:jc w:val="center"/>
              <w:rPr>
                <w:rFonts w:hint="eastAsia" w:ascii="宋体" w:hAnsi="宋体"/>
                <w:color w:val="auto"/>
                <w:sz w:val="24"/>
                <w:szCs w:val="20"/>
                <w:highlight w:val="none"/>
              </w:rPr>
            </w:pPr>
          </w:p>
        </w:tc>
        <w:tc>
          <w:tcPr>
            <w:tcW w:w="709" w:type="dxa"/>
            <w:vAlign w:val="center"/>
          </w:tcPr>
          <w:p w14:paraId="0DE88386">
            <w:pPr>
              <w:snapToGrid w:val="0"/>
              <w:spacing w:before="50" w:after="165" w:afterLines="50"/>
              <w:jc w:val="center"/>
              <w:rPr>
                <w:rFonts w:hint="eastAsia" w:ascii="宋体" w:hAnsi="宋体"/>
                <w:color w:val="auto"/>
                <w:sz w:val="24"/>
                <w:szCs w:val="20"/>
                <w:highlight w:val="none"/>
              </w:rPr>
            </w:pPr>
          </w:p>
        </w:tc>
        <w:tc>
          <w:tcPr>
            <w:tcW w:w="1701" w:type="dxa"/>
            <w:vAlign w:val="center"/>
          </w:tcPr>
          <w:p w14:paraId="2C0A6D65">
            <w:pPr>
              <w:snapToGrid w:val="0"/>
              <w:spacing w:before="50" w:after="165" w:afterLines="50"/>
              <w:jc w:val="center"/>
              <w:rPr>
                <w:rFonts w:hint="eastAsia" w:ascii="宋体" w:hAnsi="宋体"/>
                <w:color w:val="auto"/>
                <w:sz w:val="24"/>
                <w:szCs w:val="20"/>
                <w:highlight w:val="none"/>
              </w:rPr>
            </w:pPr>
          </w:p>
        </w:tc>
        <w:tc>
          <w:tcPr>
            <w:tcW w:w="1420" w:type="dxa"/>
            <w:vAlign w:val="center"/>
          </w:tcPr>
          <w:p w14:paraId="27137AA2">
            <w:pPr>
              <w:snapToGrid w:val="0"/>
              <w:spacing w:before="50" w:after="165" w:afterLines="50"/>
              <w:jc w:val="center"/>
              <w:rPr>
                <w:rFonts w:hint="eastAsia" w:ascii="宋体" w:hAnsi="宋体"/>
                <w:color w:val="auto"/>
                <w:sz w:val="24"/>
                <w:szCs w:val="20"/>
                <w:highlight w:val="none"/>
              </w:rPr>
            </w:pPr>
          </w:p>
        </w:tc>
        <w:tc>
          <w:tcPr>
            <w:tcW w:w="1698" w:type="dxa"/>
            <w:vAlign w:val="center"/>
          </w:tcPr>
          <w:p w14:paraId="31546282">
            <w:pPr>
              <w:snapToGrid w:val="0"/>
              <w:spacing w:before="50" w:after="165" w:afterLines="50"/>
              <w:jc w:val="center"/>
              <w:rPr>
                <w:rFonts w:hint="eastAsia" w:ascii="宋体" w:hAnsi="宋体"/>
                <w:color w:val="auto"/>
                <w:sz w:val="24"/>
                <w:szCs w:val="20"/>
                <w:highlight w:val="none"/>
              </w:rPr>
            </w:pPr>
          </w:p>
        </w:tc>
        <w:tc>
          <w:tcPr>
            <w:tcW w:w="1843" w:type="dxa"/>
            <w:vAlign w:val="center"/>
          </w:tcPr>
          <w:p w14:paraId="0D53DDE9">
            <w:pPr>
              <w:snapToGrid w:val="0"/>
              <w:spacing w:before="50" w:after="165" w:afterLines="50"/>
              <w:jc w:val="center"/>
              <w:rPr>
                <w:rFonts w:hint="eastAsia" w:ascii="宋体" w:hAnsi="宋体"/>
                <w:color w:val="auto"/>
                <w:sz w:val="24"/>
                <w:szCs w:val="20"/>
                <w:highlight w:val="none"/>
              </w:rPr>
            </w:pPr>
          </w:p>
        </w:tc>
      </w:tr>
      <w:tr w14:paraId="0259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1ED1542">
            <w:pPr>
              <w:snapToGrid w:val="0"/>
              <w:spacing w:before="50" w:after="165" w:afterLines="50"/>
              <w:jc w:val="center"/>
              <w:rPr>
                <w:rFonts w:hint="eastAsia" w:ascii="宋体" w:hAnsi="宋体"/>
                <w:color w:val="auto"/>
                <w:sz w:val="24"/>
                <w:szCs w:val="20"/>
                <w:highlight w:val="none"/>
              </w:rPr>
            </w:pPr>
          </w:p>
        </w:tc>
        <w:tc>
          <w:tcPr>
            <w:tcW w:w="709" w:type="dxa"/>
            <w:vAlign w:val="center"/>
          </w:tcPr>
          <w:p w14:paraId="0F557081">
            <w:pPr>
              <w:snapToGrid w:val="0"/>
              <w:spacing w:before="50" w:after="165" w:afterLines="50"/>
              <w:jc w:val="center"/>
              <w:rPr>
                <w:rFonts w:hint="eastAsia" w:ascii="宋体" w:hAnsi="宋体"/>
                <w:color w:val="auto"/>
                <w:sz w:val="24"/>
                <w:szCs w:val="20"/>
                <w:highlight w:val="none"/>
              </w:rPr>
            </w:pPr>
          </w:p>
        </w:tc>
        <w:tc>
          <w:tcPr>
            <w:tcW w:w="1701" w:type="dxa"/>
            <w:vAlign w:val="center"/>
          </w:tcPr>
          <w:p w14:paraId="5BC9AB13">
            <w:pPr>
              <w:snapToGrid w:val="0"/>
              <w:spacing w:before="50" w:after="165" w:afterLines="50"/>
              <w:jc w:val="center"/>
              <w:rPr>
                <w:rFonts w:hint="eastAsia" w:ascii="宋体" w:hAnsi="宋体"/>
                <w:color w:val="auto"/>
                <w:sz w:val="24"/>
                <w:szCs w:val="20"/>
                <w:highlight w:val="none"/>
              </w:rPr>
            </w:pPr>
          </w:p>
        </w:tc>
        <w:tc>
          <w:tcPr>
            <w:tcW w:w="1420" w:type="dxa"/>
            <w:vAlign w:val="center"/>
          </w:tcPr>
          <w:p w14:paraId="62B4EA2B">
            <w:pPr>
              <w:snapToGrid w:val="0"/>
              <w:spacing w:before="50" w:after="165" w:afterLines="50"/>
              <w:jc w:val="center"/>
              <w:rPr>
                <w:rFonts w:hint="eastAsia" w:ascii="宋体" w:hAnsi="宋体"/>
                <w:color w:val="auto"/>
                <w:sz w:val="24"/>
                <w:szCs w:val="20"/>
                <w:highlight w:val="none"/>
              </w:rPr>
            </w:pPr>
          </w:p>
        </w:tc>
        <w:tc>
          <w:tcPr>
            <w:tcW w:w="1698" w:type="dxa"/>
            <w:vAlign w:val="center"/>
          </w:tcPr>
          <w:p w14:paraId="51884D89">
            <w:pPr>
              <w:snapToGrid w:val="0"/>
              <w:spacing w:before="50" w:after="165" w:afterLines="50"/>
              <w:jc w:val="center"/>
              <w:rPr>
                <w:rFonts w:hint="eastAsia" w:ascii="宋体" w:hAnsi="宋体"/>
                <w:color w:val="auto"/>
                <w:sz w:val="24"/>
                <w:szCs w:val="20"/>
                <w:highlight w:val="none"/>
              </w:rPr>
            </w:pPr>
          </w:p>
        </w:tc>
        <w:tc>
          <w:tcPr>
            <w:tcW w:w="1843" w:type="dxa"/>
            <w:vAlign w:val="center"/>
          </w:tcPr>
          <w:p w14:paraId="75135968">
            <w:pPr>
              <w:snapToGrid w:val="0"/>
              <w:spacing w:before="50" w:after="165" w:afterLines="50"/>
              <w:jc w:val="center"/>
              <w:rPr>
                <w:rFonts w:hint="eastAsia" w:ascii="宋体" w:hAnsi="宋体"/>
                <w:color w:val="auto"/>
                <w:sz w:val="24"/>
                <w:szCs w:val="20"/>
                <w:highlight w:val="none"/>
              </w:rPr>
            </w:pPr>
          </w:p>
        </w:tc>
      </w:tr>
      <w:tr w14:paraId="2B23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DE93F42">
            <w:pPr>
              <w:snapToGrid w:val="0"/>
              <w:spacing w:before="50" w:after="165" w:afterLines="50"/>
              <w:jc w:val="center"/>
              <w:rPr>
                <w:rFonts w:hint="eastAsia" w:ascii="宋体" w:hAnsi="宋体"/>
                <w:color w:val="auto"/>
                <w:sz w:val="24"/>
                <w:szCs w:val="20"/>
                <w:highlight w:val="none"/>
              </w:rPr>
            </w:pPr>
          </w:p>
        </w:tc>
        <w:tc>
          <w:tcPr>
            <w:tcW w:w="709" w:type="dxa"/>
            <w:vAlign w:val="center"/>
          </w:tcPr>
          <w:p w14:paraId="082C9D26">
            <w:pPr>
              <w:snapToGrid w:val="0"/>
              <w:spacing w:before="50" w:after="165" w:afterLines="50"/>
              <w:jc w:val="center"/>
              <w:rPr>
                <w:rFonts w:hint="eastAsia" w:ascii="宋体" w:hAnsi="宋体"/>
                <w:color w:val="auto"/>
                <w:sz w:val="24"/>
                <w:szCs w:val="20"/>
                <w:highlight w:val="none"/>
              </w:rPr>
            </w:pPr>
          </w:p>
        </w:tc>
        <w:tc>
          <w:tcPr>
            <w:tcW w:w="1701" w:type="dxa"/>
            <w:vAlign w:val="center"/>
          </w:tcPr>
          <w:p w14:paraId="329580F0">
            <w:pPr>
              <w:snapToGrid w:val="0"/>
              <w:spacing w:before="50" w:after="165" w:afterLines="50"/>
              <w:jc w:val="center"/>
              <w:rPr>
                <w:rFonts w:hint="eastAsia" w:ascii="宋体" w:hAnsi="宋体"/>
                <w:color w:val="auto"/>
                <w:sz w:val="24"/>
                <w:szCs w:val="20"/>
                <w:highlight w:val="none"/>
              </w:rPr>
            </w:pPr>
          </w:p>
        </w:tc>
        <w:tc>
          <w:tcPr>
            <w:tcW w:w="1420" w:type="dxa"/>
            <w:vAlign w:val="center"/>
          </w:tcPr>
          <w:p w14:paraId="2C8051A1">
            <w:pPr>
              <w:snapToGrid w:val="0"/>
              <w:spacing w:before="50" w:after="165" w:afterLines="50"/>
              <w:jc w:val="center"/>
              <w:rPr>
                <w:rFonts w:hint="eastAsia" w:ascii="宋体" w:hAnsi="宋体"/>
                <w:color w:val="auto"/>
                <w:sz w:val="24"/>
                <w:szCs w:val="20"/>
                <w:highlight w:val="none"/>
              </w:rPr>
            </w:pPr>
          </w:p>
        </w:tc>
        <w:tc>
          <w:tcPr>
            <w:tcW w:w="1698" w:type="dxa"/>
            <w:vAlign w:val="center"/>
          </w:tcPr>
          <w:p w14:paraId="51C84A2E">
            <w:pPr>
              <w:snapToGrid w:val="0"/>
              <w:spacing w:before="50" w:after="165" w:afterLines="50"/>
              <w:jc w:val="center"/>
              <w:rPr>
                <w:rFonts w:hint="eastAsia" w:ascii="宋体" w:hAnsi="宋体"/>
                <w:color w:val="auto"/>
                <w:sz w:val="24"/>
                <w:szCs w:val="20"/>
                <w:highlight w:val="none"/>
              </w:rPr>
            </w:pPr>
          </w:p>
        </w:tc>
        <w:tc>
          <w:tcPr>
            <w:tcW w:w="1843" w:type="dxa"/>
            <w:vAlign w:val="center"/>
          </w:tcPr>
          <w:p w14:paraId="0BD2A580">
            <w:pPr>
              <w:snapToGrid w:val="0"/>
              <w:spacing w:before="50" w:after="165" w:afterLines="50"/>
              <w:jc w:val="center"/>
              <w:rPr>
                <w:rFonts w:hint="eastAsia" w:ascii="宋体" w:hAnsi="宋体"/>
                <w:color w:val="auto"/>
                <w:sz w:val="24"/>
                <w:szCs w:val="20"/>
                <w:highlight w:val="none"/>
              </w:rPr>
            </w:pPr>
          </w:p>
        </w:tc>
      </w:tr>
    </w:tbl>
    <w:p w14:paraId="1717015E">
      <w:pPr>
        <w:snapToGrid w:val="0"/>
        <w:spacing w:before="50" w:after="165" w:afterLines="50"/>
        <w:jc w:val="left"/>
        <w:rPr>
          <w:rFonts w:hint="eastAsia" w:ascii="宋体" w:hAnsi="宋体"/>
          <w:color w:val="auto"/>
          <w:sz w:val="24"/>
          <w:szCs w:val="20"/>
          <w:highlight w:val="none"/>
        </w:rPr>
      </w:pPr>
    </w:p>
    <w:p w14:paraId="689C33BC">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注：</w:t>
      </w:r>
    </w:p>
    <w:p w14:paraId="4B79A32A">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1.在填写时，如本表格不适合投标单位的实际情况，可根据本表格式自行制表填写。</w:t>
      </w:r>
    </w:p>
    <w:p w14:paraId="1475635E">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2.投标人应当附本表所列证书的复印件并加盖投标人电子签章。</w:t>
      </w:r>
    </w:p>
    <w:p w14:paraId="7671D035">
      <w:pPr>
        <w:spacing w:line="360" w:lineRule="auto"/>
        <w:contextualSpacing/>
        <w:jc w:val="left"/>
        <w:rPr>
          <w:rFonts w:hint="eastAsia" w:ascii="宋体" w:hAnsi="宋体"/>
          <w:color w:val="auto"/>
          <w:sz w:val="24"/>
          <w:szCs w:val="20"/>
          <w:highlight w:val="none"/>
        </w:rPr>
      </w:pPr>
    </w:p>
    <w:p w14:paraId="074D70E7">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40F0F3E8">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76C9E8A4">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AEEC1DB">
      <w:pPr>
        <w:spacing w:line="360" w:lineRule="auto"/>
        <w:contextualSpacing/>
        <w:jc w:val="left"/>
        <w:rPr>
          <w:rFonts w:hint="eastAsia" w:ascii="宋体" w:hAnsi="宋体"/>
          <w:color w:val="auto"/>
          <w:sz w:val="24"/>
          <w:szCs w:val="20"/>
          <w:highlight w:val="none"/>
        </w:rPr>
      </w:pPr>
    </w:p>
    <w:p w14:paraId="748FC626">
      <w:pPr>
        <w:snapToGrid w:val="0"/>
        <w:spacing w:before="50" w:after="165" w:afterLines="50"/>
        <w:jc w:val="left"/>
        <w:rPr>
          <w:rFonts w:hint="eastAsia" w:ascii="宋体" w:hAnsi="宋体"/>
          <w:color w:val="auto"/>
          <w:sz w:val="24"/>
          <w:szCs w:val="20"/>
          <w:highlight w:val="none"/>
        </w:rPr>
      </w:pPr>
    </w:p>
    <w:p w14:paraId="4AB1869B">
      <w:pPr>
        <w:snapToGrid w:val="0"/>
        <w:spacing w:before="165" w:beforeLines="50" w:after="50"/>
        <w:jc w:val="left"/>
        <w:rPr>
          <w:rFonts w:hint="eastAsia" w:ascii="宋体" w:hAnsi="宋体"/>
          <w:color w:val="auto"/>
          <w:sz w:val="24"/>
          <w:szCs w:val="20"/>
          <w:highlight w:val="none"/>
        </w:rPr>
      </w:pPr>
    </w:p>
    <w:p w14:paraId="1785CA3E">
      <w:pPr>
        <w:snapToGrid w:val="0"/>
        <w:spacing w:before="50" w:after="165" w:afterLines="50"/>
        <w:jc w:val="left"/>
        <w:rPr>
          <w:rFonts w:hint="eastAsia" w:ascii="宋体" w:hAnsi="宋体"/>
          <w:color w:val="auto"/>
          <w:sz w:val="24"/>
          <w:szCs w:val="20"/>
          <w:highlight w:val="none"/>
        </w:rPr>
      </w:pPr>
    </w:p>
    <w:p w14:paraId="02AC6F83">
      <w:pPr>
        <w:rPr>
          <w:b/>
          <w:color w:val="auto"/>
          <w:sz w:val="28"/>
          <w:szCs w:val="28"/>
          <w:highlight w:val="none"/>
        </w:rPr>
      </w:pPr>
      <w:r>
        <w:rPr>
          <w:rFonts w:ascii="宋体" w:hAnsi="宋体"/>
          <w:b/>
          <w:bCs/>
          <w:color w:val="auto"/>
          <w:sz w:val="24"/>
          <w:highlight w:val="none"/>
        </w:rPr>
        <w:br w:type="page"/>
      </w:r>
      <w:bookmarkStart w:id="159" w:name="_Toc19686840"/>
      <w:r>
        <w:rPr>
          <w:rFonts w:hint="eastAsia"/>
          <w:b/>
          <w:color w:val="auto"/>
          <w:sz w:val="28"/>
          <w:szCs w:val="28"/>
          <w:highlight w:val="none"/>
        </w:rPr>
        <w:t>四、其他文书、文件格式</w:t>
      </w:r>
      <w:bookmarkEnd w:id="159"/>
    </w:p>
    <w:p w14:paraId="2C3EB6E7">
      <w:pPr>
        <w:spacing w:before="165" w:beforeLines="50" w:after="165" w:afterLines="50" w:line="400" w:lineRule="exact"/>
        <w:rPr>
          <w:rFonts w:hint="eastAsia" w:ascii="宋体" w:hAnsi="宋体"/>
          <w:color w:val="auto"/>
          <w:sz w:val="24"/>
          <w:highlight w:val="none"/>
        </w:rPr>
      </w:pPr>
    </w:p>
    <w:p w14:paraId="7CFB8C3D">
      <w:pPr>
        <w:snapToGrid w:val="0"/>
        <w:spacing w:before="165" w:beforeLines="50" w:after="50"/>
        <w:ind w:left="142"/>
        <w:jc w:val="left"/>
        <w:rPr>
          <w:rFonts w:hint="eastAsia"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59400C93">
      <w:pPr>
        <w:pStyle w:val="9"/>
        <w:overflowPunct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联合体协议书</w:t>
      </w:r>
    </w:p>
    <w:p w14:paraId="092F4C88">
      <w:pPr>
        <w:pStyle w:val="9"/>
        <w:overflowPunct w:val="0"/>
        <w:spacing w:line="360" w:lineRule="auto"/>
        <w:ind w:firstLine="0"/>
        <w:contextualSpacing/>
        <w:rPr>
          <w:rFonts w:hint="eastAsia" w:ascii="宋体" w:hAnsi="宋体"/>
          <w:color w:val="auto"/>
          <w:sz w:val="24"/>
          <w:highlight w:val="none"/>
        </w:rPr>
      </w:pPr>
    </w:p>
    <w:p w14:paraId="7697AACF">
      <w:pPr>
        <w:pStyle w:val="9"/>
        <w:overflowPunct w:val="0"/>
        <w:spacing w:line="360" w:lineRule="auto"/>
        <w:contextualSpacing/>
        <w:rPr>
          <w:rFonts w:hint="eastAsia"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（项</w:t>
      </w:r>
      <w:r>
        <w:rPr>
          <w:rFonts w:hint="eastAsia" w:ascii="宋体" w:hAnsi="宋体"/>
          <w:color w:val="auto"/>
          <w:sz w:val="24"/>
          <w:highlight w:val="none"/>
        </w:rPr>
        <w:t>目名称）采购招标项目投标。现就联合体投标事宜订立如下协议。</w:t>
      </w:r>
    </w:p>
    <w:p w14:paraId="3380CA40">
      <w:pPr>
        <w:pStyle w:val="9"/>
        <w:overflowPunct w:val="0"/>
        <w:spacing w:line="360" w:lineRule="auto"/>
        <w:contextualSpacing/>
        <w:rPr>
          <w:rFonts w:hint="eastAsia" w:ascii="宋体" w:hAnsi="宋体"/>
          <w:color w:val="auto"/>
          <w:sz w:val="24"/>
          <w:highlight w:val="none"/>
        </w:rPr>
      </w:pPr>
    </w:p>
    <w:p w14:paraId="6EDBC73F">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（联合体名称）牵头人。</w:t>
      </w:r>
    </w:p>
    <w:p w14:paraId="0077BF77">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w:t>
      </w:r>
      <w:r>
        <w:rPr>
          <w:rFonts w:ascii="宋体" w:hAnsi="宋体"/>
          <w:color w:val="auto"/>
          <w:sz w:val="24"/>
          <w:highlight w:val="none"/>
        </w:rPr>
        <w:t xml:space="preserve"> </w:t>
      </w:r>
      <w:r>
        <w:rPr>
          <w:rFonts w:hint="eastAsia" w:ascii="宋体" w:hAnsi="宋体"/>
          <w:color w:val="auto"/>
          <w:sz w:val="24"/>
          <w:highlight w:val="none"/>
        </w:rPr>
        <w:t>信息及指示，进行合同谈判活动，负责合同实施阶段的组织和协调工作，以及处理与本招标项目有关的一切事宜。</w:t>
      </w:r>
    </w:p>
    <w:p w14:paraId="0CF8EA36">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w:t>
      </w:r>
      <w:r>
        <w:rPr>
          <w:rFonts w:ascii="宋体" w:hAnsi="宋体"/>
          <w:color w:val="auto"/>
          <w:sz w:val="24"/>
          <w:highlight w:val="none"/>
        </w:rPr>
        <w:t xml:space="preserve"> </w:t>
      </w:r>
      <w:r>
        <w:rPr>
          <w:rFonts w:hint="eastAsia" w:ascii="宋体" w:hAnsi="宋体"/>
          <w:color w:val="auto"/>
          <w:sz w:val="24"/>
          <w:highlight w:val="none"/>
        </w:rPr>
        <w:t>联合体各成员将严格按照采购文件、投标文件和合同的要求全面履行义务，并向采购人承担连带责任。</w:t>
      </w:r>
    </w:p>
    <w:p w14:paraId="443DD303">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联合体各成员单位内部的职责分工如下：</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12D504AE">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本协议书自所有成员单位法定代表人或者其委托代理人签字（或者电子签名）或者盖公章之日起生效，合同履行完毕后自动失效。</w:t>
      </w:r>
    </w:p>
    <w:p w14:paraId="11213645">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份，联合体成员和</w:t>
      </w:r>
      <w:r>
        <w:rPr>
          <w:rFonts w:hint="eastAsia" w:ascii="宋体" w:hAnsi="宋体"/>
          <w:color w:val="auto"/>
          <w:sz w:val="24"/>
          <w:szCs w:val="24"/>
          <w:highlight w:val="none"/>
        </w:rPr>
        <w:t>采购人</w:t>
      </w:r>
      <w:r>
        <w:rPr>
          <w:rFonts w:hint="eastAsia" w:ascii="宋体" w:hAnsi="宋体"/>
          <w:color w:val="auto"/>
          <w:sz w:val="24"/>
          <w:highlight w:val="none"/>
        </w:rPr>
        <w:t>各执一份。</w:t>
      </w:r>
    </w:p>
    <w:p w14:paraId="422BAB3D">
      <w:pPr>
        <w:pStyle w:val="9"/>
        <w:overflowPunct w:val="0"/>
        <w:spacing w:line="360" w:lineRule="auto"/>
        <w:ind w:firstLineChars="175"/>
        <w:contextualSpacing/>
        <w:rPr>
          <w:rFonts w:hint="eastAsia" w:ascii="宋体" w:hAnsi="宋体"/>
          <w:color w:val="auto"/>
          <w:sz w:val="24"/>
          <w:highlight w:val="none"/>
        </w:rPr>
      </w:pPr>
      <w:r>
        <w:rPr>
          <w:rFonts w:hint="eastAsia" w:ascii="宋体" w:hAnsi="宋体"/>
          <w:color w:val="auto"/>
          <w:sz w:val="24"/>
          <w:highlight w:val="none"/>
        </w:rPr>
        <w:t>注：本协议书应附法定代表人身份证明；有委托代理的，应附授权委托书</w:t>
      </w:r>
      <w:r>
        <w:rPr>
          <w:rFonts w:hint="eastAsia" w:ascii="宋体" w:hAnsi="宋体" w:cs="仿宋_GB2312"/>
          <w:color w:val="auto"/>
          <w:sz w:val="24"/>
          <w:highlight w:val="none"/>
        </w:rPr>
        <w:t>（格式自拟）</w:t>
      </w:r>
      <w:r>
        <w:rPr>
          <w:rFonts w:hint="eastAsia" w:ascii="宋体" w:hAnsi="宋体"/>
          <w:color w:val="auto"/>
          <w:sz w:val="24"/>
          <w:highlight w:val="none"/>
        </w:rPr>
        <w:t>。</w:t>
      </w:r>
    </w:p>
    <w:p w14:paraId="20552984">
      <w:pPr>
        <w:pStyle w:val="9"/>
        <w:overflowPunct w:val="0"/>
        <w:spacing w:line="360" w:lineRule="auto"/>
        <w:ind w:firstLineChars="175"/>
        <w:contextualSpacing/>
        <w:rPr>
          <w:rFonts w:hint="eastAsia" w:ascii="宋体" w:hAnsi="宋体"/>
          <w:color w:val="auto"/>
          <w:sz w:val="24"/>
          <w:highlight w:val="none"/>
        </w:rPr>
      </w:pPr>
    </w:p>
    <w:p w14:paraId="7E266512">
      <w:pPr>
        <w:pStyle w:val="9"/>
        <w:overflowPunct w:val="0"/>
        <w:spacing w:line="360" w:lineRule="auto"/>
        <w:ind w:firstLineChars="175"/>
        <w:contextualSpacing/>
        <w:rPr>
          <w:rFonts w:hint="eastAsia" w:ascii="宋体" w:hAnsi="宋体"/>
          <w:color w:val="auto"/>
          <w:sz w:val="24"/>
          <w:highlight w:val="none"/>
        </w:rPr>
      </w:pPr>
      <w:r>
        <w:rPr>
          <w:rFonts w:hint="eastAsia" w:ascii="宋体" w:hAnsi="宋体"/>
          <w:color w:val="auto"/>
          <w:sz w:val="24"/>
          <w:highlight w:val="none"/>
        </w:rPr>
        <w:t>联合体牵头人名称（电子签章）：</w:t>
      </w:r>
    </w:p>
    <w:p w14:paraId="2200659E">
      <w:pPr>
        <w:pStyle w:val="9"/>
        <w:overflowPunct w:val="0"/>
        <w:spacing w:line="360" w:lineRule="auto"/>
        <w:ind w:firstLineChars="175"/>
        <w:contextualSpacing/>
        <w:rPr>
          <w:rFonts w:hint="eastAsia"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04471E77">
      <w:pPr>
        <w:pStyle w:val="9"/>
        <w:overflowPunct w:val="0"/>
        <w:spacing w:line="360" w:lineRule="auto"/>
        <w:ind w:firstLineChars="175"/>
        <w:contextualSpacing/>
        <w:rPr>
          <w:rFonts w:hint="eastAsia" w:ascii="宋体" w:hAnsi="宋体"/>
          <w:color w:val="auto"/>
          <w:sz w:val="24"/>
          <w:highlight w:val="none"/>
        </w:rPr>
      </w:pPr>
    </w:p>
    <w:p w14:paraId="37687A52">
      <w:pPr>
        <w:pStyle w:val="9"/>
        <w:overflowPunct w:val="0"/>
        <w:spacing w:line="360" w:lineRule="auto"/>
        <w:ind w:firstLineChars="175"/>
        <w:contextualSpacing/>
        <w:rPr>
          <w:rFonts w:hint="eastAsia" w:ascii="宋体" w:hAnsi="宋体"/>
          <w:color w:val="auto"/>
          <w:sz w:val="24"/>
          <w:highlight w:val="none"/>
        </w:rPr>
      </w:pPr>
      <w:r>
        <w:rPr>
          <w:rFonts w:hint="eastAsia" w:ascii="宋体" w:hAnsi="宋体"/>
          <w:color w:val="auto"/>
          <w:sz w:val="24"/>
          <w:highlight w:val="none"/>
        </w:rPr>
        <w:t>联合体成员名称（</w:t>
      </w:r>
      <w:r>
        <w:rPr>
          <w:rFonts w:hint="eastAsia" w:ascii="宋体" w:hAnsi="宋体" w:cs="仿宋_GB2312"/>
          <w:color w:val="auto"/>
          <w:sz w:val="24"/>
          <w:highlight w:val="none"/>
        </w:rPr>
        <w:t>盖公章或者电子签章</w:t>
      </w:r>
      <w:r>
        <w:rPr>
          <w:rFonts w:hint="eastAsia" w:ascii="宋体" w:hAnsi="宋体"/>
          <w:color w:val="auto"/>
          <w:sz w:val="24"/>
          <w:highlight w:val="none"/>
        </w:rPr>
        <w:t>）：</w:t>
      </w:r>
    </w:p>
    <w:p w14:paraId="3E297361">
      <w:pPr>
        <w:pStyle w:val="9"/>
        <w:overflowPunct w:val="0"/>
        <w:spacing w:line="360" w:lineRule="auto"/>
        <w:ind w:firstLineChars="175"/>
        <w:contextualSpacing/>
        <w:rPr>
          <w:rFonts w:hint="eastAsia"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573C370A">
      <w:pPr>
        <w:pStyle w:val="9"/>
        <w:overflowPunct w:val="0"/>
        <w:spacing w:line="360" w:lineRule="auto"/>
        <w:ind w:firstLineChars="175"/>
        <w:contextualSpacing/>
        <w:rPr>
          <w:rFonts w:hint="eastAsia" w:ascii="宋体" w:hAnsi="宋体"/>
          <w:color w:val="auto"/>
          <w:sz w:val="24"/>
          <w:highlight w:val="none"/>
        </w:rPr>
      </w:pPr>
      <w:r>
        <w:rPr>
          <w:rFonts w:ascii="宋体" w:hAnsi="宋体"/>
          <w:color w:val="auto"/>
          <w:sz w:val="24"/>
          <w:highlight w:val="none"/>
        </w:rPr>
        <w:t>……</w:t>
      </w:r>
    </w:p>
    <w:p w14:paraId="3C185C91">
      <w:pPr>
        <w:pStyle w:val="9"/>
        <w:overflowPunct w:val="0"/>
        <w:spacing w:line="360" w:lineRule="auto"/>
        <w:ind w:firstLineChars="175"/>
        <w:contextualSpacing/>
        <w:rPr>
          <w:rFonts w:hint="eastAsia" w:ascii="宋体" w:hAnsi="宋体"/>
          <w:color w:val="auto"/>
          <w:sz w:val="24"/>
          <w:highlight w:val="none"/>
        </w:rPr>
      </w:pPr>
    </w:p>
    <w:p w14:paraId="0DA3E9AA">
      <w:pPr>
        <w:pStyle w:val="9"/>
        <w:overflowPunct w:val="0"/>
        <w:spacing w:line="360" w:lineRule="auto"/>
        <w:ind w:firstLineChars="175"/>
        <w:contextualSpacing/>
        <w:jc w:val="right"/>
        <w:rPr>
          <w:rFonts w:hint="eastAsia" w:ascii="宋体" w:hAnsi="宋体"/>
          <w:b/>
          <w:color w:val="auto"/>
          <w:sz w:val="24"/>
          <w:highlight w:val="none"/>
        </w:rPr>
      </w:pP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日</w:t>
      </w:r>
    </w:p>
    <w:p w14:paraId="6447E111">
      <w:pPr>
        <w:snapToGrid w:val="0"/>
        <w:spacing w:before="165" w:beforeLines="50" w:after="50"/>
        <w:jc w:val="left"/>
        <w:rPr>
          <w:color w:val="auto"/>
          <w:highlight w:val="none"/>
        </w:rPr>
      </w:pPr>
      <w:r>
        <w:rPr>
          <w:rFonts w:hint="eastAsia" w:ascii="宋体" w:hAnsi="宋体"/>
          <w:b/>
          <w:color w:val="auto"/>
          <w:sz w:val="24"/>
          <w:highlight w:val="none"/>
        </w:rPr>
        <w:t xml:space="preserve"> 2.中小企业声明函格式</w:t>
      </w:r>
    </w:p>
    <w:p w14:paraId="34923FDD">
      <w:pPr>
        <w:rPr>
          <w:color w:val="auto"/>
          <w:highlight w:val="none"/>
        </w:rPr>
      </w:pPr>
    </w:p>
    <w:p w14:paraId="69A8D055">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中小企业声明函（服务）</w:t>
      </w:r>
    </w:p>
    <w:p w14:paraId="0C4D3EEC">
      <w:pPr>
        <w:spacing w:before="2" w:line="500" w:lineRule="exact"/>
        <w:rPr>
          <w:rFonts w:hint="eastAsia" w:ascii="宋体" w:hAnsi="宋体" w:cs="宋体"/>
          <w:b/>
          <w:bCs/>
          <w:color w:val="auto"/>
          <w:sz w:val="24"/>
          <w:highlight w:val="none"/>
        </w:rPr>
      </w:pPr>
    </w:p>
    <w:p w14:paraId="0A73A8BF">
      <w:pPr>
        <w:pStyle w:val="3"/>
        <w:spacing w:line="500" w:lineRule="exact"/>
        <w:ind w:right="142" w:firstLine="420" w:firstLineChars="200"/>
        <w:rPr>
          <w:rFonts w:hint="eastAsia"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121D6608">
      <w:pPr>
        <w:tabs>
          <w:tab w:val="left" w:pos="1384"/>
          <w:tab w:val="left" w:pos="4562"/>
          <w:tab w:val="left" w:pos="6803"/>
        </w:tabs>
        <w:spacing w:before="13" w:line="500" w:lineRule="exact"/>
        <w:ind w:right="142" w:firstLine="600" w:firstLineChars="286"/>
        <w:rPr>
          <w:rFonts w:hint="eastAsia" w:ascii="宋体" w:hAnsi="宋体"/>
          <w:color w:val="auto"/>
          <w:szCs w:val="21"/>
          <w:highlight w:val="none"/>
        </w:rPr>
      </w:pPr>
      <w:r>
        <w:rPr>
          <w:rFonts w:ascii="宋体" w:hAnsi="宋体"/>
          <w:color w:val="auto"/>
          <w:szCs w:val="21"/>
          <w:highlight w:val="none"/>
        </w:rPr>
        <w:t>1.</w:t>
      </w:r>
      <w:r>
        <w:rPr>
          <w:rFonts w:ascii="宋体" w:hAnsi="宋体"/>
          <w:color w:val="auto"/>
          <w:szCs w:val="21"/>
          <w:highlight w:val="none"/>
          <w:u w:val="single"/>
        </w:rPr>
        <w:t>（标的名称）</w:t>
      </w:r>
      <w:r>
        <w:rPr>
          <w:rFonts w:ascii="宋体" w:hAnsi="宋体"/>
          <w:color w:val="auto"/>
          <w:szCs w:val="21"/>
          <w:highlight w:val="none"/>
        </w:rPr>
        <w:t>，属于</w:t>
      </w:r>
      <w:r>
        <w:rPr>
          <w:rFonts w:ascii="宋体" w:hAnsi="宋体"/>
          <w:color w:val="auto"/>
          <w:szCs w:val="21"/>
          <w:highlight w:val="none"/>
          <w:u w:val="single"/>
        </w:rPr>
        <w:t>（采购文件中明确的所属</w:t>
      </w:r>
      <w:r>
        <w:rPr>
          <w:rFonts w:hint="eastAsia" w:ascii="宋体" w:hAnsi="宋体"/>
          <w:color w:val="auto"/>
          <w:szCs w:val="21"/>
          <w:highlight w:val="none"/>
          <w:u w:val="single"/>
        </w:rPr>
        <w:t>行</w:t>
      </w:r>
      <w:r>
        <w:rPr>
          <w:rFonts w:ascii="宋体" w:hAnsi="宋体"/>
          <w:color w:val="auto"/>
          <w:szCs w:val="21"/>
          <w:highlight w:val="none"/>
          <w:u w:val="single"/>
        </w:rPr>
        <w:t>业）</w:t>
      </w:r>
      <w:r>
        <w:rPr>
          <w:rFonts w:ascii="宋体" w:hAnsi="宋体"/>
          <w:color w:val="auto"/>
          <w:szCs w:val="21"/>
          <w:highlight w:val="none"/>
        </w:rPr>
        <w:t>；</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w:t>
      </w:r>
      <w:r>
        <w:rPr>
          <w:rFonts w:ascii="宋体" w:hAnsi="宋体"/>
          <w:color w:val="auto"/>
          <w:szCs w:val="21"/>
          <w:highlight w:val="none"/>
        </w:rPr>
        <w:t>，属于</w:t>
      </w:r>
      <w:r>
        <w:rPr>
          <w:rFonts w:ascii="宋体" w:hAnsi="宋体"/>
          <w:color w:val="auto"/>
          <w:szCs w:val="21"/>
          <w:highlight w:val="none"/>
          <w:u w:val="single"/>
        </w:rPr>
        <w:t>（中型企业、</w:t>
      </w:r>
      <w:r>
        <w:rPr>
          <w:rFonts w:hint="eastAsia" w:ascii="宋体" w:hAnsi="宋体"/>
          <w:color w:val="auto"/>
          <w:szCs w:val="21"/>
          <w:highlight w:val="none"/>
          <w:u w:val="single"/>
        </w:rPr>
        <w:t>小型企业、微型企业）</w:t>
      </w:r>
      <w:r>
        <w:rPr>
          <w:rFonts w:hint="eastAsia" w:ascii="宋体" w:hAnsi="宋体"/>
          <w:color w:val="auto"/>
          <w:szCs w:val="21"/>
          <w:highlight w:val="none"/>
        </w:rPr>
        <w:t>；</w:t>
      </w:r>
    </w:p>
    <w:p w14:paraId="0CDFEEB1">
      <w:pPr>
        <w:tabs>
          <w:tab w:val="left" w:pos="1065"/>
          <w:tab w:val="left" w:pos="4262"/>
          <w:tab w:val="left" w:pos="6477"/>
        </w:tabs>
        <w:spacing w:before="20" w:line="500" w:lineRule="exact"/>
        <w:ind w:right="84" w:firstLine="600" w:firstLineChars="286"/>
        <w:rPr>
          <w:rFonts w:hint="eastAsia" w:ascii="宋体" w:hAnsi="宋体"/>
          <w:color w:val="auto"/>
          <w:szCs w:val="21"/>
          <w:highlight w:val="none"/>
          <w:u w:val="single"/>
        </w:rPr>
      </w:pPr>
      <w:r>
        <w:rPr>
          <w:rFonts w:ascii="宋体" w:hAnsi="宋体"/>
          <w:color w:val="auto"/>
          <w:szCs w:val="21"/>
          <w:highlight w:val="none"/>
        </w:rPr>
        <w:t>2.</w:t>
      </w:r>
      <w:r>
        <w:rPr>
          <w:rFonts w:ascii="宋体" w:hAnsi="宋体"/>
          <w:color w:val="auto"/>
          <w:szCs w:val="21"/>
          <w:highlight w:val="none"/>
          <w:u w:val="single"/>
        </w:rPr>
        <w:t>（标的名称）</w:t>
      </w:r>
      <w:r>
        <w:rPr>
          <w:rFonts w:ascii="宋体" w:hAnsi="宋体"/>
          <w:color w:val="auto"/>
          <w:szCs w:val="21"/>
          <w:highlight w:val="none"/>
        </w:rPr>
        <w:t>，属于</w:t>
      </w:r>
      <w:r>
        <w:rPr>
          <w:rFonts w:ascii="宋体" w:hAnsi="宋体"/>
          <w:color w:val="auto"/>
          <w:szCs w:val="21"/>
          <w:highlight w:val="none"/>
          <w:u w:val="single"/>
        </w:rPr>
        <w:t>（采购文件中明确的所属</w:t>
      </w:r>
      <w:r>
        <w:rPr>
          <w:rFonts w:hint="eastAsia" w:ascii="宋体" w:hAnsi="宋体"/>
          <w:color w:val="auto"/>
          <w:szCs w:val="21"/>
          <w:highlight w:val="none"/>
          <w:u w:val="single"/>
        </w:rPr>
        <w:t>行业</w:t>
      </w:r>
      <w:r>
        <w:rPr>
          <w:rFonts w:ascii="宋体" w:hAnsi="宋体"/>
          <w:color w:val="auto"/>
          <w:szCs w:val="21"/>
          <w:highlight w:val="none"/>
          <w:u w:val="single"/>
        </w:rPr>
        <w:t>）</w:t>
      </w:r>
      <w:r>
        <w:rPr>
          <w:rFonts w:ascii="宋体" w:hAnsi="宋体"/>
          <w:color w:val="auto"/>
          <w:szCs w:val="21"/>
          <w:highlight w:val="none"/>
        </w:rPr>
        <w:t>；</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w:t>
      </w:r>
      <w:r>
        <w:rPr>
          <w:rFonts w:ascii="宋体" w:hAnsi="宋体"/>
          <w:color w:val="auto"/>
          <w:szCs w:val="21"/>
          <w:highlight w:val="none"/>
        </w:rPr>
        <w:t>，属于</w:t>
      </w:r>
      <w:r>
        <w:rPr>
          <w:rFonts w:ascii="宋体" w:hAnsi="宋体"/>
          <w:color w:val="auto"/>
          <w:szCs w:val="21"/>
          <w:highlight w:val="none"/>
          <w:u w:val="single"/>
        </w:rPr>
        <w:t>（中型企业、</w:t>
      </w:r>
      <w:r>
        <w:rPr>
          <w:rFonts w:hint="eastAsia" w:ascii="宋体" w:hAnsi="宋体"/>
          <w:color w:val="auto"/>
          <w:szCs w:val="21"/>
          <w:highlight w:val="none"/>
          <w:u w:val="single"/>
        </w:rPr>
        <w:t>小型企业、微型企业）</w:t>
      </w:r>
      <w:r>
        <w:rPr>
          <w:rFonts w:hint="eastAsia" w:ascii="宋体" w:hAnsi="宋体"/>
          <w:color w:val="auto"/>
          <w:szCs w:val="21"/>
          <w:highlight w:val="none"/>
        </w:rPr>
        <w:t>；</w:t>
      </w:r>
    </w:p>
    <w:p w14:paraId="05D4AF1B">
      <w:pPr>
        <w:pStyle w:val="3"/>
        <w:spacing w:before="34" w:line="500" w:lineRule="exact"/>
        <w:ind w:left="765" w:right="142" w:hanging="5"/>
        <w:rPr>
          <w:rFonts w:hint="eastAsia" w:ascii="宋体" w:hAnsi="宋体"/>
          <w:color w:val="auto"/>
          <w:highlight w:val="none"/>
        </w:rPr>
      </w:pPr>
      <w:r>
        <w:rPr>
          <w:rFonts w:ascii="宋体" w:hAnsi="宋体"/>
          <w:color w:val="auto"/>
          <w:highlight w:val="none"/>
        </w:rPr>
        <w:t xml:space="preserve">…… </w:t>
      </w:r>
    </w:p>
    <w:p w14:paraId="4B4E5821">
      <w:pPr>
        <w:pStyle w:val="3"/>
        <w:spacing w:before="34" w:line="500" w:lineRule="exact"/>
        <w:ind w:right="142" w:firstLine="420" w:firstLineChars="200"/>
        <w:rPr>
          <w:rFonts w:hint="eastAsia"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1797C21B">
      <w:pPr>
        <w:pStyle w:val="3"/>
        <w:spacing w:before="34" w:line="500" w:lineRule="exact"/>
        <w:ind w:right="142" w:firstLine="420" w:firstLineChars="200"/>
        <w:rPr>
          <w:rFonts w:hint="eastAsia" w:ascii="宋体" w:hAnsi="宋体"/>
          <w:color w:val="auto"/>
          <w:highlight w:val="none"/>
        </w:rPr>
      </w:pPr>
      <w:r>
        <w:rPr>
          <w:rFonts w:ascii="宋体" w:hAnsi="宋体"/>
          <w:color w:val="auto"/>
          <w:highlight w:val="none"/>
        </w:rPr>
        <w:t>本企业对上述声明内容的真实性负责。如有虚假，将依法承担相应责任。</w:t>
      </w:r>
    </w:p>
    <w:p w14:paraId="33FE50AA">
      <w:pPr>
        <w:pStyle w:val="3"/>
        <w:spacing w:before="56" w:line="500" w:lineRule="exact"/>
        <w:ind w:left="3960" w:right="1808"/>
        <w:rPr>
          <w:rFonts w:hint="eastAsia" w:ascii="宋体" w:hAnsi="宋体"/>
          <w:color w:val="auto"/>
          <w:highlight w:val="none"/>
        </w:rPr>
      </w:pPr>
      <w:r>
        <w:rPr>
          <w:rFonts w:ascii="宋体" w:hAnsi="宋体"/>
          <w:color w:val="auto"/>
          <w:kern w:val="24"/>
          <w:highlight w:val="none"/>
        </w:rPr>
        <w:t>企业名称（</w:t>
      </w:r>
      <w:r>
        <w:rPr>
          <w:rFonts w:hint="eastAsia" w:ascii="宋体" w:hAnsi="宋体"/>
          <w:color w:val="auto"/>
          <w:kern w:val="24"/>
          <w:highlight w:val="none"/>
        </w:rPr>
        <w:t>电子签章</w:t>
      </w:r>
      <w:r>
        <w:rPr>
          <w:rFonts w:ascii="宋体" w:hAnsi="宋体"/>
          <w:color w:val="auto"/>
          <w:kern w:val="24"/>
          <w:highlight w:val="none"/>
        </w:rPr>
        <w:t>）：</w:t>
      </w:r>
      <w:r>
        <w:rPr>
          <w:rFonts w:ascii="宋体" w:hAnsi="宋体"/>
          <w:color w:val="auto"/>
          <w:highlight w:val="none"/>
        </w:rPr>
        <w:t xml:space="preserve"> </w:t>
      </w:r>
    </w:p>
    <w:p w14:paraId="3E694ED8">
      <w:pPr>
        <w:pStyle w:val="3"/>
        <w:spacing w:before="56" w:line="500" w:lineRule="exact"/>
        <w:ind w:left="3960" w:right="1808"/>
        <w:rPr>
          <w:rFonts w:hint="eastAsia" w:ascii="宋体" w:hAnsi="宋体"/>
          <w:color w:val="auto"/>
          <w:highlight w:val="none"/>
        </w:rPr>
      </w:pPr>
      <w:r>
        <w:rPr>
          <w:rFonts w:ascii="宋体" w:hAnsi="宋体"/>
          <w:color w:val="auto"/>
          <w:highlight w:val="none"/>
        </w:rPr>
        <w:t>日 期：</w:t>
      </w:r>
    </w:p>
    <w:p w14:paraId="69027A13">
      <w:pPr>
        <w:rPr>
          <w:rFonts w:hint="eastAsia" w:ascii="宋体" w:hAnsi="宋体"/>
          <w:color w:val="auto"/>
          <w:sz w:val="24"/>
          <w:highlight w:val="none"/>
        </w:rPr>
      </w:pPr>
      <w:r>
        <w:rPr>
          <w:rFonts w:hint="eastAsia" w:ascii="宋体" w:hAnsi="宋体"/>
          <w:color w:val="auto"/>
          <w:spacing w:val="6"/>
          <w:sz w:val="24"/>
          <w:highlight w:val="none"/>
        </w:rPr>
        <w:t xml:space="preserve"> </w:t>
      </w:r>
    </w:p>
    <w:p w14:paraId="1F12214B">
      <w:pPr>
        <w:ind w:firstLine="480" w:firstLineChars="200"/>
        <w:rPr>
          <w:rFonts w:hint="eastAsia" w:ascii="宋体" w:hAnsi="宋体"/>
          <w:b/>
          <w:color w:val="auto"/>
          <w:sz w:val="24"/>
          <w:highlight w:val="none"/>
        </w:rPr>
      </w:pPr>
      <w:r>
        <w:rPr>
          <w:rFonts w:hint="eastAsia" w:ascii="宋体" w:hAnsi="宋体"/>
          <w:color w:val="auto"/>
          <w:kern w:val="0"/>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highlight w:val="none"/>
        </w:rPr>
        <w:br w:type="page"/>
      </w:r>
      <w:r>
        <w:rPr>
          <w:rFonts w:hint="eastAsia" w:ascii="宋体" w:hAnsi="宋体"/>
          <w:b/>
          <w:color w:val="auto"/>
          <w:sz w:val="24"/>
          <w:highlight w:val="none"/>
        </w:rPr>
        <w:t>3.残疾人福利性单位声明函格式</w:t>
      </w:r>
    </w:p>
    <w:p w14:paraId="1593ED6D">
      <w:pPr>
        <w:spacing w:line="588" w:lineRule="exact"/>
        <w:jc w:val="center"/>
        <w:rPr>
          <w:rFonts w:ascii="仿宋_GB2312" w:eastAsia="仿宋_GB2312"/>
          <w:b/>
          <w:color w:val="auto"/>
          <w:spacing w:val="6"/>
          <w:sz w:val="32"/>
          <w:szCs w:val="32"/>
          <w:highlight w:val="none"/>
        </w:rPr>
      </w:pPr>
      <w:bookmarkStart w:id="160" w:name="OLE_LINK14"/>
      <w:bookmarkStart w:id="161" w:name="OLE_LINK13"/>
    </w:p>
    <w:p w14:paraId="67082465">
      <w:pPr>
        <w:spacing w:line="588" w:lineRule="exact"/>
        <w:jc w:val="center"/>
        <w:rPr>
          <w:rFonts w:hint="eastAsia"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bookmarkEnd w:id="160"/>
    <w:bookmarkEnd w:id="161"/>
    <w:p w14:paraId="3E692091">
      <w:pPr>
        <w:spacing w:line="588" w:lineRule="exact"/>
        <w:rPr>
          <w:rFonts w:ascii="仿宋_GB2312" w:eastAsia="仿宋_GB2312"/>
          <w:b/>
          <w:color w:val="auto"/>
          <w:spacing w:val="6"/>
          <w:sz w:val="30"/>
          <w:szCs w:val="30"/>
          <w:highlight w:val="none"/>
        </w:rPr>
      </w:pPr>
    </w:p>
    <w:p w14:paraId="62132767">
      <w:pPr>
        <w:spacing w:line="360" w:lineRule="auto"/>
        <w:ind w:firstLine="504" w:firstLineChars="200"/>
        <w:contextualSpacing/>
        <w:rPr>
          <w:rFonts w:hint="eastAsia"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13DB7443">
      <w:pPr>
        <w:spacing w:line="360" w:lineRule="auto"/>
        <w:ind w:firstLine="504" w:firstLineChars="200"/>
        <w:contextualSpacing/>
        <w:rPr>
          <w:rFonts w:hint="eastAsia"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6507D9A5">
      <w:pPr>
        <w:spacing w:line="360" w:lineRule="auto"/>
        <w:ind w:firstLine="504" w:firstLineChars="200"/>
        <w:contextualSpacing/>
        <w:rPr>
          <w:rFonts w:hint="eastAsia" w:ascii="宋体" w:hAnsi="宋体"/>
          <w:color w:val="auto"/>
          <w:spacing w:val="6"/>
          <w:sz w:val="24"/>
          <w:highlight w:val="none"/>
        </w:rPr>
      </w:pPr>
    </w:p>
    <w:p w14:paraId="79358EB1">
      <w:pPr>
        <w:spacing w:line="360" w:lineRule="auto"/>
        <w:ind w:firstLine="504" w:firstLineChars="200"/>
        <w:contextualSpacing/>
        <w:rPr>
          <w:rFonts w:hint="eastAsia" w:ascii="宋体" w:hAnsi="宋体"/>
          <w:color w:val="auto"/>
          <w:spacing w:val="6"/>
          <w:sz w:val="24"/>
          <w:highlight w:val="none"/>
        </w:rPr>
      </w:pPr>
    </w:p>
    <w:p w14:paraId="16B010E4">
      <w:pPr>
        <w:tabs>
          <w:tab w:val="left" w:pos="4860"/>
        </w:tabs>
        <w:spacing w:line="360" w:lineRule="auto"/>
        <w:ind w:right="1560" w:firstLine="504" w:firstLineChars="200"/>
        <w:contextualSpacing/>
        <w:jc w:val="center"/>
        <w:rPr>
          <w:rFonts w:hint="eastAsia" w:ascii="宋体" w:hAnsi="宋体"/>
          <w:color w:val="auto"/>
          <w:spacing w:val="6"/>
          <w:sz w:val="24"/>
          <w:highlight w:val="none"/>
        </w:rPr>
      </w:pPr>
      <w:r>
        <w:rPr>
          <w:rFonts w:hint="eastAsia" w:ascii="宋体" w:hAnsi="宋体"/>
          <w:color w:val="auto"/>
          <w:spacing w:val="6"/>
          <w:sz w:val="24"/>
          <w:highlight w:val="none"/>
        </w:rPr>
        <w:t>单位名称（电子签章）：</w:t>
      </w:r>
    </w:p>
    <w:p w14:paraId="7B84C694">
      <w:pPr>
        <w:tabs>
          <w:tab w:val="left" w:pos="4860"/>
        </w:tabs>
        <w:spacing w:line="360" w:lineRule="auto"/>
        <w:ind w:right="1560" w:firstLine="504" w:firstLineChars="200"/>
        <w:contextualSpacing/>
        <w:jc w:val="center"/>
        <w:rPr>
          <w:rFonts w:hint="eastAsia" w:ascii="宋体" w:hAnsi="宋体"/>
          <w:color w:val="auto"/>
          <w:spacing w:val="6"/>
          <w:sz w:val="24"/>
          <w:highlight w:val="none"/>
        </w:rPr>
      </w:pPr>
      <w:r>
        <w:rPr>
          <w:rFonts w:hint="eastAsia" w:ascii="宋体" w:hAnsi="宋体"/>
          <w:color w:val="auto"/>
          <w:spacing w:val="6"/>
          <w:sz w:val="24"/>
          <w:highlight w:val="none"/>
        </w:rPr>
        <w:t>日  期：</w:t>
      </w:r>
    </w:p>
    <w:p w14:paraId="2FC30E1C">
      <w:pPr>
        <w:spacing w:line="360" w:lineRule="auto"/>
        <w:contextualSpacing/>
        <w:rPr>
          <w:rFonts w:hint="eastAsia" w:ascii="宋体" w:hAnsi="宋体"/>
          <w:color w:val="auto"/>
          <w:sz w:val="24"/>
          <w:highlight w:val="none"/>
        </w:rPr>
      </w:pPr>
    </w:p>
    <w:p w14:paraId="690102D7">
      <w:pPr>
        <w:spacing w:line="360" w:lineRule="auto"/>
        <w:contextualSpacing/>
        <w:rPr>
          <w:rFonts w:hint="eastAsia" w:ascii="宋体" w:hAnsi="宋体"/>
          <w:color w:val="auto"/>
          <w:sz w:val="24"/>
          <w:highlight w:val="none"/>
        </w:rPr>
      </w:pPr>
    </w:p>
    <w:p w14:paraId="66D6D48F">
      <w:pPr>
        <w:spacing w:line="360" w:lineRule="auto"/>
        <w:contextualSpacing/>
        <w:rPr>
          <w:rFonts w:hint="eastAsia" w:ascii="宋体" w:hAnsi="宋体"/>
          <w:color w:val="auto"/>
          <w:sz w:val="24"/>
          <w:highlight w:val="none"/>
        </w:rPr>
      </w:pPr>
    </w:p>
    <w:p w14:paraId="5AA565B6">
      <w:pPr>
        <w:spacing w:line="360" w:lineRule="auto"/>
        <w:contextualSpacing/>
        <w:rPr>
          <w:rFonts w:hint="eastAsia"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63BE950">
      <w:pPr>
        <w:spacing w:line="360" w:lineRule="auto"/>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color w:val="auto"/>
          <w:sz w:val="24"/>
          <w:highlight w:val="none"/>
        </w:rPr>
        <w:t>4.质疑函（格式）</w:t>
      </w:r>
    </w:p>
    <w:p w14:paraId="13724EA6">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质疑函（格式）</w:t>
      </w:r>
    </w:p>
    <w:p w14:paraId="233FECB4">
      <w:pPr>
        <w:pStyle w:val="18"/>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一、质疑供应商基本信息：</w:t>
      </w:r>
    </w:p>
    <w:p w14:paraId="66688A48">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38DE4A4">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589446B">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E12725E">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4BA7484">
      <w:pPr>
        <w:pStyle w:val="18"/>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014A2E1">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2B94AAF">
      <w:pPr>
        <w:pStyle w:val="18"/>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972F737">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A82B214">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2F66C7A">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02AC5B8A">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w:t>
      </w:r>
    </w:p>
    <w:p w14:paraId="29408118">
      <w:pPr>
        <w:pStyle w:val="18"/>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2AA545E5">
      <w:pPr>
        <w:pStyle w:val="18"/>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 xml:space="preserve">□招标过程   </w:t>
      </w:r>
    </w:p>
    <w:p w14:paraId="21773A4F">
      <w:pPr>
        <w:pStyle w:val="18"/>
        <w:spacing w:line="360" w:lineRule="auto"/>
        <w:ind w:left="25" w:leftChars="12" w:firstLine="352" w:firstLineChars="147"/>
        <w:rPr>
          <w:rFonts w:hint="eastAsia" w:hAnsi="宋体"/>
          <w:bCs/>
          <w:color w:val="auto"/>
          <w:sz w:val="24"/>
          <w:szCs w:val="24"/>
          <w:highlight w:val="none"/>
          <w:u w:val="single"/>
        </w:rPr>
      </w:pPr>
      <w:r>
        <w:rPr>
          <w:rFonts w:hint="eastAsia" w:hAnsi="宋体"/>
          <w:color w:val="auto"/>
          <w:sz w:val="24"/>
          <w:szCs w:val="24"/>
          <w:highlight w:val="none"/>
        </w:rPr>
        <w:t xml:space="preserve">□招标结果   </w:t>
      </w:r>
    </w:p>
    <w:p w14:paraId="7604B38D">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三、质疑事项具体内容</w:t>
      </w:r>
    </w:p>
    <w:p w14:paraId="2D6913AC">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3324733E">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1865EF7C">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19A13959">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质疑事项2</w:t>
      </w:r>
    </w:p>
    <w:p w14:paraId="5921C1E1">
      <w:pPr>
        <w:pStyle w:val="18"/>
        <w:spacing w:line="360" w:lineRule="auto"/>
        <w:ind w:left="25" w:leftChars="12" w:firstLine="472" w:firstLineChars="197"/>
        <w:rPr>
          <w:rFonts w:hint="eastAsia" w:hAnsi="宋体"/>
          <w:color w:val="auto"/>
          <w:sz w:val="24"/>
          <w:szCs w:val="24"/>
          <w:highlight w:val="none"/>
        </w:rPr>
      </w:pPr>
      <w:r>
        <w:rPr>
          <w:rFonts w:hAnsi="宋体"/>
          <w:color w:val="auto"/>
          <w:sz w:val="24"/>
          <w:szCs w:val="24"/>
          <w:highlight w:val="none"/>
        </w:rPr>
        <w:t>……</w:t>
      </w:r>
    </w:p>
    <w:p w14:paraId="7F17B791">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4BEA25EB">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0BD861B">
      <w:pPr>
        <w:pStyle w:val="18"/>
        <w:spacing w:line="360" w:lineRule="auto"/>
        <w:ind w:left="25" w:leftChars="12" w:firstLine="352" w:firstLineChars="147"/>
        <w:rPr>
          <w:rFonts w:hint="eastAsia" w:hAnsi="宋体"/>
          <w:color w:val="auto"/>
          <w:sz w:val="24"/>
          <w:szCs w:val="24"/>
          <w:highlight w:val="none"/>
        </w:rPr>
      </w:pPr>
    </w:p>
    <w:p w14:paraId="31CE9C91">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5E5929BC">
      <w:pPr>
        <w:pStyle w:val="18"/>
        <w:spacing w:line="360" w:lineRule="auto"/>
        <w:ind w:left="25" w:leftChars="12" w:firstLine="352" w:firstLineChars="147"/>
        <w:rPr>
          <w:rFonts w:hint="eastAsia" w:hAnsi="宋体"/>
          <w:color w:val="auto"/>
          <w:sz w:val="24"/>
          <w:szCs w:val="24"/>
          <w:highlight w:val="none"/>
        </w:rPr>
      </w:pPr>
    </w:p>
    <w:p w14:paraId="1DA300F1">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1167E9C2">
      <w:pPr>
        <w:pStyle w:val="18"/>
        <w:snapToGrid w:val="0"/>
        <w:spacing w:line="360" w:lineRule="auto"/>
        <w:rPr>
          <w:rFonts w:hint="eastAsia" w:hAnsi="宋体"/>
          <w:b/>
          <w:color w:val="auto"/>
          <w:sz w:val="24"/>
          <w:szCs w:val="24"/>
          <w:highlight w:val="none"/>
        </w:rPr>
      </w:pPr>
    </w:p>
    <w:p w14:paraId="5A7F6089">
      <w:pPr>
        <w:pStyle w:val="18"/>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3A75649">
      <w:pPr>
        <w:pStyle w:val="18"/>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5A62BA7">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2E5662E">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658DDB9C">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E2ED4E7">
      <w:pPr>
        <w:pStyle w:val="18"/>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5AA649B">
      <w:pPr>
        <w:spacing w:line="460" w:lineRule="exact"/>
        <w:rPr>
          <w:rFonts w:eastAsia="隶书"/>
          <w:color w:val="auto"/>
          <w:sz w:val="44"/>
          <w:highlight w:val="none"/>
        </w:rPr>
      </w:pPr>
    </w:p>
    <w:p w14:paraId="64E25B1C">
      <w:pPr>
        <w:spacing w:line="360" w:lineRule="auto"/>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5.投诉书（格式）</w:t>
      </w:r>
    </w:p>
    <w:p w14:paraId="5ACE21FA">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30FA67BC">
      <w:pPr>
        <w:pStyle w:val="18"/>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一、投诉相关主体基本情况：</w:t>
      </w:r>
    </w:p>
    <w:p w14:paraId="116A7110">
      <w:pPr>
        <w:pStyle w:val="18"/>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B803D84">
      <w:pPr>
        <w:pStyle w:val="18"/>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1C4CE77">
      <w:pPr>
        <w:pStyle w:val="18"/>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6317915">
      <w:pPr>
        <w:pStyle w:val="18"/>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FEE9E8">
      <w:pPr>
        <w:pStyle w:val="18"/>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8602381">
      <w:pPr>
        <w:pStyle w:val="18"/>
        <w:snapToGrid w:val="0"/>
        <w:spacing w:line="360" w:lineRule="auto"/>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3EC483">
      <w:pPr>
        <w:pStyle w:val="18"/>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205955C">
      <w:pPr>
        <w:pStyle w:val="18"/>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被投诉人1：</w:t>
      </w:r>
    </w:p>
    <w:p w14:paraId="2B3F8DA4">
      <w:pPr>
        <w:pStyle w:val="18"/>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0298E4B">
      <w:pPr>
        <w:pStyle w:val="18"/>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544A931">
      <w:pPr>
        <w:pStyle w:val="18"/>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61B7D65">
      <w:pPr>
        <w:pStyle w:val="18"/>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被投诉人2：</w:t>
      </w:r>
    </w:p>
    <w:p w14:paraId="67A62ED5">
      <w:pPr>
        <w:pStyle w:val="18"/>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w:t>
      </w:r>
    </w:p>
    <w:p w14:paraId="6D5F827C">
      <w:pPr>
        <w:pStyle w:val="18"/>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041DB87A">
      <w:pPr>
        <w:pStyle w:val="18"/>
        <w:snapToGrid w:val="0"/>
        <w:spacing w:line="360" w:lineRule="auto"/>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33AC351">
      <w:pPr>
        <w:pStyle w:val="18"/>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063A73D">
      <w:pPr>
        <w:pStyle w:val="18"/>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A13741B">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2759E8FA">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3F4B78C0">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D643022">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17976A5C">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6D81561">
      <w:pPr>
        <w:pStyle w:val="18"/>
        <w:spacing w:line="360" w:lineRule="auto"/>
        <w:ind w:left="25" w:leftChars="12" w:firstLine="472" w:firstLineChars="197"/>
        <w:rPr>
          <w:rFonts w:hint="eastAsia" w:hAnsi="宋体"/>
          <w:b/>
          <w:color w:val="auto"/>
          <w:sz w:val="24"/>
          <w:szCs w:val="24"/>
          <w:highlight w:val="none"/>
        </w:rPr>
      </w:pPr>
      <w:r>
        <w:rPr>
          <w:rFonts w:hint="eastAsia" w:hAnsi="宋体"/>
          <w:color w:val="auto"/>
          <w:sz w:val="24"/>
          <w:highlight w:val="none"/>
        </w:rPr>
        <w:t>招标</w:t>
      </w:r>
      <w:r>
        <w:rPr>
          <w:rFonts w:hint="eastAsia" w:hAnsi="宋体"/>
          <w:bCs/>
          <w:color w:val="auto"/>
          <w:sz w:val="24"/>
          <w:highlight w:val="none"/>
        </w:rPr>
        <w:t>结果公告：</w:t>
      </w:r>
      <w:r>
        <w:rPr>
          <w:rFonts w:hint="eastAsia" w:hAnsi="宋体"/>
          <w:bCs/>
          <w:color w:val="auto"/>
          <w:sz w:val="24"/>
          <w:highlight w:val="none"/>
          <w:u w:val="single"/>
        </w:rPr>
        <w:t>是</w:t>
      </w:r>
      <w:r>
        <w:rPr>
          <w:rFonts w:hAnsi="宋体"/>
          <w:bCs/>
          <w:color w:val="auto"/>
          <w:sz w:val="24"/>
          <w:highlight w:val="none"/>
          <w:u w:val="single"/>
        </w:rPr>
        <w:t>/</w:t>
      </w:r>
      <w:r>
        <w:rPr>
          <w:rFonts w:hint="eastAsia" w:hAnsi="宋体"/>
          <w:bCs/>
          <w:color w:val="auto"/>
          <w:sz w:val="24"/>
          <w:highlight w:val="none"/>
          <w:u w:val="single"/>
        </w:rPr>
        <w:t>否</w:t>
      </w:r>
      <w:r>
        <w:rPr>
          <w:rFonts w:hint="eastAsia" w:hAnsi="宋体"/>
          <w:bCs/>
          <w:color w:val="auto"/>
          <w:sz w:val="24"/>
          <w:highlight w:val="none"/>
        </w:rPr>
        <w:t>公告期限：</w:t>
      </w:r>
      <w:r>
        <w:rPr>
          <w:rFonts w:hAnsi="宋体"/>
          <w:bCs/>
          <w:color w:val="auto"/>
          <w:sz w:val="24"/>
          <w:highlight w:val="none"/>
          <w:u w:val="single"/>
        </w:rPr>
        <w:t xml:space="preserve">                                      </w:t>
      </w:r>
      <w:r>
        <w:rPr>
          <w:rFonts w:hint="eastAsia" w:hAnsi="宋体"/>
          <w:bCs/>
          <w:color w:val="auto"/>
          <w:sz w:val="24"/>
          <w:szCs w:val="24"/>
          <w:highlight w:val="none"/>
          <w:u w:val="single"/>
        </w:rPr>
        <w:t xml:space="preserve">              </w:t>
      </w:r>
    </w:p>
    <w:p w14:paraId="4AB8E86E">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32B994A9">
      <w:pPr>
        <w:pStyle w:val="18"/>
        <w:spacing w:line="360" w:lineRule="auto"/>
        <w:ind w:left="25" w:leftChars="12"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488E2ED">
      <w:pPr>
        <w:pStyle w:val="18"/>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276552B">
      <w:pPr>
        <w:pStyle w:val="18"/>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0AE3FDD">
      <w:pPr>
        <w:pStyle w:val="18"/>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67D4FB0B">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70AFB547">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FCA4E4B">
      <w:pPr>
        <w:pStyle w:val="18"/>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F2A637F">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0837C739">
      <w:pPr>
        <w:pStyle w:val="18"/>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EE27F24">
      <w:pPr>
        <w:pStyle w:val="18"/>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2347314">
      <w:pPr>
        <w:pStyle w:val="18"/>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212F886E">
      <w:pPr>
        <w:pStyle w:val="18"/>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3791A659">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69A77B9F">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93E740D">
      <w:pPr>
        <w:pStyle w:val="18"/>
        <w:spacing w:line="360" w:lineRule="auto"/>
        <w:ind w:left="25" w:leftChars="12" w:firstLine="352" w:firstLineChars="147"/>
        <w:rPr>
          <w:rFonts w:hint="eastAsia" w:hAnsi="宋体"/>
          <w:color w:val="auto"/>
          <w:sz w:val="24"/>
          <w:szCs w:val="24"/>
          <w:highlight w:val="none"/>
        </w:rPr>
      </w:pPr>
    </w:p>
    <w:p w14:paraId="4BF70923">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5F266B90">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5FF96A12">
      <w:pPr>
        <w:pStyle w:val="18"/>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7E6730EB">
      <w:pPr>
        <w:pStyle w:val="18"/>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7CC954A">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E8823B4">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7CE98D8">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BCA51E3">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BB44CE0">
      <w:pPr>
        <w:pStyle w:val="18"/>
        <w:spacing w:line="360" w:lineRule="auto"/>
        <w:ind w:left="25" w:leftChars="12" w:firstLine="354" w:firstLineChars="147"/>
        <w:rPr>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7" w:type="first"/>
      <w:footerReference r:id="rId15" w:type="default"/>
      <w:footerReference r:id="rId16"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仿宋_GB2312"/>
    <w:panose1 w:val="0201060103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938E5">
    <w:pPr>
      <w:pStyle w:val="23"/>
      <w:jc w:val="center"/>
    </w:pPr>
  </w:p>
  <w:p w14:paraId="71185D6A">
    <w:pPr>
      <w:pStyle w:val="2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FD6EC">
    <w:pPr>
      <w:pStyle w:val="23"/>
      <w:jc w:val="center"/>
    </w:pPr>
    <w:r>
      <w:fldChar w:fldCharType="begin"/>
    </w:r>
    <w:r>
      <w:instrText xml:space="preserve"> PAGE   \* MERGEFORMAT </w:instrText>
    </w:r>
    <w:r>
      <w:fldChar w:fldCharType="separate"/>
    </w:r>
    <w:r>
      <w:rPr>
        <w:lang w:val="zh-CN"/>
      </w:rPr>
      <w:t>76</w:t>
    </w:r>
    <w:r>
      <w:fldChar w:fldCharType="end"/>
    </w:r>
  </w:p>
  <w:p w14:paraId="0BE4FA69">
    <w:pPr>
      <w:pStyle w:val="2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14594">
    <w:pPr>
      <w:pStyle w:val="23"/>
      <w:framePr w:wrap="around" w:vAnchor="text" w:hAnchor="margin" w:xAlign="center" w:y="1"/>
      <w:rPr>
        <w:rStyle w:val="40"/>
      </w:rPr>
    </w:pPr>
    <w:r>
      <w:fldChar w:fldCharType="begin"/>
    </w:r>
    <w:r>
      <w:rPr>
        <w:rStyle w:val="40"/>
      </w:rPr>
      <w:instrText xml:space="preserve">PAGE  </w:instrText>
    </w:r>
    <w:r>
      <w:fldChar w:fldCharType="end"/>
    </w:r>
  </w:p>
  <w:p w14:paraId="0EA6E342">
    <w:pPr>
      <w:pStyle w:val="2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0224F">
    <w:pPr>
      <w:pStyle w:val="23"/>
      <w:framePr w:wrap="around" w:vAnchor="text" w:hAnchor="margin" w:xAlign="right" w:y="1"/>
      <w:rPr>
        <w:rStyle w:val="40"/>
      </w:rPr>
    </w:pPr>
    <w:r>
      <w:fldChar w:fldCharType="begin"/>
    </w:r>
    <w:r>
      <w:rPr>
        <w:rStyle w:val="40"/>
      </w:rPr>
      <w:instrText xml:space="preserve">PAGE  </w:instrText>
    </w:r>
    <w:r>
      <w:fldChar w:fldCharType="separate"/>
    </w:r>
    <w:r>
      <w:rPr>
        <w:rStyle w:val="40"/>
      </w:rPr>
      <w:t>122</w:t>
    </w:r>
    <w:r>
      <w:fldChar w:fldCharType="end"/>
    </w:r>
  </w:p>
  <w:p w14:paraId="1B40DF9B">
    <w:pPr>
      <w:pStyle w:val="23"/>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82F9B">
    <w:pPr>
      <w:pStyle w:val="23"/>
      <w:jc w:val="center"/>
    </w:pPr>
  </w:p>
  <w:p w14:paraId="36E71551">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EC3B6">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15BC882">
                          <w:pPr>
                            <w:pStyle w:val="23"/>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315BC882">
                    <w:pPr>
                      <w:pStyle w:val="23"/>
                    </w:pPr>
                    <w:r>
                      <w:fldChar w:fldCharType="begin"/>
                    </w:r>
                    <w:r>
                      <w:instrText xml:space="preserve"> PAGE  \* MERGEFORMAT </w:instrText>
                    </w:r>
                    <w:r>
                      <w:fldChar w:fldCharType="separate"/>
                    </w:r>
                    <w:r>
                      <w:t>42</w:t>
                    </w:r>
                    <w:r>
                      <w:fldChar w:fldCharType="end"/>
                    </w:r>
                  </w:p>
                </w:txbxContent>
              </v:textbox>
            </v:shape>
          </w:pict>
        </mc:Fallback>
      </mc:AlternateContent>
    </w:r>
  </w:p>
  <w:p w14:paraId="11971FA5">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354E6">
    <w:pPr>
      <w:pStyle w:val="23"/>
      <w:framePr w:wrap="around" w:vAnchor="text" w:hAnchor="margin" w:xAlign="center" w:y="1"/>
      <w:rPr>
        <w:rStyle w:val="40"/>
      </w:rPr>
    </w:pPr>
    <w:r>
      <w:fldChar w:fldCharType="begin"/>
    </w:r>
    <w:r>
      <w:rPr>
        <w:rStyle w:val="40"/>
      </w:rPr>
      <w:instrText xml:space="preserve">PAGE  </w:instrText>
    </w:r>
    <w:r>
      <w:fldChar w:fldCharType="end"/>
    </w:r>
  </w:p>
  <w:p w14:paraId="64DCE786">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AAE9D">
    <w:pPr>
      <w:pStyle w:val="23"/>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FF5B9B8">
                          <w:pPr>
                            <w:pStyle w:val="23"/>
                          </w:pPr>
                          <w:r>
                            <w:fldChar w:fldCharType="begin"/>
                          </w:r>
                          <w:r>
                            <w:instrText xml:space="preserve"> PAGE  \* MERGEFORMAT </w:instrText>
                          </w:r>
                          <w:r>
                            <w:fldChar w:fldCharType="separate"/>
                          </w:r>
                          <w:r>
                            <w:t>48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FF5B9B8">
                    <w:pPr>
                      <w:pStyle w:val="23"/>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7B13B">
    <w:pPr>
      <w:spacing w:line="176" w:lineRule="auto"/>
      <w:ind w:left="4674"/>
      <w:rPr>
        <w:rFonts w:eastAsia="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8F7B9C">
                          <w:pPr>
                            <w:pStyle w:val="2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cOrUyAgAAZ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6hgr0jScYSKlvvRohW7b&#10;nXluTXkETWf6SfGWrxuUsmE+3DGH0UD5eDzhFkslDVKas0VJbdzXf53HeHQMXkpajFpBNV4WJfKD&#10;RicBGAbDDcZ2MPRe3RjMLpqDWpKJCy7IwaycUV/wopYxB1xMc2QqaBjMm9CPO14kF8tlCsLsWRY2&#10;+t7yCB3l8Xa5D5AzqRxF6ZVAd+IG05f6dH4pcbz/3Ke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9w6tTICAABlBAAADgAAAAAAAAABACAAAAAfAQAAZHJzL2Uyb0RvYy54bWxQSwUG&#10;AAAAAAYABgBZAQAAwwUAAAAA&#10;">
              <v:fill on="f" focussize="0,0"/>
              <v:stroke on="f" weight="0.5pt"/>
              <v:imagedata o:title=""/>
              <o:lock v:ext="edit" aspectratio="f"/>
              <v:textbox inset="0mm,0mm,0mm,0mm" style="mso-fit-shape-to-text:t;">
                <w:txbxContent>
                  <w:p w14:paraId="798F7B9C">
                    <w:pPr>
                      <w:pStyle w:val="2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558FF">
    <w:pPr>
      <w:pStyle w:val="2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10DA248">
                          <w:pPr>
                            <w:pStyle w:val="23"/>
                          </w:pPr>
                          <w:r>
                            <w:fldChar w:fldCharType="begin"/>
                          </w:r>
                          <w:r>
                            <w:instrText xml:space="preserve"> PAGE  \* MERGEFORMAT </w:instrText>
                          </w:r>
                          <w:r>
                            <w:fldChar w:fldCharType="separate"/>
                          </w:r>
                          <w:r>
                            <w:t>67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010DA248">
                    <w:pPr>
                      <w:pStyle w:val="23"/>
                    </w:pPr>
                    <w:r>
                      <w:fldChar w:fldCharType="begin"/>
                    </w:r>
                    <w:r>
                      <w:instrText xml:space="preserve"> PAGE  \* MERGEFORMAT </w:instrText>
                    </w:r>
                    <w:r>
                      <w:fldChar w:fldCharType="separate"/>
                    </w:r>
                    <w:r>
                      <w:t>67</w:t>
                    </w:r>
                    <w:r>
                      <w:fldChar w:fldCharType="end"/>
                    </w:r>
                  </w:p>
                </w:txbxContent>
              </v:textbox>
            </v:shape>
          </w:pict>
        </mc:Fallback>
      </mc:AlternateContent>
    </w:r>
  </w:p>
  <w:p w14:paraId="52741896">
    <w:pPr>
      <w:pStyle w:val="2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014D1">
    <w:pPr>
      <w:pStyle w:val="23"/>
      <w:framePr w:wrap="around" w:vAnchor="text" w:hAnchor="margin" w:xAlign="center" w:y="1"/>
      <w:rPr>
        <w:rStyle w:val="40"/>
      </w:rPr>
    </w:pPr>
    <w:r>
      <w:fldChar w:fldCharType="begin"/>
    </w:r>
    <w:r>
      <w:rPr>
        <w:rStyle w:val="40"/>
      </w:rPr>
      <w:instrText xml:space="preserve">PAGE  </w:instrText>
    </w:r>
    <w:r>
      <w:fldChar w:fldCharType="end"/>
    </w:r>
  </w:p>
  <w:p w14:paraId="735B929B">
    <w:pPr>
      <w:pStyle w:val="2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F4E6">
    <w:pPr>
      <w:pStyle w:val="23"/>
      <w:framePr w:wrap="around" w:vAnchor="text" w:hAnchor="margin" w:xAlign="right" w:y="1"/>
      <w:rPr>
        <w:rStyle w:val="40"/>
      </w:rPr>
    </w:pPr>
    <w:r>
      <w:fldChar w:fldCharType="begin"/>
    </w:r>
    <w:r>
      <w:rPr>
        <w:rStyle w:val="40"/>
      </w:rPr>
      <w:instrText xml:space="preserve">PAGE  </w:instrText>
    </w:r>
    <w:r>
      <w:fldChar w:fldCharType="separate"/>
    </w:r>
    <w:r>
      <w:rPr>
        <w:rStyle w:val="40"/>
      </w:rPr>
      <w:t>122</w:t>
    </w:r>
    <w:r>
      <w:fldChar w:fldCharType="end"/>
    </w:r>
  </w:p>
  <w:p w14:paraId="6F42E55B">
    <w:pPr>
      <w:pStyle w:val="23"/>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4BC94">
    <w:r>
      <w:rPr>
        <w:rFonts w:hint="eastAsia"/>
      </w:rPr>
      <w:t xml:space="preserve">                                                          </w:t>
    </w:r>
  </w:p>
  <w:p w14:paraId="1BB3710E">
    <w:pPr>
      <w:pStyle w:val="24"/>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CE5BC">
    <w:pPr>
      <w:pStyle w:val="24"/>
      <w:pBdr>
        <w:bottom w:val="none" w:color="auto" w:sz="0" w:space="0"/>
      </w:pBdr>
      <w:tabs>
        <w:tab w:val="center" w:pos="0"/>
        <w:tab w:val="left" w:pos="8306"/>
        <w:tab w:val="clear" w:pos="41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A0743">
    <w:pPr>
      <w:pStyle w:val="24"/>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B3990"/>
    <w:multiLevelType w:val="singleLevel"/>
    <w:tmpl w:val="952B3990"/>
    <w:lvl w:ilvl="0" w:tentative="0">
      <w:start w:val="1"/>
      <w:numFmt w:val="decimal"/>
      <w:suff w:val="nothing"/>
      <w:lvlText w:val="（%1）"/>
      <w:lvlJc w:val="left"/>
      <w:pPr>
        <w:tabs>
          <w:tab w:val="left" w:pos="0"/>
        </w:tabs>
        <w:ind w:left="425" w:hanging="425"/>
      </w:pPr>
      <w:rPr>
        <w:rFonts w:hint="default"/>
      </w:rPr>
    </w:lvl>
  </w:abstractNum>
  <w:abstractNum w:abstractNumId="1">
    <w:nsid w:val="C82C5DF5"/>
    <w:multiLevelType w:val="singleLevel"/>
    <w:tmpl w:val="C82C5DF5"/>
    <w:lvl w:ilvl="0" w:tentative="0">
      <w:start w:val="2"/>
      <w:numFmt w:val="chineseCounting"/>
      <w:suff w:val="nothing"/>
      <w:lvlText w:val="（%1）"/>
      <w:lvlJc w:val="left"/>
      <w:rPr>
        <w:rFonts w:hint="eastAsia"/>
      </w:rPr>
    </w:lvl>
  </w:abstractNum>
  <w:abstractNum w:abstractNumId="2">
    <w:nsid w:val="DA4DB682"/>
    <w:multiLevelType w:val="singleLevel"/>
    <w:tmpl w:val="DA4DB682"/>
    <w:lvl w:ilvl="0" w:tentative="0">
      <w:start w:val="1"/>
      <w:numFmt w:val="decimal"/>
      <w:suff w:val="nothing"/>
      <w:lvlText w:val="%1）"/>
      <w:lvlJc w:val="left"/>
      <w:pPr>
        <w:tabs>
          <w:tab w:val="left" w:pos="0"/>
        </w:tabs>
        <w:ind w:left="0" w:firstLine="0"/>
      </w:pPr>
      <w:rPr>
        <w:rFonts w:hint="default"/>
      </w:rPr>
    </w:lvl>
  </w:abstractNum>
  <w:abstractNum w:abstractNumId="3">
    <w:nsid w:val="FFFEFB80"/>
    <w:multiLevelType w:val="singleLevel"/>
    <w:tmpl w:val="FFFEFB80"/>
    <w:lvl w:ilvl="0" w:tentative="0">
      <w:start w:val="11"/>
      <w:numFmt w:val="chineseCounting"/>
      <w:suff w:val="nothing"/>
      <w:lvlText w:val="%1、"/>
      <w:lvlJc w:val="left"/>
      <w:rPr>
        <w:rFonts w:hint="eastAsia"/>
      </w:rPr>
    </w:lvl>
  </w:abstractNum>
  <w:abstractNum w:abstractNumId="4">
    <w:nsid w:val="061D1B42"/>
    <w:multiLevelType w:val="singleLevel"/>
    <w:tmpl w:val="061D1B42"/>
    <w:lvl w:ilvl="0" w:tentative="0">
      <w:start w:val="1"/>
      <w:numFmt w:val="decimal"/>
      <w:suff w:val="nothing"/>
      <w:lvlText w:val="（%1）"/>
      <w:lvlJc w:val="left"/>
      <w:pPr>
        <w:tabs>
          <w:tab w:val="left" w:pos="0"/>
        </w:tabs>
      </w:pPr>
      <w:rPr>
        <w:rFonts w:hint="default"/>
      </w:rPr>
    </w:lvl>
  </w:abstractNum>
  <w:abstractNum w:abstractNumId="5">
    <w:nsid w:val="1249282A"/>
    <w:multiLevelType w:val="singleLevel"/>
    <w:tmpl w:val="1249282A"/>
    <w:lvl w:ilvl="0" w:tentative="0">
      <w:start w:val="1"/>
      <w:numFmt w:val="decimal"/>
      <w:suff w:val="nothing"/>
      <w:lvlText w:val="（%1）"/>
      <w:lvlJc w:val="left"/>
      <w:pPr>
        <w:tabs>
          <w:tab w:val="left" w:pos="0"/>
        </w:tabs>
        <w:ind w:left="425" w:hanging="425"/>
      </w:pPr>
      <w:rPr>
        <w:rFonts w:hint="default"/>
      </w:rPr>
    </w:lvl>
  </w:abstractNum>
  <w:abstractNum w:abstractNumId="6">
    <w:nsid w:val="35136CC9"/>
    <w:multiLevelType w:val="singleLevel"/>
    <w:tmpl w:val="35136CC9"/>
    <w:lvl w:ilvl="0" w:tentative="0">
      <w:start w:val="1"/>
      <w:numFmt w:val="decimal"/>
      <w:suff w:val="nothing"/>
      <w:lvlText w:val="（%1）"/>
      <w:lvlJc w:val="left"/>
      <w:pPr>
        <w:tabs>
          <w:tab w:val="left" w:pos="0"/>
        </w:tabs>
        <w:ind w:left="425" w:hanging="425"/>
      </w:pPr>
      <w:rPr>
        <w:rFonts w:hint="default"/>
      </w:rPr>
    </w:lvl>
  </w:abstractNum>
  <w:abstractNum w:abstractNumId="7">
    <w:nsid w:val="382C43F4"/>
    <w:multiLevelType w:val="singleLevel"/>
    <w:tmpl w:val="382C43F4"/>
    <w:lvl w:ilvl="0" w:tentative="0">
      <w:start w:val="1"/>
      <w:numFmt w:val="decimal"/>
      <w:suff w:val="nothing"/>
      <w:lvlText w:val="%1）"/>
      <w:lvlJc w:val="left"/>
      <w:pPr>
        <w:tabs>
          <w:tab w:val="left" w:pos="0"/>
        </w:tabs>
        <w:ind w:left="0" w:firstLine="0"/>
      </w:pPr>
      <w:rPr>
        <w:rFonts w:hint="default"/>
      </w:rPr>
    </w:lvl>
  </w:abstractNum>
  <w:abstractNum w:abstractNumId="8">
    <w:nsid w:val="38F81C10"/>
    <w:multiLevelType w:val="singleLevel"/>
    <w:tmpl w:val="38F81C10"/>
    <w:lvl w:ilvl="0" w:tentative="0">
      <w:start w:val="1"/>
      <w:numFmt w:val="decimal"/>
      <w:suff w:val="nothing"/>
      <w:lvlText w:val="%1）"/>
      <w:lvlJc w:val="left"/>
      <w:pPr>
        <w:tabs>
          <w:tab w:val="left" w:pos="0"/>
        </w:tabs>
        <w:ind w:left="0" w:firstLine="0"/>
      </w:pPr>
      <w:rPr>
        <w:rFonts w:hint="default"/>
      </w:rPr>
    </w:lvl>
  </w:abstractNum>
  <w:abstractNum w:abstractNumId="9">
    <w:nsid w:val="3D5109C9"/>
    <w:multiLevelType w:val="singleLevel"/>
    <w:tmpl w:val="3D5109C9"/>
    <w:lvl w:ilvl="0" w:tentative="0">
      <w:start w:val="1"/>
      <w:numFmt w:val="decimal"/>
      <w:suff w:val="nothing"/>
      <w:lvlText w:val="（%1）"/>
      <w:lvlJc w:val="left"/>
      <w:pPr>
        <w:tabs>
          <w:tab w:val="left" w:pos="0"/>
        </w:tabs>
        <w:ind w:left="425" w:hanging="425"/>
      </w:pPr>
      <w:rPr>
        <w:rFonts w:hint="default"/>
      </w:rPr>
    </w:lvl>
  </w:abstractNum>
  <w:abstractNum w:abstractNumId="10">
    <w:nsid w:val="4C601917"/>
    <w:multiLevelType w:val="singleLevel"/>
    <w:tmpl w:val="4C601917"/>
    <w:lvl w:ilvl="0" w:tentative="0">
      <w:start w:val="1"/>
      <w:numFmt w:val="decimal"/>
      <w:suff w:val="nothing"/>
      <w:lvlText w:val="（%1）"/>
      <w:lvlJc w:val="left"/>
    </w:lvl>
  </w:abstractNum>
  <w:abstractNum w:abstractNumId="11">
    <w:nsid w:val="4FD31870"/>
    <w:multiLevelType w:val="multilevel"/>
    <w:tmpl w:val="4FD31870"/>
    <w:lvl w:ilvl="0" w:tentative="0">
      <w:start w:val="1"/>
      <w:numFmt w:val="decimal"/>
      <w:lvlText w:val="%1"/>
      <w:lvlJc w:val="right"/>
      <w:pPr>
        <w:ind w:left="416" w:hanging="132"/>
      </w:pPr>
      <w:rPr>
        <w:rFonts w:hint="eastAsia" w:ascii="宋体" w:hAnsi="宋体" w:eastAsia="宋体"/>
        <w:b w:val="0"/>
        <w:i w:val="0"/>
        <w:sz w:val="21"/>
      </w:rPr>
    </w:lvl>
    <w:lvl w:ilvl="1" w:tentative="0">
      <w:start w:val="1"/>
      <w:numFmt w:val="lowerLetter"/>
      <w:lvlText w:val="%2)"/>
      <w:lvlJc w:val="left"/>
      <w:pPr>
        <w:ind w:left="836" w:hanging="420"/>
      </w:pPr>
    </w:lvl>
    <w:lvl w:ilvl="2" w:tentative="0">
      <w:start w:val="1"/>
      <w:numFmt w:val="lowerRoman"/>
      <w:lvlText w:val="%3."/>
      <w:lvlJc w:val="right"/>
      <w:pPr>
        <w:ind w:left="1256" w:hanging="420"/>
      </w:pPr>
    </w:lvl>
    <w:lvl w:ilvl="3" w:tentative="0">
      <w:start w:val="1"/>
      <w:numFmt w:val="decimal"/>
      <w:lvlText w:val="%4."/>
      <w:lvlJc w:val="left"/>
      <w:pPr>
        <w:ind w:left="1676" w:hanging="420"/>
      </w:pPr>
    </w:lvl>
    <w:lvl w:ilvl="4" w:tentative="0">
      <w:start w:val="1"/>
      <w:numFmt w:val="lowerLetter"/>
      <w:lvlText w:val="%5)"/>
      <w:lvlJc w:val="left"/>
      <w:pPr>
        <w:ind w:left="2096" w:hanging="420"/>
      </w:pPr>
    </w:lvl>
    <w:lvl w:ilvl="5" w:tentative="0">
      <w:start w:val="1"/>
      <w:numFmt w:val="lowerRoman"/>
      <w:lvlText w:val="%6."/>
      <w:lvlJc w:val="right"/>
      <w:pPr>
        <w:ind w:left="2516" w:hanging="420"/>
      </w:pPr>
    </w:lvl>
    <w:lvl w:ilvl="6" w:tentative="0">
      <w:start w:val="1"/>
      <w:numFmt w:val="decimal"/>
      <w:lvlText w:val="%7."/>
      <w:lvlJc w:val="left"/>
      <w:pPr>
        <w:ind w:left="2936" w:hanging="420"/>
      </w:pPr>
    </w:lvl>
    <w:lvl w:ilvl="7" w:tentative="0">
      <w:start w:val="1"/>
      <w:numFmt w:val="lowerLetter"/>
      <w:lvlText w:val="%8)"/>
      <w:lvlJc w:val="left"/>
      <w:pPr>
        <w:ind w:left="3356" w:hanging="420"/>
      </w:pPr>
    </w:lvl>
    <w:lvl w:ilvl="8" w:tentative="0">
      <w:start w:val="1"/>
      <w:numFmt w:val="lowerRoman"/>
      <w:lvlText w:val="%9."/>
      <w:lvlJc w:val="right"/>
      <w:pPr>
        <w:ind w:left="3776" w:hanging="420"/>
      </w:pPr>
    </w:lvl>
  </w:abstractNum>
  <w:abstractNum w:abstractNumId="12">
    <w:nsid w:val="5FABD14B"/>
    <w:multiLevelType w:val="singleLevel"/>
    <w:tmpl w:val="5FABD14B"/>
    <w:lvl w:ilvl="0" w:tentative="0">
      <w:start w:val="1"/>
      <w:numFmt w:val="decimal"/>
      <w:suff w:val="nothing"/>
      <w:lvlText w:val="（%1）"/>
      <w:lvlJc w:val="left"/>
    </w:lvl>
  </w:abstractNum>
  <w:abstractNum w:abstractNumId="13">
    <w:nsid w:val="66E674C0"/>
    <w:multiLevelType w:val="singleLevel"/>
    <w:tmpl w:val="66E674C0"/>
    <w:lvl w:ilvl="0" w:tentative="0">
      <w:start w:val="1"/>
      <w:numFmt w:val="decimal"/>
      <w:suff w:val="nothing"/>
      <w:lvlText w:val="（%1）"/>
      <w:lvlJc w:val="left"/>
    </w:lvl>
  </w:abstractNum>
  <w:abstractNum w:abstractNumId="14">
    <w:nsid w:val="6EF6FF13"/>
    <w:multiLevelType w:val="singleLevel"/>
    <w:tmpl w:val="6EF6FF13"/>
    <w:lvl w:ilvl="0" w:tentative="0">
      <w:start w:val="1"/>
      <w:numFmt w:val="decimal"/>
      <w:suff w:val="nothing"/>
      <w:lvlText w:val="%1）"/>
      <w:lvlJc w:val="left"/>
      <w:pPr>
        <w:tabs>
          <w:tab w:val="left" w:pos="0"/>
        </w:tabs>
        <w:ind w:left="0" w:firstLine="0"/>
      </w:pPr>
      <w:rPr>
        <w:rFonts w:hint="default"/>
      </w:rPr>
    </w:lvl>
  </w:abstractNum>
  <w:num w:numId="1">
    <w:abstractNumId w:val="11"/>
  </w:num>
  <w:num w:numId="2">
    <w:abstractNumId w:val="1"/>
  </w:num>
  <w:num w:numId="3">
    <w:abstractNumId w:val="4"/>
  </w:num>
  <w:num w:numId="4">
    <w:abstractNumId w:val="9"/>
  </w:num>
  <w:num w:numId="5">
    <w:abstractNumId w:val="0"/>
  </w:num>
  <w:num w:numId="6">
    <w:abstractNumId w:val="7"/>
  </w:num>
  <w:num w:numId="7">
    <w:abstractNumId w:val="8"/>
  </w:num>
  <w:num w:numId="8">
    <w:abstractNumId w:val="2"/>
  </w:num>
  <w:num w:numId="9">
    <w:abstractNumId w:val="14"/>
  </w:num>
  <w:num w:numId="10">
    <w:abstractNumId w:val="6"/>
  </w:num>
  <w:num w:numId="11">
    <w:abstractNumId w:val="5"/>
  </w:num>
  <w:num w:numId="12">
    <w:abstractNumId w:val="13"/>
  </w:num>
  <w:num w:numId="13">
    <w:abstractNumId w:val="10"/>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3Y2MwMGM3Y2U2MjI1YWY0Yjc2ZTUwYWVhZjM1MDMifQ=="/>
  </w:docVars>
  <w:rsids>
    <w:rsidRoot w:val="00172A27"/>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4EDB"/>
    <w:rsid w:val="00054304"/>
    <w:rsid w:val="000553BC"/>
    <w:rsid w:val="00056551"/>
    <w:rsid w:val="0006218D"/>
    <w:rsid w:val="00063F24"/>
    <w:rsid w:val="00065AF0"/>
    <w:rsid w:val="00066EA9"/>
    <w:rsid w:val="00066FE1"/>
    <w:rsid w:val="00074D5F"/>
    <w:rsid w:val="00076A60"/>
    <w:rsid w:val="00077BF5"/>
    <w:rsid w:val="00081789"/>
    <w:rsid w:val="00085A0D"/>
    <w:rsid w:val="00091465"/>
    <w:rsid w:val="00091613"/>
    <w:rsid w:val="00092A54"/>
    <w:rsid w:val="00092F65"/>
    <w:rsid w:val="0009317E"/>
    <w:rsid w:val="00093B18"/>
    <w:rsid w:val="00094E84"/>
    <w:rsid w:val="000A2A37"/>
    <w:rsid w:val="000A7A4B"/>
    <w:rsid w:val="000B5A03"/>
    <w:rsid w:val="000C302E"/>
    <w:rsid w:val="000C5D44"/>
    <w:rsid w:val="000D5F48"/>
    <w:rsid w:val="000D7284"/>
    <w:rsid w:val="000E6783"/>
    <w:rsid w:val="000F1BBE"/>
    <w:rsid w:val="001031E7"/>
    <w:rsid w:val="00104021"/>
    <w:rsid w:val="00104245"/>
    <w:rsid w:val="001108AC"/>
    <w:rsid w:val="00110DD2"/>
    <w:rsid w:val="0011187C"/>
    <w:rsid w:val="00115EF7"/>
    <w:rsid w:val="00116FC9"/>
    <w:rsid w:val="00120C46"/>
    <w:rsid w:val="00125837"/>
    <w:rsid w:val="001306A8"/>
    <w:rsid w:val="00140B14"/>
    <w:rsid w:val="00140CE8"/>
    <w:rsid w:val="00143DA6"/>
    <w:rsid w:val="00151CEE"/>
    <w:rsid w:val="0015209C"/>
    <w:rsid w:val="00153F82"/>
    <w:rsid w:val="001551E7"/>
    <w:rsid w:val="00170AA7"/>
    <w:rsid w:val="00172A27"/>
    <w:rsid w:val="00173852"/>
    <w:rsid w:val="00174F9B"/>
    <w:rsid w:val="00177D95"/>
    <w:rsid w:val="00181460"/>
    <w:rsid w:val="00182C28"/>
    <w:rsid w:val="0018337B"/>
    <w:rsid w:val="00190F4C"/>
    <w:rsid w:val="00193D49"/>
    <w:rsid w:val="0019577E"/>
    <w:rsid w:val="00196B29"/>
    <w:rsid w:val="001B1366"/>
    <w:rsid w:val="001B2BDE"/>
    <w:rsid w:val="001B2FAE"/>
    <w:rsid w:val="001B604F"/>
    <w:rsid w:val="001C2E44"/>
    <w:rsid w:val="001D047F"/>
    <w:rsid w:val="001E0216"/>
    <w:rsid w:val="001E0590"/>
    <w:rsid w:val="001E3E3A"/>
    <w:rsid w:val="001E4E53"/>
    <w:rsid w:val="001E6153"/>
    <w:rsid w:val="001E6C5D"/>
    <w:rsid w:val="001E7AB6"/>
    <w:rsid w:val="001F330A"/>
    <w:rsid w:val="001F4D3C"/>
    <w:rsid w:val="00201770"/>
    <w:rsid w:val="00204164"/>
    <w:rsid w:val="00204F25"/>
    <w:rsid w:val="00205999"/>
    <w:rsid w:val="00207350"/>
    <w:rsid w:val="00207DB7"/>
    <w:rsid w:val="00221909"/>
    <w:rsid w:val="002230A4"/>
    <w:rsid w:val="00231EAB"/>
    <w:rsid w:val="00232E04"/>
    <w:rsid w:val="00236055"/>
    <w:rsid w:val="00236B7D"/>
    <w:rsid w:val="00241686"/>
    <w:rsid w:val="00242C6C"/>
    <w:rsid w:val="00244627"/>
    <w:rsid w:val="002563B4"/>
    <w:rsid w:val="0025753A"/>
    <w:rsid w:val="00262C01"/>
    <w:rsid w:val="00267004"/>
    <w:rsid w:val="002738BD"/>
    <w:rsid w:val="002867CF"/>
    <w:rsid w:val="00293976"/>
    <w:rsid w:val="00297271"/>
    <w:rsid w:val="002B3400"/>
    <w:rsid w:val="002B4610"/>
    <w:rsid w:val="002C0483"/>
    <w:rsid w:val="002C1328"/>
    <w:rsid w:val="002C27F2"/>
    <w:rsid w:val="002C38A0"/>
    <w:rsid w:val="002C7DD7"/>
    <w:rsid w:val="002D2EF2"/>
    <w:rsid w:val="002E0A18"/>
    <w:rsid w:val="002E6BA4"/>
    <w:rsid w:val="002F55FD"/>
    <w:rsid w:val="002F667D"/>
    <w:rsid w:val="003014B1"/>
    <w:rsid w:val="003051FD"/>
    <w:rsid w:val="00305816"/>
    <w:rsid w:val="00315EB2"/>
    <w:rsid w:val="003162D6"/>
    <w:rsid w:val="00316994"/>
    <w:rsid w:val="00320B19"/>
    <w:rsid w:val="00322C10"/>
    <w:rsid w:val="00327461"/>
    <w:rsid w:val="00330EE9"/>
    <w:rsid w:val="003331F5"/>
    <w:rsid w:val="00337A9F"/>
    <w:rsid w:val="00344631"/>
    <w:rsid w:val="00346976"/>
    <w:rsid w:val="00347950"/>
    <w:rsid w:val="00353905"/>
    <w:rsid w:val="00355191"/>
    <w:rsid w:val="00366E54"/>
    <w:rsid w:val="0037075A"/>
    <w:rsid w:val="00371C87"/>
    <w:rsid w:val="0037336B"/>
    <w:rsid w:val="00380673"/>
    <w:rsid w:val="003809BA"/>
    <w:rsid w:val="00384EB6"/>
    <w:rsid w:val="003868E3"/>
    <w:rsid w:val="0039417D"/>
    <w:rsid w:val="003A3917"/>
    <w:rsid w:val="003A56F9"/>
    <w:rsid w:val="003A622A"/>
    <w:rsid w:val="003B031E"/>
    <w:rsid w:val="003B31F1"/>
    <w:rsid w:val="003B7C9A"/>
    <w:rsid w:val="003C027A"/>
    <w:rsid w:val="003C393F"/>
    <w:rsid w:val="003D3465"/>
    <w:rsid w:val="003D478D"/>
    <w:rsid w:val="003D7400"/>
    <w:rsid w:val="003E0AD4"/>
    <w:rsid w:val="003E1425"/>
    <w:rsid w:val="003E64C1"/>
    <w:rsid w:val="003F1067"/>
    <w:rsid w:val="003F1F9C"/>
    <w:rsid w:val="003F280E"/>
    <w:rsid w:val="003F7B0D"/>
    <w:rsid w:val="004029ED"/>
    <w:rsid w:val="00403AA3"/>
    <w:rsid w:val="0040651A"/>
    <w:rsid w:val="00431C3B"/>
    <w:rsid w:val="00435268"/>
    <w:rsid w:val="0044023A"/>
    <w:rsid w:val="004437ED"/>
    <w:rsid w:val="0044600A"/>
    <w:rsid w:val="00447BDE"/>
    <w:rsid w:val="00450ADB"/>
    <w:rsid w:val="00452102"/>
    <w:rsid w:val="004531C4"/>
    <w:rsid w:val="0046694A"/>
    <w:rsid w:val="0046760D"/>
    <w:rsid w:val="00467833"/>
    <w:rsid w:val="00474447"/>
    <w:rsid w:val="004820E2"/>
    <w:rsid w:val="004853B6"/>
    <w:rsid w:val="004861BA"/>
    <w:rsid w:val="00486E44"/>
    <w:rsid w:val="0049027F"/>
    <w:rsid w:val="004925A4"/>
    <w:rsid w:val="004929AD"/>
    <w:rsid w:val="004A0443"/>
    <w:rsid w:val="004A5F2A"/>
    <w:rsid w:val="004A6736"/>
    <w:rsid w:val="004B49D2"/>
    <w:rsid w:val="004C5B3E"/>
    <w:rsid w:val="004E126C"/>
    <w:rsid w:val="004F5BCD"/>
    <w:rsid w:val="005033B8"/>
    <w:rsid w:val="00503A40"/>
    <w:rsid w:val="00506840"/>
    <w:rsid w:val="00511A25"/>
    <w:rsid w:val="00513200"/>
    <w:rsid w:val="00517D40"/>
    <w:rsid w:val="00520861"/>
    <w:rsid w:val="00521880"/>
    <w:rsid w:val="00525C35"/>
    <w:rsid w:val="005279FB"/>
    <w:rsid w:val="00532BF5"/>
    <w:rsid w:val="0053541C"/>
    <w:rsid w:val="005458AD"/>
    <w:rsid w:val="0054778A"/>
    <w:rsid w:val="0055409E"/>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8CC"/>
    <w:rsid w:val="00631BAB"/>
    <w:rsid w:val="006406A8"/>
    <w:rsid w:val="00640B4E"/>
    <w:rsid w:val="00641D5B"/>
    <w:rsid w:val="00644AAD"/>
    <w:rsid w:val="00653CDE"/>
    <w:rsid w:val="00656442"/>
    <w:rsid w:val="006612A5"/>
    <w:rsid w:val="00661DA0"/>
    <w:rsid w:val="006632E6"/>
    <w:rsid w:val="00670E85"/>
    <w:rsid w:val="0067703D"/>
    <w:rsid w:val="006831E3"/>
    <w:rsid w:val="00691B1A"/>
    <w:rsid w:val="00695425"/>
    <w:rsid w:val="006A101B"/>
    <w:rsid w:val="006A6DC8"/>
    <w:rsid w:val="006B57A8"/>
    <w:rsid w:val="006C015A"/>
    <w:rsid w:val="006C2360"/>
    <w:rsid w:val="006C55A9"/>
    <w:rsid w:val="006C5999"/>
    <w:rsid w:val="006D0A1B"/>
    <w:rsid w:val="006D6A62"/>
    <w:rsid w:val="006F0015"/>
    <w:rsid w:val="00707FF2"/>
    <w:rsid w:val="00715456"/>
    <w:rsid w:val="00717D53"/>
    <w:rsid w:val="0072132B"/>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3B6C"/>
    <w:rsid w:val="00773FEE"/>
    <w:rsid w:val="00781DF2"/>
    <w:rsid w:val="00790B95"/>
    <w:rsid w:val="007937A3"/>
    <w:rsid w:val="007B4684"/>
    <w:rsid w:val="007C09EA"/>
    <w:rsid w:val="007C170D"/>
    <w:rsid w:val="007C2309"/>
    <w:rsid w:val="007C3B9F"/>
    <w:rsid w:val="007C4D61"/>
    <w:rsid w:val="007D5273"/>
    <w:rsid w:val="007D6581"/>
    <w:rsid w:val="007D6EBC"/>
    <w:rsid w:val="007F0A33"/>
    <w:rsid w:val="007F1D2B"/>
    <w:rsid w:val="007F4D7D"/>
    <w:rsid w:val="007F717F"/>
    <w:rsid w:val="008176CE"/>
    <w:rsid w:val="008232D5"/>
    <w:rsid w:val="00823F88"/>
    <w:rsid w:val="0082700E"/>
    <w:rsid w:val="008300D6"/>
    <w:rsid w:val="008416BF"/>
    <w:rsid w:val="00843D45"/>
    <w:rsid w:val="00852105"/>
    <w:rsid w:val="0085544C"/>
    <w:rsid w:val="008604A4"/>
    <w:rsid w:val="008606F1"/>
    <w:rsid w:val="00860D9E"/>
    <w:rsid w:val="00862516"/>
    <w:rsid w:val="0086784A"/>
    <w:rsid w:val="008811BB"/>
    <w:rsid w:val="00884C48"/>
    <w:rsid w:val="0089747C"/>
    <w:rsid w:val="008974F2"/>
    <w:rsid w:val="008A2903"/>
    <w:rsid w:val="008A6161"/>
    <w:rsid w:val="008C4798"/>
    <w:rsid w:val="008D3FFB"/>
    <w:rsid w:val="008D43F8"/>
    <w:rsid w:val="008E268A"/>
    <w:rsid w:val="008E3451"/>
    <w:rsid w:val="008E53FF"/>
    <w:rsid w:val="00904A9B"/>
    <w:rsid w:val="00905884"/>
    <w:rsid w:val="00913ABE"/>
    <w:rsid w:val="00920D6C"/>
    <w:rsid w:val="009276D5"/>
    <w:rsid w:val="00942D58"/>
    <w:rsid w:val="00942FDE"/>
    <w:rsid w:val="00952863"/>
    <w:rsid w:val="009528FA"/>
    <w:rsid w:val="0096166D"/>
    <w:rsid w:val="00986C7E"/>
    <w:rsid w:val="009911B9"/>
    <w:rsid w:val="009924D4"/>
    <w:rsid w:val="009961B0"/>
    <w:rsid w:val="009963BC"/>
    <w:rsid w:val="009A2C02"/>
    <w:rsid w:val="009A5ADB"/>
    <w:rsid w:val="009A6C00"/>
    <w:rsid w:val="009B644A"/>
    <w:rsid w:val="009B67C7"/>
    <w:rsid w:val="009C3D9F"/>
    <w:rsid w:val="009C60E6"/>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7ECC"/>
    <w:rsid w:val="00A41DC7"/>
    <w:rsid w:val="00A4364F"/>
    <w:rsid w:val="00A438EE"/>
    <w:rsid w:val="00A5424F"/>
    <w:rsid w:val="00A54EBE"/>
    <w:rsid w:val="00A56CB5"/>
    <w:rsid w:val="00A64717"/>
    <w:rsid w:val="00A748C9"/>
    <w:rsid w:val="00A77398"/>
    <w:rsid w:val="00A80C51"/>
    <w:rsid w:val="00A81EDF"/>
    <w:rsid w:val="00A83A62"/>
    <w:rsid w:val="00A929CC"/>
    <w:rsid w:val="00A9536F"/>
    <w:rsid w:val="00A95495"/>
    <w:rsid w:val="00A955F2"/>
    <w:rsid w:val="00AA0FBE"/>
    <w:rsid w:val="00AA4479"/>
    <w:rsid w:val="00AA48D1"/>
    <w:rsid w:val="00AB7E31"/>
    <w:rsid w:val="00AD2F5B"/>
    <w:rsid w:val="00AD464B"/>
    <w:rsid w:val="00AD7E81"/>
    <w:rsid w:val="00AE0FF5"/>
    <w:rsid w:val="00AE127D"/>
    <w:rsid w:val="00AF12E5"/>
    <w:rsid w:val="00AF7D70"/>
    <w:rsid w:val="00B017FE"/>
    <w:rsid w:val="00B05D04"/>
    <w:rsid w:val="00B17E63"/>
    <w:rsid w:val="00B17F7F"/>
    <w:rsid w:val="00B20869"/>
    <w:rsid w:val="00B211ED"/>
    <w:rsid w:val="00B319D0"/>
    <w:rsid w:val="00B33B3B"/>
    <w:rsid w:val="00B46613"/>
    <w:rsid w:val="00B50B55"/>
    <w:rsid w:val="00B52B37"/>
    <w:rsid w:val="00B548FD"/>
    <w:rsid w:val="00B556FB"/>
    <w:rsid w:val="00B56361"/>
    <w:rsid w:val="00B61746"/>
    <w:rsid w:val="00B62005"/>
    <w:rsid w:val="00B67934"/>
    <w:rsid w:val="00B76FFB"/>
    <w:rsid w:val="00B77817"/>
    <w:rsid w:val="00B7795B"/>
    <w:rsid w:val="00B77961"/>
    <w:rsid w:val="00B803FE"/>
    <w:rsid w:val="00B84C74"/>
    <w:rsid w:val="00B94CF1"/>
    <w:rsid w:val="00BA2379"/>
    <w:rsid w:val="00BA6F13"/>
    <w:rsid w:val="00BB3A8E"/>
    <w:rsid w:val="00BB5CD0"/>
    <w:rsid w:val="00BB7111"/>
    <w:rsid w:val="00BC0690"/>
    <w:rsid w:val="00BC4D83"/>
    <w:rsid w:val="00BC6D1F"/>
    <w:rsid w:val="00BD1CD3"/>
    <w:rsid w:val="00BE0F5B"/>
    <w:rsid w:val="00BE242C"/>
    <w:rsid w:val="00BF2DE4"/>
    <w:rsid w:val="00BF4E4B"/>
    <w:rsid w:val="00BF7045"/>
    <w:rsid w:val="00C03881"/>
    <w:rsid w:val="00C03EC3"/>
    <w:rsid w:val="00C051BA"/>
    <w:rsid w:val="00C052AB"/>
    <w:rsid w:val="00C114D9"/>
    <w:rsid w:val="00C115C2"/>
    <w:rsid w:val="00C12A33"/>
    <w:rsid w:val="00C20A8B"/>
    <w:rsid w:val="00C234FA"/>
    <w:rsid w:val="00C31DD3"/>
    <w:rsid w:val="00C3405B"/>
    <w:rsid w:val="00C510B7"/>
    <w:rsid w:val="00C54574"/>
    <w:rsid w:val="00C67F26"/>
    <w:rsid w:val="00C72985"/>
    <w:rsid w:val="00C73607"/>
    <w:rsid w:val="00C7554B"/>
    <w:rsid w:val="00C7749B"/>
    <w:rsid w:val="00C82DE7"/>
    <w:rsid w:val="00C90F87"/>
    <w:rsid w:val="00C91EA9"/>
    <w:rsid w:val="00CB10A1"/>
    <w:rsid w:val="00CB1671"/>
    <w:rsid w:val="00CB3128"/>
    <w:rsid w:val="00CB582D"/>
    <w:rsid w:val="00CB63FC"/>
    <w:rsid w:val="00CB78F3"/>
    <w:rsid w:val="00CC1E96"/>
    <w:rsid w:val="00CC7527"/>
    <w:rsid w:val="00CD60E2"/>
    <w:rsid w:val="00CF37DE"/>
    <w:rsid w:val="00CF45D0"/>
    <w:rsid w:val="00CF4883"/>
    <w:rsid w:val="00CF6FCC"/>
    <w:rsid w:val="00D0620B"/>
    <w:rsid w:val="00D06972"/>
    <w:rsid w:val="00D21461"/>
    <w:rsid w:val="00D22BE5"/>
    <w:rsid w:val="00D30B85"/>
    <w:rsid w:val="00D37A63"/>
    <w:rsid w:val="00D44310"/>
    <w:rsid w:val="00D44B33"/>
    <w:rsid w:val="00D556A1"/>
    <w:rsid w:val="00D563C2"/>
    <w:rsid w:val="00D57164"/>
    <w:rsid w:val="00D57281"/>
    <w:rsid w:val="00D65967"/>
    <w:rsid w:val="00D732AF"/>
    <w:rsid w:val="00D777F1"/>
    <w:rsid w:val="00D8185B"/>
    <w:rsid w:val="00D8194A"/>
    <w:rsid w:val="00D82F3E"/>
    <w:rsid w:val="00D969A3"/>
    <w:rsid w:val="00DA584A"/>
    <w:rsid w:val="00DB6895"/>
    <w:rsid w:val="00DC7AB8"/>
    <w:rsid w:val="00DD525D"/>
    <w:rsid w:val="00DD5508"/>
    <w:rsid w:val="00DE0E0D"/>
    <w:rsid w:val="00DE5E63"/>
    <w:rsid w:val="00DE675A"/>
    <w:rsid w:val="00E1452E"/>
    <w:rsid w:val="00E35316"/>
    <w:rsid w:val="00E375E1"/>
    <w:rsid w:val="00E40A3B"/>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15F"/>
    <w:rsid w:val="00EB28CA"/>
    <w:rsid w:val="00EB57D6"/>
    <w:rsid w:val="00EC5445"/>
    <w:rsid w:val="00EC7A16"/>
    <w:rsid w:val="00EE1688"/>
    <w:rsid w:val="00EE23CC"/>
    <w:rsid w:val="00EF36D5"/>
    <w:rsid w:val="00EF3F63"/>
    <w:rsid w:val="00EF4C13"/>
    <w:rsid w:val="00EF6EEB"/>
    <w:rsid w:val="00F04417"/>
    <w:rsid w:val="00F072C2"/>
    <w:rsid w:val="00F1066F"/>
    <w:rsid w:val="00F12947"/>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E5FE9"/>
    <w:rsid w:val="00FF0F02"/>
    <w:rsid w:val="02532161"/>
    <w:rsid w:val="02EC459C"/>
    <w:rsid w:val="049F343C"/>
    <w:rsid w:val="04C41D81"/>
    <w:rsid w:val="04C85FAD"/>
    <w:rsid w:val="04FC07BA"/>
    <w:rsid w:val="07743A9C"/>
    <w:rsid w:val="08997EFF"/>
    <w:rsid w:val="08C5350C"/>
    <w:rsid w:val="091F198A"/>
    <w:rsid w:val="095D1551"/>
    <w:rsid w:val="09616F12"/>
    <w:rsid w:val="09A43161"/>
    <w:rsid w:val="09CD219B"/>
    <w:rsid w:val="09ED576F"/>
    <w:rsid w:val="0A650C83"/>
    <w:rsid w:val="0AB92E73"/>
    <w:rsid w:val="0AFF69E2"/>
    <w:rsid w:val="0CFA63F5"/>
    <w:rsid w:val="0D69705B"/>
    <w:rsid w:val="0DE75C6E"/>
    <w:rsid w:val="0F0071CD"/>
    <w:rsid w:val="0F6E2388"/>
    <w:rsid w:val="13442658"/>
    <w:rsid w:val="15035321"/>
    <w:rsid w:val="15B55C69"/>
    <w:rsid w:val="16452CBB"/>
    <w:rsid w:val="168503A9"/>
    <w:rsid w:val="16B23119"/>
    <w:rsid w:val="16DE7B91"/>
    <w:rsid w:val="17870262"/>
    <w:rsid w:val="178A6818"/>
    <w:rsid w:val="181E6DC2"/>
    <w:rsid w:val="18493992"/>
    <w:rsid w:val="195668EF"/>
    <w:rsid w:val="19A60971"/>
    <w:rsid w:val="1B2C0C6E"/>
    <w:rsid w:val="1BF8186D"/>
    <w:rsid w:val="1C167AAF"/>
    <w:rsid w:val="1C7845F5"/>
    <w:rsid w:val="1FD746B4"/>
    <w:rsid w:val="216750D4"/>
    <w:rsid w:val="21A67760"/>
    <w:rsid w:val="21D544E9"/>
    <w:rsid w:val="226C530A"/>
    <w:rsid w:val="22C04851"/>
    <w:rsid w:val="23897365"/>
    <w:rsid w:val="23DF33FD"/>
    <w:rsid w:val="245B3C6C"/>
    <w:rsid w:val="245E4322"/>
    <w:rsid w:val="25100723"/>
    <w:rsid w:val="2677791D"/>
    <w:rsid w:val="27400656"/>
    <w:rsid w:val="281F201A"/>
    <w:rsid w:val="28BB61E6"/>
    <w:rsid w:val="29113701"/>
    <w:rsid w:val="29AA1DB7"/>
    <w:rsid w:val="2B006133"/>
    <w:rsid w:val="2B8054C5"/>
    <w:rsid w:val="2CC76DFB"/>
    <w:rsid w:val="2CE61358"/>
    <w:rsid w:val="2E192781"/>
    <w:rsid w:val="2F464330"/>
    <w:rsid w:val="2F7F38D0"/>
    <w:rsid w:val="2F9E5F1A"/>
    <w:rsid w:val="30BD0622"/>
    <w:rsid w:val="30C93104"/>
    <w:rsid w:val="30E738F1"/>
    <w:rsid w:val="31556AAC"/>
    <w:rsid w:val="33BF0BD0"/>
    <w:rsid w:val="348E0C53"/>
    <w:rsid w:val="34B1049E"/>
    <w:rsid w:val="353635E0"/>
    <w:rsid w:val="3647730B"/>
    <w:rsid w:val="3B797A7C"/>
    <w:rsid w:val="3C153CA2"/>
    <w:rsid w:val="3C487939"/>
    <w:rsid w:val="3D3566C6"/>
    <w:rsid w:val="40932B84"/>
    <w:rsid w:val="41B55959"/>
    <w:rsid w:val="4389125B"/>
    <w:rsid w:val="43B0545B"/>
    <w:rsid w:val="443A4442"/>
    <w:rsid w:val="44CA4BFA"/>
    <w:rsid w:val="45E561F9"/>
    <w:rsid w:val="46EC14FF"/>
    <w:rsid w:val="48641E5E"/>
    <w:rsid w:val="487A4EA5"/>
    <w:rsid w:val="48F44C9B"/>
    <w:rsid w:val="4B257098"/>
    <w:rsid w:val="4B3F0159"/>
    <w:rsid w:val="4B8D6ED7"/>
    <w:rsid w:val="4BD56D10"/>
    <w:rsid w:val="4CF3569F"/>
    <w:rsid w:val="4D083EE4"/>
    <w:rsid w:val="4E2D65F1"/>
    <w:rsid w:val="4E7B76FB"/>
    <w:rsid w:val="4E836D27"/>
    <w:rsid w:val="4E9B7A20"/>
    <w:rsid w:val="4EA209A6"/>
    <w:rsid w:val="4F6E725F"/>
    <w:rsid w:val="504970E8"/>
    <w:rsid w:val="52554E55"/>
    <w:rsid w:val="53A005FD"/>
    <w:rsid w:val="551A1728"/>
    <w:rsid w:val="554F18E1"/>
    <w:rsid w:val="572D17AE"/>
    <w:rsid w:val="57C42E5F"/>
    <w:rsid w:val="590301F9"/>
    <w:rsid w:val="59736107"/>
    <w:rsid w:val="5AA91A93"/>
    <w:rsid w:val="5AB521E6"/>
    <w:rsid w:val="5ABF6EB9"/>
    <w:rsid w:val="5B307ABF"/>
    <w:rsid w:val="5B871DD5"/>
    <w:rsid w:val="5B9C5AAD"/>
    <w:rsid w:val="5BCA3A6F"/>
    <w:rsid w:val="5C2F421A"/>
    <w:rsid w:val="5D373670"/>
    <w:rsid w:val="5FDEEF9B"/>
    <w:rsid w:val="5FEDF9DA"/>
    <w:rsid w:val="5FF3993B"/>
    <w:rsid w:val="60472BFF"/>
    <w:rsid w:val="61A36538"/>
    <w:rsid w:val="62A02B74"/>
    <w:rsid w:val="62AF1C11"/>
    <w:rsid w:val="62CC27C3"/>
    <w:rsid w:val="63F90AB2"/>
    <w:rsid w:val="63FE69AC"/>
    <w:rsid w:val="65B14764"/>
    <w:rsid w:val="66106E6A"/>
    <w:rsid w:val="66207993"/>
    <w:rsid w:val="68071FA4"/>
    <w:rsid w:val="691C78D4"/>
    <w:rsid w:val="6A8E7759"/>
    <w:rsid w:val="6A9811DC"/>
    <w:rsid w:val="6AE9700D"/>
    <w:rsid w:val="6B915874"/>
    <w:rsid w:val="6C001DF8"/>
    <w:rsid w:val="6D022717"/>
    <w:rsid w:val="6D1C4347"/>
    <w:rsid w:val="6E6E472E"/>
    <w:rsid w:val="6FA86B63"/>
    <w:rsid w:val="716D6F1F"/>
    <w:rsid w:val="72917A22"/>
    <w:rsid w:val="72D45DD3"/>
    <w:rsid w:val="72FB0CA2"/>
    <w:rsid w:val="734B7734"/>
    <w:rsid w:val="7379604F"/>
    <w:rsid w:val="740F42BD"/>
    <w:rsid w:val="75457F23"/>
    <w:rsid w:val="760477CC"/>
    <w:rsid w:val="76A31809"/>
    <w:rsid w:val="76DB492B"/>
    <w:rsid w:val="777F291C"/>
    <w:rsid w:val="781629BD"/>
    <w:rsid w:val="78657FA9"/>
    <w:rsid w:val="78EE6DFA"/>
    <w:rsid w:val="79A27982"/>
    <w:rsid w:val="7AF81F4F"/>
    <w:rsid w:val="7BE8791B"/>
    <w:rsid w:val="7DFA06E2"/>
    <w:rsid w:val="7E6B7A4D"/>
    <w:rsid w:val="7E8D29AE"/>
    <w:rsid w:val="7F4B3463"/>
    <w:rsid w:val="CDD68587"/>
    <w:rsid w:val="FAFD0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3"/>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64"/>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48"/>
    <w:qFormat/>
    <w:uiPriority w:val="9"/>
    <w:pPr>
      <w:keepNext/>
      <w:keepLines/>
      <w:spacing w:line="600" w:lineRule="exact"/>
      <w:ind w:firstLine="643" w:firstLineChars="200"/>
      <w:outlineLvl w:val="2"/>
    </w:pPr>
    <w:rPr>
      <w:b/>
      <w:bCs/>
      <w:sz w:val="32"/>
      <w:szCs w:val="32"/>
    </w:rPr>
  </w:style>
  <w:style w:type="paragraph" w:styleId="7">
    <w:name w:val="heading 4"/>
    <w:basedOn w:val="1"/>
    <w:next w:val="1"/>
    <w:link w:val="49"/>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8">
    <w:name w:val="heading 5"/>
    <w:basedOn w:val="1"/>
    <w:next w:val="9"/>
    <w:link w:val="50"/>
    <w:qFormat/>
    <w:uiPriority w:val="9"/>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link w:val="54"/>
    <w:unhideWhenUsed/>
    <w:qFormat/>
    <w:uiPriority w:val="99"/>
    <w:pPr>
      <w:spacing w:after="120"/>
    </w:pPr>
  </w:style>
  <w:style w:type="paragraph" w:styleId="9">
    <w:name w:val="Normal Indent"/>
    <w:basedOn w:val="1"/>
    <w:unhideWhenUsed/>
    <w:qFormat/>
    <w:uiPriority w:val="99"/>
    <w:pPr>
      <w:ind w:firstLine="420"/>
    </w:pPr>
    <w:rPr>
      <w:szCs w:val="20"/>
    </w:rPr>
  </w:style>
  <w:style w:type="paragraph" w:styleId="10">
    <w:name w:val="toc 7"/>
    <w:basedOn w:val="1"/>
    <w:next w:val="1"/>
    <w:unhideWhenUsed/>
    <w:qFormat/>
    <w:uiPriority w:val="39"/>
    <w:pPr>
      <w:jc w:val="left"/>
    </w:pPr>
    <w:rPr>
      <w:rFonts w:ascii="Calibri" w:hAnsi="Calibri"/>
      <w:sz w:val="22"/>
      <w:szCs w:val="22"/>
    </w:rPr>
  </w:style>
  <w:style w:type="paragraph" w:styleId="11">
    <w:name w:val="caption"/>
    <w:basedOn w:val="1"/>
    <w:next w:val="1"/>
    <w:qFormat/>
    <w:uiPriority w:val="35"/>
    <w:pPr>
      <w:spacing w:before="152" w:after="160"/>
    </w:pPr>
    <w:rPr>
      <w:rFonts w:ascii="Arial" w:hAnsi="Arial" w:eastAsia="黑体" w:cs="Arial"/>
      <w:sz w:val="20"/>
      <w:szCs w:val="20"/>
    </w:rPr>
  </w:style>
  <w:style w:type="paragraph" w:styleId="12">
    <w:name w:val="Document Map"/>
    <w:basedOn w:val="1"/>
    <w:link w:val="51"/>
    <w:unhideWhenUsed/>
    <w:qFormat/>
    <w:uiPriority w:val="99"/>
    <w:rPr>
      <w:rFonts w:ascii="宋体"/>
      <w:sz w:val="18"/>
      <w:szCs w:val="18"/>
    </w:rPr>
  </w:style>
  <w:style w:type="paragraph" w:styleId="13">
    <w:name w:val="annotation text"/>
    <w:basedOn w:val="1"/>
    <w:link w:val="52"/>
    <w:unhideWhenUsed/>
    <w:qFormat/>
    <w:uiPriority w:val="99"/>
    <w:pPr>
      <w:jc w:val="left"/>
    </w:pPr>
  </w:style>
  <w:style w:type="paragraph" w:styleId="14">
    <w:name w:val="Body Text 3"/>
    <w:basedOn w:val="1"/>
    <w:link w:val="53"/>
    <w:unhideWhenUsed/>
    <w:qFormat/>
    <w:uiPriority w:val="99"/>
    <w:pPr>
      <w:spacing w:after="120"/>
    </w:pPr>
    <w:rPr>
      <w:sz w:val="16"/>
      <w:szCs w:val="16"/>
    </w:rPr>
  </w:style>
  <w:style w:type="paragraph" w:styleId="15">
    <w:name w:val="Body Text Indent"/>
    <w:basedOn w:val="1"/>
    <w:link w:val="55"/>
    <w:unhideWhenUsed/>
    <w:qFormat/>
    <w:uiPriority w:val="99"/>
    <w:pPr>
      <w:spacing w:line="200" w:lineRule="exact"/>
      <w:ind w:firstLine="301"/>
    </w:pPr>
    <w:rPr>
      <w:rFonts w:ascii="宋体" w:hAnsi="Courier New"/>
      <w:spacing w:val="-4"/>
      <w:sz w:val="18"/>
      <w:szCs w:val="20"/>
    </w:rPr>
  </w:style>
  <w:style w:type="paragraph" w:styleId="16">
    <w:name w:val="toc 5"/>
    <w:basedOn w:val="1"/>
    <w:next w:val="1"/>
    <w:unhideWhenUsed/>
    <w:qFormat/>
    <w:uiPriority w:val="39"/>
    <w:pPr>
      <w:jc w:val="left"/>
    </w:pPr>
    <w:rPr>
      <w:rFonts w:ascii="Calibri" w:hAnsi="Calibri"/>
      <w:sz w:val="22"/>
      <w:szCs w:val="22"/>
    </w:rPr>
  </w:style>
  <w:style w:type="paragraph" w:styleId="17">
    <w:name w:val="toc 3"/>
    <w:basedOn w:val="1"/>
    <w:next w:val="1"/>
    <w:unhideWhenUsed/>
    <w:qFormat/>
    <w:uiPriority w:val="39"/>
    <w:pPr>
      <w:jc w:val="left"/>
    </w:pPr>
    <w:rPr>
      <w:rFonts w:ascii="Calibri" w:hAnsi="Calibri"/>
      <w:smallCaps/>
      <w:sz w:val="22"/>
      <w:szCs w:val="22"/>
    </w:rPr>
  </w:style>
  <w:style w:type="paragraph" w:styleId="18">
    <w:name w:val="Plain Text"/>
    <w:basedOn w:val="1"/>
    <w:link w:val="56"/>
    <w:unhideWhenUsed/>
    <w:qFormat/>
    <w:uiPriority w:val="0"/>
    <w:rPr>
      <w:rFonts w:ascii="宋体" w:hAnsi="Courier New"/>
      <w:szCs w:val="20"/>
    </w:rPr>
  </w:style>
  <w:style w:type="paragraph" w:styleId="19">
    <w:name w:val="toc 8"/>
    <w:basedOn w:val="1"/>
    <w:next w:val="1"/>
    <w:unhideWhenUsed/>
    <w:qFormat/>
    <w:uiPriority w:val="39"/>
    <w:pPr>
      <w:jc w:val="left"/>
    </w:pPr>
    <w:rPr>
      <w:rFonts w:ascii="Calibri" w:hAnsi="Calibri"/>
      <w:sz w:val="22"/>
      <w:szCs w:val="22"/>
    </w:rPr>
  </w:style>
  <w:style w:type="paragraph" w:styleId="20">
    <w:name w:val="Date"/>
    <w:basedOn w:val="1"/>
    <w:next w:val="1"/>
    <w:link w:val="57"/>
    <w:unhideWhenUsed/>
    <w:qFormat/>
    <w:uiPriority w:val="99"/>
    <w:pPr>
      <w:ind w:left="100" w:leftChars="2500"/>
    </w:pPr>
  </w:style>
  <w:style w:type="paragraph" w:styleId="21">
    <w:name w:val="Body Text Indent 2"/>
    <w:basedOn w:val="1"/>
    <w:link w:val="58"/>
    <w:unhideWhenUsed/>
    <w:qFormat/>
    <w:uiPriority w:val="99"/>
    <w:pPr>
      <w:spacing w:after="120" w:line="480" w:lineRule="auto"/>
      <w:ind w:left="420" w:leftChars="200"/>
    </w:pPr>
  </w:style>
  <w:style w:type="paragraph" w:styleId="22">
    <w:name w:val="Balloon Text"/>
    <w:basedOn w:val="1"/>
    <w:link w:val="59"/>
    <w:unhideWhenUsed/>
    <w:qFormat/>
    <w:uiPriority w:val="99"/>
    <w:rPr>
      <w:sz w:val="18"/>
      <w:szCs w:val="18"/>
    </w:rPr>
  </w:style>
  <w:style w:type="paragraph" w:styleId="23">
    <w:name w:val="footer"/>
    <w:basedOn w:val="1"/>
    <w:link w:val="65"/>
    <w:unhideWhenUsed/>
    <w:qFormat/>
    <w:uiPriority w:val="99"/>
    <w:pPr>
      <w:tabs>
        <w:tab w:val="center" w:pos="4153"/>
        <w:tab w:val="right" w:pos="8306"/>
      </w:tabs>
      <w:snapToGrid w:val="0"/>
      <w:jc w:val="left"/>
    </w:pPr>
    <w:rPr>
      <w:sz w:val="18"/>
      <w:szCs w:val="18"/>
    </w:rPr>
  </w:style>
  <w:style w:type="paragraph" w:styleId="24">
    <w:name w:val="header"/>
    <w:basedOn w:val="1"/>
    <w:link w:val="66"/>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spacing w:before="360" w:after="360"/>
      <w:jc w:val="left"/>
    </w:pPr>
    <w:rPr>
      <w:rFonts w:ascii="Calibri" w:hAnsi="Calibri"/>
      <w:b/>
      <w:bCs/>
      <w:caps/>
      <w:sz w:val="22"/>
      <w:szCs w:val="22"/>
      <w:u w:val="single"/>
    </w:rPr>
  </w:style>
  <w:style w:type="paragraph" w:styleId="26">
    <w:name w:val="toc 4"/>
    <w:basedOn w:val="1"/>
    <w:next w:val="1"/>
    <w:unhideWhenUsed/>
    <w:qFormat/>
    <w:uiPriority w:val="39"/>
    <w:pPr>
      <w:jc w:val="left"/>
    </w:pPr>
    <w:rPr>
      <w:rFonts w:ascii="Calibri" w:hAnsi="Calibri"/>
      <w:sz w:val="22"/>
      <w:szCs w:val="22"/>
    </w:rPr>
  </w:style>
  <w:style w:type="paragraph" w:styleId="27">
    <w:name w:val="List"/>
    <w:basedOn w:val="1"/>
    <w:unhideWhenUsed/>
    <w:qFormat/>
    <w:uiPriority w:val="99"/>
    <w:pPr>
      <w:ind w:left="200" w:hanging="200" w:hangingChars="200"/>
    </w:pPr>
    <w:rPr>
      <w:sz w:val="28"/>
    </w:rPr>
  </w:style>
  <w:style w:type="paragraph" w:styleId="28">
    <w:name w:val="footnote text"/>
    <w:basedOn w:val="1"/>
    <w:qFormat/>
    <w:uiPriority w:val="99"/>
    <w:pPr>
      <w:snapToGrid w:val="0"/>
      <w:jc w:val="left"/>
    </w:pPr>
    <w:rPr>
      <w:sz w:val="18"/>
      <w:szCs w:val="18"/>
    </w:rPr>
  </w:style>
  <w:style w:type="paragraph" w:styleId="29">
    <w:name w:val="toc 6"/>
    <w:basedOn w:val="1"/>
    <w:next w:val="1"/>
    <w:unhideWhenUsed/>
    <w:qFormat/>
    <w:uiPriority w:val="39"/>
    <w:pPr>
      <w:jc w:val="left"/>
    </w:pPr>
    <w:rPr>
      <w:rFonts w:ascii="Calibri" w:hAnsi="Calibri"/>
      <w:sz w:val="22"/>
      <w:szCs w:val="22"/>
    </w:rPr>
  </w:style>
  <w:style w:type="paragraph" w:styleId="30">
    <w:name w:val="toc 2"/>
    <w:basedOn w:val="1"/>
    <w:next w:val="1"/>
    <w:unhideWhenUsed/>
    <w:qFormat/>
    <w:uiPriority w:val="39"/>
    <w:pPr>
      <w:jc w:val="left"/>
    </w:pPr>
    <w:rPr>
      <w:rFonts w:ascii="Calibri" w:hAnsi="Calibri"/>
      <w:b/>
      <w:bCs/>
      <w:smallCaps/>
      <w:sz w:val="22"/>
      <w:szCs w:val="22"/>
    </w:rPr>
  </w:style>
  <w:style w:type="paragraph" w:styleId="31">
    <w:name w:val="toc 9"/>
    <w:basedOn w:val="1"/>
    <w:next w:val="1"/>
    <w:unhideWhenUsed/>
    <w:qFormat/>
    <w:uiPriority w:val="39"/>
    <w:pPr>
      <w:jc w:val="left"/>
    </w:pPr>
    <w:rPr>
      <w:rFonts w:ascii="Calibri" w:hAnsi="Calibri"/>
      <w:sz w:val="22"/>
      <w:szCs w:val="22"/>
    </w:rPr>
  </w:style>
  <w:style w:type="paragraph" w:styleId="32">
    <w:name w:val="Normal (Web)"/>
    <w:basedOn w:val="1"/>
    <w:qFormat/>
    <w:uiPriority w:val="99"/>
    <w:pPr>
      <w:widowControl/>
      <w:spacing w:before="100" w:beforeAutospacing="1" w:after="100" w:afterAutospacing="1"/>
      <w:jc w:val="left"/>
    </w:pPr>
    <w:rPr>
      <w:rFonts w:ascii="宋体" w:hAnsi="宋体"/>
      <w:kern w:val="0"/>
      <w:sz w:val="24"/>
    </w:rPr>
  </w:style>
  <w:style w:type="paragraph" w:styleId="33">
    <w:name w:val="Title"/>
    <w:basedOn w:val="1"/>
    <w:next w:val="1"/>
    <w:qFormat/>
    <w:uiPriority w:val="0"/>
    <w:pPr>
      <w:spacing w:before="240" w:after="60"/>
      <w:jc w:val="center"/>
      <w:outlineLvl w:val="0"/>
    </w:pPr>
    <w:rPr>
      <w:rFonts w:eastAsia="黑体" w:asciiTheme="majorHAnsi" w:hAnsiTheme="majorHAnsi" w:cstheme="majorBidi"/>
      <w:b/>
      <w:bCs/>
      <w:sz w:val="32"/>
      <w:szCs w:val="32"/>
    </w:rPr>
  </w:style>
  <w:style w:type="paragraph" w:styleId="34">
    <w:name w:val="annotation subject"/>
    <w:basedOn w:val="13"/>
    <w:next w:val="13"/>
    <w:link w:val="62"/>
    <w:unhideWhenUsed/>
    <w:qFormat/>
    <w:uiPriority w:val="99"/>
    <w:rPr>
      <w:b/>
      <w:bCs/>
    </w:rPr>
  </w:style>
  <w:style w:type="paragraph" w:styleId="35">
    <w:name w:val="Body Text First Indent 2"/>
    <w:basedOn w:val="1"/>
    <w:qFormat/>
    <w:uiPriority w:val="0"/>
    <w:pPr>
      <w:ind w:firstLine="420" w:firstLineChars="200"/>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rFonts w:ascii="Times New Roman" w:hAnsi="Times New Roman" w:eastAsia="宋体" w:cs="Times New Roman"/>
      <w:b/>
    </w:rPr>
  </w:style>
  <w:style w:type="character" w:styleId="40">
    <w:name w:val="page number"/>
    <w:unhideWhenUsed/>
    <w:qFormat/>
    <w:uiPriority w:val="99"/>
  </w:style>
  <w:style w:type="character" w:styleId="41">
    <w:name w:val="FollowedHyperlink"/>
    <w:unhideWhenUsed/>
    <w:qFormat/>
    <w:uiPriority w:val="99"/>
    <w:rPr>
      <w:color w:val="800080"/>
      <w:u w:val="single"/>
    </w:rPr>
  </w:style>
  <w:style w:type="character" w:styleId="42">
    <w:name w:val="Hyperlink"/>
    <w:unhideWhenUsed/>
    <w:qFormat/>
    <w:uiPriority w:val="99"/>
    <w:rPr>
      <w:color w:val="0000FF"/>
      <w:u w:val="single"/>
    </w:rPr>
  </w:style>
  <w:style w:type="character" w:styleId="43">
    <w:name w:val="annotation reference"/>
    <w:unhideWhenUsed/>
    <w:qFormat/>
    <w:uiPriority w:val="99"/>
    <w:rPr>
      <w:sz w:val="21"/>
      <w:szCs w:val="21"/>
    </w:rPr>
  </w:style>
  <w:style w:type="character" w:customStyle="1" w:styleId="44">
    <w:name w:val="标题 2 字符"/>
    <w:qFormat/>
    <w:uiPriority w:val="0"/>
    <w:rPr>
      <w:rFonts w:ascii="Arial" w:hAnsi="Arial" w:eastAsia="黑体"/>
      <w:b/>
      <w:bCs/>
      <w:kern w:val="2"/>
      <w:sz w:val="32"/>
      <w:szCs w:val="32"/>
    </w:rPr>
  </w:style>
  <w:style w:type="character" w:customStyle="1" w:styleId="45">
    <w:name w:val="标题 1 字符"/>
    <w:qFormat/>
    <w:uiPriority w:val="0"/>
    <w:rPr>
      <w:b/>
      <w:bCs/>
      <w:kern w:val="44"/>
      <w:sz w:val="44"/>
      <w:szCs w:val="44"/>
    </w:rPr>
  </w:style>
  <w:style w:type="character" w:customStyle="1" w:styleId="46">
    <w:name w:val="标题 1 字符1"/>
    <w:qFormat/>
    <w:uiPriority w:val="0"/>
    <w:rPr>
      <w:b/>
      <w:bCs/>
      <w:kern w:val="44"/>
      <w:sz w:val="44"/>
      <w:szCs w:val="44"/>
    </w:rPr>
  </w:style>
  <w:style w:type="character" w:customStyle="1" w:styleId="47">
    <w:name w:val="标题 2 字符1"/>
    <w:qFormat/>
    <w:uiPriority w:val="0"/>
    <w:rPr>
      <w:rFonts w:ascii="Arial" w:hAnsi="Arial" w:eastAsia="黑体"/>
      <w:b/>
      <w:bCs/>
      <w:kern w:val="2"/>
      <w:sz w:val="32"/>
      <w:szCs w:val="32"/>
    </w:rPr>
  </w:style>
  <w:style w:type="character" w:customStyle="1" w:styleId="48">
    <w:name w:val="标题 3 字符1"/>
    <w:link w:val="6"/>
    <w:qFormat/>
    <w:uiPriority w:val="0"/>
    <w:rPr>
      <w:b/>
      <w:bCs/>
      <w:kern w:val="2"/>
      <w:sz w:val="32"/>
      <w:szCs w:val="32"/>
    </w:rPr>
  </w:style>
  <w:style w:type="character" w:customStyle="1" w:styleId="49">
    <w:name w:val="标题 4 字符1"/>
    <w:link w:val="7"/>
    <w:qFormat/>
    <w:uiPriority w:val="0"/>
    <w:rPr>
      <w:rFonts w:ascii="Arial" w:eastAsia="黑体"/>
      <w:sz w:val="28"/>
    </w:rPr>
  </w:style>
  <w:style w:type="character" w:customStyle="1" w:styleId="50">
    <w:name w:val="标题 5 字符1"/>
    <w:link w:val="8"/>
    <w:qFormat/>
    <w:uiPriority w:val="9"/>
    <w:rPr>
      <w:b/>
      <w:bCs/>
      <w:kern w:val="2"/>
      <w:sz w:val="28"/>
      <w:szCs w:val="28"/>
    </w:rPr>
  </w:style>
  <w:style w:type="character" w:customStyle="1" w:styleId="51">
    <w:name w:val="文档结构图 字符1"/>
    <w:link w:val="12"/>
    <w:qFormat/>
    <w:uiPriority w:val="0"/>
    <w:rPr>
      <w:rFonts w:ascii="宋体"/>
      <w:kern w:val="2"/>
      <w:sz w:val="18"/>
      <w:szCs w:val="18"/>
    </w:rPr>
  </w:style>
  <w:style w:type="character" w:customStyle="1" w:styleId="52">
    <w:name w:val="批注文字 字符2"/>
    <w:link w:val="13"/>
    <w:qFormat/>
    <w:uiPriority w:val="0"/>
    <w:rPr>
      <w:kern w:val="2"/>
      <w:sz w:val="21"/>
      <w:szCs w:val="24"/>
    </w:rPr>
  </w:style>
  <w:style w:type="character" w:customStyle="1" w:styleId="53">
    <w:name w:val="正文文本 3 字符1"/>
    <w:link w:val="14"/>
    <w:qFormat/>
    <w:uiPriority w:val="99"/>
    <w:rPr>
      <w:kern w:val="2"/>
      <w:sz w:val="16"/>
      <w:szCs w:val="16"/>
    </w:rPr>
  </w:style>
  <w:style w:type="character" w:customStyle="1" w:styleId="54">
    <w:name w:val="正文文本 字符1"/>
    <w:link w:val="3"/>
    <w:qFormat/>
    <w:uiPriority w:val="99"/>
    <w:rPr>
      <w:kern w:val="2"/>
      <w:sz w:val="21"/>
      <w:szCs w:val="24"/>
    </w:rPr>
  </w:style>
  <w:style w:type="character" w:customStyle="1" w:styleId="55">
    <w:name w:val="正文文本缩进 字符1"/>
    <w:link w:val="15"/>
    <w:qFormat/>
    <w:uiPriority w:val="0"/>
    <w:rPr>
      <w:rFonts w:ascii="宋体" w:hAnsi="Courier New" w:eastAsia="宋体"/>
      <w:spacing w:val="-4"/>
      <w:kern w:val="2"/>
      <w:sz w:val="18"/>
      <w:lang w:val="en-US" w:eastAsia="zh-CN" w:bidi="ar-SA"/>
    </w:rPr>
  </w:style>
  <w:style w:type="character" w:customStyle="1" w:styleId="56">
    <w:name w:val="纯文本 字符3"/>
    <w:link w:val="18"/>
    <w:qFormat/>
    <w:uiPriority w:val="0"/>
    <w:rPr>
      <w:rFonts w:ascii="宋体" w:hAnsi="Courier New" w:eastAsia="宋体"/>
      <w:kern w:val="2"/>
      <w:sz w:val="21"/>
      <w:lang w:val="en-US" w:eastAsia="zh-CN" w:bidi="ar-SA"/>
    </w:rPr>
  </w:style>
  <w:style w:type="character" w:customStyle="1" w:styleId="57">
    <w:name w:val="日期 字符1"/>
    <w:link w:val="20"/>
    <w:qFormat/>
    <w:uiPriority w:val="0"/>
    <w:rPr>
      <w:kern w:val="2"/>
      <w:sz w:val="21"/>
      <w:szCs w:val="24"/>
    </w:rPr>
  </w:style>
  <w:style w:type="character" w:customStyle="1" w:styleId="58">
    <w:name w:val="正文文本缩进 2 字符1"/>
    <w:link w:val="21"/>
    <w:qFormat/>
    <w:uiPriority w:val="0"/>
    <w:rPr>
      <w:kern w:val="2"/>
      <w:sz w:val="21"/>
      <w:szCs w:val="24"/>
    </w:rPr>
  </w:style>
  <w:style w:type="character" w:customStyle="1" w:styleId="59">
    <w:name w:val="批注框文本 字符1"/>
    <w:link w:val="22"/>
    <w:qFormat/>
    <w:uiPriority w:val="0"/>
    <w:rPr>
      <w:kern w:val="2"/>
      <w:sz w:val="18"/>
      <w:szCs w:val="18"/>
    </w:rPr>
  </w:style>
  <w:style w:type="character" w:customStyle="1" w:styleId="60">
    <w:name w:val="页脚 字符2"/>
    <w:qFormat/>
    <w:uiPriority w:val="99"/>
    <w:rPr>
      <w:kern w:val="2"/>
      <w:sz w:val="18"/>
      <w:szCs w:val="18"/>
    </w:rPr>
  </w:style>
  <w:style w:type="character" w:customStyle="1" w:styleId="61">
    <w:name w:val="页眉 字符2"/>
    <w:qFormat/>
    <w:uiPriority w:val="99"/>
    <w:rPr>
      <w:kern w:val="2"/>
      <w:sz w:val="18"/>
      <w:szCs w:val="18"/>
    </w:rPr>
  </w:style>
  <w:style w:type="character" w:customStyle="1" w:styleId="62">
    <w:name w:val="批注主题 字符1"/>
    <w:link w:val="34"/>
    <w:qFormat/>
    <w:uiPriority w:val="99"/>
    <w:rPr>
      <w:b/>
      <w:bCs/>
      <w:kern w:val="2"/>
      <w:sz w:val="21"/>
      <w:szCs w:val="24"/>
    </w:rPr>
  </w:style>
  <w:style w:type="character" w:customStyle="1" w:styleId="63">
    <w:name w:val="标题 1 字符2"/>
    <w:link w:val="4"/>
    <w:qFormat/>
    <w:uiPriority w:val="9"/>
    <w:rPr>
      <w:rFonts w:ascii="Times New Roman" w:hAnsi="Times New Roman" w:eastAsia="宋体" w:cs="Times New Roman"/>
      <w:b/>
      <w:bCs/>
      <w:kern w:val="44"/>
      <w:sz w:val="44"/>
      <w:szCs w:val="44"/>
    </w:rPr>
  </w:style>
  <w:style w:type="character" w:customStyle="1" w:styleId="64">
    <w:name w:val="标题 2 字符2"/>
    <w:link w:val="5"/>
    <w:qFormat/>
    <w:uiPriority w:val="0"/>
    <w:rPr>
      <w:rFonts w:ascii="Cambria" w:hAnsi="Cambria" w:eastAsia="宋体" w:cs="Times New Roman"/>
      <w:b/>
      <w:bCs/>
      <w:sz w:val="32"/>
      <w:szCs w:val="32"/>
    </w:rPr>
  </w:style>
  <w:style w:type="character" w:customStyle="1" w:styleId="65">
    <w:name w:val="页脚 字符3"/>
    <w:link w:val="23"/>
    <w:qFormat/>
    <w:uiPriority w:val="99"/>
    <w:rPr>
      <w:rFonts w:ascii="Times New Roman" w:hAnsi="Times New Roman" w:eastAsia="宋体" w:cs="Times New Roman"/>
      <w:sz w:val="18"/>
      <w:szCs w:val="18"/>
    </w:rPr>
  </w:style>
  <w:style w:type="character" w:customStyle="1" w:styleId="66">
    <w:name w:val="页眉 字符3"/>
    <w:link w:val="24"/>
    <w:qFormat/>
    <w:uiPriority w:val="99"/>
    <w:rPr>
      <w:rFonts w:ascii="Times New Roman" w:hAnsi="Times New Roman" w:eastAsia="宋体" w:cs="Times New Roman"/>
      <w:sz w:val="18"/>
      <w:szCs w:val="18"/>
    </w:rPr>
  </w:style>
  <w:style w:type="character" w:customStyle="1" w:styleId="67">
    <w:name w:val="页眉 字符"/>
    <w:qFormat/>
    <w:uiPriority w:val="99"/>
    <w:rPr>
      <w:rFonts w:ascii="Times New Roman" w:hAnsi="Times New Roman"/>
      <w:kern w:val="2"/>
      <w:sz w:val="18"/>
      <w:szCs w:val="18"/>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纯文本 字符2"/>
    <w:qFormat/>
    <w:uiPriority w:val="0"/>
    <w:rPr>
      <w:rFonts w:ascii="宋体" w:hAnsi="Courier New" w:eastAsia="宋体" w:cs="Courier New"/>
      <w:szCs w:val="21"/>
    </w:rPr>
  </w:style>
  <w:style w:type="character" w:customStyle="1" w:styleId="70">
    <w:name w:val="正文文本_"/>
    <w:link w:val="71"/>
    <w:qFormat/>
    <w:uiPriority w:val="0"/>
    <w:rPr>
      <w:rFonts w:ascii="MingLiU" w:hAnsi="MingLiU" w:eastAsia="MingLiU" w:cs="MingLiU"/>
      <w:spacing w:val="9"/>
      <w:sz w:val="19"/>
      <w:szCs w:val="19"/>
      <w:shd w:val="clear" w:color="auto" w:fill="FFFFFF"/>
    </w:rPr>
  </w:style>
  <w:style w:type="paragraph" w:customStyle="1" w:styleId="71">
    <w:name w:val="正文文本1"/>
    <w:basedOn w:val="1"/>
    <w:link w:val="7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2">
    <w:name w:val="纯文本 Char1"/>
    <w:link w:val="73"/>
    <w:qFormat/>
    <w:uiPriority w:val="0"/>
    <w:rPr>
      <w:rFonts w:ascii="宋体" w:hAnsi="Courier New" w:eastAsia="宋体"/>
      <w:kern w:val="2"/>
      <w:sz w:val="21"/>
      <w:lang w:val="en-US" w:eastAsia="zh-CN" w:bidi="ar-SA"/>
    </w:rPr>
  </w:style>
  <w:style w:type="paragraph" w:customStyle="1" w:styleId="73">
    <w:name w:val="纯文本1"/>
    <w:basedOn w:val="1"/>
    <w:link w:val="72"/>
    <w:qFormat/>
    <w:uiPriority w:val="0"/>
    <w:rPr>
      <w:rFonts w:ascii="宋体" w:hAnsi="Courier New"/>
      <w:szCs w:val="20"/>
    </w:rPr>
  </w:style>
  <w:style w:type="character" w:customStyle="1" w:styleId="7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页脚 字符"/>
    <w:qFormat/>
    <w:uiPriority w:val="99"/>
    <w:rPr>
      <w:sz w:val="18"/>
      <w:szCs w:val="18"/>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2 Char Char"/>
    <w:link w:val="79"/>
    <w:qFormat/>
    <w:uiPriority w:val="0"/>
    <w:rPr>
      <w:kern w:val="2"/>
      <w:sz w:val="24"/>
    </w:rPr>
  </w:style>
  <w:style w:type="paragraph" w:customStyle="1" w:styleId="79">
    <w:name w:val="正文2"/>
    <w:basedOn w:val="1"/>
    <w:link w:val="78"/>
    <w:qFormat/>
    <w:uiPriority w:val="0"/>
    <w:pPr>
      <w:adjustRightInd w:val="0"/>
      <w:spacing w:before="156" w:line="360" w:lineRule="auto"/>
      <w:ind w:firstLine="510" w:firstLineChars="200"/>
    </w:pPr>
    <w:rPr>
      <w:sz w:val="24"/>
      <w:szCs w:val="20"/>
    </w:rPr>
  </w:style>
  <w:style w:type="character" w:customStyle="1" w:styleId="80">
    <w:name w:val="纯文本 Char_0"/>
    <w:link w:val="81"/>
    <w:qFormat/>
    <w:uiPriority w:val="0"/>
    <w:rPr>
      <w:rFonts w:ascii="宋体" w:hAnsi="Courier New"/>
      <w:kern w:val="2"/>
      <w:sz w:val="21"/>
      <w:szCs w:val="21"/>
    </w:rPr>
  </w:style>
  <w:style w:type="paragraph" w:customStyle="1" w:styleId="81">
    <w:name w:val="纯文本_0_0"/>
    <w:basedOn w:val="1"/>
    <w:link w:val="80"/>
    <w:qFormat/>
    <w:uiPriority w:val="0"/>
    <w:rPr>
      <w:rFonts w:ascii="宋体" w:hAnsi="Courier New"/>
      <w:szCs w:val="21"/>
    </w:rPr>
  </w:style>
  <w:style w:type="character" w:customStyle="1" w:styleId="82">
    <w:name w:val="批注文字 Char1"/>
    <w:qFormat/>
    <w:uiPriority w:val="0"/>
    <w:rPr>
      <w:rFonts w:ascii="Times New Roman" w:hAnsi="Times New Roman"/>
      <w:kern w:val="2"/>
      <w:sz w:val="21"/>
      <w:szCs w:val="24"/>
    </w:rPr>
  </w:style>
  <w:style w:type="paragraph" w:styleId="83">
    <w:name w:val="List Paragraph"/>
    <w:basedOn w:val="1"/>
    <w:qFormat/>
    <w:uiPriority w:val="34"/>
    <w:pPr>
      <w:ind w:firstLine="420" w:firstLineChars="200"/>
    </w:pPr>
  </w:style>
  <w:style w:type="paragraph" w:customStyle="1" w:styleId="84">
    <w:name w:val="Char Char Char1 Char Char Char Char Char Char Char"/>
    <w:basedOn w:val="1"/>
    <w:qFormat/>
    <w:uiPriority w:val="0"/>
  </w:style>
  <w:style w:type="paragraph" w:customStyle="1" w:styleId="85">
    <w:name w:val="Char Char Char"/>
    <w:basedOn w:val="1"/>
    <w:qFormat/>
    <w:uiPriority w:val="0"/>
    <w:rPr>
      <w:szCs w:val="20"/>
    </w:rPr>
  </w:style>
  <w:style w:type="paragraph" w:customStyle="1" w:styleId="86">
    <w:name w:val="Char Char Char Char Char Char Char Char Char Char Char Char"/>
    <w:basedOn w:val="1"/>
    <w:qFormat/>
    <w:uiPriority w:val="0"/>
    <w:pPr>
      <w:widowControl/>
      <w:spacing w:after="160" w:line="240" w:lineRule="exact"/>
      <w:jc w:val="left"/>
    </w:pPr>
  </w:style>
  <w:style w:type="paragraph" w:customStyle="1" w:styleId="87">
    <w:name w:val="列出段落1"/>
    <w:basedOn w:val="1"/>
    <w:qFormat/>
    <w:uiPriority w:val="34"/>
    <w:pPr>
      <w:spacing w:before="100" w:beforeAutospacing="1" w:after="100" w:afterAutospacing="1" w:line="360" w:lineRule="auto"/>
      <w:ind w:firstLine="420" w:firstLineChars="200"/>
    </w:pPr>
  </w:style>
  <w:style w:type="paragraph" w:customStyle="1" w:styleId="88">
    <w:name w:val="_Style 86"/>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9">
    <w:name w:val="样式 标题 2 + 非加粗 首行缩进:  2 字符"/>
    <w:basedOn w:val="5"/>
    <w:qFormat/>
    <w:uiPriority w:val="0"/>
    <w:pPr>
      <w:spacing w:before="0" w:after="0" w:line="600" w:lineRule="exact"/>
      <w:ind w:firstLine="640" w:firstLineChars="200"/>
      <w:jc w:val="left"/>
    </w:pPr>
    <w:rPr>
      <w:rFonts w:cs="宋体"/>
      <w:b w:val="0"/>
      <w:bCs w:val="0"/>
      <w:szCs w:val="20"/>
    </w:rPr>
  </w:style>
  <w:style w:type="paragraph" w:customStyle="1" w:styleId="90">
    <w:name w:val="Table Paragraph"/>
    <w:basedOn w:val="1"/>
    <w:qFormat/>
    <w:uiPriority w:val="1"/>
    <w:pPr>
      <w:jc w:val="left"/>
    </w:pPr>
    <w:rPr>
      <w:rFonts w:ascii="Calibri" w:hAnsi="Calibri"/>
      <w:kern w:val="0"/>
      <w:sz w:val="22"/>
      <w:szCs w:val="22"/>
      <w:lang w:eastAsia="en-US"/>
    </w:rPr>
  </w:style>
  <w:style w:type="paragraph" w:customStyle="1" w:styleId="91">
    <w:name w:val="Char"/>
    <w:basedOn w:val="1"/>
    <w:qFormat/>
    <w:uiPriority w:val="0"/>
    <w:rPr>
      <w:szCs w:val="21"/>
    </w:rPr>
  </w:style>
  <w:style w:type="paragraph" w:customStyle="1" w:styleId="92">
    <w:name w:val="Char Char Char Char Char Char Char"/>
    <w:basedOn w:val="1"/>
    <w:qFormat/>
    <w:uiPriority w:val="0"/>
  </w:style>
  <w:style w:type="paragraph" w:customStyle="1" w:styleId="93">
    <w:name w:val="Char Char Char Char Char Char Char1"/>
    <w:basedOn w:val="1"/>
    <w:qFormat/>
    <w:uiPriority w:val="0"/>
  </w:style>
  <w:style w:type="paragraph" w:customStyle="1" w:styleId="9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5">
    <w:name w:val="Char Char Char Char Char Char Char Char Char Char Char Char1"/>
    <w:basedOn w:val="1"/>
    <w:qFormat/>
    <w:uiPriority w:val="0"/>
    <w:pPr>
      <w:widowControl/>
      <w:spacing w:after="160" w:line="240" w:lineRule="exact"/>
      <w:jc w:val="left"/>
    </w:pPr>
  </w:style>
  <w:style w:type="paragraph" w:customStyle="1" w:styleId="96">
    <w:name w:val="表格文字"/>
    <w:basedOn w:val="1"/>
    <w:next w:val="3"/>
    <w:qFormat/>
    <w:uiPriority w:val="0"/>
    <w:pPr>
      <w:adjustRightInd w:val="0"/>
      <w:spacing w:line="420" w:lineRule="atLeast"/>
      <w:jc w:val="left"/>
      <w:textAlignment w:val="baseline"/>
    </w:pPr>
    <w:rPr>
      <w:kern w:val="0"/>
    </w:rPr>
  </w:style>
  <w:style w:type="paragraph" w:customStyle="1" w:styleId="97">
    <w:name w:val="_Style 95"/>
    <w:qFormat/>
    <w:uiPriority w:val="0"/>
    <w:rPr>
      <w:rFonts w:ascii="Times New Roman" w:hAnsi="Times New Roman" w:eastAsia="宋体" w:cs="Times New Roman"/>
      <w:kern w:val="2"/>
      <w:sz w:val="21"/>
      <w:szCs w:val="24"/>
      <w:lang w:val="en-US" w:eastAsia="zh-CN" w:bidi="ar-SA"/>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Char Char Char Char"/>
    <w:basedOn w:val="1"/>
    <w:qFormat/>
    <w:uiPriority w:val="0"/>
    <w:pPr>
      <w:widowControl/>
      <w:spacing w:after="160" w:line="240" w:lineRule="exact"/>
      <w:jc w:val="left"/>
    </w:pPr>
  </w:style>
  <w:style w:type="paragraph" w:customStyle="1" w:styleId="100">
    <w:name w:val="Char1"/>
    <w:basedOn w:val="1"/>
    <w:qFormat/>
    <w:uiPriority w:val="0"/>
  </w:style>
  <w:style w:type="paragraph" w:customStyle="1" w:styleId="101">
    <w:name w:val="Char Char Char Char1"/>
    <w:basedOn w:val="1"/>
    <w:qFormat/>
    <w:uiPriority w:val="0"/>
    <w:pPr>
      <w:widowControl/>
      <w:spacing w:after="160" w:line="240" w:lineRule="exact"/>
      <w:jc w:val="left"/>
    </w:pPr>
  </w:style>
  <w:style w:type="paragraph" w:customStyle="1" w:styleId="102">
    <w:name w:val="样式 标题 1 + 居中 段前: 0 磅 段后: 0 磅 行距: 固定值 30 磅"/>
    <w:basedOn w:val="4"/>
    <w:qFormat/>
    <w:uiPriority w:val="0"/>
    <w:pPr>
      <w:spacing w:before="0" w:after="0" w:line="600" w:lineRule="exact"/>
      <w:jc w:val="center"/>
    </w:pPr>
    <w:rPr>
      <w:rFonts w:cs="宋体"/>
      <w:szCs w:val="20"/>
    </w:rPr>
  </w:style>
  <w:style w:type="paragraph" w:customStyle="1" w:styleId="103">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p0"/>
    <w:basedOn w:val="1"/>
    <w:qFormat/>
    <w:uiPriority w:val="0"/>
    <w:pPr>
      <w:widowControl/>
    </w:pPr>
    <w:rPr>
      <w:kern w:val="0"/>
      <w:szCs w:val="21"/>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character" w:customStyle="1" w:styleId="106">
    <w:name w:val="正文文本 字符"/>
    <w:qFormat/>
    <w:uiPriority w:val="99"/>
    <w:rPr>
      <w:kern w:val="2"/>
      <w:sz w:val="21"/>
      <w:szCs w:val="24"/>
    </w:rPr>
  </w:style>
  <w:style w:type="character" w:customStyle="1" w:styleId="107">
    <w:name w:val="纯文本 字符"/>
    <w:qFormat/>
    <w:uiPriority w:val="0"/>
    <w:rPr>
      <w:rFonts w:ascii="宋体" w:hAnsi="Courier New"/>
      <w:kern w:val="2"/>
      <w:sz w:val="21"/>
    </w:rPr>
  </w:style>
  <w:style w:type="character" w:customStyle="1" w:styleId="108">
    <w:name w:val="标题 3 字符"/>
    <w:qFormat/>
    <w:uiPriority w:val="0"/>
    <w:rPr>
      <w:b/>
      <w:bCs/>
      <w:kern w:val="2"/>
      <w:sz w:val="32"/>
      <w:szCs w:val="32"/>
    </w:rPr>
  </w:style>
  <w:style w:type="character" w:customStyle="1" w:styleId="109">
    <w:name w:val="标题 4 字符"/>
    <w:qFormat/>
    <w:uiPriority w:val="0"/>
    <w:rPr>
      <w:rFonts w:ascii="Arial" w:eastAsia="黑体"/>
      <w:sz w:val="28"/>
    </w:rPr>
  </w:style>
  <w:style w:type="character" w:customStyle="1" w:styleId="110">
    <w:name w:val="标题 5 字符"/>
    <w:qFormat/>
    <w:uiPriority w:val="9"/>
    <w:rPr>
      <w:b/>
      <w:bCs/>
      <w:kern w:val="2"/>
      <w:sz w:val="28"/>
      <w:szCs w:val="28"/>
    </w:rPr>
  </w:style>
  <w:style w:type="character" w:customStyle="1" w:styleId="111">
    <w:name w:val="文档结构图 字符"/>
    <w:qFormat/>
    <w:uiPriority w:val="0"/>
    <w:rPr>
      <w:rFonts w:ascii="宋体"/>
      <w:kern w:val="2"/>
      <w:sz w:val="18"/>
      <w:szCs w:val="18"/>
    </w:rPr>
  </w:style>
  <w:style w:type="character" w:customStyle="1" w:styleId="112">
    <w:name w:val="批注文字 字符"/>
    <w:qFormat/>
    <w:uiPriority w:val="0"/>
    <w:rPr>
      <w:kern w:val="2"/>
      <w:sz w:val="21"/>
      <w:szCs w:val="24"/>
    </w:rPr>
  </w:style>
  <w:style w:type="character" w:customStyle="1" w:styleId="113">
    <w:name w:val="正文文本 3 字符"/>
    <w:qFormat/>
    <w:uiPriority w:val="99"/>
    <w:rPr>
      <w:kern w:val="2"/>
      <w:sz w:val="16"/>
      <w:szCs w:val="16"/>
    </w:rPr>
  </w:style>
  <w:style w:type="character" w:customStyle="1" w:styleId="114">
    <w:name w:val="正文文本缩进 字符"/>
    <w:qFormat/>
    <w:uiPriority w:val="0"/>
    <w:rPr>
      <w:rFonts w:ascii="宋体" w:hAnsi="Courier New"/>
      <w:spacing w:val="-4"/>
      <w:kern w:val="2"/>
      <w:sz w:val="18"/>
    </w:rPr>
  </w:style>
  <w:style w:type="character" w:customStyle="1" w:styleId="115">
    <w:name w:val="日期 字符"/>
    <w:qFormat/>
    <w:uiPriority w:val="0"/>
    <w:rPr>
      <w:kern w:val="2"/>
      <w:sz w:val="21"/>
      <w:szCs w:val="24"/>
    </w:rPr>
  </w:style>
  <w:style w:type="character" w:customStyle="1" w:styleId="116">
    <w:name w:val="正文文本缩进 2 字符"/>
    <w:qFormat/>
    <w:uiPriority w:val="0"/>
    <w:rPr>
      <w:kern w:val="2"/>
      <w:sz w:val="21"/>
      <w:szCs w:val="24"/>
    </w:rPr>
  </w:style>
  <w:style w:type="character" w:customStyle="1" w:styleId="117">
    <w:name w:val="批注框文本 字符"/>
    <w:qFormat/>
    <w:uiPriority w:val="0"/>
    <w:rPr>
      <w:kern w:val="2"/>
      <w:sz w:val="18"/>
      <w:szCs w:val="18"/>
    </w:rPr>
  </w:style>
  <w:style w:type="character" w:customStyle="1" w:styleId="118">
    <w:name w:val="页脚 字符1"/>
    <w:qFormat/>
    <w:uiPriority w:val="99"/>
    <w:rPr>
      <w:kern w:val="2"/>
      <w:sz w:val="18"/>
      <w:szCs w:val="18"/>
    </w:rPr>
  </w:style>
  <w:style w:type="character" w:customStyle="1" w:styleId="119">
    <w:name w:val="页眉 字符1"/>
    <w:qFormat/>
    <w:uiPriority w:val="99"/>
    <w:rPr>
      <w:kern w:val="2"/>
      <w:sz w:val="18"/>
      <w:szCs w:val="18"/>
    </w:rPr>
  </w:style>
  <w:style w:type="character" w:customStyle="1" w:styleId="120">
    <w:name w:val="批注主题 字符"/>
    <w:qFormat/>
    <w:uiPriority w:val="99"/>
    <w:rPr>
      <w:b/>
      <w:bCs/>
      <w:kern w:val="2"/>
      <w:sz w:val="21"/>
      <w:szCs w:val="24"/>
    </w:rPr>
  </w:style>
  <w:style w:type="paragraph" w:customStyle="1" w:styleId="121">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2">
    <w:name w:val="纯文本 字符1"/>
    <w:semiHidden/>
    <w:qFormat/>
    <w:locked/>
    <w:uiPriority w:val="0"/>
    <w:rPr>
      <w:rFonts w:ascii="宋体" w:hAnsi="Courier New"/>
      <w:kern w:val="2"/>
      <w:sz w:val="21"/>
    </w:rPr>
  </w:style>
  <w:style w:type="paragraph" w:customStyle="1" w:styleId="12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4">
    <w:name w:val="Default"/>
    <w:qFormat/>
    <w:uiPriority w:val="0"/>
    <w:pPr>
      <w:widowControl w:val="0"/>
      <w:autoSpaceDE w:val="0"/>
      <w:autoSpaceDN w:val="0"/>
      <w:adjustRightInd w:val="0"/>
    </w:pPr>
    <w:rPr>
      <w:rFonts w:ascii="方正小标宋简体" w:hAnsi="方正小标宋简体" w:eastAsia="方正小标宋简体" w:cs="Times New Roman"/>
      <w:color w:val="000000"/>
      <w:sz w:val="24"/>
      <w:szCs w:val="22"/>
      <w:lang w:val="en-US" w:eastAsia="zh-CN" w:bidi="ar-SA"/>
    </w:rPr>
  </w:style>
  <w:style w:type="paragraph" w:customStyle="1" w:styleId="125">
    <w:name w:val="Table Text"/>
    <w:qFormat/>
    <w:uiPriority w:val="0"/>
    <w:pPr>
      <w:snapToGrid w:val="0"/>
      <w:spacing w:before="80" w:after="80"/>
    </w:pPr>
    <w:rPr>
      <w:rFonts w:ascii="Arial" w:hAnsi="Arial" w:eastAsia="宋体" w:cs="Arial"/>
      <w:sz w:val="18"/>
      <w:szCs w:val="18"/>
      <w:lang w:val="en-US" w:eastAsia="zh-CN" w:bidi="ar-SA"/>
    </w:rPr>
  </w:style>
  <w:style w:type="table" w:customStyle="1" w:styleId="126">
    <w:name w:val="Table Normal"/>
    <w:unhideWhenUsed/>
    <w:qFormat/>
    <w:uiPriority w:val="0"/>
    <w:tblPr>
      <w:tblCellMar>
        <w:top w:w="0" w:type="dxa"/>
        <w:left w:w="0" w:type="dxa"/>
        <w:bottom w:w="0" w:type="dxa"/>
        <w:right w:w="0" w:type="dxa"/>
      </w:tblCellMar>
    </w:tblPr>
  </w:style>
  <w:style w:type="character" w:customStyle="1" w:styleId="127">
    <w:name w:val="xdrichtextbox2"/>
    <w:qFormat/>
    <w:uiPriority w:val="0"/>
  </w:style>
  <w:style w:type="paragraph" w:customStyle="1" w:styleId="128">
    <w:name w:val="一、级标题"/>
    <w:basedOn w:val="1"/>
    <w:qFormat/>
    <w:uiPriority w:val="0"/>
    <w:pPr>
      <w:ind w:firstLine="880" w:firstLineChars="200"/>
    </w:pPr>
    <w:rPr>
      <w:rFonts w:ascii="黑体" w:hAnsi="黑体" w:eastAsia="黑体" w:cs="仿宋_GB2312"/>
      <w:sz w:val="32"/>
      <w:szCs w:val="32"/>
    </w:rPr>
  </w:style>
  <w:style w:type="paragraph" w:customStyle="1" w:styleId="129">
    <w:name w:val="p15"/>
    <w:basedOn w:val="1"/>
    <w:qFormat/>
    <w:uiPriority w:val="0"/>
    <w:pPr>
      <w:widowControl/>
    </w:pPr>
    <w:rPr>
      <w:rFonts w:ascii="宋体" w:hAnsi="宋体" w:cs="宋体"/>
      <w:kern w:val="0"/>
      <w:szCs w:val="21"/>
    </w:rPr>
  </w:style>
  <w:style w:type="paragraph" w:customStyle="1" w:styleId="130">
    <w:name w:val="0正文"/>
    <w:qFormat/>
    <w:uiPriority w:val="0"/>
    <w:pPr>
      <w:widowControl w:val="0"/>
      <w:spacing w:line="360" w:lineRule="auto"/>
      <w:ind w:firstLine="200" w:firstLineChars="200"/>
    </w:pPr>
    <w:rPr>
      <w:rFonts w:ascii="Calibri" w:hAnsi="Calibri" w:eastAsia="宋体" w:cs="Times New Roman"/>
      <w:sz w:val="24"/>
      <w:szCs w:val="22"/>
      <w:lang w:val="en-US" w:eastAsia="zh-CN" w:bidi="ar-SA"/>
    </w:rPr>
  </w:style>
  <w:style w:type="paragraph" w:customStyle="1" w:styleId="13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3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89</Pages>
  <Words>9542</Words>
  <Characters>10222</Characters>
  <Lines>427</Lines>
  <Paragraphs>120</Paragraphs>
  <TotalTime>8</TotalTime>
  <ScaleCrop>false</ScaleCrop>
  <LinksUpToDate>false</LinksUpToDate>
  <CharactersWithSpaces>10315</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2026-07-06T15:12:00Z</dcterms:created>
  <dc:creator>丁琳</dc:creator>
  <cp:lastModifiedBy>奉云</cp:lastModifiedBy>
  <cp:lastPrinted>2026-03-05T23:11:00Z</cp:lastPrinted>
  <dcterms:modified xsi:type="dcterms:W3CDTF">2026-07-27T10:58:29Z</dcterms:modified>
  <dc:title>南财采管〔2012〕3号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135422E01F2A4D62B077E9EA77DE1401_13</vt:lpwstr>
  </property>
  <property fmtid="{D5CDD505-2E9C-101B-9397-08002B2CF9AE}" pid="4" name="KSOTemplateDocerSaveRecord">
    <vt:lpwstr>eyJoZGlkIjoiZjYyMThmOTExNWMyZjFkNWE5NDUwMTJiNDgwYTM0ZWUiLCJ1c2VySWQiOiI3MTE5ODQ3NDkifQ==</vt:lpwstr>
  </property>
</Properties>
</file>