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EF0C5">
      <w:pPr>
        <w:spacing w:line="313" w:lineRule="auto"/>
        <w:rPr>
          <w:rFonts w:ascii="Arial"/>
          <w:color w:val="auto"/>
          <w:sz w:val="21"/>
          <w:highlight w:val="none"/>
        </w:rPr>
      </w:pPr>
    </w:p>
    <w:p w14:paraId="2E13D3DC">
      <w:pPr>
        <w:spacing w:line="313" w:lineRule="auto"/>
        <w:rPr>
          <w:rFonts w:ascii="Arial"/>
          <w:color w:val="auto"/>
          <w:sz w:val="21"/>
          <w:highlight w:val="none"/>
        </w:rPr>
      </w:pPr>
    </w:p>
    <w:p w14:paraId="783809F1">
      <w:pPr>
        <w:spacing w:line="313" w:lineRule="auto"/>
        <w:rPr>
          <w:rFonts w:ascii="Arial"/>
          <w:color w:val="auto"/>
          <w:sz w:val="21"/>
          <w:highlight w:val="none"/>
        </w:rPr>
      </w:pPr>
    </w:p>
    <w:p w14:paraId="3B615196">
      <w:pPr>
        <w:spacing w:before="227" w:line="183" w:lineRule="auto"/>
        <w:ind w:left="0"/>
        <w:rPr>
          <w:rFonts w:hint="eastAsia" w:ascii="Arial Unicode MS" w:hAnsi="Arial Unicode MS" w:eastAsia="Arial Unicode MS" w:cs="Arial Unicode MS"/>
          <w:color w:val="auto"/>
          <w:sz w:val="52"/>
          <w:szCs w:val="52"/>
          <w:highlight w:val="none"/>
          <w:lang w:eastAsia="zh-CN"/>
        </w:rPr>
      </w:pPr>
      <w:r>
        <w:rPr>
          <w:rFonts w:hint="eastAsia" w:ascii="Arial Unicode MS" w:hAnsi="Arial Unicode MS" w:eastAsia="Arial Unicode MS" w:cs="Arial Unicode MS"/>
          <w:color w:val="auto"/>
          <w:spacing w:val="-4"/>
          <w:sz w:val="52"/>
          <w:szCs w:val="52"/>
          <w:highlight w:val="none"/>
          <w:lang w:eastAsia="zh-CN"/>
        </w:rPr>
        <w:t>广西同泽工程项目管理股份有限公司</w:t>
      </w:r>
    </w:p>
    <w:p w14:paraId="532A3DC0">
      <w:pPr>
        <w:spacing w:line="248" w:lineRule="auto"/>
        <w:rPr>
          <w:rFonts w:ascii="Arial"/>
          <w:color w:val="auto"/>
          <w:sz w:val="21"/>
          <w:highlight w:val="none"/>
        </w:rPr>
      </w:pPr>
    </w:p>
    <w:p w14:paraId="1B36DB2E">
      <w:pPr>
        <w:spacing w:line="248" w:lineRule="auto"/>
        <w:rPr>
          <w:rFonts w:ascii="Arial"/>
          <w:color w:val="auto"/>
          <w:sz w:val="21"/>
          <w:highlight w:val="none"/>
        </w:rPr>
      </w:pPr>
    </w:p>
    <w:p w14:paraId="5A616EBE">
      <w:pPr>
        <w:spacing w:line="248" w:lineRule="auto"/>
        <w:rPr>
          <w:rFonts w:ascii="Arial"/>
          <w:color w:val="auto"/>
          <w:sz w:val="21"/>
          <w:highlight w:val="none"/>
        </w:rPr>
      </w:pPr>
    </w:p>
    <w:p w14:paraId="781D9BF3">
      <w:pPr>
        <w:spacing w:line="248" w:lineRule="auto"/>
        <w:rPr>
          <w:rFonts w:ascii="Arial"/>
          <w:color w:val="auto"/>
          <w:sz w:val="21"/>
          <w:highlight w:val="none"/>
        </w:rPr>
      </w:pPr>
    </w:p>
    <w:p w14:paraId="3915412F">
      <w:pPr>
        <w:spacing w:line="248" w:lineRule="auto"/>
        <w:rPr>
          <w:rFonts w:ascii="Arial"/>
          <w:color w:val="auto"/>
          <w:sz w:val="21"/>
          <w:highlight w:val="none"/>
        </w:rPr>
      </w:pPr>
    </w:p>
    <w:p w14:paraId="4576702B">
      <w:pPr>
        <w:spacing w:line="248" w:lineRule="auto"/>
        <w:rPr>
          <w:rFonts w:ascii="Arial"/>
          <w:color w:val="auto"/>
          <w:sz w:val="21"/>
          <w:highlight w:val="none"/>
        </w:rPr>
      </w:pPr>
    </w:p>
    <w:p w14:paraId="7D0AF5AB">
      <w:pPr>
        <w:spacing w:line="248" w:lineRule="auto"/>
        <w:rPr>
          <w:rFonts w:ascii="Arial"/>
          <w:color w:val="auto"/>
          <w:sz w:val="21"/>
          <w:highlight w:val="none"/>
        </w:rPr>
      </w:pPr>
    </w:p>
    <w:p w14:paraId="384484A2">
      <w:pPr>
        <w:spacing w:line="248" w:lineRule="auto"/>
        <w:rPr>
          <w:rFonts w:ascii="Arial"/>
          <w:color w:val="auto"/>
          <w:sz w:val="21"/>
          <w:highlight w:val="none"/>
        </w:rPr>
      </w:pPr>
    </w:p>
    <w:p w14:paraId="5119A5C6">
      <w:pPr>
        <w:spacing w:line="249" w:lineRule="auto"/>
        <w:rPr>
          <w:rFonts w:ascii="Arial"/>
          <w:color w:val="auto"/>
          <w:sz w:val="21"/>
          <w:highlight w:val="none"/>
        </w:rPr>
      </w:pPr>
    </w:p>
    <w:p w14:paraId="6F60D235">
      <w:pPr>
        <w:spacing w:line="249" w:lineRule="auto"/>
        <w:rPr>
          <w:rFonts w:ascii="Arial"/>
          <w:color w:val="auto"/>
          <w:sz w:val="21"/>
          <w:highlight w:val="none"/>
        </w:rPr>
      </w:pPr>
    </w:p>
    <w:p w14:paraId="2E1EA7B8">
      <w:pPr>
        <w:spacing w:before="394" w:line="235" w:lineRule="auto"/>
        <w:ind w:left="401"/>
        <w:rPr>
          <w:rFonts w:ascii="华文新魏" w:hAnsi="华文新魏" w:eastAsia="华文新魏" w:cs="华文新魏"/>
          <w:color w:val="auto"/>
          <w:sz w:val="119"/>
          <w:szCs w:val="119"/>
          <w:highlight w:val="none"/>
        </w:rPr>
      </w:pPr>
      <w:r>
        <w:rPr>
          <w:rFonts w:ascii="华文新魏" w:hAnsi="华文新魏" w:eastAsia="华文新魏" w:cs="华文新魏"/>
          <w:color w:val="auto"/>
          <w:spacing w:val="-17"/>
          <w:sz w:val="119"/>
          <w:szCs w:val="119"/>
          <w:highlight w:val="none"/>
        </w:rPr>
        <w:t>竞争性谈判文件</w:t>
      </w:r>
    </w:p>
    <w:p w14:paraId="761E3B7C">
      <w:pPr>
        <w:spacing w:line="249" w:lineRule="auto"/>
        <w:rPr>
          <w:rFonts w:ascii="Arial"/>
          <w:color w:val="auto"/>
          <w:sz w:val="21"/>
          <w:highlight w:val="none"/>
        </w:rPr>
      </w:pPr>
    </w:p>
    <w:p w14:paraId="47B1A5DA">
      <w:pPr>
        <w:spacing w:line="250" w:lineRule="auto"/>
        <w:rPr>
          <w:rFonts w:ascii="Arial"/>
          <w:color w:val="auto"/>
          <w:sz w:val="21"/>
          <w:highlight w:val="none"/>
        </w:rPr>
      </w:pPr>
    </w:p>
    <w:p w14:paraId="41E1516B">
      <w:pPr>
        <w:spacing w:line="250" w:lineRule="auto"/>
        <w:rPr>
          <w:rFonts w:ascii="Arial"/>
          <w:color w:val="auto"/>
          <w:sz w:val="21"/>
          <w:highlight w:val="none"/>
        </w:rPr>
      </w:pPr>
    </w:p>
    <w:p w14:paraId="774A871F">
      <w:pPr>
        <w:pStyle w:val="3"/>
        <w:spacing w:before="153" w:line="226" w:lineRule="auto"/>
        <w:ind w:left="2044"/>
        <w:rPr>
          <w:color w:val="auto"/>
          <w:sz w:val="47"/>
          <w:szCs w:val="47"/>
          <w:highlight w:val="none"/>
        </w:rPr>
      </w:pPr>
      <w:r>
        <w:rPr>
          <w:b/>
          <w:bCs/>
          <w:color w:val="auto"/>
          <w:spacing w:val="1"/>
          <w:sz w:val="47"/>
          <w:szCs w:val="47"/>
          <w:highlight w:val="none"/>
        </w:rPr>
        <w:t>（全流程电子化采购）</w:t>
      </w:r>
    </w:p>
    <w:p w14:paraId="2B24D057">
      <w:pPr>
        <w:spacing w:line="271" w:lineRule="auto"/>
        <w:rPr>
          <w:rFonts w:ascii="Arial"/>
          <w:color w:val="auto"/>
          <w:sz w:val="21"/>
          <w:highlight w:val="none"/>
        </w:rPr>
      </w:pPr>
    </w:p>
    <w:p w14:paraId="5F6A297B">
      <w:pPr>
        <w:spacing w:line="271" w:lineRule="auto"/>
        <w:rPr>
          <w:rFonts w:ascii="Arial"/>
          <w:color w:val="auto"/>
          <w:sz w:val="21"/>
          <w:highlight w:val="none"/>
        </w:rPr>
      </w:pPr>
    </w:p>
    <w:p w14:paraId="4D38560D">
      <w:pPr>
        <w:spacing w:line="272" w:lineRule="auto"/>
        <w:rPr>
          <w:rFonts w:ascii="Arial"/>
          <w:color w:val="auto"/>
          <w:sz w:val="21"/>
          <w:highlight w:val="none"/>
        </w:rPr>
      </w:pPr>
    </w:p>
    <w:p w14:paraId="69E56775">
      <w:pPr>
        <w:pStyle w:val="3"/>
        <w:spacing w:before="101" w:line="370" w:lineRule="auto"/>
        <w:ind w:firstLine="1191"/>
        <w:rPr>
          <w:rFonts w:hint="eastAsia"/>
          <w:b/>
          <w:bCs/>
          <w:color w:val="auto"/>
          <w:spacing w:val="7"/>
          <w:sz w:val="31"/>
          <w:szCs w:val="31"/>
          <w:highlight w:val="none"/>
          <w:lang w:eastAsia="zh-CN"/>
        </w:rPr>
      </w:pPr>
      <w:r>
        <w:rPr>
          <w:b/>
          <w:bCs/>
          <w:color w:val="auto"/>
          <w:spacing w:val="7"/>
          <w:highlight w:val="none"/>
        </w:rPr>
        <w:t>项</w:t>
      </w:r>
      <w:r>
        <w:rPr>
          <w:color w:val="auto"/>
          <w:spacing w:val="-44"/>
          <w:highlight w:val="none"/>
        </w:rPr>
        <w:t xml:space="preserve"> </w:t>
      </w:r>
      <w:r>
        <w:rPr>
          <w:b/>
          <w:bCs/>
          <w:color w:val="auto"/>
          <w:spacing w:val="7"/>
          <w:highlight w:val="none"/>
        </w:rPr>
        <w:t>目名称：</w:t>
      </w:r>
      <w:r>
        <w:rPr>
          <w:rFonts w:hint="eastAsia"/>
          <w:b/>
          <w:bCs/>
          <w:color w:val="auto"/>
          <w:spacing w:val="7"/>
          <w:sz w:val="31"/>
          <w:szCs w:val="31"/>
          <w:highlight w:val="none"/>
          <w:lang w:eastAsia="zh-CN"/>
        </w:rPr>
        <w:t>北海市博物馆一期展览辅助展品采购及</w:t>
      </w:r>
    </w:p>
    <w:p w14:paraId="73975E3E">
      <w:pPr>
        <w:pStyle w:val="3"/>
        <w:spacing w:before="101" w:line="370" w:lineRule="auto"/>
        <w:ind w:firstLine="2820" w:firstLineChars="867"/>
        <w:rPr>
          <w:rFonts w:hint="eastAsia" w:eastAsia="仿宋"/>
          <w:color w:val="auto"/>
          <w:sz w:val="31"/>
          <w:szCs w:val="31"/>
          <w:highlight w:val="none"/>
          <w:lang w:eastAsia="zh-CN"/>
        </w:rPr>
      </w:pPr>
      <w:r>
        <w:rPr>
          <w:rFonts w:hint="eastAsia"/>
          <w:b/>
          <w:bCs/>
          <w:color w:val="auto"/>
          <w:spacing w:val="7"/>
          <w:sz w:val="31"/>
          <w:szCs w:val="31"/>
          <w:highlight w:val="none"/>
          <w:lang w:eastAsia="zh-CN"/>
        </w:rPr>
        <w:t>布展服务项目</w:t>
      </w:r>
    </w:p>
    <w:p w14:paraId="10722CD1">
      <w:pPr>
        <w:pStyle w:val="3"/>
        <w:spacing w:before="1" w:line="223" w:lineRule="auto"/>
        <w:ind w:left="1143"/>
        <w:rPr>
          <w:color w:val="auto"/>
          <w:highlight w:val="none"/>
        </w:rPr>
      </w:pPr>
      <w:r>
        <w:rPr>
          <w:b/>
          <w:bCs/>
          <w:color w:val="auto"/>
          <w:spacing w:val="-3"/>
          <w:highlight w:val="none"/>
        </w:rPr>
        <w:t>项目编号：</w:t>
      </w:r>
      <w:r>
        <w:rPr>
          <w:rFonts w:hint="eastAsia"/>
          <w:b/>
          <w:bCs/>
          <w:color w:val="auto"/>
          <w:spacing w:val="-3"/>
          <w:highlight w:val="none"/>
        </w:rPr>
        <w:t>BHZC2026-J1-990221-GXTZ</w:t>
      </w:r>
    </w:p>
    <w:p w14:paraId="79322B8D">
      <w:pPr>
        <w:pStyle w:val="3"/>
        <w:spacing w:before="222" w:line="227" w:lineRule="auto"/>
        <w:ind w:left="1125"/>
        <w:rPr>
          <w:rFonts w:hint="eastAsia" w:eastAsia="仿宋"/>
          <w:color w:val="auto"/>
          <w:sz w:val="31"/>
          <w:szCs w:val="31"/>
          <w:highlight w:val="none"/>
          <w:lang w:eastAsia="zh-CN"/>
        </w:rPr>
      </w:pPr>
      <w:r>
        <w:rPr>
          <w:b/>
          <w:bCs/>
          <w:color w:val="auto"/>
          <w:spacing w:val="3"/>
          <w:highlight w:val="none"/>
        </w:rPr>
        <w:t>采</w:t>
      </w:r>
      <w:r>
        <w:rPr>
          <w:color w:val="auto"/>
          <w:spacing w:val="3"/>
          <w:highlight w:val="none"/>
        </w:rPr>
        <w:t xml:space="preserve"> </w:t>
      </w:r>
      <w:r>
        <w:rPr>
          <w:b/>
          <w:bCs/>
          <w:color w:val="auto"/>
          <w:spacing w:val="3"/>
          <w:highlight w:val="none"/>
        </w:rPr>
        <w:t>购</w:t>
      </w:r>
      <w:r>
        <w:rPr>
          <w:color w:val="auto"/>
          <w:spacing w:val="3"/>
          <w:highlight w:val="none"/>
        </w:rPr>
        <w:t xml:space="preserve"> </w:t>
      </w:r>
      <w:r>
        <w:rPr>
          <w:b/>
          <w:bCs/>
          <w:color w:val="auto"/>
          <w:spacing w:val="3"/>
          <w:highlight w:val="none"/>
        </w:rPr>
        <w:t>人：</w:t>
      </w:r>
      <w:r>
        <w:rPr>
          <w:rFonts w:hint="eastAsia"/>
          <w:b/>
          <w:bCs/>
          <w:color w:val="auto"/>
          <w:spacing w:val="3"/>
          <w:sz w:val="31"/>
          <w:szCs w:val="31"/>
          <w:highlight w:val="none"/>
          <w:lang w:eastAsia="zh-CN"/>
        </w:rPr>
        <w:t>北海市博物馆</w:t>
      </w:r>
    </w:p>
    <w:p w14:paraId="0BC608E5">
      <w:pPr>
        <w:pStyle w:val="3"/>
        <w:spacing w:before="240" w:line="227" w:lineRule="auto"/>
        <w:ind w:left="1125"/>
        <w:rPr>
          <w:rFonts w:hint="eastAsia" w:eastAsia="仿宋"/>
          <w:color w:val="auto"/>
          <w:sz w:val="31"/>
          <w:szCs w:val="31"/>
          <w:highlight w:val="none"/>
          <w:lang w:eastAsia="zh-CN"/>
        </w:rPr>
      </w:pPr>
      <w:r>
        <w:rPr>
          <w:b/>
          <w:bCs/>
          <w:color w:val="auto"/>
          <w:spacing w:val="2"/>
          <w:highlight w:val="none"/>
        </w:rPr>
        <w:t>采购代理机构：</w:t>
      </w:r>
      <w:r>
        <w:rPr>
          <w:rFonts w:hint="eastAsia"/>
          <w:b/>
          <w:bCs/>
          <w:color w:val="auto"/>
          <w:spacing w:val="2"/>
          <w:sz w:val="31"/>
          <w:szCs w:val="31"/>
          <w:highlight w:val="none"/>
          <w:lang w:eastAsia="zh-CN"/>
        </w:rPr>
        <w:t>广西同泽工程项目管理股份有限公司</w:t>
      </w:r>
    </w:p>
    <w:p w14:paraId="66969FD4">
      <w:pPr>
        <w:spacing w:line="259" w:lineRule="auto"/>
        <w:rPr>
          <w:rFonts w:ascii="Arial"/>
          <w:color w:val="auto"/>
          <w:sz w:val="21"/>
          <w:highlight w:val="none"/>
        </w:rPr>
      </w:pPr>
    </w:p>
    <w:p w14:paraId="7CB9EFBF">
      <w:pPr>
        <w:spacing w:line="259" w:lineRule="auto"/>
        <w:rPr>
          <w:rFonts w:ascii="Arial"/>
          <w:color w:val="auto"/>
          <w:sz w:val="21"/>
          <w:highlight w:val="none"/>
        </w:rPr>
      </w:pPr>
    </w:p>
    <w:p w14:paraId="6D8E443F">
      <w:pPr>
        <w:spacing w:line="260" w:lineRule="auto"/>
        <w:rPr>
          <w:rFonts w:ascii="Arial"/>
          <w:color w:val="auto"/>
          <w:sz w:val="21"/>
          <w:highlight w:val="none"/>
        </w:rPr>
      </w:pPr>
    </w:p>
    <w:p w14:paraId="3698DD12">
      <w:pPr>
        <w:spacing w:line="260" w:lineRule="auto"/>
        <w:rPr>
          <w:rFonts w:ascii="Arial"/>
          <w:color w:val="auto"/>
          <w:sz w:val="21"/>
          <w:highlight w:val="none"/>
        </w:rPr>
      </w:pPr>
    </w:p>
    <w:p w14:paraId="77286678">
      <w:pPr>
        <w:spacing w:line="260" w:lineRule="auto"/>
        <w:rPr>
          <w:rFonts w:ascii="Arial"/>
          <w:color w:val="auto"/>
          <w:sz w:val="21"/>
          <w:highlight w:val="none"/>
        </w:rPr>
      </w:pPr>
    </w:p>
    <w:p w14:paraId="3584F941">
      <w:pPr>
        <w:pStyle w:val="3"/>
        <w:spacing w:before="98" w:line="222" w:lineRule="auto"/>
        <w:ind w:left="3090"/>
        <w:rPr>
          <w:color w:val="auto"/>
          <w:highlight w:val="none"/>
        </w:rPr>
      </w:pPr>
      <w:r>
        <w:rPr>
          <w:b/>
          <w:bCs/>
          <w:color w:val="auto"/>
          <w:spacing w:val="-13"/>
          <w:highlight w:val="none"/>
        </w:rPr>
        <w:t>2026</w:t>
      </w:r>
      <w:r>
        <w:rPr>
          <w:color w:val="auto"/>
          <w:spacing w:val="-42"/>
          <w:highlight w:val="none"/>
        </w:rPr>
        <w:t xml:space="preserve"> </w:t>
      </w:r>
      <w:r>
        <w:rPr>
          <w:b/>
          <w:bCs/>
          <w:color w:val="auto"/>
          <w:spacing w:val="-13"/>
          <w:highlight w:val="none"/>
        </w:rPr>
        <w:t>年</w:t>
      </w:r>
      <w:r>
        <w:rPr>
          <w:color w:val="auto"/>
          <w:spacing w:val="-58"/>
          <w:highlight w:val="none"/>
        </w:rPr>
        <w:t xml:space="preserve"> </w:t>
      </w:r>
      <w:r>
        <w:rPr>
          <w:rFonts w:hint="eastAsia"/>
          <w:b/>
          <w:bCs/>
          <w:color w:val="auto"/>
          <w:spacing w:val="-13"/>
          <w:highlight w:val="none"/>
          <w:lang w:val="en-US" w:eastAsia="zh-CN"/>
        </w:rPr>
        <w:t>8</w:t>
      </w:r>
      <w:r>
        <w:rPr>
          <w:b/>
          <w:bCs/>
          <w:color w:val="auto"/>
          <w:spacing w:val="-13"/>
          <w:highlight w:val="none"/>
        </w:rPr>
        <w:t>月</w:t>
      </w:r>
    </w:p>
    <w:p w14:paraId="7AD85736">
      <w:pPr>
        <w:spacing w:line="222" w:lineRule="auto"/>
        <w:rPr>
          <w:color w:val="auto"/>
          <w:highlight w:val="none"/>
        </w:rPr>
        <w:sectPr>
          <w:pgSz w:w="11906" w:h="16839"/>
          <w:pgMar w:top="1431" w:right="1442" w:bottom="0" w:left="1608" w:header="0" w:footer="0" w:gutter="0"/>
          <w:cols w:space="720" w:num="1"/>
        </w:sectPr>
      </w:pPr>
    </w:p>
    <w:sdt>
      <w:sdtPr>
        <w:rPr>
          <w:rFonts w:ascii="宋体" w:hAnsi="宋体" w:eastAsia="宋体" w:cs="Arial"/>
          <w:b/>
          <w:bCs/>
          <w:snapToGrid w:val="0"/>
          <w:color w:val="auto"/>
          <w:kern w:val="0"/>
          <w:sz w:val="44"/>
          <w:szCs w:val="44"/>
          <w:highlight w:val="none"/>
          <w:lang w:val="en-US" w:eastAsia="en-US" w:bidi="ar-SA"/>
        </w:rPr>
        <w:id w:val="147454377"/>
        <w15:color w:val="DBDBDB"/>
        <w:docPartObj>
          <w:docPartGallery w:val="Table of Contents"/>
          <w:docPartUnique/>
        </w:docPartObj>
      </w:sdtPr>
      <w:sdtEndPr>
        <w:rPr>
          <w:rFonts w:ascii="宋体" w:hAnsi="宋体" w:eastAsia="宋体" w:cs="Arial"/>
          <w:b/>
          <w:bCs/>
          <w:snapToGrid w:val="0"/>
          <w:color w:val="auto"/>
          <w:kern w:val="0"/>
          <w:sz w:val="44"/>
          <w:szCs w:val="44"/>
          <w:highlight w:val="none"/>
          <w:lang w:val="en-US" w:eastAsia="en-US" w:bidi="ar-SA"/>
        </w:rPr>
      </w:sdtEndPr>
      <w:sdtContent>
        <w:p w14:paraId="0D558F76">
          <w:pPr>
            <w:spacing w:before="0" w:beforeLines="0" w:after="0" w:afterLines="0" w:line="600" w:lineRule="auto"/>
            <w:ind w:left="0" w:leftChars="0" w:right="0" w:rightChars="0" w:firstLine="0" w:firstLineChars="0"/>
            <w:jc w:val="center"/>
            <w:rPr>
              <w:b/>
              <w:bCs/>
              <w:color w:val="auto"/>
              <w:sz w:val="44"/>
              <w:szCs w:val="44"/>
              <w:highlight w:val="none"/>
            </w:rPr>
          </w:pPr>
          <w:r>
            <w:rPr>
              <w:rFonts w:ascii="宋体" w:hAnsi="宋体" w:eastAsia="宋体"/>
              <w:b/>
              <w:bCs/>
              <w:color w:val="auto"/>
              <w:sz w:val="44"/>
              <w:szCs w:val="44"/>
              <w:highlight w:val="none"/>
            </w:rPr>
            <w:t>目录</w:t>
          </w:r>
        </w:p>
        <w:p w14:paraId="406C1751">
          <w:pPr>
            <w:pStyle w:val="7"/>
            <w:tabs>
              <w:tab w:val="right" w:leader="dot" w:pos="8872"/>
            </w:tabs>
            <w:spacing w:line="600" w:lineRule="auto"/>
            <w:rPr>
              <w:color w:val="auto"/>
              <w:sz w:val="36"/>
              <w:szCs w:val="36"/>
              <w:highlight w:val="none"/>
            </w:rPr>
          </w:pPr>
          <w:r>
            <w:rPr>
              <w:color w:val="auto"/>
              <w:sz w:val="36"/>
              <w:szCs w:val="36"/>
              <w:highlight w:val="none"/>
            </w:rPr>
            <w:fldChar w:fldCharType="begin"/>
          </w:r>
          <w:r>
            <w:rPr>
              <w:color w:val="auto"/>
              <w:sz w:val="36"/>
              <w:szCs w:val="36"/>
              <w:highlight w:val="none"/>
            </w:rPr>
            <w:instrText xml:space="preserve">TOC \o "1-3" \h \u </w:instrText>
          </w:r>
          <w:r>
            <w:rPr>
              <w:color w:val="auto"/>
              <w:sz w:val="36"/>
              <w:szCs w:val="36"/>
              <w:highlight w:val="none"/>
            </w:rPr>
            <w:fldChar w:fldCharType="separate"/>
          </w:r>
          <w:r>
            <w:rPr>
              <w:color w:val="auto"/>
              <w:sz w:val="36"/>
              <w:szCs w:val="36"/>
              <w:highlight w:val="none"/>
            </w:rPr>
            <w:fldChar w:fldCharType="begin"/>
          </w:r>
          <w:r>
            <w:rPr>
              <w:color w:val="auto"/>
              <w:sz w:val="36"/>
              <w:szCs w:val="36"/>
              <w:highlight w:val="none"/>
            </w:rPr>
            <w:instrText xml:space="preserve"> HYPERLINK \l _Toc5124 </w:instrText>
          </w:r>
          <w:r>
            <w:rPr>
              <w:color w:val="auto"/>
              <w:sz w:val="36"/>
              <w:szCs w:val="36"/>
              <w:highlight w:val="none"/>
            </w:rPr>
            <w:fldChar w:fldCharType="separate"/>
          </w:r>
          <w:r>
            <w:rPr>
              <w:rFonts w:ascii="宋体" w:hAnsi="宋体" w:eastAsia="宋体" w:cs="宋体"/>
              <w:bCs/>
              <w:color w:val="auto"/>
              <w:spacing w:val="5"/>
              <w:sz w:val="36"/>
              <w:szCs w:val="36"/>
              <w:highlight w:val="none"/>
            </w:rPr>
            <w:t>第一章</w:t>
          </w:r>
          <w:r>
            <w:rPr>
              <w:rFonts w:ascii="宋体" w:hAnsi="宋体" w:eastAsia="宋体" w:cs="宋体"/>
              <w:color w:val="auto"/>
              <w:spacing w:val="5"/>
              <w:sz w:val="36"/>
              <w:szCs w:val="36"/>
              <w:highlight w:val="none"/>
            </w:rPr>
            <w:t xml:space="preserve"> </w:t>
          </w:r>
          <w:r>
            <w:rPr>
              <w:rFonts w:ascii="宋体" w:hAnsi="宋体" w:eastAsia="宋体" w:cs="宋体"/>
              <w:bCs/>
              <w:color w:val="auto"/>
              <w:spacing w:val="5"/>
              <w:sz w:val="36"/>
              <w:szCs w:val="36"/>
              <w:highlight w:val="none"/>
            </w:rPr>
            <w:t>竞争性谈判公告</w:t>
          </w:r>
          <w:r>
            <w:rPr>
              <w:color w:val="auto"/>
              <w:sz w:val="36"/>
              <w:szCs w:val="36"/>
              <w:highlight w:val="none"/>
            </w:rPr>
            <w:tab/>
          </w:r>
          <w:r>
            <w:rPr>
              <w:color w:val="auto"/>
              <w:sz w:val="36"/>
              <w:szCs w:val="36"/>
              <w:highlight w:val="none"/>
            </w:rPr>
            <w:fldChar w:fldCharType="begin"/>
          </w:r>
          <w:r>
            <w:rPr>
              <w:color w:val="auto"/>
              <w:sz w:val="36"/>
              <w:szCs w:val="36"/>
              <w:highlight w:val="none"/>
            </w:rPr>
            <w:instrText xml:space="preserve"> PAGEREF _Toc5124 \h </w:instrText>
          </w:r>
          <w:r>
            <w:rPr>
              <w:color w:val="auto"/>
              <w:sz w:val="36"/>
              <w:szCs w:val="36"/>
              <w:highlight w:val="none"/>
            </w:rPr>
            <w:fldChar w:fldCharType="separate"/>
          </w:r>
          <w:r>
            <w:rPr>
              <w:color w:val="auto"/>
              <w:sz w:val="36"/>
              <w:szCs w:val="36"/>
              <w:highlight w:val="none"/>
            </w:rPr>
            <w:t>1</w:t>
          </w:r>
          <w:r>
            <w:rPr>
              <w:color w:val="auto"/>
              <w:sz w:val="36"/>
              <w:szCs w:val="36"/>
              <w:highlight w:val="none"/>
            </w:rPr>
            <w:fldChar w:fldCharType="end"/>
          </w:r>
          <w:r>
            <w:rPr>
              <w:color w:val="auto"/>
              <w:sz w:val="36"/>
              <w:szCs w:val="36"/>
              <w:highlight w:val="none"/>
            </w:rPr>
            <w:fldChar w:fldCharType="end"/>
          </w:r>
        </w:p>
        <w:p w14:paraId="4EE6F9DA">
          <w:pPr>
            <w:pStyle w:val="7"/>
            <w:tabs>
              <w:tab w:val="right" w:leader="dot" w:pos="8872"/>
            </w:tabs>
            <w:spacing w:line="600" w:lineRule="auto"/>
            <w:rPr>
              <w:color w:val="auto"/>
              <w:sz w:val="36"/>
              <w:szCs w:val="36"/>
              <w:highlight w:val="none"/>
            </w:rPr>
          </w:pPr>
          <w:r>
            <w:rPr>
              <w:color w:val="auto"/>
              <w:sz w:val="36"/>
              <w:szCs w:val="36"/>
              <w:highlight w:val="none"/>
            </w:rPr>
            <w:fldChar w:fldCharType="begin"/>
          </w:r>
          <w:r>
            <w:rPr>
              <w:color w:val="auto"/>
              <w:sz w:val="36"/>
              <w:szCs w:val="36"/>
              <w:highlight w:val="none"/>
            </w:rPr>
            <w:instrText xml:space="preserve"> HYPERLINK \l _Toc4616 </w:instrText>
          </w:r>
          <w:r>
            <w:rPr>
              <w:color w:val="auto"/>
              <w:sz w:val="36"/>
              <w:szCs w:val="36"/>
              <w:highlight w:val="none"/>
            </w:rPr>
            <w:fldChar w:fldCharType="separate"/>
          </w:r>
          <w:r>
            <w:rPr>
              <w:rFonts w:ascii="宋体" w:hAnsi="宋体" w:eastAsia="宋体" w:cs="宋体"/>
              <w:bCs/>
              <w:color w:val="auto"/>
              <w:spacing w:val="4"/>
              <w:sz w:val="36"/>
              <w:szCs w:val="36"/>
              <w:highlight w:val="none"/>
            </w:rPr>
            <w:t>第二章</w:t>
          </w:r>
          <w:r>
            <w:rPr>
              <w:rFonts w:ascii="宋体" w:hAnsi="宋体" w:eastAsia="宋体" w:cs="宋体"/>
              <w:color w:val="auto"/>
              <w:spacing w:val="4"/>
              <w:sz w:val="36"/>
              <w:szCs w:val="36"/>
              <w:highlight w:val="none"/>
            </w:rPr>
            <w:t xml:space="preserve"> </w:t>
          </w:r>
          <w:r>
            <w:rPr>
              <w:rFonts w:ascii="宋体" w:hAnsi="宋体" w:eastAsia="宋体" w:cs="宋体"/>
              <w:bCs/>
              <w:color w:val="auto"/>
              <w:spacing w:val="4"/>
              <w:sz w:val="36"/>
              <w:szCs w:val="36"/>
              <w:highlight w:val="none"/>
            </w:rPr>
            <w:t>供应商须知</w:t>
          </w:r>
          <w:r>
            <w:rPr>
              <w:color w:val="auto"/>
              <w:sz w:val="36"/>
              <w:szCs w:val="36"/>
              <w:highlight w:val="none"/>
            </w:rPr>
            <w:tab/>
          </w:r>
          <w:r>
            <w:rPr>
              <w:color w:val="auto"/>
              <w:sz w:val="36"/>
              <w:szCs w:val="36"/>
              <w:highlight w:val="none"/>
            </w:rPr>
            <w:fldChar w:fldCharType="begin"/>
          </w:r>
          <w:r>
            <w:rPr>
              <w:color w:val="auto"/>
              <w:sz w:val="36"/>
              <w:szCs w:val="36"/>
              <w:highlight w:val="none"/>
            </w:rPr>
            <w:instrText xml:space="preserve"> PAGEREF _Toc4616 \h </w:instrText>
          </w:r>
          <w:r>
            <w:rPr>
              <w:color w:val="auto"/>
              <w:sz w:val="36"/>
              <w:szCs w:val="36"/>
              <w:highlight w:val="none"/>
            </w:rPr>
            <w:fldChar w:fldCharType="separate"/>
          </w:r>
          <w:r>
            <w:rPr>
              <w:color w:val="auto"/>
              <w:sz w:val="36"/>
              <w:szCs w:val="36"/>
              <w:highlight w:val="none"/>
            </w:rPr>
            <w:t>4</w:t>
          </w:r>
          <w:r>
            <w:rPr>
              <w:color w:val="auto"/>
              <w:sz w:val="36"/>
              <w:szCs w:val="36"/>
              <w:highlight w:val="none"/>
            </w:rPr>
            <w:fldChar w:fldCharType="end"/>
          </w:r>
          <w:r>
            <w:rPr>
              <w:color w:val="auto"/>
              <w:sz w:val="36"/>
              <w:szCs w:val="36"/>
              <w:highlight w:val="none"/>
            </w:rPr>
            <w:fldChar w:fldCharType="end"/>
          </w:r>
        </w:p>
        <w:p w14:paraId="05E85977">
          <w:pPr>
            <w:pStyle w:val="7"/>
            <w:tabs>
              <w:tab w:val="right" w:leader="dot" w:pos="8872"/>
            </w:tabs>
            <w:spacing w:line="600" w:lineRule="auto"/>
            <w:rPr>
              <w:color w:val="auto"/>
              <w:sz w:val="36"/>
              <w:szCs w:val="36"/>
              <w:highlight w:val="none"/>
            </w:rPr>
          </w:pPr>
          <w:r>
            <w:rPr>
              <w:color w:val="auto"/>
              <w:sz w:val="36"/>
              <w:szCs w:val="36"/>
              <w:highlight w:val="none"/>
            </w:rPr>
            <w:fldChar w:fldCharType="begin"/>
          </w:r>
          <w:r>
            <w:rPr>
              <w:color w:val="auto"/>
              <w:sz w:val="36"/>
              <w:szCs w:val="36"/>
              <w:highlight w:val="none"/>
            </w:rPr>
            <w:instrText xml:space="preserve"> HYPERLINK \l _Toc27619 </w:instrText>
          </w:r>
          <w:r>
            <w:rPr>
              <w:color w:val="auto"/>
              <w:sz w:val="36"/>
              <w:szCs w:val="36"/>
              <w:highlight w:val="none"/>
            </w:rPr>
            <w:fldChar w:fldCharType="separate"/>
          </w:r>
          <w:r>
            <w:rPr>
              <w:rFonts w:ascii="宋体" w:hAnsi="宋体" w:eastAsia="宋体" w:cs="宋体"/>
              <w:bCs/>
              <w:color w:val="auto"/>
              <w:spacing w:val="4"/>
              <w:sz w:val="36"/>
              <w:szCs w:val="36"/>
              <w:highlight w:val="none"/>
            </w:rPr>
            <w:t>第三章</w:t>
          </w:r>
          <w:r>
            <w:rPr>
              <w:rFonts w:ascii="宋体" w:hAnsi="宋体" w:eastAsia="宋体" w:cs="宋体"/>
              <w:color w:val="auto"/>
              <w:spacing w:val="4"/>
              <w:sz w:val="36"/>
              <w:szCs w:val="36"/>
              <w:highlight w:val="none"/>
            </w:rPr>
            <w:t xml:space="preserve"> </w:t>
          </w:r>
          <w:r>
            <w:rPr>
              <w:rFonts w:ascii="宋体" w:hAnsi="宋体" w:eastAsia="宋体" w:cs="宋体"/>
              <w:bCs/>
              <w:color w:val="auto"/>
              <w:spacing w:val="4"/>
              <w:sz w:val="36"/>
              <w:szCs w:val="36"/>
              <w:highlight w:val="none"/>
            </w:rPr>
            <w:t>采购需求</w:t>
          </w:r>
          <w:r>
            <w:rPr>
              <w:color w:val="auto"/>
              <w:sz w:val="36"/>
              <w:szCs w:val="36"/>
              <w:highlight w:val="none"/>
            </w:rPr>
            <w:tab/>
          </w:r>
          <w:r>
            <w:rPr>
              <w:color w:val="auto"/>
              <w:sz w:val="36"/>
              <w:szCs w:val="36"/>
              <w:highlight w:val="none"/>
            </w:rPr>
            <w:fldChar w:fldCharType="begin"/>
          </w:r>
          <w:r>
            <w:rPr>
              <w:color w:val="auto"/>
              <w:sz w:val="36"/>
              <w:szCs w:val="36"/>
              <w:highlight w:val="none"/>
            </w:rPr>
            <w:instrText xml:space="preserve"> PAGEREF _Toc27619 \h </w:instrText>
          </w:r>
          <w:r>
            <w:rPr>
              <w:color w:val="auto"/>
              <w:sz w:val="36"/>
              <w:szCs w:val="36"/>
              <w:highlight w:val="none"/>
            </w:rPr>
            <w:fldChar w:fldCharType="separate"/>
          </w:r>
          <w:r>
            <w:rPr>
              <w:color w:val="auto"/>
              <w:sz w:val="36"/>
              <w:szCs w:val="36"/>
              <w:highlight w:val="none"/>
            </w:rPr>
            <w:t>24</w:t>
          </w:r>
          <w:r>
            <w:rPr>
              <w:color w:val="auto"/>
              <w:sz w:val="36"/>
              <w:szCs w:val="36"/>
              <w:highlight w:val="none"/>
            </w:rPr>
            <w:fldChar w:fldCharType="end"/>
          </w:r>
          <w:r>
            <w:rPr>
              <w:color w:val="auto"/>
              <w:sz w:val="36"/>
              <w:szCs w:val="36"/>
              <w:highlight w:val="none"/>
            </w:rPr>
            <w:fldChar w:fldCharType="end"/>
          </w:r>
        </w:p>
        <w:p w14:paraId="58E6C3A3">
          <w:pPr>
            <w:pStyle w:val="7"/>
            <w:tabs>
              <w:tab w:val="right" w:leader="dot" w:pos="8872"/>
            </w:tabs>
            <w:spacing w:line="600" w:lineRule="auto"/>
            <w:rPr>
              <w:color w:val="auto"/>
              <w:sz w:val="36"/>
              <w:szCs w:val="36"/>
              <w:highlight w:val="none"/>
            </w:rPr>
          </w:pPr>
          <w:r>
            <w:rPr>
              <w:color w:val="auto"/>
              <w:sz w:val="36"/>
              <w:szCs w:val="36"/>
              <w:highlight w:val="none"/>
            </w:rPr>
            <w:fldChar w:fldCharType="begin"/>
          </w:r>
          <w:r>
            <w:rPr>
              <w:color w:val="auto"/>
              <w:sz w:val="36"/>
              <w:szCs w:val="36"/>
              <w:highlight w:val="none"/>
            </w:rPr>
            <w:instrText xml:space="preserve"> HYPERLINK \l _Toc32403 </w:instrText>
          </w:r>
          <w:r>
            <w:rPr>
              <w:color w:val="auto"/>
              <w:sz w:val="36"/>
              <w:szCs w:val="36"/>
              <w:highlight w:val="none"/>
            </w:rPr>
            <w:fldChar w:fldCharType="separate"/>
          </w:r>
          <w:r>
            <w:rPr>
              <w:rFonts w:ascii="宋体" w:hAnsi="宋体" w:eastAsia="宋体" w:cs="宋体"/>
              <w:bCs/>
              <w:color w:val="auto"/>
              <w:spacing w:val="5"/>
              <w:sz w:val="36"/>
              <w:szCs w:val="36"/>
              <w:highlight w:val="none"/>
            </w:rPr>
            <w:t>第四章</w:t>
          </w:r>
          <w:r>
            <w:rPr>
              <w:rFonts w:ascii="宋体" w:hAnsi="宋体" w:eastAsia="宋体" w:cs="宋体"/>
              <w:color w:val="auto"/>
              <w:spacing w:val="5"/>
              <w:sz w:val="36"/>
              <w:szCs w:val="36"/>
              <w:highlight w:val="none"/>
            </w:rPr>
            <w:t xml:space="preserve">  </w:t>
          </w:r>
          <w:r>
            <w:rPr>
              <w:rFonts w:ascii="宋体" w:hAnsi="宋体" w:eastAsia="宋体" w:cs="宋体"/>
              <w:bCs/>
              <w:color w:val="auto"/>
              <w:spacing w:val="5"/>
              <w:sz w:val="36"/>
              <w:szCs w:val="36"/>
              <w:highlight w:val="none"/>
            </w:rPr>
            <w:t>评审程序和评定成交的标准</w:t>
          </w:r>
          <w:r>
            <w:rPr>
              <w:color w:val="auto"/>
              <w:sz w:val="36"/>
              <w:szCs w:val="36"/>
              <w:highlight w:val="none"/>
            </w:rPr>
            <w:tab/>
          </w:r>
          <w:r>
            <w:rPr>
              <w:color w:val="auto"/>
              <w:sz w:val="36"/>
              <w:szCs w:val="36"/>
              <w:highlight w:val="none"/>
            </w:rPr>
            <w:fldChar w:fldCharType="begin"/>
          </w:r>
          <w:r>
            <w:rPr>
              <w:color w:val="auto"/>
              <w:sz w:val="36"/>
              <w:szCs w:val="36"/>
              <w:highlight w:val="none"/>
            </w:rPr>
            <w:instrText xml:space="preserve"> PAGEREF _Toc32403 \h </w:instrText>
          </w:r>
          <w:r>
            <w:rPr>
              <w:color w:val="auto"/>
              <w:sz w:val="36"/>
              <w:szCs w:val="36"/>
              <w:highlight w:val="none"/>
            </w:rPr>
            <w:fldChar w:fldCharType="separate"/>
          </w:r>
          <w:r>
            <w:rPr>
              <w:color w:val="auto"/>
              <w:sz w:val="36"/>
              <w:szCs w:val="36"/>
              <w:highlight w:val="none"/>
            </w:rPr>
            <w:t>36</w:t>
          </w:r>
          <w:r>
            <w:rPr>
              <w:color w:val="auto"/>
              <w:sz w:val="36"/>
              <w:szCs w:val="36"/>
              <w:highlight w:val="none"/>
            </w:rPr>
            <w:fldChar w:fldCharType="end"/>
          </w:r>
          <w:r>
            <w:rPr>
              <w:color w:val="auto"/>
              <w:sz w:val="36"/>
              <w:szCs w:val="36"/>
              <w:highlight w:val="none"/>
            </w:rPr>
            <w:fldChar w:fldCharType="end"/>
          </w:r>
        </w:p>
        <w:p w14:paraId="4C0E73B7">
          <w:pPr>
            <w:pStyle w:val="7"/>
            <w:tabs>
              <w:tab w:val="right" w:leader="dot" w:pos="8872"/>
            </w:tabs>
            <w:spacing w:line="600" w:lineRule="auto"/>
            <w:rPr>
              <w:color w:val="auto"/>
              <w:sz w:val="36"/>
              <w:szCs w:val="36"/>
              <w:highlight w:val="none"/>
            </w:rPr>
          </w:pPr>
          <w:r>
            <w:rPr>
              <w:color w:val="auto"/>
              <w:sz w:val="36"/>
              <w:szCs w:val="36"/>
              <w:highlight w:val="none"/>
            </w:rPr>
            <w:fldChar w:fldCharType="begin"/>
          </w:r>
          <w:r>
            <w:rPr>
              <w:color w:val="auto"/>
              <w:sz w:val="36"/>
              <w:szCs w:val="36"/>
              <w:highlight w:val="none"/>
            </w:rPr>
            <w:instrText xml:space="preserve"> HYPERLINK \l _Toc28901 </w:instrText>
          </w:r>
          <w:r>
            <w:rPr>
              <w:color w:val="auto"/>
              <w:sz w:val="36"/>
              <w:szCs w:val="36"/>
              <w:highlight w:val="none"/>
            </w:rPr>
            <w:fldChar w:fldCharType="separate"/>
          </w:r>
          <w:r>
            <w:rPr>
              <w:rFonts w:ascii="宋体" w:hAnsi="宋体" w:eastAsia="宋体" w:cs="宋体"/>
              <w:bCs/>
              <w:color w:val="auto"/>
              <w:sz w:val="36"/>
              <w:szCs w:val="36"/>
              <w:highlight w:val="none"/>
            </w:rPr>
            <w:t>第五章</w:t>
          </w:r>
          <w:r>
            <w:rPr>
              <w:rFonts w:ascii="宋体" w:hAnsi="宋体" w:eastAsia="宋体" w:cs="宋体"/>
              <w:color w:val="auto"/>
              <w:spacing w:val="46"/>
              <w:sz w:val="36"/>
              <w:szCs w:val="36"/>
              <w:highlight w:val="none"/>
            </w:rPr>
            <w:t xml:space="preserve"> </w:t>
          </w:r>
          <w:r>
            <w:rPr>
              <w:rFonts w:ascii="宋体" w:hAnsi="宋体" w:eastAsia="宋体" w:cs="宋体"/>
              <w:bCs/>
              <w:color w:val="auto"/>
              <w:sz w:val="36"/>
              <w:szCs w:val="36"/>
              <w:highlight w:val="none"/>
            </w:rPr>
            <w:t>响应文件格式</w:t>
          </w:r>
          <w:r>
            <w:rPr>
              <w:color w:val="auto"/>
              <w:sz w:val="36"/>
              <w:szCs w:val="36"/>
              <w:highlight w:val="none"/>
            </w:rPr>
            <w:tab/>
          </w:r>
          <w:r>
            <w:rPr>
              <w:color w:val="auto"/>
              <w:sz w:val="36"/>
              <w:szCs w:val="36"/>
              <w:highlight w:val="none"/>
            </w:rPr>
            <w:fldChar w:fldCharType="begin"/>
          </w:r>
          <w:r>
            <w:rPr>
              <w:color w:val="auto"/>
              <w:sz w:val="36"/>
              <w:szCs w:val="36"/>
              <w:highlight w:val="none"/>
            </w:rPr>
            <w:instrText xml:space="preserve"> PAGEREF _Toc28901 \h </w:instrText>
          </w:r>
          <w:r>
            <w:rPr>
              <w:color w:val="auto"/>
              <w:sz w:val="36"/>
              <w:szCs w:val="36"/>
              <w:highlight w:val="none"/>
            </w:rPr>
            <w:fldChar w:fldCharType="separate"/>
          </w:r>
          <w:r>
            <w:rPr>
              <w:color w:val="auto"/>
              <w:sz w:val="36"/>
              <w:szCs w:val="36"/>
              <w:highlight w:val="none"/>
            </w:rPr>
            <w:t>44</w:t>
          </w:r>
          <w:r>
            <w:rPr>
              <w:color w:val="auto"/>
              <w:sz w:val="36"/>
              <w:szCs w:val="36"/>
              <w:highlight w:val="none"/>
            </w:rPr>
            <w:fldChar w:fldCharType="end"/>
          </w:r>
          <w:r>
            <w:rPr>
              <w:color w:val="auto"/>
              <w:sz w:val="36"/>
              <w:szCs w:val="36"/>
              <w:highlight w:val="none"/>
            </w:rPr>
            <w:fldChar w:fldCharType="end"/>
          </w:r>
        </w:p>
        <w:p w14:paraId="73363F8D">
          <w:pPr>
            <w:pStyle w:val="7"/>
            <w:tabs>
              <w:tab w:val="right" w:leader="dot" w:pos="8872"/>
            </w:tabs>
            <w:spacing w:line="600" w:lineRule="auto"/>
            <w:rPr>
              <w:color w:val="auto"/>
              <w:sz w:val="36"/>
              <w:szCs w:val="36"/>
              <w:highlight w:val="none"/>
            </w:rPr>
          </w:pPr>
          <w:r>
            <w:rPr>
              <w:color w:val="auto"/>
              <w:sz w:val="36"/>
              <w:szCs w:val="36"/>
              <w:highlight w:val="none"/>
            </w:rPr>
            <w:fldChar w:fldCharType="begin"/>
          </w:r>
          <w:r>
            <w:rPr>
              <w:color w:val="auto"/>
              <w:sz w:val="36"/>
              <w:szCs w:val="36"/>
              <w:highlight w:val="none"/>
            </w:rPr>
            <w:instrText xml:space="preserve"> HYPERLINK \l _Toc29627 </w:instrText>
          </w:r>
          <w:r>
            <w:rPr>
              <w:color w:val="auto"/>
              <w:sz w:val="36"/>
              <w:szCs w:val="36"/>
              <w:highlight w:val="none"/>
            </w:rPr>
            <w:fldChar w:fldCharType="separate"/>
          </w:r>
          <w:r>
            <w:rPr>
              <w:rFonts w:ascii="宋体" w:hAnsi="宋体" w:eastAsia="宋体" w:cs="宋体"/>
              <w:bCs/>
              <w:color w:val="auto"/>
              <w:spacing w:val="4"/>
              <w:sz w:val="36"/>
              <w:szCs w:val="36"/>
              <w:highlight w:val="none"/>
            </w:rPr>
            <w:t>第六章</w:t>
          </w:r>
          <w:r>
            <w:rPr>
              <w:rFonts w:ascii="宋体" w:hAnsi="宋体" w:eastAsia="宋体" w:cs="宋体"/>
              <w:color w:val="auto"/>
              <w:spacing w:val="4"/>
              <w:sz w:val="36"/>
              <w:szCs w:val="36"/>
              <w:highlight w:val="none"/>
            </w:rPr>
            <w:t xml:space="preserve"> </w:t>
          </w:r>
          <w:r>
            <w:rPr>
              <w:rFonts w:ascii="宋体" w:hAnsi="宋体" w:eastAsia="宋体" w:cs="宋体"/>
              <w:bCs/>
              <w:color w:val="auto"/>
              <w:spacing w:val="4"/>
              <w:sz w:val="36"/>
              <w:szCs w:val="36"/>
              <w:highlight w:val="none"/>
            </w:rPr>
            <w:t>合同文本</w:t>
          </w:r>
          <w:r>
            <w:rPr>
              <w:color w:val="auto"/>
              <w:sz w:val="36"/>
              <w:szCs w:val="36"/>
              <w:highlight w:val="none"/>
            </w:rPr>
            <w:tab/>
          </w:r>
          <w:r>
            <w:rPr>
              <w:color w:val="auto"/>
              <w:sz w:val="36"/>
              <w:szCs w:val="36"/>
              <w:highlight w:val="none"/>
            </w:rPr>
            <w:fldChar w:fldCharType="begin"/>
          </w:r>
          <w:r>
            <w:rPr>
              <w:color w:val="auto"/>
              <w:sz w:val="36"/>
              <w:szCs w:val="36"/>
              <w:highlight w:val="none"/>
            </w:rPr>
            <w:instrText xml:space="preserve"> PAGEREF _Toc29627 \h </w:instrText>
          </w:r>
          <w:r>
            <w:rPr>
              <w:color w:val="auto"/>
              <w:sz w:val="36"/>
              <w:szCs w:val="36"/>
              <w:highlight w:val="none"/>
            </w:rPr>
            <w:fldChar w:fldCharType="separate"/>
          </w:r>
          <w:r>
            <w:rPr>
              <w:color w:val="auto"/>
              <w:sz w:val="36"/>
              <w:szCs w:val="36"/>
              <w:highlight w:val="none"/>
            </w:rPr>
            <w:t>73</w:t>
          </w:r>
          <w:r>
            <w:rPr>
              <w:color w:val="auto"/>
              <w:sz w:val="36"/>
              <w:szCs w:val="36"/>
              <w:highlight w:val="none"/>
            </w:rPr>
            <w:fldChar w:fldCharType="end"/>
          </w:r>
          <w:r>
            <w:rPr>
              <w:color w:val="auto"/>
              <w:sz w:val="36"/>
              <w:szCs w:val="36"/>
              <w:highlight w:val="none"/>
            </w:rPr>
            <w:fldChar w:fldCharType="end"/>
          </w:r>
        </w:p>
        <w:p w14:paraId="44BD2745">
          <w:pPr>
            <w:spacing w:line="600" w:lineRule="auto"/>
            <w:rPr>
              <w:color w:val="auto"/>
              <w:highlight w:val="none"/>
            </w:rPr>
          </w:pPr>
          <w:r>
            <w:rPr>
              <w:color w:val="auto"/>
              <w:sz w:val="36"/>
              <w:szCs w:val="36"/>
              <w:highlight w:val="none"/>
            </w:rPr>
            <w:fldChar w:fldCharType="end"/>
          </w:r>
        </w:p>
      </w:sdtContent>
    </w:sdt>
    <w:p w14:paraId="5B8F4525">
      <w:pPr>
        <w:rPr>
          <w:color w:val="auto"/>
          <w:highlight w:val="none"/>
        </w:rPr>
      </w:pPr>
    </w:p>
    <w:p w14:paraId="13E4E84A">
      <w:pPr>
        <w:spacing w:line="219" w:lineRule="auto"/>
        <w:rPr>
          <w:rFonts w:ascii="Times New Roman" w:hAnsi="Times New Roman" w:eastAsia="Times New Roman" w:cs="Times New Roman"/>
          <w:color w:val="auto"/>
          <w:sz w:val="22"/>
          <w:szCs w:val="22"/>
          <w:highlight w:val="none"/>
        </w:rPr>
        <w:sectPr>
          <w:footerReference r:id="rId5" w:type="default"/>
          <w:pgSz w:w="11906" w:h="16839"/>
          <w:pgMar w:top="1417" w:right="1439" w:bottom="1362" w:left="1595" w:header="0" w:footer="1200" w:gutter="0"/>
          <w:cols w:space="720" w:num="1"/>
        </w:sectPr>
      </w:pPr>
    </w:p>
    <w:p w14:paraId="72EA9632">
      <w:pPr>
        <w:spacing w:before="313" w:line="222" w:lineRule="auto"/>
        <w:ind w:left="2310"/>
        <w:outlineLvl w:val="0"/>
        <w:rPr>
          <w:rFonts w:ascii="宋体" w:hAnsi="宋体" w:eastAsia="宋体" w:cs="宋体"/>
          <w:color w:val="auto"/>
          <w:sz w:val="43"/>
          <w:szCs w:val="43"/>
          <w:highlight w:val="none"/>
        </w:rPr>
      </w:pPr>
      <w:bookmarkStart w:id="0" w:name="_Toc5124"/>
      <w:r>
        <w:rPr>
          <w:rFonts w:ascii="宋体" w:hAnsi="宋体" w:eastAsia="宋体" w:cs="宋体"/>
          <w:b/>
          <w:bCs/>
          <w:color w:val="auto"/>
          <w:spacing w:val="5"/>
          <w:sz w:val="43"/>
          <w:szCs w:val="43"/>
          <w:highlight w:val="none"/>
        </w:rPr>
        <w:t>第一章</w:t>
      </w:r>
      <w:r>
        <w:rPr>
          <w:rFonts w:ascii="宋体" w:hAnsi="宋体" w:eastAsia="宋体" w:cs="宋体"/>
          <w:color w:val="auto"/>
          <w:spacing w:val="5"/>
          <w:sz w:val="43"/>
          <w:szCs w:val="43"/>
          <w:highlight w:val="none"/>
        </w:rPr>
        <w:t xml:space="preserve"> </w:t>
      </w:r>
      <w:r>
        <w:rPr>
          <w:rFonts w:ascii="宋体" w:hAnsi="宋体" w:eastAsia="宋体" w:cs="宋体"/>
          <w:b/>
          <w:bCs/>
          <w:color w:val="auto"/>
          <w:spacing w:val="5"/>
          <w:sz w:val="43"/>
          <w:szCs w:val="43"/>
          <w:highlight w:val="none"/>
        </w:rPr>
        <w:t>竞争性谈判公告</w:t>
      </w:r>
      <w:bookmarkEnd w:id="0"/>
    </w:p>
    <w:p w14:paraId="6346590F">
      <w:pPr>
        <w:spacing w:line="300" w:lineRule="auto"/>
        <w:rPr>
          <w:rFonts w:ascii="Arial"/>
          <w:color w:val="auto"/>
          <w:sz w:val="21"/>
          <w:highlight w:val="none"/>
        </w:rPr>
      </w:pPr>
    </w:p>
    <w:p w14:paraId="4848F06D">
      <w:pPr>
        <w:spacing w:line="300" w:lineRule="auto"/>
        <w:rPr>
          <w:rFonts w:ascii="Arial"/>
          <w:color w:val="auto"/>
          <w:sz w:val="21"/>
          <w:highlight w:val="none"/>
        </w:rPr>
      </w:pPr>
    </w:p>
    <w:p w14:paraId="73B8FC59">
      <w:pPr>
        <w:spacing w:before="101" w:line="223" w:lineRule="auto"/>
        <w:ind w:left="3505"/>
        <w:rPr>
          <w:rFonts w:ascii="宋体" w:hAnsi="宋体" w:eastAsia="宋体" w:cs="宋体"/>
          <w:b/>
          <w:bCs/>
          <w:color w:val="auto"/>
          <w:spacing w:val="5"/>
          <w:sz w:val="31"/>
          <w:szCs w:val="31"/>
          <w:highlight w:val="none"/>
        </w:rPr>
      </w:pPr>
      <w:r>
        <w:rPr>
          <w:rFonts w:ascii="宋体" w:hAnsi="宋体" w:eastAsia="宋体" w:cs="宋体"/>
          <w:b/>
          <w:bCs/>
          <w:color w:val="auto"/>
          <w:spacing w:val="5"/>
          <w:sz w:val="31"/>
          <w:szCs w:val="31"/>
          <w:highlight w:val="none"/>
        </w:rPr>
        <w:t>竞争性谈判公告</w:t>
      </w:r>
    </w:p>
    <w:p w14:paraId="252B7508">
      <w:pPr>
        <w:spacing w:before="101" w:line="223" w:lineRule="auto"/>
        <w:ind w:left="3505"/>
        <w:rPr>
          <w:rFonts w:ascii="宋体" w:hAnsi="宋体" w:eastAsia="宋体" w:cs="宋体"/>
          <w:b/>
          <w:bCs/>
          <w:color w:val="auto"/>
          <w:spacing w:val="5"/>
          <w:sz w:val="31"/>
          <w:szCs w:val="31"/>
          <w:highlight w:val="none"/>
        </w:rPr>
      </w:pPr>
    </w:p>
    <w:p w14:paraId="708EF6CF">
      <w:pPr>
        <w:pBdr>
          <w:top w:val="single" w:color="auto" w:sz="4" w:space="1"/>
          <w:left w:val="single" w:color="auto" w:sz="4" w:space="4"/>
          <w:bottom w:val="single" w:color="auto" w:sz="4" w:space="1"/>
          <w:right w:val="single" w:color="auto" w:sz="4" w:space="4"/>
        </w:pBdr>
        <w:wordWrap w:val="0"/>
        <w:adjustRightInd w:val="0"/>
        <w:snapToGrid w:val="0"/>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77F51302">
      <w:pPr>
        <w:pBdr>
          <w:top w:val="single" w:color="auto" w:sz="4" w:space="1"/>
          <w:left w:val="single" w:color="auto" w:sz="4" w:space="4"/>
          <w:bottom w:val="single" w:color="auto" w:sz="4" w:space="1"/>
          <w:right w:val="single" w:color="auto" w:sz="4" w:space="4"/>
        </w:pBdr>
        <w:wordWrap w:val="0"/>
        <w:adjustRightInd w:val="0"/>
        <w:snapToGrid w:val="0"/>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北海市博物馆一期展览辅助展品采购及布展服务项目 </w:t>
      </w:r>
      <w:r>
        <w:rPr>
          <w:rFonts w:hint="eastAsia" w:ascii="宋体" w:hAnsi="宋体" w:eastAsia="宋体" w:cs="宋体"/>
          <w:color w:val="auto"/>
          <w:sz w:val="21"/>
          <w:szCs w:val="21"/>
          <w:highlight w:val="none"/>
        </w:rPr>
        <w:t>招标项目的潜在投标人应在“广西政府采购云”平台（https://www.gcy.zfcg.gxzf.gov.cn/）获取（下载）招标文件，并于</w:t>
      </w:r>
      <w:r>
        <w:rPr>
          <w:rFonts w:hint="eastAsia" w:ascii="宋体" w:hAnsi="宋体" w:eastAsia="宋体" w:cs="宋体"/>
          <w:bCs/>
          <w:color w:val="auto"/>
          <w:sz w:val="21"/>
          <w:szCs w:val="21"/>
          <w:highlight w:val="none"/>
          <w:u w:val="single"/>
        </w:rPr>
        <w:t xml:space="preserve">2026年 </w:t>
      </w:r>
      <w:r>
        <w:rPr>
          <w:rFonts w:hint="eastAsia" w:ascii="宋体" w:hAnsi="宋体" w:eastAsia="宋体" w:cs="宋体"/>
          <w:bCs/>
          <w:color w:val="auto"/>
          <w:sz w:val="21"/>
          <w:szCs w:val="21"/>
          <w:highlight w:val="none"/>
          <w:u w:val="single"/>
          <w:lang w:val="en-US" w:eastAsia="zh-CN"/>
        </w:rPr>
        <w:t xml:space="preserve">8 </w:t>
      </w:r>
      <w:r>
        <w:rPr>
          <w:rFonts w:hint="eastAsia" w:ascii="宋体" w:hAnsi="宋体" w:eastAsia="宋体" w:cs="宋体"/>
          <w:bCs/>
          <w:color w:val="auto"/>
          <w:sz w:val="21"/>
          <w:szCs w:val="21"/>
          <w:highlight w:val="none"/>
          <w:u w:val="single"/>
        </w:rPr>
        <w:t>月</w:t>
      </w:r>
      <w:r>
        <w:rPr>
          <w:rFonts w:hint="eastAsia" w:ascii="宋体" w:hAnsi="宋体" w:eastAsia="宋体" w:cs="宋体"/>
          <w:bCs/>
          <w:color w:val="auto"/>
          <w:sz w:val="21"/>
          <w:szCs w:val="21"/>
          <w:highlight w:val="none"/>
          <w:u w:val="single"/>
          <w:lang w:val="en-US" w:eastAsia="zh-CN"/>
        </w:rPr>
        <w:t xml:space="preserve"> 26 </w:t>
      </w:r>
      <w:r>
        <w:rPr>
          <w:rFonts w:hint="eastAsia" w:ascii="宋体" w:hAnsi="宋体" w:eastAsia="宋体" w:cs="宋体"/>
          <w:bCs/>
          <w:color w:val="auto"/>
          <w:sz w:val="21"/>
          <w:szCs w:val="21"/>
          <w:highlight w:val="none"/>
          <w:u w:val="single"/>
        </w:rPr>
        <w:t>日</w:t>
      </w:r>
      <w:r>
        <w:rPr>
          <w:rFonts w:hint="eastAsia" w:ascii="宋体" w:hAnsi="宋体" w:eastAsia="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rPr>
        <w:t>时00分（</w:t>
      </w:r>
      <w:r>
        <w:rPr>
          <w:rFonts w:hint="eastAsia" w:ascii="宋体" w:hAnsi="宋体" w:eastAsia="宋体" w:cs="宋体"/>
          <w:bCs/>
          <w:color w:val="auto"/>
          <w:sz w:val="21"/>
          <w:szCs w:val="21"/>
          <w:highlight w:val="none"/>
        </w:rPr>
        <w:t>北京时间）前按要求递交（上传）投标文件</w:t>
      </w:r>
      <w:r>
        <w:rPr>
          <w:rFonts w:hint="eastAsia" w:ascii="宋体" w:hAnsi="宋体" w:eastAsia="宋体" w:cs="宋体"/>
          <w:color w:val="auto"/>
          <w:sz w:val="21"/>
          <w:szCs w:val="21"/>
          <w:highlight w:val="none"/>
        </w:rPr>
        <w:t>。</w:t>
      </w:r>
    </w:p>
    <w:p w14:paraId="60B913EE">
      <w:pPr>
        <w:pStyle w:val="12"/>
        <w:spacing w:before="147" w:line="228" w:lineRule="auto"/>
        <w:ind w:left="516"/>
        <w:rPr>
          <w:color w:val="auto"/>
          <w:spacing w:val="6"/>
          <w:highlight w:val="none"/>
        </w:rPr>
      </w:pPr>
    </w:p>
    <w:p w14:paraId="7CA30AD2">
      <w:pPr>
        <w:spacing w:before="65" w:line="227" w:lineRule="auto"/>
        <w:ind w:left="57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一、项目基本情况</w:t>
      </w:r>
    </w:p>
    <w:p w14:paraId="6C4689DB">
      <w:pPr>
        <w:spacing w:before="134" w:line="228" w:lineRule="auto"/>
        <w:ind w:left="680"/>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lang w:eastAsia="zh-CN"/>
        </w:rPr>
        <w:t>项目编号：BHZC2026-J1-990221-GXTZ</w:t>
      </w:r>
    </w:p>
    <w:p w14:paraId="78B643F2">
      <w:pPr>
        <w:spacing w:before="134" w:line="228" w:lineRule="auto"/>
        <w:ind w:left="680"/>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lang w:eastAsia="zh-CN"/>
        </w:rPr>
        <w:t>项目名称：北海市博物馆一期展览辅助展品采购及布展服务项目</w:t>
      </w:r>
    </w:p>
    <w:p w14:paraId="248D7AEF">
      <w:pPr>
        <w:spacing w:before="134" w:line="228" w:lineRule="auto"/>
        <w:ind w:left="680"/>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lang w:eastAsia="zh-CN"/>
        </w:rPr>
        <w:t>采购方式：竞争性谈判</w:t>
      </w:r>
    </w:p>
    <w:p w14:paraId="7D04B37F">
      <w:pPr>
        <w:spacing w:before="134" w:line="228" w:lineRule="auto"/>
        <w:ind w:left="680"/>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lang w:eastAsia="zh-CN"/>
        </w:rPr>
        <w:t>预算金额：</w:t>
      </w:r>
      <w:r>
        <w:rPr>
          <w:rFonts w:hint="eastAsia" w:ascii="宋体" w:hAnsi="宋体" w:eastAsia="宋体" w:cs="宋体"/>
          <w:color w:val="auto"/>
          <w:spacing w:val="8"/>
          <w:sz w:val="20"/>
          <w:szCs w:val="20"/>
          <w:highlight w:val="none"/>
          <w:lang w:val="en-US" w:eastAsia="zh-CN"/>
        </w:rPr>
        <w:t>1024548.08</w:t>
      </w:r>
      <w:r>
        <w:rPr>
          <w:rFonts w:hint="eastAsia" w:ascii="宋体" w:hAnsi="宋体" w:eastAsia="宋体" w:cs="宋体"/>
          <w:color w:val="auto"/>
          <w:spacing w:val="8"/>
          <w:sz w:val="20"/>
          <w:szCs w:val="20"/>
          <w:highlight w:val="none"/>
          <w:lang w:eastAsia="zh-CN"/>
        </w:rPr>
        <w:t>元</w:t>
      </w:r>
    </w:p>
    <w:p w14:paraId="6E79D092">
      <w:pPr>
        <w:spacing w:before="134" w:line="228" w:lineRule="auto"/>
        <w:ind w:left="680"/>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lang w:eastAsia="zh-CN"/>
        </w:rPr>
        <w:t>最高限价（如有）：</w:t>
      </w:r>
      <w:r>
        <w:rPr>
          <w:rFonts w:hint="eastAsia" w:ascii="宋体" w:hAnsi="宋体" w:eastAsia="宋体" w:cs="宋体"/>
          <w:color w:val="auto"/>
          <w:spacing w:val="8"/>
          <w:sz w:val="20"/>
          <w:szCs w:val="20"/>
          <w:highlight w:val="none"/>
          <w:lang w:val="en-US" w:eastAsia="zh-CN"/>
        </w:rPr>
        <w:t>1024548.08</w:t>
      </w:r>
      <w:r>
        <w:rPr>
          <w:rFonts w:hint="eastAsia" w:ascii="宋体" w:hAnsi="宋体" w:eastAsia="宋体" w:cs="宋体"/>
          <w:color w:val="auto"/>
          <w:spacing w:val="8"/>
          <w:sz w:val="20"/>
          <w:szCs w:val="20"/>
          <w:highlight w:val="none"/>
          <w:lang w:eastAsia="zh-CN"/>
        </w:rPr>
        <w:t>元</w:t>
      </w:r>
    </w:p>
    <w:p w14:paraId="703E025C">
      <w:pPr>
        <w:spacing w:before="134" w:line="228" w:lineRule="auto"/>
        <w:ind w:left="680"/>
        <w:rPr>
          <w:rFonts w:hint="default"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lang w:eastAsia="zh-CN"/>
        </w:rPr>
        <w:t>采购需求：</w:t>
      </w:r>
      <w:r>
        <w:rPr>
          <w:rFonts w:hint="default" w:ascii="宋体" w:hAnsi="宋体" w:eastAsia="宋体" w:cs="宋体"/>
          <w:color w:val="auto"/>
          <w:spacing w:val="8"/>
          <w:sz w:val="20"/>
          <w:szCs w:val="20"/>
          <w:highlight w:val="none"/>
          <w:lang w:val="en-US" w:eastAsia="zh-CN"/>
        </w:rPr>
        <w:t>1.包含</w:t>
      </w:r>
      <w:r>
        <w:rPr>
          <w:rFonts w:hint="default" w:ascii="宋体" w:hAnsi="宋体" w:eastAsia="宋体" w:cs="宋体"/>
          <w:color w:val="auto"/>
          <w:spacing w:val="8"/>
          <w:sz w:val="20"/>
          <w:szCs w:val="20"/>
          <w:highlight w:val="none"/>
          <w:lang w:eastAsia="zh-CN"/>
        </w:rPr>
        <w:t>立体字、</w:t>
      </w:r>
      <w:r>
        <w:rPr>
          <w:rFonts w:hint="default" w:ascii="宋体" w:hAnsi="宋体" w:eastAsia="宋体" w:cs="宋体"/>
          <w:color w:val="auto"/>
          <w:spacing w:val="8"/>
          <w:sz w:val="20"/>
          <w:szCs w:val="20"/>
          <w:highlight w:val="none"/>
          <w:lang w:val="en-US" w:eastAsia="zh-CN"/>
        </w:rPr>
        <w:t>2.</w:t>
      </w:r>
      <w:r>
        <w:rPr>
          <w:rFonts w:hint="default" w:ascii="宋体" w:hAnsi="宋体" w:eastAsia="宋体" w:cs="宋体"/>
          <w:color w:val="auto"/>
          <w:spacing w:val="8"/>
          <w:sz w:val="20"/>
          <w:szCs w:val="20"/>
          <w:highlight w:val="none"/>
          <w:lang w:eastAsia="zh-CN"/>
        </w:rPr>
        <w:t>图文展板、</w:t>
      </w:r>
      <w:r>
        <w:rPr>
          <w:rFonts w:hint="default" w:ascii="宋体" w:hAnsi="宋体" w:eastAsia="宋体" w:cs="宋体"/>
          <w:color w:val="auto"/>
          <w:spacing w:val="8"/>
          <w:sz w:val="20"/>
          <w:szCs w:val="20"/>
          <w:highlight w:val="none"/>
          <w:lang w:val="en-US" w:eastAsia="zh-CN"/>
        </w:rPr>
        <w:t>3.</w:t>
      </w:r>
      <w:r>
        <w:rPr>
          <w:rFonts w:hint="default" w:ascii="宋体" w:hAnsi="宋体" w:eastAsia="宋体" w:cs="宋体"/>
          <w:color w:val="auto"/>
          <w:spacing w:val="8"/>
          <w:sz w:val="20"/>
          <w:szCs w:val="20"/>
          <w:highlight w:val="none"/>
          <w:lang w:eastAsia="zh-CN"/>
        </w:rPr>
        <w:t>定制墙面、</w:t>
      </w:r>
      <w:r>
        <w:rPr>
          <w:rFonts w:hint="default" w:ascii="宋体" w:hAnsi="宋体" w:eastAsia="宋体" w:cs="宋体"/>
          <w:color w:val="auto"/>
          <w:spacing w:val="8"/>
          <w:sz w:val="20"/>
          <w:szCs w:val="20"/>
          <w:highlight w:val="none"/>
          <w:lang w:val="en-US" w:eastAsia="zh-CN"/>
        </w:rPr>
        <w:t>4.</w:t>
      </w:r>
      <w:r>
        <w:rPr>
          <w:rFonts w:hint="default" w:ascii="宋体" w:hAnsi="宋体" w:eastAsia="宋体" w:cs="宋体"/>
          <w:color w:val="auto"/>
          <w:spacing w:val="8"/>
          <w:sz w:val="20"/>
          <w:szCs w:val="20"/>
          <w:highlight w:val="none"/>
          <w:lang w:eastAsia="zh-CN"/>
        </w:rPr>
        <w:t>场景复原、</w:t>
      </w:r>
      <w:r>
        <w:rPr>
          <w:rFonts w:hint="default" w:ascii="宋体" w:hAnsi="宋体" w:eastAsia="宋体" w:cs="宋体"/>
          <w:color w:val="auto"/>
          <w:spacing w:val="8"/>
          <w:sz w:val="20"/>
          <w:szCs w:val="20"/>
          <w:highlight w:val="none"/>
          <w:lang w:val="en-US" w:eastAsia="zh-CN"/>
        </w:rPr>
        <w:t>5.</w:t>
      </w:r>
      <w:r>
        <w:rPr>
          <w:rFonts w:hint="default" w:ascii="宋体" w:hAnsi="宋体" w:eastAsia="宋体" w:cs="宋体"/>
          <w:color w:val="auto"/>
          <w:spacing w:val="8"/>
          <w:sz w:val="20"/>
          <w:szCs w:val="20"/>
          <w:highlight w:val="none"/>
          <w:lang w:eastAsia="zh-CN"/>
        </w:rPr>
        <w:t>景德镇仿名窑陶瓷工艺品、</w:t>
      </w:r>
      <w:r>
        <w:rPr>
          <w:rFonts w:hint="default" w:ascii="宋体" w:hAnsi="宋体" w:eastAsia="宋体" w:cs="宋体"/>
          <w:color w:val="auto"/>
          <w:spacing w:val="8"/>
          <w:sz w:val="20"/>
          <w:szCs w:val="20"/>
          <w:highlight w:val="none"/>
          <w:lang w:val="en-US" w:eastAsia="zh-CN"/>
        </w:rPr>
        <w:t>6.</w:t>
      </w:r>
      <w:r>
        <w:rPr>
          <w:rFonts w:hint="default" w:ascii="宋体" w:hAnsi="宋体" w:eastAsia="宋体" w:cs="宋体"/>
          <w:color w:val="auto"/>
          <w:spacing w:val="8"/>
          <w:sz w:val="20"/>
          <w:szCs w:val="20"/>
          <w:highlight w:val="none"/>
          <w:lang w:eastAsia="zh-CN"/>
        </w:rPr>
        <w:t>布展服务费、</w:t>
      </w:r>
      <w:r>
        <w:rPr>
          <w:rFonts w:hint="default" w:ascii="宋体" w:hAnsi="宋体" w:eastAsia="宋体" w:cs="宋体"/>
          <w:color w:val="auto"/>
          <w:spacing w:val="8"/>
          <w:sz w:val="20"/>
          <w:szCs w:val="20"/>
          <w:highlight w:val="none"/>
          <w:lang w:val="en-US" w:eastAsia="zh-CN"/>
        </w:rPr>
        <w:t>7.</w:t>
      </w:r>
      <w:r>
        <w:rPr>
          <w:rFonts w:hint="default" w:ascii="宋体" w:hAnsi="宋体" w:eastAsia="宋体" w:cs="宋体"/>
          <w:color w:val="auto"/>
          <w:spacing w:val="8"/>
          <w:sz w:val="20"/>
          <w:szCs w:val="20"/>
          <w:highlight w:val="none"/>
          <w:lang w:eastAsia="zh-CN"/>
        </w:rPr>
        <w:t>二次设计，</w:t>
      </w:r>
      <w:r>
        <w:rPr>
          <w:rFonts w:hint="eastAsia" w:ascii="宋体" w:hAnsi="宋体" w:eastAsia="宋体" w:cs="宋体"/>
          <w:color w:val="auto"/>
          <w:spacing w:val="8"/>
          <w:sz w:val="20"/>
          <w:szCs w:val="20"/>
          <w:highlight w:val="none"/>
          <w:lang w:eastAsia="zh-CN"/>
        </w:rPr>
        <w:t>具体内容详见采购需求</w:t>
      </w:r>
      <w:r>
        <w:rPr>
          <w:rFonts w:hint="default" w:ascii="宋体" w:hAnsi="宋体" w:eastAsia="宋体" w:cs="宋体"/>
          <w:color w:val="auto"/>
          <w:spacing w:val="8"/>
          <w:sz w:val="20"/>
          <w:szCs w:val="20"/>
          <w:highlight w:val="none"/>
          <w:lang w:eastAsia="zh-CN"/>
        </w:rPr>
        <w:t>。</w:t>
      </w:r>
    </w:p>
    <w:p w14:paraId="5F85A37D">
      <w:pPr>
        <w:spacing w:before="134" w:line="228" w:lineRule="auto"/>
        <w:ind w:left="680"/>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lang w:eastAsia="zh-CN"/>
        </w:rPr>
        <w:t>合同履行期限： 自合同签订之日起</w:t>
      </w:r>
      <w:r>
        <w:rPr>
          <w:rFonts w:hint="eastAsia" w:ascii="宋体" w:hAnsi="宋体" w:eastAsia="宋体" w:cs="宋体"/>
          <w:color w:val="auto"/>
          <w:spacing w:val="8"/>
          <w:sz w:val="20"/>
          <w:szCs w:val="20"/>
          <w:highlight w:val="none"/>
          <w:lang w:val="en-US" w:eastAsia="zh-CN"/>
        </w:rPr>
        <w:t>60</w:t>
      </w:r>
      <w:r>
        <w:rPr>
          <w:rFonts w:hint="eastAsia" w:ascii="宋体" w:hAnsi="宋体" w:eastAsia="宋体" w:cs="宋体"/>
          <w:color w:val="auto"/>
          <w:spacing w:val="8"/>
          <w:sz w:val="20"/>
          <w:szCs w:val="20"/>
          <w:highlight w:val="none"/>
          <w:lang w:eastAsia="zh-CN"/>
        </w:rPr>
        <w:t>个日历日内交货完毕并交付使用。</w:t>
      </w:r>
    </w:p>
    <w:p w14:paraId="41BAF699">
      <w:pPr>
        <w:spacing w:before="133" w:line="227" w:lineRule="auto"/>
        <w:ind w:left="677"/>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本项目（</w:t>
      </w:r>
      <w:r>
        <w:rPr>
          <w:rFonts w:ascii="宋体" w:hAnsi="宋体" w:eastAsia="宋体" w:cs="宋体"/>
          <w:color w:val="auto"/>
          <w:spacing w:val="-64"/>
          <w:sz w:val="20"/>
          <w:szCs w:val="20"/>
          <w:highlight w:val="none"/>
        </w:rPr>
        <w:t xml:space="preserve"> </w:t>
      </w:r>
      <w:r>
        <w:rPr>
          <w:rFonts w:ascii="宋体" w:hAnsi="宋体" w:eastAsia="宋体" w:cs="宋体"/>
          <w:color w:val="auto"/>
          <w:spacing w:val="-86"/>
          <w:sz w:val="20"/>
          <w:szCs w:val="20"/>
          <w:highlight w:val="none"/>
          <w:u w:val="single" w:color="auto"/>
        </w:rPr>
        <w:t xml:space="preserve"> </w:t>
      </w:r>
      <w:r>
        <w:rPr>
          <w:rFonts w:ascii="宋体" w:hAnsi="宋体" w:eastAsia="宋体" w:cs="宋体"/>
          <w:color w:val="auto"/>
          <w:spacing w:val="4"/>
          <w:sz w:val="20"/>
          <w:szCs w:val="20"/>
          <w:highlight w:val="none"/>
          <w:u w:val="single" w:color="auto"/>
        </w:rPr>
        <w:t>否</w:t>
      </w:r>
      <w:r>
        <w:rPr>
          <w:rFonts w:ascii="宋体" w:hAnsi="宋体" w:eastAsia="宋体" w:cs="宋体"/>
          <w:color w:val="auto"/>
          <w:spacing w:val="4"/>
          <w:sz w:val="20"/>
          <w:szCs w:val="20"/>
          <w:highlight w:val="none"/>
        </w:rPr>
        <w:t>）</w:t>
      </w:r>
      <w:r>
        <w:rPr>
          <w:rFonts w:ascii="宋体" w:hAnsi="宋体" w:eastAsia="宋体" w:cs="宋体"/>
          <w:color w:val="auto"/>
          <w:spacing w:val="4"/>
          <w:sz w:val="20"/>
          <w:szCs w:val="20"/>
          <w:highlight w:val="none"/>
          <w:u w:val="single" w:color="auto"/>
        </w:rPr>
        <w:t>接受联合体</w:t>
      </w:r>
      <w:r>
        <w:rPr>
          <w:rFonts w:ascii="宋体" w:hAnsi="宋体" w:eastAsia="宋体" w:cs="宋体"/>
          <w:color w:val="auto"/>
          <w:spacing w:val="4"/>
          <w:sz w:val="20"/>
          <w:szCs w:val="20"/>
          <w:highlight w:val="none"/>
        </w:rPr>
        <w:t>。</w:t>
      </w:r>
    </w:p>
    <w:p w14:paraId="516640BE">
      <w:pPr>
        <w:spacing w:before="134" w:line="227" w:lineRule="auto"/>
        <w:ind w:left="68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二、供应商的资格条件：</w:t>
      </w:r>
    </w:p>
    <w:p w14:paraId="34C887DC">
      <w:pPr>
        <w:spacing w:before="135" w:line="227" w:lineRule="auto"/>
        <w:ind w:left="69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1.满足《中华人民共和国政府采购法》第二十二条规定；</w:t>
      </w:r>
    </w:p>
    <w:p w14:paraId="14F3764A">
      <w:pPr>
        <w:spacing w:before="135" w:line="227" w:lineRule="auto"/>
        <w:ind w:left="692"/>
        <w:rPr>
          <w:rFonts w:hint="eastAsia" w:ascii="宋体" w:hAnsi="宋体" w:eastAsia="宋体" w:cs="宋体"/>
          <w:color w:val="auto"/>
          <w:spacing w:val="8"/>
          <w:sz w:val="20"/>
          <w:szCs w:val="20"/>
          <w:highlight w:val="none"/>
          <w:lang w:eastAsia="zh-CN"/>
        </w:rPr>
      </w:pPr>
      <w:r>
        <w:rPr>
          <w:rFonts w:ascii="宋体" w:hAnsi="宋体" w:eastAsia="宋体" w:cs="宋体"/>
          <w:color w:val="auto"/>
          <w:spacing w:val="8"/>
          <w:sz w:val="20"/>
          <w:szCs w:val="20"/>
          <w:highlight w:val="none"/>
        </w:rPr>
        <w:t>2.落实政府采购政策需满足的资格要求：</w:t>
      </w:r>
      <w:r>
        <w:rPr>
          <w:rFonts w:hint="eastAsia" w:ascii="宋体" w:hAnsi="宋体" w:eastAsia="宋体" w:cs="宋体"/>
          <w:color w:val="auto"/>
          <w:spacing w:val="8"/>
          <w:sz w:val="20"/>
          <w:szCs w:val="20"/>
          <w:highlight w:val="none"/>
        </w:rPr>
        <w:t>专门面向中小企业采购的项目，供应商须为中小企业（监狱企业、残疾人福利性单位视同小型、微型企业）</w:t>
      </w:r>
      <w:r>
        <w:rPr>
          <w:rFonts w:hint="eastAsia" w:ascii="宋体" w:hAnsi="宋体" w:eastAsia="宋体" w:cs="宋体"/>
          <w:color w:val="auto"/>
          <w:spacing w:val="8"/>
          <w:sz w:val="20"/>
          <w:szCs w:val="20"/>
          <w:highlight w:val="none"/>
          <w:lang w:eastAsia="zh-CN"/>
        </w:rPr>
        <w:t>。</w:t>
      </w:r>
    </w:p>
    <w:p w14:paraId="7B30F1C6">
      <w:pPr>
        <w:spacing w:before="132" w:line="227" w:lineRule="auto"/>
        <w:ind w:left="68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3.本项目的特定资格要求：</w:t>
      </w:r>
      <w:r>
        <w:rPr>
          <w:rFonts w:ascii="宋体" w:hAnsi="宋体" w:eastAsia="宋体" w:cs="宋体"/>
          <w:color w:val="auto"/>
          <w:spacing w:val="9"/>
          <w:sz w:val="20"/>
          <w:szCs w:val="20"/>
          <w:highlight w:val="none"/>
          <w:u w:val="single" w:color="auto"/>
        </w:rPr>
        <w:t>无。</w:t>
      </w:r>
    </w:p>
    <w:p w14:paraId="4ED3EEBB">
      <w:pPr>
        <w:spacing w:before="135" w:line="228" w:lineRule="auto"/>
        <w:ind w:left="67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三、获取竞争性谈判文件</w:t>
      </w:r>
    </w:p>
    <w:p w14:paraId="7D843881">
      <w:pPr>
        <w:spacing w:before="133" w:line="351" w:lineRule="auto"/>
        <w:ind w:left="258" w:right="248" w:firstLine="428"/>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时间：</w:t>
      </w:r>
      <w:r>
        <w:rPr>
          <w:rFonts w:ascii="宋体" w:hAnsi="宋体" w:eastAsia="宋体" w:cs="宋体"/>
          <w:color w:val="auto"/>
          <w:spacing w:val="3"/>
          <w:sz w:val="20"/>
          <w:szCs w:val="20"/>
          <w:highlight w:val="none"/>
          <w:u w:val="single" w:color="auto"/>
        </w:rPr>
        <w:t>2026</w:t>
      </w:r>
      <w:r>
        <w:rPr>
          <w:rFonts w:ascii="宋体" w:hAnsi="宋体" w:eastAsia="宋体" w:cs="宋体"/>
          <w:color w:val="auto"/>
          <w:spacing w:val="-35"/>
          <w:sz w:val="20"/>
          <w:szCs w:val="20"/>
          <w:highlight w:val="none"/>
          <w:u w:val="single" w:color="auto"/>
        </w:rPr>
        <w:t xml:space="preserve"> </w:t>
      </w:r>
      <w:r>
        <w:rPr>
          <w:rFonts w:ascii="宋体" w:hAnsi="宋体" w:eastAsia="宋体" w:cs="宋体"/>
          <w:color w:val="auto"/>
          <w:spacing w:val="3"/>
          <w:sz w:val="20"/>
          <w:szCs w:val="20"/>
          <w:highlight w:val="none"/>
          <w:u w:val="single" w:color="auto"/>
        </w:rPr>
        <w:t>年</w:t>
      </w:r>
      <w:r>
        <w:rPr>
          <w:rFonts w:hint="eastAsia" w:ascii="宋体" w:hAnsi="宋体" w:eastAsia="宋体" w:cs="宋体"/>
          <w:color w:val="auto"/>
          <w:spacing w:val="3"/>
          <w:sz w:val="20"/>
          <w:szCs w:val="20"/>
          <w:highlight w:val="none"/>
          <w:u w:val="single" w:color="auto"/>
          <w:lang w:val="en-US" w:eastAsia="zh-CN"/>
        </w:rPr>
        <w:t xml:space="preserve"> </w:t>
      </w:r>
      <w:r>
        <w:rPr>
          <w:rFonts w:hint="eastAsia" w:ascii="宋体" w:hAnsi="宋体" w:eastAsia="宋体" w:cs="宋体"/>
          <w:color w:val="auto"/>
          <w:spacing w:val="-29"/>
          <w:sz w:val="20"/>
          <w:szCs w:val="20"/>
          <w:highlight w:val="none"/>
          <w:u w:val="single" w:color="auto"/>
          <w:lang w:val="en-US" w:eastAsia="zh-CN"/>
        </w:rPr>
        <w:t xml:space="preserve">8 </w:t>
      </w:r>
      <w:r>
        <w:rPr>
          <w:rFonts w:ascii="宋体" w:hAnsi="宋体" w:eastAsia="宋体" w:cs="宋体"/>
          <w:color w:val="auto"/>
          <w:spacing w:val="3"/>
          <w:sz w:val="20"/>
          <w:szCs w:val="20"/>
          <w:highlight w:val="none"/>
          <w:u w:val="single" w:color="auto"/>
        </w:rPr>
        <w:t>月</w:t>
      </w:r>
      <w:r>
        <w:rPr>
          <w:rFonts w:hint="eastAsia" w:ascii="宋体" w:hAnsi="宋体" w:eastAsia="宋体" w:cs="宋体"/>
          <w:color w:val="auto"/>
          <w:spacing w:val="3"/>
          <w:sz w:val="20"/>
          <w:szCs w:val="20"/>
          <w:highlight w:val="none"/>
          <w:u w:val="single" w:color="auto"/>
          <w:lang w:val="en-US" w:eastAsia="zh-CN"/>
        </w:rPr>
        <w:t xml:space="preserve"> 20 </w:t>
      </w:r>
      <w:r>
        <w:rPr>
          <w:rFonts w:ascii="宋体" w:hAnsi="宋体" w:eastAsia="宋体" w:cs="宋体"/>
          <w:color w:val="auto"/>
          <w:spacing w:val="3"/>
          <w:sz w:val="20"/>
          <w:szCs w:val="20"/>
          <w:highlight w:val="none"/>
          <w:u w:val="single" w:color="auto"/>
        </w:rPr>
        <w:t>日至</w:t>
      </w:r>
      <w:r>
        <w:rPr>
          <w:rFonts w:ascii="宋体" w:hAnsi="宋体" w:eastAsia="宋体" w:cs="宋体"/>
          <w:color w:val="auto"/>
          <w:spacing w:val="-32"/>
          <w:sz w:val="20"/>
          <w:szCs w:val="20"/>
          <w:highlight w:val="none"/>
          <w:u w:val="single" w:color="auto"/>
        </w:rPr>
        <w:t xml:space="preserve"> </w:t>
      </w:r>
      <w:r>
        <w:rPr>
          <w:rFonts w:ascii="宋体" w:hAnsi="宋体" w:eastAsia="宋体" w:cs="宋体"/>
          <w:color w:val="auto"/>
          <w:spacing w:val="3"/>
          <w:sz w:val="20"/>
          <w:szCs w:val="20"/>
          <w:highlight w:val="none"/>
          <w:u w:val="single" w:color="auto"/>
        </w:rPr>
        <w:t>2026</w:t>
      </w:r>
      <w:r>
        <w:rPr>
          <w:rFonts w:ascii="宋体" w:hAnsi="宋体" w:eastAsia="宋体" w:cs="宋体"/>
          <w:color w:val="auto"/>
          <w:spacing w:val="-35"/>
          <w:sz w:val="20"/>
          <w:szCs w:val="20"/>
          <w:highlight w:val="none"/>
          <w:u w:val="single" w:color="auto"/>
        </w:rPr>
        <w:t xml:space="preserve"> </w:t>
      </w:r>
      <w:r>
        <w:rPr>
          <w:rFonts w:ascii="宋体" w:hAnsi="宋体" w:eastAsia="宋体" w:cs="宋体"/>
          <w:color w:val="auto"/>
          <w:spacing w:val="3"/>
          <w:sz w:val="20"/>
          <w:szCs w:val="20"/>
          <w:highlight w:val="none"/>
          <w:u w:val="single" w:color="auto"/>
        </w:rPr>
        <w:t>年</w:t>
      </w:r>
      <w:r>
        <w:rPr>
          <w:rFonts w:hint="eastAsia" w:ascii="宋体" w:hAnsi="宋体" w:eastAsia="宋体" w:cs="宋体"/>
          <w:color w:val="auto"/>
          <w:spacing w:val="3"/>
          <w:sz w:val="20"/>
          <w:szCs w:val="20"/>
          <w:highlight w:val="none"/>
          <w:u w:val="single" w:color="auto"/>
          <w:lang w:val="en-US" w:eastAsia="zh-CN"/>
        </w:rPr>
        <w:t xml:space="preserve"> </w:t>
      </w:r>
      <w:r>
        <w:rPr>
          <w:rFonts w:hint="eastAsia" w:ascii="宋体" w:hAnsi="宋体" w:eastAsia="宋体" w:cs="宋体"/>
          <w:color w:val="auto"/>
          <w:spacing w:val="-29"/>
          <w:sz w:val="20"/>
          <w:szCs w:val="20"/>
          <w:highlight w:val="none"/>
          <w:u w:val="single" w:color="auto"/>
          <w:lang w:val="en-US" w:eastAsia="zh-CN"/>
        </w:rPr>
        <w:t xml:space="preserve">8 </w:t>
      </w:r>
      <w:r>
        <w:rPr>
          <w:rFonts w:ascii="宋体" w:hAnsi="宋体" w:eastAsia="宋体" w:cs="宋体"/>
          <w:color w:val="auto"/>
          <w:spacing w:val="3"/>
          <w:sz w:val="20"/>
          <w:szCs w:val="20"/>
          <w:highlight w:val="none"/>
          <w:u w:val="single" w:color="auto"/>
        </w:rPr>
        <w:t>月</w:t>
      </w:r>
      <w:r>
        <w:rPr>
          <w:rFonts w:hint="eastAsia" w:ascii="宋体" w:hAnsi="宋体" w:eastAsia="宋体" w:cs="宋体"/>
          <w:color w:val="auto"/>
          <w:spacing w:val="3"/>
          <w:sz w:val="20"/>
          <w:szCs w:val="20"/>
          <w:highlight w:val="none"/>
          <w:u w:val="single" w:color="auto"/>
          <w:lang w:val="en-US" w:eastAsia="zh-CN"/>
        </w:rPr>
        <w:t xml:space="preserve">25 </w:t>
      </w:r>
      <w:r>
        <w:rPr>
          <w:rFonts w:ascii="宋体" w:hAnsi="宋体" w:eastAsia="宋体" w:cs="宋体"/>
          <w:color w:val="auto"/>
          <w:spacing w:val="3"/>
          <w:sz w:val="20"/>
          <w:szCs w:val="20"/>
          <w:highlight w:val="none"/>
          <w:u w:val="single" w:color="auto"/>
        </w:rPr>
        <w:t>日</w:t>
      </w:r>
      <w:r>
        <w:rPr>
          <w:rFonts w:ascii="宋体" w:hAnsi="宋体" w:eastAsia="宋体" w:cs="宋体"/>
          <w:color w:val="auto"/>
          <w:spacing w:val="2"/>
          <w:sz w:val="20"/>
          <w:szCs w:val="20"/>
          <w:highlight w:val="none"/>
        </w:rPr>
        <w:t>，每天上午</w:t>
      </w:r>
      <w:r>
        <w:rPr>
          <w:rFonts w:ascii="宋体" w:hAnsi="宋体" w:eastAsia="宋体" w:cs="宋体"/>
          <w:color w:val="auto"/>
          <w:spacing w:val="-33"/>
          <w:sz w:val="20"/>
          <w:szCs w:val="20"/>
          <w:highlight w:val="none"/>
        </w:rPr>
        <w:t xml:space="preserve"> </w:t>
      </w:r>
      <w:r>
        <w:rPr>
          <w:rFonts w:ascii="宋体" w:hAnsi="宋体" w:eastAsia="宋体" w:cs="宋体"/>
          <w:color w:val="auto"/>
          <w:spacing w:val="2"/>
          <w:sz w:val="20"/>
          <w:szCs w:val="20"/>
          <w:highlight w:val="none"/>
        </w:rPr>
        <w:t>00：00</w:t>
      </w:r>
      <w:r>
        <w:rPr>
          <w:rFonts w:ascii="宋体" w:hAnsi="宋体" w:eastAsia="宋体" w:cs="宋体"/>
          <w:color w:val="auto"/>
          <w:spacing w:val="-34"/>
          <w:sz w:val="20"/>
          <w:szCs w:val="20"/>
          <w:highlight w:val="none"/>
        </w:rPr>
        <w:t xml:space="preserve"> </w:t>
      </w:r>
      <w:r>
        <w:rPr>
          <w:rFonts w:ascii="宋体" w:hAnsi="宋体" w:eastAsia="宋体" w:cs="宋体"/>
          <w:color w:val="auto"/>
          <w:spacing w:val="2"/>
          <w:sz w:val="20"/>
          <w:szCs w:val="20"/>
          <w:highlight w:val="none"/>
        </w:rPr>
        <w:t>至</w:t>
      </w:r>
      <w:r>
        <w:rPr>
          <w:rFonts w:ascii="宋体" w:hAnsi="宋体" w:eastAsia="宋体" w:cs="宋体"/>
          <w:color w:val="auto"/>
          <w:spacing w:val="-21"/>
          <w:sz w:val="20"/>
          <w:szCs w:val="20"/>
          <w:highlight w:val="none"/>
        </w:rPr>
        <w:t xml:space="preserve"> </w:t>
      </w:r>
      <w:r>
        <w:rPr>
          <w:rFonts w:ascii="宋体" w:hAnsi="宋体" w:eastAsia="宋体" w:cs="宋体"/>
          <w:color w:val="auto"/>
          <w:spacing w:val="2"/>
          <w:sz w:val="20"/>
          <w:szCs w:val="20"/>
          <w:highlight w:val="none"/>
        </w:rPr>
        <w:t>12：00，下午</w:t>
      </w:r>
      <w:r>
        <w:rPr>
          <w:rFonts w:ascii="宋体" w:hAnsi="宋体" w:eastAsia="宋体" w:cs="宋体"/>
          <w:color w:val="auto"/>
          <w:spacing w:val="-19"/>
          <w:sz w:val="20"/>
          <w:szCs w:val="20"/>
          <w:highlight w:val="none"/>
        </w:rPr>
        <w:t xml:space="preserve"> </w:t>
      </w:r>
      <w:r>
        <w:rPr>
          <w:rFonts w:ascii="宋体" w:hAnsi="宋体" w:eastAsia="宋体" w:cs="宋体"/>
          <w:color w:val="auto"/>
          <w:spacing w:val="2"/>
          <w:sz w:val="20"/>
          <w:szCs w:val="20"/>
          <w:highlight w:val="none"/>
        </w:rPr>
        <w:t>12：00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2"/>
          <w:sz w:val="20"/>
          <w:szCs w:val="20"/>
          <w:highlight w:val="none"/>
        </w:rPr>
        <w:t>分</w:t>
      </w:r>
      <w:r>
        <w:rPr>
          <w:rFonts w:ascii="宋体" w:hAnsi="宋体" w:eastAsia="宋体" w:cs="宋体"/>
          <w:color w:val="auto"/>
          <w:spacing w:val="6"/>
          <w:sz w:val="20"/>
          <w:szCs w:val="20"/>
          <w:highlight w:val="none"/>
        </w:rPr>
        <w:t>至</w:t>
      </w:r>
      <w:r>
        <w:rPr>
          <w:rFonts w:ascii="宋体" w:hAnsi="宋体" w:eastAsia="宋体" w:cs="宋体"/>
          <w:color w:val="auto"/>
          <w:spacing w:val="-19"/>
          <w:sz w:val="20"/>
          <w:szCs w:val="20"/>
          <w:highlight w:val="none"/>
        </w:rPr>
        <w:t xml:space="preserve"> </w:t>
      </w:r>
      <w:r>
        <w:rPr>
          <w:rFonts w:ascii="宋体" w:hAnsi="宋体" w:eastAsia="宋体" w:cs="宋体"/>
          <w:color w:val="auto"/>
          <w:spacing w:val="6"/>
          <w:sz w:val="20"/>
          <w:szCs w:val="20"/>
          <w:highlight w:val="none"/>
        </w:rPr>
        <w:t>23：59</w:t>
      </w:r>
      <w:r>
        <w:rPr>
          <w:rFonts w:ascii="宋体" w:hAnsi="宋体" w:eastAsia="宋体" w:cs="宋体"/>
          <w:color w:val="auto"/>
          <w:spacing w:val="-35"/>
          <w:sz w:val="20"/>
          <w:szCs w:val="20"/>
          <w:highlight w:val="none"/>
        </w:rPr>
        <w:t xml:space="preserve"> </w:t>
      </w:r>
      <w:r>
        <w:rPr>
          <w:rFonts w:ascii="宋体" w:hAnsi="宋体" w:eastAsia="宋体" w:cs="宋体"/>
          <w:color w:val="auto"/>
          <w:spacing w:val="6"/>
          <w:sz w:val="20"/>
          <w:szCs w:val="20"/>
          <w:highlight w:val="none"/>
        </w:rPr>
        <w:t>分（北京时间，法定节假日除外）</w:t>
      </w:r>
    </w:p>
    <w:p w14:paraId="3E947152">
      <w:pPr>
        <w:spacing w:line="222" w:lineRule="auto"/>
        <w:ind w:left="0" w:firstLine="672" w:firstLineChars="300"/>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地点：广西政府采购云平台（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2"/>
          <w:sz w:val="20"/>
          <w:szCs w:val="20"/>
          <w:highlight w:val="none"/>
        </w:rPr>
        <w:t>/</w:t>
      </w:r>
      <w:r>
        <w:rPr>
          <w:rFonts w:ascii="宋体" w:hAnsi="宋体" w:eastAsia="宋体" w:cs="宋体"/>
          <w:color w:val="auto"/>
          <w:spacing w:val="12"/>
          <w:sz w:val="20"/>
          <w:szCs w:val="20"/>
          <w:highlight w:val="none"/>
        </w:rPr>
        <w:fldChar w:fldCharType="end"/>
      </w:r>
      <w:r>
        <w:rPr>
          <w:rFonts w:ascii="宋体" w:hAnsi="宋体" w:eastAsia="宋体" w:cs="宋体"/>
          <w:color w:val="auto"/>
          <w:spacing w:val="12"/>
          <w:sz w:val="20"/>
          <w:szCs w:val="20"/>
          <w:highlight w:val="none"/>
        </w:rPr>
        <w:t>）</w:t>
      </w:r>
    </w:p>
    <w:p w14:paraId="333526FC">
      <w:pPr>
        <w:rPr>
          <w:color w:val="auto"/>
          <w:highlight w:val="none"/>
        </w:rPr>
      </w:pPr>
    </w:p>
    <w:p w14:paraId="4C77F447">
      <w:pPr>
        <w:spacing w:before="44" w:line="350" w:lineRule="auto"/>
        <w:ind w:right="89" w:firstLine="541"/>
        <w:jc w:val="both"/>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方式：</w:t>
      </w:r>
      <w:r>
        <w:rPr>
          <w:rFonts w:ascii="宋体" w:hAnsi="宋体" w:eastAsia="宋体" w:cs="宋体"/>
          <w:color w:val="auto"/>
          <w:spacing w:val="-60"/>
          <w:sz w:val="20"/>
          <w:szCs w:val="20"/>
          <w:highlight w:val="none"/>
        </w:rPr>
        <w:t xml:space="preserve"> </w:t>
      </w:r>
      <w:r>
        <w:rPr>
          <w:rFonts w:ascii="宋体" w:hAnsi="宋体" w:eastAsia="宋体" w:cs="宋体"/>
          <w:color w:val="auto"/>
          <w:spacing w:val="13"/>
          <w:sz w:val="20"/>
          <w:szCs w:val="20"/>
          <w:highlight w:val="none"/>
        </w:rPr>
        <w:t>网上下载。本项目不提供纸质文件，潜在供应商需使</w:t>
      </w:r>
      <w:r>
        <w:rPr>
          <w:rFonts w:ascii="宋体" w:hAnsi="宋体" w:eastAsia="宋体" w:cs="宋体"/>
          <w:color w:val="auto"/>
          <w:spacing w:val="12"/>
          <w:sz w:val="20"/>
          <w:szCs w:val="20"/>
          <w:highlight w:val="none"/>
        </w:rPr>
        <w:t>用账号登录或者使用</w:t>
      </w:r>
      <w:r>
        <w:rPr>
          <w:rFonts w:ascii="宋体" w:hAnsi="宋体" w:eastAsia="宋体" w:cs="宋体"/>
          <w:color w:val="auto"/>
          <w:sz w:val="20"/>
          <w:szCs w:val="20"/>
          <w:highlight w:val="none"/>
        </w:rPr>
        <w:t>CA</w:t>
      </w:r>
      <w:r>
        <w:rPr>
          <w:rFonts w:ascii="宋体" w:hAnsi="宋体" w:eastAsia="宋体" w:cs="宋体"/>
          <w:color w:val="auto"/>
          <w:spacing w:val="-32"/>
          <w:sz w:val="20"/>
          <w:szCs w:val="20"/>
          <w:highlight w:val="none"/>
        </w:rPr>
        <w:t xml:space="preserve"> </w:t>
      </w:r>
      <w:r>
        <w:rPr>
          <w:rFonts w:ascii="宋体" w:hAnsi="宋体" w:eastAsia="宋体" w:cs="宋体"/>
          <w:color w:val="auto"/>
          <w:spacing w:val="12"/>
          <w:sz w:val="20"/>
          <w:szCs w:val="20"/>
          <w:highlight w:val="none"/>
        </w:rPr>
        <w:t>登录广西政府采购云平台（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2"/>
          <w:sz w:val="20"/>
          <w:szCs w:val="20"/>
          <w:highlight w:val="none"/>
        </w:rPr>
        <w:t>/</w:t>
      </w:r>
      <w:r>
        <w:rPr>
          <w:rFonts w:ascii="宋体" w:hAnsi="宋体" w:eastAsia="宋体" w:cs="宋体"/>
          <w:color w:val="auto"/>
          <w:spacing w:val="12"/>
          <w:sz w:val="20"/>
          <w:szCs w:val="20"/>
          <w:highlight w:val="none"/>
        </w:rPr>
        <w:fldChar w:fldCharType="end"/>
      </w:r>
      <w:r>
        <w:rPr>
          <w:rFonts w:ascii="宋体" w:hAnsi="宋体" w:eastAsia="宋体" w:cs="宋体"/>
          <w:color w:val="auto"/>
          <w:spacing w:val="12"/>
          <w:sz w:val="20"/>
          <w:szCs w:val="20"/>
          <w:highlight w:val="none"/>
        </w:rPr>
        <w:t>）-进入“项目采购”应用，在获取采购文件菜单中选择项目，获取竞争性谈判文件。</w:t>
      </w:r>
      <w:r>
        <w:rPr>
          <w:rFonts w:ascii="宋体" w:hAnsi="宋体" w:eastAsia="宋体" w:cs="宋体"/>
          <w:color w:val="auto"/>
          <w:spacing w:val="-57"/>
          <w:sz w:val="20"/>
          <w:szCs w:val="20"/>
          <w:highlight w:val="none"/>
        </w:rPr>
        <w:t xml:space="preserve"> </w:t>
      </w:r>
      <w:r>
        <w:rPr>
          <w:rFonts w:ascii="宋体" w:hAnsi="宋体" w:eastAsia="宋体" w:cs="宋体"/>
          <w:color w:val="auto"/>
          <w:spacing w:val="12"/>
          <w:sz w:val="20"/>
          <w:szCs w:val="20"/>
          <w:highlight w:val="none"/>
        </w:rPr>
        <w:t>电子响</w:t>
      </w:r>
      <w:r>
        <w:rPr>
          <w:rFonts w:ascii="宋体" w:hAnsi="宋体" w:eastAsia="宋体" w:cs="宋体"/>
          <w:color w:val="auto"/>
          <w:spacing w:val="11"/>
          <w:sz w:val="20"/>
          <w:szCs w:val="20"/>
          <w:highlight w:val="none"/>
        </w:rPr>
        <w:t>应文件制作需要基于广西政府采购</w:t>
      </w:r>
      <w:r>
        <w:rPr>
          <w:rFonts w:ascii="宋体" w:hAnsi="宋体" w:eastAsia="宋体" w:cs="宋体"/>
          <w:color w:val="auto"/>
          <w:spacing w:val="13"/>
          <w:sz w:val="20"/>
          <w:szCs w:val="20"/>
          <w:highlight w:val="none"/>
        </w:rPr>
        <w:t>云平台获取的谈判文件编制，通过其他方式获取谈判文件的，将</w:t>
      </w:r>
      <w:r>
        <w:rPr>
          <w:rFonts w:ascii="宋体" w:hAnsi="宋体" w:eastAsia="宋体" w:cs="宋体"/>
          <w:color w:val="auto"/>
          <w:spacing w:val="12"/>
          <w:sz w:val="20"/>
          <w:szCs w:val="20"/>
          <w:highlight w:val="none"/>
        </w:rPr>
        <w:t>有可能导致供应商无法在广西</w:t>
      </w:r>
      <w:r>
        <w:rPr>
          <w:rFonts w:ascii="宋体" w:hAnsi="宋体" w:eastAsia="宋体" w:cs="宋体"/>
          <w:color w:val="auto"/>
          <w:spacing w:val="8"/>
          <w:sz w:val="20"/>
          <w:szCs w:val="20"/>
          <w:highlight w:val="none"/>
        </w:rPr>
        <w:t>政府采购云平台编制及上传响应文件。</w:t>
      </w:r>
    </w:p>
    <w:p w14:paraId="4C42FC84">
      <w:pPr>
        <w:spacing w:line="226" w:lineRule="auto"/>
        <w:ind w:left="0" w:firstLine="630" w:firstLineChars="30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售价：</w:t>
      </w:r>
      <w:r>
        <w:rPr>
          <w:rFonts w:ascii="宋体" w:hAnsi="宋体" w:eastAsia="宋体" w:cs="宋体"/>
          <w:color w:val="auto"/>
          <w:spacing w:val="5"/>
          <w:sz w:val="20"/>
          <w:szCs w:val="20"/>
          <w:highlight w:val="none"/>
          <w:u w:val="single" w:color="auto"/>
        </w:rPr>
        <w:t>0</w:t>
      </w:r>
      <w:r>
        <w:rPr>
          <w:rFonts w:ascii="宋体" w:hAnsi="宋体" w:eastAsia="宋体" w:cs="宋体"/>
          <w:color w:val="auto"/>
          <w:spacing w:val="-37"/>
          <w:sz w:val="20"/>
          <w:szCs w:val="20"/>
          <w:highlight w:val="none"/>
          <w:u w:val="single" w:color="auto"/>
        </w:rPr>
        <w:t xml:space="preserve"> </w:t>
      </w:r>
      <w:r>
        <w:rPr>
          <w:rFonts w:ascii="宋体" w:hAnsi="宋体" w:eastAsia="宋体" w:cs="宋体"/>
          <w:color w:val="auto"/>
          <w:spacing w:val="5"/>
          <w:sz w:val="20"/>
          <w:szCs w:val="20"/>
          <w:highlight w:val="none"/>
        </w:rPr>
        <w:t>元</w:t>
      </w:r>
    </w:p>
    <w:p w14:paraId="002FB7EA">
      <w:pPr>
        <w:spacing w:before="136" w:line="228" w:lineRule="auto"/>
        <w:ind w:left="0" w:firstLine="636" w:firstLineChars="30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四、响应文件提交</w:t>
      </w:r>
    </w:p>
    <w:p w14:paraId="14449BC6">
      <w:pPr>
        <w:spacing w:before="132" w:line="228" w:lineRule="auto"/>
        <w:ind w:left="420" w:firstLine="202" w:firstLineChars="10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截止时间：</w:t>
      </w:r>
      <w:r>
        <w:rPr>
          <w:rFonts w:ascii="宋体" w:hAnsi="宋体" w:eastAsia="宋体" w:cs="宋体"/>
          <w:color w:val="auto"/>
          <w:spacing w:val="3"/>
          <w:sz w:val="20"/>
          <w:szCs w:val="20"/>
          <w:highlight w:val="none"/>
          <w:u w:val="single" w:color="auto"/>
        </w:rPr>
        <w:t>2026</w:t>
      </w:r>
      <w:r>
        <w:rPr>
          <w:rFonts w:ascii="宋体" w:hAnsi="宋体" w:eastAsia="宋体" w:cs="宋体"/>
          <w:color w:val="auto"/>
          <w:spacing w:val="-35"/>
          <w:sz w:val="20"/>
          <w:szCs w:val="20"/>
          <w:highlight w:val="none"/>
          <w:u w:val="single" w:color="auto"/>
        </w:rPr>
        <w:t xml:space="preserve"> </w:t>
      </w:r>
      <w:r>
        <w:rPr>
          <w:rFonts w:ascii="宋体" w:hAnsi="宋体" w:eastAsia="宋体" w:cs="宋体"/>
          <w:color w:val="auto"/>
          <w:spacing w:val="3"/>
          <w:sz w:val="20"/>
          <w:szCs w:val="20"/>
          <w:highlight w:val="none"/>
          <w:u w:val="single" w:color="auto"/>
        </w:rPr>
        <w:t>年</w:t>
      </w:r>
      <w:r>
        <w:rPr>
          <w:rFonts w:hint="eastAsia" w:ascii="宋体" w:hAnsi="宋体" w:eastAsia="宋体" w:cs="宋体"/>
          <w:color w:val="auto"/>
          <w:spacing w:val="3"/>
          <w:sz w:val="20"/>
          <w:szCs w:val="20"/>
          <w:highlight w:val="none"/>
          <w:u w:val="single" w:color="auto"/>
          <w:lang w:val="en-US" w:eastAsia="zh-CN"/>
        </w:rPr>
        <w:t xml:space="preserve"> </w:t>
      </w:r>
      <w:r>
        <w:rPr>
          <w:rFonts w:hint="eastAsia" w:ascii="宋体" w:hAnsi="宋体" w:eastAsia="宋体" w:cs="宋体"/>
          <w:bCs/>
          <w:color w:val="auto"/>
          <w:sz w:val="21"/>
          <w:szCs w:val="21"/>
          <w:highlight w:val="none"/>
          <w:u w:val="single"/>
          <w:lang w:val="en-US" w:eastAsia="zh-CN"/>
        </w:rPr>
        <w:t xml:space="preserve">8 </w:t>
      </w:r>
      <w:r>
        <w:rPr>
          <w:rFonts w:hint="eastAsia" w:ascii="宋体" w:hAnsi="宋体" w:eastAsia="宋体" w:cs="宋体"/>
          <w:bCs/>
          <w:color w:val="auto"/>
          <w:sz w:val="21"/>
          <w:szCs w:val="21"/>
          <w:highlight w:val="none"/>
          <w:u w:val="single"/>
        </w:rPr>
        <w:t>月</w:t>
      </w:r>
      <w:r>
        <w:rPr>
          <w:rFonts w:hint="eastAsia" w:ascii="宋体" w:hAnsi="宋体" w:eastAsia="宋体" w:cs="宋体"/>
          <w:bCs/>
          <w:color w:val="auto"/>
          <w:sz w:val="21"/>
          <w:szCs w:val="21"/>
          <w:highlight w:val="none"/>
          <w:u w:val="single"/>
          <w:lang w:val="en-US" w:eastAsia="zh-CN"/>
        </w:rPr>
        <w:t xml:space="preserve"> 26 </w:t>
      </w:r>
      <w:r>
        <w:rPr>
          <w:rFonts w:hint="eastAsia" w:ascii="宋体" w:hAnsi="宋体" w:eastAsia="宋体" w:cs="宋体"/>
          <w:bCs/>
          <w:color w:val="auto"/>
          <w:sz w:val="21"/>
          <w:szCs w:val="21"/>
          <w:highlight w:val="none"/>
          <w:u w:val="single"/>
        </w:rPr>
        <w:t>日</w:t>
      </w:r>
      <w:r>
        <w:rPr>
          <w:rFonts w:ascii="宋体" w:hAnsi="宋体" w:eastAsia="宋体" w:cs="宋体"/>
          <w:color w:val="auto"/>
          <w:spacing w:val="-36"/>
          <w:sz w:val="20"/>
          <w:szCs w:val="20"/>
          <w:highlight w:val="none"/>
          <w:u w:val="single" w:color="auto"/>
        </w:rPr>
        <w:t xml:space="preserve"> </w:t>
      </w:r>
      <w:r>
        <w:rPr>
          <w:rFonts w:ascii="宋体" w:hAnsi="宋体" w:eastAsia="宋体" w:cs="宋体"/>
          <w:color w:val="auto"/>
          <w:spacing w:val="1"/>
          <w:sz w:val="20"/>
          <w:szCs w:val="20"/>
          <w:highlight w:val="none"/>
          <w:u w:val="single" w:color="auto"/>
        </w:rPr>
        <w:t>9</w:t>
      </w:r>
      <w:r>
        <w:rPr>
          <w:rFonts w:ascii="宋体" w:hAnsi="宋体" w:eastAsia="宋体" w:cs="宋体"/>
          <w:color w:val="auto"/>
          <w:spacing w:val="-31"/>
          <w:sz w:val="20"/>
          <w:szCs w:val="20"/>
          <w:highlight w:val="none"/>
          <w:u w:val="single" w:color="auto"/>
        </w:rPr>
        <w:t xml:space="preserve"> </w:t>
      </w:r>
      <w:r>
        <w:rPr>
          <w:rFonts w:ascii="宋体" w:hAnsi="宋体" w:eastAsia="宋体" w:cs="宋体"/>
          <w:color w:val="auto"/>
          <w:spacing w:val="1"/>
          <w:sz w:val="20"/>
          <w:szCs w:val="20"/>
          <w:highlight w:val="none"/>
          <w:u w:val="single" w:color="auto"/>
        </w:rPr>
        <w:t>时</w:t>
      </w:r>
      <w:r>
        <w:rPr>
          <w:rFonts w:ascii="宋体" w:hAnsi="宋体" w:eastAsia="宋体" w:cs="宋体"/>
          <w:color w:val="auto"/>
          <w:spacing w:val="-35"/>
          <w:sz w:val="20"/>
          <w:szCs w:val="20"/>
          <w:highlight w:val="none"/>
          <w:u w:val="single" w:color="auto"/>
        </w:rPr>
        <w:t xml:space="preserve"> </w:t>
      </w:r>
      <w:r>
        <w:rPr>
          <w:rFonts w:ascii="宋体" w:hAnsi="宋体" w:eastAsia="宋体" w:cs="宋体"/>
          <w:color w:val="auto"/>
          <w:spacing w:val="1"/>
          <w:sz w:val="20"/>
          <w:szCs w:val="20"/>
          <w:highlight w:val="none"/>
          <w:u w:val="single" w:color="auto"/>
        </w:rPr>
        <w:t>00</w:t>
      </w:r>
      <w:r>
        <w:rPr>
          <w:rFonts w:ascii="宋体" w:hAnsi="宋体" w:eastAsia="宋体" w:cs="宋体"/>
          <w:color w:val="auto"/>
          <w:spacing w:val="-38"/>
          <w:sz w:val="20"/>
          <w:szCs w:val="20"/>
          <w:highlight w:val="none"/>
          <w:u w:val="single" w:color="auto"/>
        </w:rPr>
        <w:t xml:space="preserve"> </w:t>
      </w:r>
      <w:r>
        <w:rPr>
          <w:rFonts w:ascii="宋体" w:hAnsi="宋体" w:eastAsia="宋体" w:cs="宋体"/>
          <w:color w:val="auto"/>
          <w:spacing w:val="1"/>
          <w:sz w:val="20"/>
          <w:szCs w:val="20"/>
          <w:highlight w:val="none"/>
          <w:u w:val="single" w:color="auto"/>
        </w:rPr>
        <w:t>分</w:t>
      </w:r>
      <w:r>
        <w:rPr>
          <w:rFonts w:ascii="宋体" w:hAnsi="宋体" w:eastAsia="宋体" w:cs="宋体"/>
          <w:color w:val="auto"/>
          <w:spacing w:val="1"/>
          <w:sz w:val="20"/>
          <w:szCs w:val="20"/>
          <w:highlight w:val="none"/>
        </w:rPr>
        <w:t>（北京时间）</w:t>
      </w:r>
    </w:p>
    <w:p w14:paraId="34646D5D">
      <w:pPr>
        <w:spacing w:before="132" w:line="222" w:lineRule="auto"/>
        <w:ind w:left="423" w:firstLine="224" w:firstLineChars="100"/>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地点：广西政府采购云平台（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2"/>
          <w:sz w:val="20"/>
          <w:szCs w:val="20"/>
          <w:highlight w:val="none"/>
        </w:rPr>
        <w:t>/</w:t>
      </w:r>
      <w:r>
        <w:rPr>
          <w:rFonts w:ascii="宋体" w:hAnsi="宋体" w:eastAsia="宋体" w:cs="宋体"/>
          <w:color w:val="auto"/>
          <w:spacing w:val="12"/>
          <w:sz w:val="20"/>
          <w:szCs w:val="20"/>
          <w:highlight w:val="none"/>
        </w:rPr>
        <w:fldChar w:fldCharType="end"/>
      </w:r>
      <w:r>
        <w:rPr>
          <w:rFonts w:ascii="宋体" w:hAnsi="宋体" w:eastAsia="宋体" w:cs="宋体"/>
          <w:color w:val="auto"/>
          <w:spacing w:val="12"/>
          <w:sz w:val="20"/>
          <w:szCs w:val="20"/>
          <w:highlight w:val="none"/>
        </w:rPr>
        <w:t>）</w:t>
      </w:r>
    </w:p>
    <w:p w14:paraId="7F08E2CA">
      <w:pPr>
        <w:spacing w:before="141" w:line="229" w:lineRule="auto"/>
        <w:ind w:left="318" w:firstLine="212" w:firstLineChars="10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五、开启</w:t>
      </w:r>
    </w:p>
    <w:p w14:paraId="2A6C297A">
      <w:pPr>
        <w:spacing w:before="130" w:line="228" w:lineRule="auto"/>
        <w:ind w:left="0" w:firstLine="606" w:firstLineChars="30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时间：</w:t>
      </w:r>
      <w:r>
        <w:rPr>
          <w:rFonts w:ascii="宋体" w:hAnsi="宋体" w:eastAsia="宋体" w:cs="宋体"/>
          <w:color w:val="auto"/>
          <w:spacing w:val="3"/>
          <w:sz w:val="20"/>
          <w:szCs w:val="20"/>
          <w:highlight w:val="none"/>
          <w:u w:val="single" w:color="auto"/>
        </w:rPr>
        <w:t>2026</w:t>
      </w:r>
      <w:r>
        <w:rPr>
          <w:rFonts w:ascii="宋体" w:hAnsi="宋体" w:eastAsia="宋体" w:cs="宋体"/>
          <w:color w:val="auto"/>
          <w:spacing w:val="-35"/>
          <w:sz w:val="20"/>
          <w:szCs w:val="20"/>
          <w:highlight w:val="none"/>
          <w:u w:val="single" w:color="auto"/>
        </w:rPr>
        <w:t xml:space="preserve"> </w:t>
      </w:r>
      <w:r>
        <w:rPr>
          <w:rFonts w:ascii="宋体" w:hAnsi="宋体" w:eastAsia="宋体" w:cs="宋体"/>
          <w:color w:val="auto"/>
          <w:spacing w:val="3"/>
          <w:sz w:val="20"/>
          <w:szCs w:val="20"/>
          <w:highlight w:val="none"/>
          <w:u w:val="single" w:color="auto"/>
        </w:rPr>
        <w:t>年</w:t>
      </w:r>
      <w:r>
        <w:rPr>
          <w:rFonts w:hint="eastAsia" w:ascii="宋体" w:hAnsi="宋体" w:eastAsia="宋体" w:cs="宋体"/>
          <w:color w:val="auto"/>
          <w:spacing w:val="3"/>
          <w:sz w:val="20"/>
          <w:szCs w:val="20"/>
          <w:highlight w:val="none"/>
          <w:u w:val="single" w:color="auto"/>
          <w:lang w:val="en-US" w:eastAsia="zh-CN"/>
        </w:rPr>
        <w:t xml:space="preserve"> </w:t>
      </w:r>
      <w:r>
        <w:rPr>
          <w:rFonts w:hint="eastAsia" w:ascii="宋体" w:hAnsi="宋体" w:eastAsia="宋体" w:cs="宋体"/>
          <w:bCs/>
          <w:color w:val="auto"/>
          <w:sz w:val="21"/>
          <w:szCs w:val="21"/>
          <w:highlight w:val="none"/>
          <w:u w:val="single"/>
          <w:lang w:val="en-US" w:eastAsia="zh-CN"/>
        </w:rPr>
        <w:t xml:space="preserve">8 </w:t>
      </w:r>
      <w:r>
        <w:rPr>
          <w:rFonts w:hint="eastAsia" w:ascii="宋体" w:hAnsi="宋体" w:eastAsia="宋体" w:cs="宋体"/>
          <w:bCs/>
          <w:color w:val="auto"/>
          <w:sz w:val="21"/>
          <w:szCs w:val="21"/>
          <w:highlight w:val="none"/>
          <w:u w:val="single"/>
        </w:rPr>
        <w:t>月</w:t>
      </w:r>
      <w:r>
        <w:rPr>
          <w:rFonts w:hint="eastAsia" w:ascii="宋体" w:hAnsi="宋体" w:eastAsia="宋体" w:cs="宋体"/>
          <w:bCs/>
          <w:color w:val="auto"/>
          <w:sz w:val="21"/>
          <w:szCs w:val="21"/>
          <w:highlight w:val="none"/>
          <w:u w:val="single"/>
          <w:lang w:val="en-US" w:eastAsia="zh-CN"/>
        </w:rPr>
        <w:t xml:space="preserve"> 26 </w:t>
      </w:r>
      <w:r>
        <w:rPr>
          <w:rFonts w:hint="eastAsia" w:ascii="宋体" w:hAnsi="宋体" w:eastAsia="宋体" w:cs="宋体"/>
          <w:bCs/>
          <w:color w:val="auto"/>
          <w:sz w:val="21"/>
          <w:szCs w:val="21"/>
          <w:highlight w:val="none"/>
          <w:u w:val="single"/>
        </w:rPr>
        <w:t>日</w:t>
      </w:r>
      <w:r>
        <w:rPr>
          <w:rFonts w:ascii="宋体" w:hAnsi="宋体" w:eastAsia="宋体" w:cs="宋体"/>
          <w:color w:val="auto"/>
          <w:spacing w:val="-36"/>
          <w:sz w:val="20"/>
          <w:szCs w:val="20"/>
          <w:highlight w:val="none"/>
          <w:u w:val="single" w:color="auto"/>
        </w:rPr>
        <w:t xml:space="preserve"> </w:t>
      </w:r>
      <w:r>
        <w:rPr>
          <w:rFonts w:ascii="宋体" w:hAnsi="宋体" w:eastAsia="宋体" w:cs="宋体"/>
          <w:color w:val="auto"/>
          <w:spacing w:val="1"/>
          <w:sz w:val="20"/>
          <w:szCs w:val="20"/>
          <w:highlight w:val="none"/>
          <w:u w:val="single" w:color="auto"/>
        </w:rPr>
        <w:t>9</w:t>
      </w:r>
      <w:r>
        <w:rPr>
          <w:rFonts w:ascii="宋体" w:hAnsi="宋体" w:eastAsia="宋体" w:cs="宋体"/>
          <w:color w:val="auto"/>
          <w:spacing w:val="-30"/>
          <w:sz w:val="20"/>
          <w:szCs w:val="20"/>
          <w:highlight w:val="none"/>
          <w:u w:val="single" w:color="auto"/>
        </w:rPr>
        <w:t xml:space="preserve"> </w:t>
      </w:r>
      <w:r>
        <w:rPr>
          <w:rFonts w:ascii="宋体" w:hAnsi="宋体" w:eastAsia="宋体" w:cs="宋体"/>
          <w:color w:val="auto"/>
          <w:spacing w:val="1"/>
          <w:sz w:val="20"/>
          <w:szCs w:val="20"/>
          <w:highlight w:val="none"/>
          <w:u w:val="single" w:color="auto"/>
        </w:rPr>
        <w:t>时</w:t>
      </w:r>
      <w:r>
        <w:rPr>
          <w:rFonts w:ascii="宋体" w:hAnsi="宋体" w:eastAsia="宋体" w:cs="宋体"/>
          <w:color w:val="auto"/>
          <w:spacing w:val="-36"/>
          <w:sz w:val="20"/>
          <w:szCs w:val="20"/>
          <w:highlight w:val="none"/>
          <w:u w:val="single" w:color="auto"/>
        </w:rPr>
        <w:t xml:space="preserve"> </w:t>
      </w:r>
      <w:r>
        <w:rPr>
          <w:rFonts w:ascii="宋体" w:hAnsi="宋体" w:eastAsia="宋体" w:cs="宋体"/>
          <w:color w:val="auto"/>
          <w:spacing w:val="1"/>
          <w:sz w:val="20"/>
          <w:szCs w:val="20"/>
          <w:highlight w:val="none"/>
          <w:u w:val="single" w:color="auto"/>
        </w:rPr>
        <w:t>00</w:t>
      </w:r>
      <w:r>
        <w:rPr>
          <w:rFonts w:ascii="宋体" w:hAnsi="宋体" w:eastAsia="宋体" w:cs="宋体"/>
          <w:color w:val="auto"/>
          <w:spacing w:val="-37"/>
          <w:sz w:val="20"/>
          <w:szCs w:val="20"/>
          <w:highlight w:val="none"/>
          <w:u w:val="single" w:color="auto"/>
        </w:rPr>
        <w:t xml:space="preserve"> </w:t>
      </w:r>
      <w:r>
        <w:rPr>
          <w:rFonts w:ascii="宋体" w:hAnsi="宋体" w:eastAsia="宋体" w:cs="宋体"/>
          <w:color w:val="auto"/>
          <w:spacing w:val="1"/>
          <w:sz w:val="20"/>
          <w:szCs w:val="20"/>
          <w:highlight w:val="none"/>
          <w:u w:val="single" w:color="auto"/>
        </w:rPr>
        <w:t>分（</w:t>
      </w:r>
      <w:r>
        <w:rPr>
          <w:rFonts w:ascii="宋体" w:hAnsi="宋体" w:eastAsia="宋体" w:cs="宋体"/>
          <w:color w:val="auto"/>
          <w:sz w:val="20"/>
          <w:szCs w:val="20"/>
          <w:highlight w:val="none"/>
          <w:u w:val="single" w:color="auto"/>
        </w:rPr>
        <w:t>北京时间）</w:t>
      </w:r>
    </w:p>
    <w:p w14:paraId="193363BA">
      <w:pPr>
        <w:spacing w:before="132" w:line="222" w:lineRule="auto"/>
        <w:ind w:left="420" w:firstLine="224" w:firstLineChars="100"/>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地点：广西政府采购云平台（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2"/>
          <w:sz w:val="20"/>
          <w:szCs w:val="20"/>
          <w:highlight w:val="none"/>
        </w:rPr>
        <w:t>/</w:t>
      </w:r>
      <w:r>
        <w:rPr>
          <w:rFonts w:ascii="宋体" w:hAnsi="宋体" w:eastAsia="宋体" w:cs="宋体"/>
          <w:color w:val="auto"/>
          <w:spacing w:val="12"/>
          <w:sz w:val="20"/>
          <w:szCs w:val="20"/>
          <w:highlight w:val="none"/>
        </w:rPr>
        <w:fldChar w:fldCharType="end"/>
      </w:r>
      <w:r>
        <w:rPr>
          <w:rFonts w:ascii="宋体" w:hAnsi="宋体" w:eastAsia="宋体" w:cs="宋体"/>
          <w:color w:val="auto"/>
          <w:spacing w:val="12"/>
          <w:sz w:val="20"/>
          <w:szCs w:val="20"/>
          <w:highlight w:val="none"/>
        </w:rPr>
        <w:t>）</w:t>
      </w:r>
    </w:p>
    <w:p w14:paraId="754BDE86">
      <w:pPr>
        <w:spacing w:before="142" w:line="226" w:lineRule="auto"/>
        <w:ind w:left="316" w:firstLine="214" w:firstLineChars="10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六、公告期限</w:t>
      </w:r>
    </w:p>
    <w:p w14:paraId="70C125B6">
      <w:pPr>
        <w:spacing w:before="134" w:line="226" w:lineRule="auto"/>
        <w:ind w:left="455"/>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自本公告发布之日起</w:t>
      </w:r>
      <w:r>
        <w:rPr>
          <w:rFonts w:ascii="宋体" w:hAnsi="宋体" w:eastAsia="宋体" w:cs="宋体"/>
          <w:color w:val="auto"/>
          <w:spacing w:val="-28"/>
          <w:sz w:val="20"/>
          <w:szCs w:val="20"/>
          <w:highlight w:val="none"/>
        </w:rPr>
        <w:t xml:space="preserve"> </w:t>
      </w:r>
      <w:r>
        <w:rPr>
          <w:rFonts w:ascii="宋体" w:hAnsi="宋体" w:eastAsia="宋体" w:cs="宋体"/>
          <w:color w:val="auto"/>
          <w:spacing w:val="4"/>
          <w:sz w:val="20"/>
          <w:szCs w:val="20"/>
          <w:highlight w:val="none"/>
        </w:rPr>
        <w:t>3</w:t>
      </w:r>
      <w:r>
        <w:rPr>
          <w:rFonts w:ascii="宋体" w:hAnsi="宋体" w:eastAsia="宋体" w:cs="宋体"/>
          <w:color w:val="auto"/>
          <w:spacing w:val="-38"/>
          <w:sz w:val="20"/>
          <w:szCs w:val="20"/>
          <w:highlight w:val="none"/>
        </w:rPr>
        <w:t xml:space="preserve"> </w:t>
      </w:r>
      <w:r>
        <w:rPr>
          <w:rFonts w:ascii="宋体" w:hAnsi="宋体" w:eastAsia="宋体" w:cs="宋体"/>
          <w:color w:val="auto"/>
          <w:spacing w:val="4"/>
          <w:sz w:val="20"/>
          <w:szCs w:val="20"/>
          <w:highlight w:val="none"/>
        </w:rPr>
        <w:t>个工作日。</w:t>
      </w:r>
    </w:p>
    <w:p w14:paraId="09FAA7CD">
      <w:pPr>
        <w:spacing w:before="135" w:line="228" w:lineRule="auto"/>
        <w:ind w:left="314" w:firstLine="216" w:firstLineChars="10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七、其他补充事宜</w:t>
      </w:r>
    </w:p>
    <w:p w14:paraId="59861595">
      <w:pPr>
        <w:spacing w:before="134" w:line="229" w:lineRule="auto"/>
        <w:ind w:left="436"/>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1.网上查询地址</w:t>
      </w:r>
    </w:p>
    <w:p w14:paraId="7499B937">
      <w:pPr>
        <w:wordWrap w:val="0"/>
        <w:adjustRightInd w:val="0"/>
        <w:snapToGrid w:val="0"/>
        <w:spacing w:line="380" w:lineRule="exact"/>
        <w:ind w:firstLine="420" w:firstLineChars="200"/>
        <w:rPr>
          <w:rFonts w:hint="eastAsia" w:ascii="宋体" w:hAnsi="宋体" w:cs="宋体"/>
          <w:color w:val="auto"/>
          <w:kern w:val="0"/>
          <w:szCs w:val="21"/>
          <w:highlight w:val="none"/>
        </w:rPr>
      </w:pP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2"/>
          <w:sz w:val="20"/>
          <w:szCs w:val="20"/>
          <w:highlight w:val="none"/>
        </w:rPr>
        <w:t>（中国政府采购网）、</w:t>
      </w:r>
      <w:r>
        <w:rPr>
          <w:color w:val="auto"/>
          <w:highlight w:val="none"/>
        </w:rPr>
        <w:fldChar w:fldCharType="begin"/>
      </w:r>
      <w:r>
        <w:rPr>
          <w:color w:val="auto"/>
          <w:highlight w:val="none"/>
        </w:rPr>
        <w:instrText xml:space="preserve"> HYPERLINK "zfcg.gxzf.gov.cn" </w:instrText>
      </w:r>
      <w:r>
        <w:rPr>
          <w:color w:val="auto"/>
          <w:highlight w:val="none"/>
        </w:rPr>
        <w:fldChar w:fldCharType="separate"/>
      </w:r>
      <w:r>
        <w:rPr>
          <w:rFonts w:ascii="宋体" w:hAnsi="宋体" w:eastAsia="宋体" w:cs="宋体"/>
          <w:color w:val="auto"/>
          <w:sz w:val="20"/>
          <w:szCs w:val="20"/>
          <w:highlight w:val="none"/>
        </w:rPr>
        <w:t>zfcg</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2"/>
          <w:sz w:val="20"/>
          <w:szCs w:val="20"/>
          <w:highlight w:val="none"/>
        </w:rPr>
        <w:t>（广西壮族自治区政府采购网）</w:t>
      </w:r>
      <w:r>
        <w:rPr>
          <w:rFonts w:ascii="宋体" w:hAnsi="宋体" w:eastAsia="宋体" w:cs="宋体"/>
          <w:color w:val="auto"/>
          <w:spacing w:val="11"/>
          <w:sz w:val="20"/>
          <w:szCs w:val="20"/>
          <w:highlight w:val="none"/>
        </w:rPr>
        <w:t xml:space="preserve"> </w:t>
      </w:r>
      <w:r>
        <w:rPr>
          <w:rFonts w:hint="eastAsia" w:ascii="宋体" w:hAnsi="宋体" w:cs="宋体"/>
          <w:color w:val="auto"/>
          <w:kern w:val="0"/>
          <w:szCs w:val="21"/>
          <w:highlight w:val="none"/>
        </w:rPr>
        <w:t>、http://ggzy.jgswj.gxzf.gov.cn/bhggzy/</w:t>
      </w:r>
      <w:r>
        <w:rPr>
          <w:rFonts w:hint="eastAsia" w:ascii="宋体" w:hAnsi="宋体" w:eastAsia="宋体" w:cs="宋体"/>
          <w:color w:val="auto"/>
          <w:spacing w:val="8"/>
          <w:sz w:val="20"/>
          <w:szCs w:val="20"/>
          <w:highlight w:val="none"/>
        </w:rPr>
        <w:t>全国公共资源交易平台(广西·北海)</w:t>
      </w:r>
    </w:p>
    <w:p w14:paraId="0CC4BB4F">
      <w:pPr>
        <w:spacing w:before="131" w:line="351" w:lineRule="auto"/>
        <w:ind w:left="427" w:right="124" w:hanging="1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2.本项目需要落实的政府采购政策</w:t>
      </w:r>
    </w:p>
    <w:p w14:paraId="2C759337">
      <w:pPr>
        <w:spacing w:line="227"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（1）政府采购促进中小企业发展。</w:t>
      </w:r>
    </w:p>
    <w:p w14:paraId="3CBF8F6D">
      <w:pPr>
        <w:spacing w:before="133"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（2）政府采购支持采用本国产品的政策。</w:t>
      </w:r>
    </w:p>
    <w:p w14:paraId="01942609">
      <w:pPr>
        <w:spacing w:before="134"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（3）强制采购节能产品；优先采购节能产</w:t>
      </w:r>
      <w:r>
        <w:rPr>
          <w:rFonts w:ascii="宋体" w:hAnsi="宋体" w:eastAsia="宋体" w:cs="宋体"/>
          <w:color w:val="auto"/>
          <w:spacing w:val="8"/>
          <w:sz w:val="20"/>
          <w:szCs w:val="20"/>
          <w:highlight w:val="none"/>
        </w:rPr>
        <w:t>品、环境标志产品。</w:t>
      </w:r>
    </w:p>
    <w:p w14:paraId="718CB34C">
      <w:pPr>
        <w:spacing w:before="135" w:line="227"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（4）政府采购促进残疾人就业政策。</w:t>
      </w:r>
    </w:p>
    <w:p w14:paraId="649B36AF">
      <w:pPr>
        <w:spacing w:before="134" w:line="227"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（5）政府采购支持监狱企业发展。</w:t>
      </w:r>
    </w:p>
    <w:p w14:paraId="16BCABDC">
      <w:pPr>
        <w:spacing w:before="133" w:line="227"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3.供应商竞标注意事项</w:t>
      </w:r>
    </w:p>
    <w:p w14:paraId="1A72AD7F">
      <w:pPr>
        <w:spacing w:before="135" w:line="349" w:lineRule="auto"/>
        <w:ind w:left="4" w:firstLine="426"/>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（1）本项目为全流程电子化采购项目，通</w:t>
      </w:r>
      <w:r>
        <w:rPr>
          <w:rFonts w:ascii="宋体" w:hAnsi="宋体" w:eastAsia="宋体" w:cs="宋体"/>
          <w:color w:val="auto"/>
          <w:spacing w:val="10"/>
          <w:sz w:val="20"/>
          <w:szCs w:val="20"/>
          <w:highlight w:val="none"/>
        </w:rPr>
        <w:t>过广西政府采购云平台（</w:t>
      </w:r>
      <w:r>
        <w:rPr>
          <w:color w:val="auto"/>
          <w:highlight w:val="none"/>
        </w:rPr>
        <w:fldChar w:fldCharType="begin"/>
      </w:r>
      <w:r>
        <w:rPr>
          <w:color w:val="auto"/>
          <w:highlight w:val="none"/>
        </w:rPr>
        <w:instrText xml:space="preserve"> HYPERLINK "https://www.gcy.zfcg"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z w:val="20"/>
          <w:szCs w:val="20"/>
          <w:highlight w:val="none"/>
        </w:rPr>
        <w:fldChar w:fldCharType="end"/>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 xml:space="preserve"> </w:t>
      </w:r>
      <w:r>
        <w:rPr>
          <w:color w:val="auto"/>
          <w:highlight w:val="none"/>
        </w:rPr>
        <w:fldChar w:fldCharType="begin"/>
      </w:r>
      <w:r>
        <w:rPr>
          <w:color w:val="auto"/>
          <w:highlight w:val="none"/>
        </w:rPr>
        <w:instrText xml:space="preserve"> HYPERLINK "gxzf.gov.cn/" </w:instrText>
      </w:r>
      <w:r>
        <w:rPr>
          <w:color w:val="auto"/>
          <w:highlight w:val="none"/>
        </w:rPr>
        <w:fldChar w:fldCharType="separate"/>
      </w:r>
      <w:r>
        <w:rPr>
          <w:rFonts w:ascii="宋体" w:hAnsi="宋体" w:eastAsia="宋体" w:cs="宋体"/>
          <w:color w:val="auto"/>
          <w:sz w:val="20"/>
          <w:szCs w:val="20"/>
          <w:highlight w:val="none"/>
        </w:rPr>
        <w:t>gxzf</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0"/>
          <w:sz w:val="20"/>
          <w:szCs w:val="20"/>
          <w:highlight w:val="none"/>
        </w:rPr>
        <w:t>/</w:t>
      </w:r>
      <w:r>
        <w:rPr>
          <w:rFonts w:ascii="宋体" w:hAnsi="宋体" w:eastAsia="宋体" w:cs="宋体"/>
          <w:color w:val="auto"/>
          <w:spacing w:val="10"/>
          <w:sz w:val="20"/>
          <w:szCs w:val="20"/>
          <w:highlight w:val="none"/>
        </w:rPr>
        <w:fldChar w:fldCharType="end"/>
      </w:r>
      <w:r>
        <w:rPr>
          <w:rFonts w:ascii="宋体" w:hAnsi="宋体" w:eastAsia="宋体" w:cs="宋体"/>
          <w:color w:val="auto"/>
          <w:spacing w:val="10"/>
          <w:sz w:val="20"/>
          <w:szCs w:val="20"/>
          <w:highlight w:val="none"/>
        </w:rPr>
        <w:t>）实行在线电子竞标，供应商应按照本项目竞争性谈判文件和广西政府采购云平</w:t>
      </w:r>
    </w:p>
    <w:p w14:paraId="148E52CE">
      <w:pPr>
        <w:spacing w:before="3" w:line="351" w:lineRule="auto"/>
        <w:ind w:right="4" w:firstLine="1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台的要求编制、加密后在提交响应文件截止时间前通过网络上传至 广西政府采购云平台（加密的电子响应文件是指后缀名为“</w:t>
      </w:r>
      <w:r>
        <w:rPr>
          <w:rFonts w:ascii="宋体" w:hAnsi="宋体" w:eastAsia="宋体" w:cs="宋体"/>
          <w:color w:val="auto"/>
          <w:sz w:val="20"/>
          <w:szCs w:val="20"/>
          <w:highlight w:val="none"/>
        </w:rPr>
        <w:t>jmbs</w:t>
      </w:r>
      <w:r>
        <w:rPr>
          <w:rFonts w:ascii="宋体" w:hAnsi="宋体" w:eastAsia="宋体" w:cs="宋体"/>
          <w:color w:val="auto"/>
          <w:spacing w:val="-74"/>
          <w:sz w:val="20"/>
          <w:szCs w:val="20"/>
          <w:highlight w:val="none"/>
        </w:rPr>
        <w:t xml:space="preserve"> </w:t>
      </w:r>
      <w:r>
        <w:rPr>
          <w:rFonts w:ascii="宋体" w:hAnsi="宋体" w:eastAsia="宋体" w:cs="宋体"/>
          <w:color w:val="auto"/>
          <w:spacing w:val="9"/>
          <w:sz w:val="20"/>
          <w:szCs w:val="20"/>
          <w:highlight w:val="none"/>
        </w:rPr>
        <w:t>”的文件</w:t>
      </w:r>
      <w:r>
        <w:rPr>
          <w:rFonts w:ascii="宋体" w:hAnsi="宋体" w:eastAsia="宋体" w:cs="宋体"/>
          <w:color w:val="auto"/>
          <w:spacing w:val="15"/>
          <w:sz w:val="20"/>
          <w:szCs w:val="20"/>
          <w:highlight w:val="none"/>
        </w:rPr>
        <w:t>），</w:t>
      </w:r>
      <w:r>
        <w:rPr>
          <w:rFonts w:ascii="宋体" w:hAnsi="宋体" w:eastAsia="宋体" w:cs="宋体"/>
          <w:b/>
          <w:bCs/>
          <w:color w:val="auto"/>
          <w:spacing w:val="9"/>
          <w:sz w:val="20"/>
          <w:szCs w:val="20"/>
          <w:highlight w:val="none"/>
        </w:rPr>
        <w:t>供应商在</w:t>
      </w:r>
      <w:r>
        <w:rPr>
          <w:rFonts w:ascii="宋体" w:hAnsi="宋体" w:eastAsia="宋体" w:cs="宋体"/>
          <w:b/>
          <w:bCs/>
          <w:color w:val="auto"/>
          <w:spacing w:val="8"/>
          <w:sz w:val="20"/>
          <w:szCs w:val="20"/>
          <w:highlight w:val="none"/>
        </w:rPr>
        <w:t>广西政府采购云平台提交电子响应</w:t>
      </w:r>
      <w:r>
        <w:rPr>
          <w:rFonts w:ascii="宋体" w:hAnsi="宋体" w:eastAsia="宋体" w:cs="宋体"/>
          <w:b/>
          <w:bCs/>
          <w:color w:val="auto"/>
          <w:spacing w:val="9"/>
          <w:sz w:val="20"/>
          <w:szCs w:val="20"/>
          <w:highlight w:val="none"/>
        </w:rPr>
        <w:t>文件时，请填写参加远程采购活动经办人联系方式。</w:t>
      </w:r>
      <w:r>
        <w:rPr>
          <w:rFonts w:ascii="宋体" w:hAnsi="宋体" w:eastAsia="宋体" w:cs="宋体"/>
          <w:color w:val="auto"/>
          <w:spacing w:val="9"/>
          <w:sz w:val="20"/>
          <w:szCs w:val="20"/>
          <w:highlight w:val="none"/>
        </w:rPr>
        <w:t>供应商登录广西政府采购云平台，依次进</w:t>
      </w:r>
      <w:r>
        <w:rPr>
          <w:rFonts w:ascii="宋体" w:hAnsi="宋体" w:eastAsia="宋体" w:cs="宋体"/>
          <w:color w:val="auto"/>
          <w:spacing w:val="11"/>
          <w:sz w:val="20"/>
          <w:szCs w:val="20"/>
          <w:highlight w:val="none"/>
        </w:rPr>
        <w:t>入“服务中心-项目采购-操作流程-电子招投标-政府采购项目电子交易管理操</w:t>
      </w:r>
      <w:r>
        <w:rPr>
          <w:rFonts w:ascii="宋体" w:hAnsi="宋体" w:eastAsia="宋体" w:cs="宋体"/>
          <w:color w:val="auto"/>
          <w:spacing w:val="10"/>
          <w:sz w:val="20"/>
          <w:szCs w:val="20"/>
          <w:highlight w:val="none"/>
        </w:rPr>
        <w:t>作指南-供应商</w:t>
      </w:r>
      <w:r>
        <w:rPr>
          <w:rFonts w:ascii="宋体" w:hAnsi="宋体" w:eastAsia="宋体" w:cs="宋体"/>
          <w:color w:val="auto"/>
          <w:spacing w:val="-70"/>
          <w:sz w:val="20"/>
          <w:szCs w:val="20"/>
          <w:highlight w:val="none"/>
        </w:rPr>
        <w:t xml:space="preserve"> </w:t>
      </w:r>
      <w:r>
        <w:rPr>
          <w:rFonts w:ascii="宋体" w:hAnsi="宋体" w:eastAsia="宋体" w:cs="宋体"/>
          <w:color w:val="auto"/>
          <w:spacing w:val="10"/>
          <w:sz w:val="20"/>
          <w:szCs w:val="20"/>
          <w:highlight w:val="none"/>
        </w:rPr>
        <w:t>”</w:t>
      </w:r>
      <w:r>
        <w:rPr>
          <w:rFonts w:ascii="宋体" w:hAnsi="宋体" w:eastAsia="宋体" w:cs="宋体"/>
          <w:color w:val="auto"/>
          <w:spacing w:val="8"/>
          <w:sz w:val="20"/>
          <w:szCs w:val="20"/>
          <w:highlight w:val="none"/>
        </w:rPr>
        <w:t>查看电子竞标具体操作流程。</w:t>
      </w:r>
    </w:p>
    <w:p w14:paraId="58466C2F">
      <w:pPr>
        <w:spacing w:before="5" w:line="350" w:lineRule="auto"/>
        <w:ind w:right="106" w:firstLine="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（2）未进行网上注册并办理数字证书（</w:t>
      </w:r>
      <w:r>
        <w:rPr>
          <w:rFonts w:ascii="宋体" w:hAnsi="宋体" w:eastAsia="宋体" w:cs="宋体"/>
          <w:color w:val="auto"/>
          <w:sz w:val="20"/>
          <w:szCs w:val="20"/>
          <w:highlight w:val="none"/>
        </w:rPr>
        <w:t>CA</w:t>
      </w:r>
      <w:r>
        <w:rPr>
          <w:rFonts w:ascii="宋体" w:hAnsi="宋体" w:eastAsia="宋体" w:cs="宋体"/>
          <w:color w:val="auto"/>
          <w:spacing w:val="-28"/>
          <w:sz w:val="20"/>
          <w:szCs w:val="20"/>
          <w:highlight w:val="none"/>
        </w:rPr>
        <w:t xml:space="preserve"> </w:t>
      </w:r>
      <w:r>
        <w:rPr>
          <w:rFonts w:ascii="宋体" w:hAnsi="宋体" w:eastAsia="宋体" w:cs="宋体"/>
          <w:color w:val="auto"/>
          <w:spacing w:val="9"/>
          <w:sz w:val="20"/>
          <w:szCs w:val="20"/>
          <w:highlight w:val="none"/>
        </w:rPr>
        <w:t>认证）的供应商将无法参与本项目政府采购活</w:t>
      </w:r>
      <w:r>
        <w:rPr>
          <w:rFonts w:ascii="宋体" w:hAnsi="宋体" w:eastAsia="宋体" w:cs="宋体"/>
          <w:color w:val="auto"/>
          <w:spacing w:val="11"/>
          <w:sz w:val="20"/>
          <w:szCs w:val="20"/>
          <w:highlight w:val="none"/>
        </w:rPr>
        <w:t>动，供应商应当在提交响应文件截止时间前，完成电子交易平台上的</w:t>
      </w:r>
      <w:r>
        <w:rPr>
          <w:rFonts w:ascii="宋体" w:hAnsi="宋体" w:eastAsia="宋体" w:cs="宋体"/>
          <w:color w:val="auto"/>
          <w:sz w:val="20"/>
          <w:szCs w:val="20"/>
          <w:highlight w:val="none"/>
        </w:rPr>
        <w:t>CA</w:t>
      </w:r>
      <w:r>
        <w:rPr>
          <w:rFonts w:ascii="宋体" w:hAnsi="宋体" w:eastAsia="宋体" w:cs="宋体"/>
          <w:color w:val="auto"/>
          <w:spacing w:val="-37"/>
          <w:sz w:val="20"/>
          <w:szCs w:val="20"/>
          <w:highlight w:val="none"/>
        </w:rPr>
        <w:t xml:space="preserve"> </w:t>
      </w:r>
      <w:r>
        <w:rPr>
          <w:rFonts w:ascii="宋体" w:hAnsi="宋体" w:eastAsia="宋体" w:cs="宋体"/>
          <w:color w:val="auto"/>
          <w:spacing w:val="11"/>
          <w:sz w:val="20"/>
          <w:szCs w:val="20"/>
          <w:highlight w:val="none"/>
        </w:rPr>
        <w:t>数字证书办理及响应文</w:t>
      </w:r>
      <w:r>
        <w:rPr>
          <w:rFonts w:ascii="宋体" w:hAnsi="宋体" w:eastAsia="宋体" w:cs="宋体"/>
          <w:color w:val="auto"/>
          <w:spacing w:val="8"/>
          <w:sz w:val="20"/>
          <w:szCs w:val="20"/>
          <w:highlight w:val="none"/>
        </w:rPr>
        <w:t>件的提交（供应商可登录“广西政府采购网</w:t>
      </w:r>
      <w:r>
        <w:rPr>
          <w:rFonts w:ascii="宋体" w:hAnsi="宋体" w:eastAsia="宋体" w:cs="宋体"/>
          <w:color w:val="auto"/>
          <w:spacing w:val="-63"/>
          <w:sz w:val="20"/>
          <w:szCs w:val="20"/>
          <w:highlight w:val="none"/>
        </w:rPr>
        <w:t xml:space="preserve"> </w:t>
      </w:r>
      <w:r>
        <w:rPr>
          <w:rFonts w:ascii="宋体" w:hAnsi="宋体" w:eastAsia="宋体" w:cs="宋体"/>
          <w:color w:val="auto"/>
          <w:spacing w:val="8"/>
          <w:sz w:val="20"/>
          <w:szCs w:val="20"/>
          <w:highlight w:val="none"/>
        </w:rPr>
        <w:t>”，依次进入“办事服务-下载专区</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”或者登录广西</w:t>
      </w:r>
      <w:r>
        <w:rPr>
          <w:rFonts w:ascii="宋体" w:hAnsi="宋体" w:eastAsia="宋体" w:cs="宋体"/>
          <w:color w:val="auto"/>
          <w:spacing w:val="9"/>
          <w:sz w:val="20"/>
          <w:szCs w:val="20"/>
          <w:highlight w:val="none"/>
        </w:rPr>
        <w:t>政府采购云平台，依次进入“服务中心-入驻与配置</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”中</w:t>
      </w:r>
      <w:r>
        <w:rPr>
          <w:rFonts w:ascii="宋体" w:hAnsi="宋体" w:eastAsia="宋体" w:cs="宋体"/>
          <w:color w:val="auto"/>
          <w:spacing w:val="8"/>
          <w:sz w:val="20"/>
          <w:szCs w:val="20"/>
          <w:highlight w:val="none"/>
        </w:rPr>
        <w:t>查看</w:t>
      </w:r>
      <w:r>
        <w:rPr>
          <w:rFonts w:ascii="宋体" w:hAnsi="宋体" w:eastAsia="宋体" w:cs="宋体"/>
          <w:color w:val="auto"/>
          <w:spacing w:val="-41"/>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数字证书办理操作流程。如在</w:t>
      </w:r>
      <w:r>
        <w:rPr>
          <w:rFonts w:ascii="宋体" w:hAnsi="宋体" w:eastAsia="宋体" w:cs="宋体"/>
          <w:color w:val="auto"/>
          <w:spacing w:val="7"/>
          <w:sz w:val="20"/>
          <w:szCs w:val="20"/>
          <w:highlight w:val="none"/>
        </w:rPr>
        <w:t>操作过程中遇到问题或者需要技术支持，请致电客服热线：95763</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或者</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0771-3381253）。</w:t>
      </w:r>
    </w:p>
    <w:p w14:paraId="2E4B931F">
      <w:pPr>
        <w:spacing w:before="3" w:line="351" w:lineRule="auto"/>
        <w:ind w:right="4" w:firstLine="459" w:firstLineChars="207"/>
        <w:rPr>
          <w:rFonts w:ascii="宋体" w:hAnsi="宋体" w:eastAsia="宋体" w:cs="宋体"/>
          <w:color w:val="auto"/>
          <w:spacing w:val="11"/>
          <w:sz w:val="20"/>
          <w:szCs w:val="20"/>
          <w:highlight w:val="none"/>
        </w:rPr>
      </w:pPr>
      <w:r>
        <w:rPr>
          <w:rFonts w:ascii="宋体" w:hAnsi="宋体" w:eastAsia="宋体" w:cs="宋体"/>
          <w:color w:val="auto"/>
          <w:spacing w:val="11"/>
          <w:sz w:val="20"/>
          <w:szCs w:val="20"/>
          <w:highlight w:val="none"/>
        </w:rPr>
        <w:t>（3）CA 证书在线解密：首次响应文件开启时，需携带制作响应文件时用来加密的有效数</w:t>
      </w:r>
    </w:p>
    <w:p w14:paraId="024FA480">
      <w:pPr>
        <w:spacing w:before="3" w:line="351" w:lineRule="auto"/>
        <w:ind w:right="4" w:firstLine="17"/>
        <w:rPr>
          <w:rFonts w:ascii="宋体" w:hAnsi="宋体" w:eastAsia="宋体" w:cs="宋体"/>
          <w:color w:val="auto"/>
          <w:spacing w:val="11"/>
          <w:sz w:val="20"/>
          <w:szCs w:val="20"/>
          <w:highlight w:val="none"/>
        </w:rPr>
      </w:pPr>
      <w:r>
        <w:rPr>
          <w:rFonts w:ascii="宋体" w:hAnsi="宋体" w:eastAsia="宋体" w:cs="宋体"/>
          <w:color w:val="auto"/>
          <w:spacing w:val="11"/>
          <w:sz w:val="20"/>
          <w:szCs w:val="20"/>
          <w:highlight w:val="none"/>
        </w:rPr>
        <w:t>字证书（CA 认证）登录广西政府采购云平台电子开标大厅现场按规定时间对加密的响应文件进行解密，否则后果自负。</w:t>
      </w:r>
    </w:p>
    <w:p w14:paraId="75A7E900">
      <w:pPr>
        <w:spacing w:before="3" w:line="351" w:lineRule="auto"/>
        <w:ind w:right="4" w:firstLine="17"/>
        <w:rPr>
          <w:rFonts w:ascii="宋体" w:hAnsi="宋体" w:eastAsia="宋体" w:cs="宋体"/>
          <w:color w:val="auto"/>
          <w:spacing w:val="11"/>
          <w:sz w:val="20"/>
          <w:szCs w:val="20"/>
          <w:highlight w:val="none"/>
        </w:rPr>
      </w:pPr>
      <w:r>
        <w:rPr>
          <w:rFonts w:ascii="宋体" w:hAnsi="宋体" w:eastAsia="宋体" w:cs="宋体"/>
          <w:color w:val="auto"/>
          <w:spacing w:val="11"/>
          <w:sz w:val="20"/>
          <w:szCs w:val="20"/>
          <w:highlight w:val="none"/>
        </w:rPr>
        <w:t>注：1）为确保网上操作合法、有效和安全，请供应商确保在电子竞标过程中能够对相关数据电文进行加密和使用电子签章，妥善保管 CA 数字证书并使用有效的 CA 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0F0C6262">
      <w:pPr>
        <w:spacing w:line="350" w:lineRule="auto"/>
        <w:ind w:right="162" w:firstLine="431"/>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（4）供应商需要在具备有摄像头及语音功能且互联网网络</w:t>
      </w:r>
      <w:r>
        <w:rPr>
          <w:rFonts w:ascii="宋体" w:hAnsi="宋体" w:eastAsia="宋体" w:cs="宋体"/>
          <w:color w:val="auto"/>
          <w:spacing w:val="9"/>
          <w:sz w:val="20"/>
          <w:szCs w:val="20"/>
          <w:highlight w:val="none"/>
        </w:rPr>
        <w:t>状况良好的电脑登录广西政府采购云平台远程开标大厅参与本次谈判，否则后果自负。</w:t>
      </w:r>
    </w:p>
    <w:p w14:paraId="0E8A9FFB">
      <w:pPr>
        <w:spacing w:line="351" w:lineRule="auto"/>
        <w:ind w:left="2" w:right="159" w:firstLine="428"/>
        <w:rPr>
          <w:rFonts w:ascii="宋体" w:hAnsi="宋体" w:eastAsia="宋体" w:cs="宋体"/>
          <w:color w:val="auto"/>
          <w:sz w:val="20"/>
          <w:szCs w:val="20"/>
          <w:highlight w:val="none"/>
        </w:rPr>
      </w:pPr>
      <w:r>
        <w:rPr>
          <w:rFonts w:hint="eastAsia" w:ascii="宋体" w:hAnsi="宋体" w:eastAsia="宋体" w:cs="宋体"/>
          <w:color w:val="auto"/>
          <w:spacing w:val="12"/>
          <w:sz w:val="20"/>
          <w:szCs w:val="20"/>
          <w:highlight w:val="none"/>
          <w:lang w:val="en-US" w:eastAsia="zh-CN"/>
        </w:rPr>
        <w:t>4</w:t>
      </w:r>
      <w:r>
        <w:rPr>
          <w:rFonts w:ascii="宋体" w:hAnsi="宋体" w:eastAsia="宋体" w:cs="宋体"/>
          <w:color w:val="auto"/>
          <w:spacing w:val="12"/>
          <w:sz w:val="20"/>
          <w:szCs w:val="20"/>
          <w:highlight w:val="none"/>
        </w:rPr>
        <w:t>.本项目不接受未登录广西政府采购云平台（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1"/>
          <w:sz w:val="20"/>
          <w:szCs w:val="20"/>
          <w:highlight w:val="none"/>
        </w:rPr>
        <w:t>/</w:t>
      </w:r>
      <w:r>
        <w:rPr>
          <w:rFonts w:ascii="宋体" w:hAnsi="宋体" w:eastAsia="宋体" w:cs="宋体"/>
          <w:color w:val="auto"/>
          <w:spacing w:val="11"/>
          <w:sz w:val="20"/>
          <w:szCs w:val="20"/>
          <w:highlight w:val="none"/>
        </w:rPr>
        <w:fldChar w:fldCharType="end"/>
      </w:r>
      <w:r>
        <w:rPr>
          <w:rFonts w:ascii="宋体" w:hAnsi="宋体" w:eastAsia="宋体" w:cs="宋体"/>
          <w:color w:val="auto"/>
          <w:spacing w:val="11"/>
          <w:sz w:val="20"/>
          <w:szCs w:val="20"/>
          <w:highlight w:val="none"/>
        </w:rPr>
        <w:t>）获取</w:t>
      </w:r>
      <w:r>
        <w:rPr>
          <w:rFonts w:ascii="宋体" w:hAnsi="宋体" w:eastAsia="宋体" w:cs="宋体"/>
          <w:color w:val="auto"/>
          <w:spacing w:val="8"/>
          <w:sz w:val="20"/>
          <w:szCs w:val="20"/>
          <w:highlight w:val="none"/>
        </w:rPr>
        <w:t>本项目竞争性谈判文件的供应商竞标。</w:t>
      </w:r>
    </w:p>
    <w:p w14:paraId="2B9B6B7C">
      <w:pPr>
        <w:spacing w:line="227" w:lineRule="auto"/>
        <w:ind w:left="428"/>
        <w:rPr>
          <w:rFonts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lang w:val="en-US" w:eastAsia="zh-CN"/>
        </w:rPr>
        <w:t>5</w:t>
      </w:r>
      <w:r>
        <w:rPr>
          <w:rFonts w:ascii="宋体" w:hAnsi="宋体" w:eastAsia="宋体" w:cs="宋体"/>
          <w:b/>
          <w:bCs/>
          <w:color w:val="auto"/>
          <w:spacing w:val="6"/>
          <w:sz w:val="20"/>
          <w:szCs w:val="20"/>
          <w:highlight w:val="none"/>
        </w:rPr>
        <w:t>.本项目采用远程异地评审。</w:t>
      </w:r>
    </w:p>
    <w:p w14:paraId="19F1C41E">
      <w:pPr>
        <w:spacing w:before="133" w:line="227" w:lineRule="auto"/>
        <w:ind w:left="3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八、凡对本次采购提出询问，请按以下方式联</w:t>
      </w:r>
      <w:r>
        <w:rPr>
          <w:rFonts w:ascii="宋体" w:hAnsi="宋体" w:eastAsia="宋体" w:cs="宋体"/>
          <w:color w:val="auto"/>
          <w:spacing w:val="8"/>
          <w:sz w:val="20"/>
          <w:szCs w:val="20"/>
          <w:highlight w:val="none"/>
        </w:rPr>
        <w:t>系。</w:t>
      </w:r>
    </w:p>
    <w:p w14:paraId="0ADA7883">
      <w:pPr>
        <w:spacing w:before="133" w:line="227" w:lineRule="auto"/>
        <w:ind w:left="437"/>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1.采购人信息</w:t>
      </w:r>
    </w:p>
    <w:p w14:paraId="7C5A7D49">
      <w:pPr>
        <w:spacing w:before="166" w:line="228" w:lineRule="auto"/>
        <w:ind w:left="424"/>
        <w:rPr>
          <w:rFonts w:hint="eastAsia" w:ascii="宋体" w:hAnsi="宋体" w:eastAsia="宋体" w:cs="宋体"/>
          <w:color w:val="auto"/>
          <w:sz w:val="20"/>
          <w:szCs w:val="20"/>
          <w:highlight w:val="none"/>
          <w:lang w:eastAsia="zh-CN"/>
        </w:rPr>
      </w:pPr>
      <w:r>
        <w:rPr>
          <w:rFonts w:ascii="宋体" w:hAnsi="宋体" w:eastAsia="宋体" w:cs="宋体"/>
          <w:color w:val="auto"/>
          <w:spacing w:val="8"/>
          <w:sz w:val="20"/>
          <w:szCs w:val="20"/>
          <w:highlight w:val="none"/>
        </w:rPr>
        <w:t>名    称</w:t>
      </w:r>
      <w:r>
        <w:rPr>
          <w:rFonts w:ascii="宋体" w:hAnsi="宋体" w:eastAsia="宋体" w:cs="宋体"/>
          <w:color w:val="auto"/>
          <w:spacing w:val="8"/>
          <w:sz w:val="20"/>
          <w:szCs w:val="20"/>
          <w:highlight w:val="none"/>
          <w:u w:val="none" w:color="auto"/>
        </w:rPr>
        <w:t>：</w:t>
      </w:r>
      <w:r>
        <w:rPr>
          <w:rFonts w:hint="eastAsia" w:ascii="宋体" w:hAnsi="宋体" w:eastAsia="宋体" w:cs="宋体"/>
          <w:color w:val="auto"/>
          <w:spacing w:val="8"/>
          <w:sz w:val="20"/>
          <w:szCs w:val="20"/>
          <w:highlight w:val="none"/>
          <w:u w:val="none" w:color="auto"/>
          <w:lang w:eastAsia="zh-CN"/>
        </w:rPr>
        <w:t>北海市博物馆</w:t>
      </w:r>
    </w:p>
    <w:p w14:paraId="4F04B540">
      <w:pPr>
        <w:spacing w:before="173" w:line="228" w:lineRule="auto"/>
        <w:ind w:left="421"/>
        <w:rPr>
          <w:rFonts w:hint="eastAsia" w:ascii="宋体" w:hAnsi="宋体" w:eastAsia="宋体" w:cs="宋体"/>
          <w:color w:val="auto"/>
          <w:spacing w:val="8"/>
          <w:sz w:val="20"/>
          <w:szCs w:val="20"/>
          <w:highlight w:val="none"/>
          <w:lang w:eastAsia="zh-CN"/>
        </w:rPr>
      </w:pPr>
      <w:r>
        <w:rPr>
          <w:rFonts w:ascii="宋体" w:hAnsi="宋体" w:eastAsia="宋体" w:cs="宋体"/>
          <w:color w:val="auto"/>
          <w:spacing w:val="8"/>
          <w:sz w:val="20"/>
          <w:szCs w:val="20"/>
          <w:highlight w:val="none"/>
        </w:rPr>
        <w:t>地    址：</w:t>
      </w:r>
      <w:r>
        <w:rPr>
          <w:rFonts w:hint="eastAsia" w:ascii="宋体" w:hAnsi="宋体" w:eastAsia="宋体" w:cs="宋体"/>
          <w:color w:val="auto"/>
          <w:spacing w:val="8"/>
          <w:sz w:val="20"/>
          <w:szCs w:val="20"/>
          <w:highlight w:val="none"/>
          <w:lang w:eastAsia="zh-CN"/>
        </w:rPr>
        <w:t>北海市银海区上海路交杭州路西北角</w:t>
      </w:r>
    </w:p>
    <w:p w14:paraId="16840C2F">
      <w:pPr>
        <w:spacing w:before="173" w:line="228" w:lineRule="auto"/>
        <w:ind w:left="421"/>
        <w:rPr>
          <w:rFonts w:hint="eastAsia" w:ascii="宋体" w:hAnsi="宋体" w:eastAsia="宋体" w:cs="宋体"/>
          <w:color w:val="auto"/>
          <w:spacing w:val="8"/>
          <w:sz w:val="20"/>
          <w:szCs w:val="20"/>
          <w:highlight w:val="none"/>
          <w:lang w:val="en-US" w:eastAsia="zh-CN"/>
        </w:rPr>
      </w:pPr>
      <w:r>
        <w:rPr>
          <w:rFonts w:ascii="宋体" w:hAnsi="宋体" w:eastAsia="宋体" w:cs="宋体"/>
          <w:color w:val="auto"/>
          <w:spacing w:val="9"/>
          <w:sz w:val="20"/>
          <w:szCs w:val="20"/>
          <w:highlight w:val="none"/>
          <w:u w:val="none" w:color="auto"/>
        </w:rPr>
        <w:t>项目联系人：</w:t>
      </w:r>
      <w:r>
        <w:rPr>
          <w:rFonts w:hint="eastAsia" w:ascii="宋体" w:hAnsi="宋体" w:eastAsia="宋体" w:cs="宋体"/>
          <w:color w:val="auto"/>
          <w:spacing w:val="9"/>
          <w:sz w:val="20"/>
          <w:szCs w:val="20"/>
          <w:highlight w:val="none"/>
          <w:u w:val="none" w:color="auto"/>
          <w:lang w:val="en-US" w:eastAsia="zh-CN"/>
        </w:rPr>
        <w:t>刘工</w:t>
      </w:r>
      <w:bookmarkStart w:id="10" w:name="_GoBack"/>
      <w:bookmarkEnd w:id="10"/>
    </w:p>
    <w:p w14:paraId="16D74CC5">
      <w:pPr>
        <w:spacing w:before="174" w:line="229" w:lineRule="auto"/>
        <w:ind w:left="422"/>
        <w:rPr>
          <w:rFonts w:hint="default" w:ascii="宋体" w:hAnsi="宋体" w:eastAsia="宋体" w:cs="宋体"/>
          <w:color w:val="auto"/>
          <w:sz w:val="20"/>
          <w:szCs w:val="20"/>
          <w:highlight w:val="none"/>
          <w:lang w:val="en-US" w:eastAsia="zh-CN"/>
        </w:rPr>
      </w:pPr>
      <w:r>
        <w:rPr>
          <w:rFonts w:ascii="宋体" w:hAnsi="宋体" w:eastAsia="宋体" w:cs="宋体"/>
          <w:color w:val="auto"/>
          <w:spacing w:val="6"/>
          <w:sz w:val="20"/>
          <w:szCs w:val="20"/>
          <w:highlight w:val="none"/>
        </w:rPr>
        <w:t>联系方式：</w:t>
      </w:r>
      <w:r>
        <w:rPr>
          <w:rFonts w:hint="eastAsia" w:ascii="宋体" w:hAnsi="宋体" w:eastAsia="宋体" w:cs="宋体"/>
          <w:color w:val="auto"/>
          <w:spacing w:val="6"/>
          <w:sz w:val="20"/>
          <w:szCs w:val="20"/>
          <w:highlight w:val="none"/>
          <w:lang w:val="en-US" w:eastAsia="zh-CN"/>
        </w:rPr>
        <w:t>0779-3906499</w:t>
      </w:r>
    </w:p>
    <w:p w14:paraId="5F006F15">
      <w:pPr>
        <w:spacing w:before="140" w:line="227" w:lineRule="auto"/>
        <w:ind w:left="42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2.采购代理机构信息</w:t>
      </w:r>
    </w:p>
    <w:p w14:paraId="71EA0FA3">
      <w:pPr>
        <w:spacing w:before="133" w:line="228" w:lineRule="auto"/>
        <w:ind w:left="424"/>
        <w:rPr>
          <w:rFonts w:hint="eastAsia" w:ascii="宋体" w:hAnsi="宋体" w:eastAsia="宋体" w:cs="宋体"/>
          <w:color w:val="auto"/>
          <w:sz w:val="20"/>
          <w:szCs w:val="20"/>
          <w:highlight w:val="none"/>
          <w:u w:val="none" w:color="auto"/>
          <w:lang w:eastAsia="zh-CN"/>
        </w:rPr>
      </w:pPr>
      <w:r>
        <w:rPr>
          <w:rFonts w:ascii="宋体" w:hAnsi="宋体" w:eastAsia="宋体" w:cs="宋体"/>
          <w:color w:val="auto"/>
          <w:spacing w:val="8"/>
          <w:sz w:val="20"/>
          <w:szCs w:val="20"/>
          <w:highlight w:val="none"/>
        </w:rPr>
        <w:t>名    称：</w:t>
      </w:r>
      <w:r>
        <w:rPr>
          <w:rFonts w:hint="eastAsia" w:ascii="宋体" w:hAnsi="宋体" w:eastAsia="宋体" w:cs="宋体"/>
          <w:color w:val="auto"/>
          <w:spacing w:val="8"/>
          <w:sz w:val="20"/>
          <w:szCs w:val="20"/>
          <w:highlight w:val="none"/>
          <w:u w:val="none" w:color="auto"/>
          <w:lang w:eastAsia="zh-CN"/>
        </w:rPr>
        <w:t>广西同泽工程项目管理股份有限公司</w:t>
      </w:r>
    </w:p>
    <w:p w14:paraId="221DC510">
      <w:pPr>
        <w:spacing w:before="133" w:line="228" w:lineRule="auto"/>
        <w:ind w:left="421"/>
        <w:rPr>
          <w:rFonts w:hint="eastAsia" w:ascii="宋体" w:hAnsi="宋体" w:eastAsia="宋体" w:cs="宋体"/>
          <w:color w:val="auto"/>
          <w:sz w:val="20"/>
          <w:szCs w:val="20"/>
          <w:highlight w:val="none"/>
          <w:u w:val="none" w:color="auto"/>
          <w:lang w:eastAsia="zh-CN"/>
        </w:rPr>
      </w:pPr>
      <w:r>
        <w:rPr>
          <w:rFonts w:ascii="宋体" w:hAnsi="宋体" w:eastAsia="宋体" w:cs="宋体"/>
          <w:color w:val="auto"/>
          <w:spacing w:val="4"/>
          <w:sz w:val="20"/>
          <w:szCs w:val="20"/>
          <w:highlight w:val="none"/>
          <w:u w:val="none" w:color="auto"/>
        </w:rPr>
        <w:t>地    址：</w:t>
      </w:r>
      <w:r>
        <w:rPr>
          <w:rFonts w:hint="eastAsia" w:ascii="宋体" w:hAnsi="宋体" w:eastAsia="宋体" w:cs="宋体"/>
          <w:color w:val="auto"/>
          <w:spacing w:val="4"/>
          <w:sz w:val="20"/>
          <w:szCs w:val="20"/>
          <w:highlight w:val="none"/>
          <w:u w:val="none" w:color="auto"/>
          <w:lang w:eastAsia="zh-CN"/>
        </w:rPr>
        <w:t>北海市海城区北京路49号桂成花园B座1602号</w:t>
      </w:r>
    </w:p>
    <w:p w14:paraId="46A7B114">
      <w:pPr>
        <w:spacing w:before="135" w:line="229" w:lineRule="auto"/>
        <w:ind w:left="422"/>
        <w:rPr>
          <w:rFonts w:hint="eastAsia" w:ascii="宋体" w:hAnsi="宋体" w:eastAsia="宋体" w:cs="宋体"/>
          <w:color w:val="auto"/>
          <w:sz w:val="20"/>
          <w:szCs w:val="20"/>
          <w:highlight w:val="none"/>
          <w:u w:val="none" w:color="auto"/>
          <w:lang w:eastAsia="zh-CN"/>
        </w:rPr>
      </w:pPr>
      <w:r>
        <w:rPr>
          <w:rFonts w:ascii="宋体" w:hAnsi="宋体" w:eastAsia="宋体" w:cs="宋体"/>
          <w:color w:val="auto"/>
          <w:spacing w:val="5"/>
          <w:sz w:val="20"/>
          <w:szCs w:val="20"/>
          <w:highlight w:val="none"/>
          <w:u w:val="none" w:color="auto"/>
        </w:rPr>
        <w:t>联系方式：</w:t>
      </w:r>
      <w:r>
        <w:rPr>
          <w:rFonts w:hint="eastAsia" w:ascii="宋体" w:hAnsi="宋体" w:eastAsia="宋体" w:cs="宋体"/>
          <w:color w:val="auto"/>
          <w:spacing w:val="5"/>
          <w:sz w:val="20"/>
          <w:szCs w:val="20"/>
          <w:highlight w:val="none"/>
          <w:u w:val="none" w:color="auto"/>
          <w:lang w:eastAsia="zh-CN"/>
        </w:rPr>
        <w:t>0779-2026225、0771-5590176</w:t>
      </w:r>
    </w:p>
    <w:p w14:paraId="4CA66DB8">
      <w:pPr>
        <w:spacing w:before="131" w:line="228" w:lineRule="auto"/>
        <w:ind w:left="425"/>
        <w:rPr>
          <w:rFonts w:ascii="宋体" w:hAnsi="宋体" w:eastAsia="宋体" w:cs="宋体"/>
          <w:color w:val="auto"/>
          <w:sz w:val="20"/>
          <w:szCs w:val="20"/>
          <w:highlight w:val="none"/>
          <w:u w:val="none" w:color="auto"/>
        </w:rPr>
      </w:pPr>
      <w:r>
        <w:rPr>
          <w:rFonts w:ascii="宋体" w:hAnsi="宋体" w:eastAsia="宋体" w:cs="宋体"/>
          <w:color w:val="auto"/>
          <w:spacing w:val="6"/>
          <w:sz w:val="20"/>
          <w:szCs w:val="20"/>
          <w:highlight w:val="none"/>
          <w:u w:val="none" w:color="auto"/>
        </w:rPr>
        <w:t>3.项目联系方式</w:t>
      </w:r>
    </w:p>
    <w:p w14:paraId="22CCC32C">
      <w:pPr>
        <w:spacing w:before="132" w:line="228" w:lineRule="auto"/>
        <w:ind w:left="425"/>
        <w:rPr>
          <w:rFonts w:hint="eastAsia" w:ascii="宋体" w:hAnsi="宋体" w:eastAsia="宋体" w:cs="宋体"/>
          <w:color w:val="auto"/>
          <w:sz w:val="20"/>
          <w:szCs w:val="20"/>
          <w:highlight w:val="none"/>
          <w:u w:val="none" w:color="auto"/>
          <w:lang w:eastAsia="zh-CN"/>
        </w:rPr>
      </w:pPr>
      <w:r>
        <w:rPr>
          <w:rFonts w:ascii="宋体" w:hAnsi="宋体" w:eastAsia="宋体" w:cs="宋体"/>
          <w:color w:val="auto"/>
          <w:spacing w:val="9"/>
          <w:sz w:val="20"/>
          <w:szCs w:val="20"/>
          <w:highlight w:val="none"/>
          <w:u w:val="none" w:color="auto"/>
        </w:rPr>
        <w:t>项目联系人：</w:t>
      </w:r>
      <w:r>
        <w:rPr>
          <w:rFonts w:hint="eastAsia" w:ascii="宋体" w:hAnsi="宋体" w:eastAsia="宋体" w:cs="宋体"/>
          <w:color w:val="auto"/>
          <w:spacing w:val="9"/>
          <w:sz w:val="20"/>
          <w:szCs w:val="20"/>
          <w:highlight w:val="none"/>
          <w:u w:val="none" w:color="auto"/>
          <w:lang w:eastAsia="zh-CN"/>
        </w:rPr>
        <w:t>陆珍花、奉云、谭晓妮、农英民</w:t>
      </w:r>
    </w:p>
    <w:p w14:paraId="2AA26064">
      <w:pPr>
        <w:spacing w:before="134" w:line="230" w:lineRule="auto"/>
        <w:ind w:left="446"/>
        <w:outlineLvl w:val="0"/>
        <w:rPr>
          <w:rFonts w:hint="eastAsia" w:ascii="宋体" w:hAnsi="宋体" w:eastAsia="宋体" w:cs="宋体"/>
          <w:color w:val="auto"/>
          <w:sz w:val="20"/>
          <w:szCs w:val="20"/>
          <w:highlight w:val="none"/>
          <w:u w:val="none" w:color="auto"/>
          <w:lang w:eastAsia="zh-CN"/>
        </w:rPr>
      </w:pPr>
      <w:bookmarkStart w:id="1" w:name="_Toc31094"/>
      <w:r>
        <w:rPr>
          <w:rFonts w:ascii="宋体" w:hAnsi="宋体" w:eastAsia="宋体" w:cs="宋体"/>
          <w:color w:val="auto"/>
          <w:spacing w:val="4"/>
          <w:sz w:val="20"/>
          <w:szCs w:val="20"/>
          <w:highlight w:val="none"/>
          <w:u w:val="none" w:color="auto"/>
        </w:rPr>
        <w:t>电    话：</w:t>
      </w:r>
      <w:r>
        <w:rPr>
          <w:rFonts w:hint="eastAsia" w:ascii="宋体" w:hAnsi="宋体" w:eastAsia="宋体" w:cs="宋体"/>
          <w:color w:val="auto"/>
          <w:spacing w:val="4"/>
          <w:sz w:val="20"/>
          <w:szCs w:val="20"/>
          <w:highlight w:val="none"/>
          <w:u w:val="none" w:color="auto"/>
          <w:lang w:eastAsia="zh-CN"/>
        </w:rPr>
        <w:t>0779-2026225、0771-5590176</w:t>
      </w:r>
      <w:bookmarkEnd w:id="1"/>
    </w:p>
    <w:p w14:paraId="78E97CB5">
      <w:pPr>
        <w:spacing w:line="230" w:lineRule="auto"/>
        <w:rPr>
          <w:rFonts w:ascii="宋体" w:hAnsi="宋体" w:eastAsia="宋体" w:cs="宋体"/>
          <w:color w:val="auto"/>
          <w:sz w:val="20"/>
          <w:szCs w:val="20"/>
          <w:highlight w:val="none"/>
        </w:rPr>
        <w:sectPr>
          <w:headerReference r:id="rId6" w:type="default"/>
          <w:footerReference r:id="rId7" w:type="default"/>
          <w:pgSz w:w="11910" w:h="16840"/>
          <w:pgMar w:top="1423" w:right="1341" w:bottom="1088" w:left="1686" w:header="0" w:footer="929" w:gutter="0"/>
          <w:pgNumType w:fmt="decimal" w:start="1"/>
          <w:cols w:space="720" w:num="1"/>
        </w:sectPr>
      </w:pPr>
    </w:p>
    <w:p w14:paraId="2CFE5922">
      <w:pPr>
        <w:spacing w:before="0" w:line="240" w:lineRule="auto"/>
        <w:ind w:left="0"/>
        <w:jc w:val="center"/>
        <w:outlineLvl w:val="0"/>
        <w:rPr>
          <w:rFonts w:ascii="宋体" w:hAnsi="宋体" w:eastAsia="宋体" w:cs="宋体"/>
          <w:color w:val="auto"/>
          <w:sz w:val="43"/>
          <w:szCs w:val="43"/>
          <w:highlight w:val="none"/>
        </w:rPr>
      </w:pPr>
      <w:bookmarkStart w:id="2" w:name="_Toc4616"/>
      <w:r>
        <w:rPr>
          <w:rFonts w:ascii="宋体" w:hAnsi="宋体" w:eastAsia="宋体" w:cs="宋体"/>
          <w:b/>
          <w:bCs/>
          <w:color w:val="auto"/>
          <w:spacing w:val="4"/>
          <w:sz w:val="43"/>
          <w:szCs w:val="43"/>
          <w:highlight w:val="none"/>
        </w:rPr>
        <w:t>第二章</w:t>
      </w:r>
      <w:r>
        <w:rPr>
          <w:rFonts w:ascii="宋体" w:hAnsi="宋体" w:eastAsia="宋体" w:cs="宋体"/>
          <w:color w:val="auto"/>
          <w:spacing w:val="4"/>
          <w:sz w:val="43"/>
          <w:szCs w:val="43"/>
          <w:highlight w:val="none"/>
        </w:rPr>
        <w:t xml:space="preserve"> </w:t>
      </w:r>
      <w:r>
        <w:rPr>
          <w:rFonts w:ascii="宋体" w:hAnsi="宋体" w:eastAsia="宋体" w:cs="宋体"/>
          <w:b/>
          <w:bCs/>
          <w:color w:val="auto"/>
          <w:spacing w:val="4"/>
          <w:sz w:val="43"/>
          <w:szCs w:val="43"/>
          <w:highlight w:val="none"/>
        </w:rPr>
        <w:t>供应商须知</w:t>
      </w:r>
      <w:bookmarkEnd w:id="2"/>
    </w:p>
    <w:p w14:paraId="43F552AB">
      <w:pPr>
        <w:spacing w:before="319" w:line="224" w:lineRule="auto"/>
        <w:ind w:left="3183"/>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供应商须知前附表</w:t>
      </w:r>
    </w:p>
    <w:p w14:paraId="7A1C8202">
      <w:pPr>
        <w:spacing w:before="135"/>
        <w:rPr>
          <w:color w:val="auto"/>
          <w:highlight w:val="none"/>
        </w:rPr>
      </w:pPr>
    </w:p>
    <w:tbl>
      <w:tblPr>
        <w:tblStyle w:val="11"/>
        <w:tblW w:w="89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7912"/>
      </w:tblGrid>
      <w:tr w14:paraId="0EF9D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996" w:type="dxa"/>
            <w:vAlign w:val="top"/>
          </w:tcPr>
          <w:p w14:paraId="0F3BA15B">
            <w:pPr>
              <w:pStyle w:val="12"/>
              <w:kinsoku/>
              <w:wordWrap w:val="0"/>
              <w:autoSpaceDE/>
              <w:autoSpaceDN/>
              <w:spacing w:before="34" w:line="228" w:lineRule="auto"/>
              <w:ind w:left="190"/>
              <w:rPr>
                <w:color w:val="auto"/>
                <w:highlight w:val="none"/>
              </w:rPr>
            </w:pPr>
            <w:r>
              <w:rPr>
                <w:b/>
                <w:bCs/>
                <w:color w:val="auto"/>
                <w:spacing w:val="5"/>
                <w:highlight w:val="none"/>
              </w:rPr>
              <w:t>条款号</w:t>
            </w:r>
          </w:p>
        </w:tc>
        <w:tc>
          <w:tcPr>
            <w:tcW w:w="7912" w:type="dxa"/>
            <w:vAlign w:val="top"/>
          </w:tcPr>
          <w:p w14:paraId="04A99CF4">
            <w:pPr>
              <w:pStyle w:val="12"/>
              <w:kinsoku/>
              <w:wordWrap w:val="0"/>
              <w:autoSpaceDE/>
              <w:autoSpaceDN/>
              <w:spacing w:before="34" w:line="228" w:lineRule="auto"/>
              <w:ind w:left="3564"/>
              <w:rPr>
                <w:color w:val="auto"/>
                <w:highlight w:val="none"/>
              </w:rPr>
            </w:pPr>
            <w:r>
              <w:rPr>
                <w:b/>
                <w:bCs/>
                <w:color w:val="auto"/>
                <w:spacing w:val="-15"/>
                <w:highlight w:val="none"/>
              </w:rPr>
              <w:t>内</w:t>
            </w:r>
            <w:r>
              <w:rPr>
                <w:color w:val="auto"/>
                <w:spacing w:val="8"/>
                <w:highlight w:val="none"/>
              </w:rPr>
              <w:t xml:space="preserve">    </w:t>
            </w:r>
            <w:r>
              <w:rPr>
                <w:b/>
                <w:bCs/>
                <w:color w:val="auto"/>
                <w:spacing w:val="-15"/>
                <w:highlight w:val="none"/>
              </w:rPr>
              <w:t>容</w:t>
            </w:r>
          </w:p>
        </w:tc>
      </w:tr>
      <w:tr w14:paraId="3E2A5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6" w:hRule="atLeast"/>
        </w:trPr>
        <w:tc>
          <w:tcPr>
            <w:tcW w:w="996" w:type="dxa"/>
            <w:vAlign w:val="top"/>
          </w:tcPr>
          <w:p w14:paraId="01D3EF98">
            <w:pPr>
              <w:kinsoku/>
              <w:wordWrap w:val="0"/>
              <w:autoSpaceDE/>
              <w:autoSpaceDN/>
              <w:spacing w:line="244" w:lineRule="auto"/>
              <w:rPr>
                <w:rFonts w:ascii="Arial"/>
                <w:color w:val="auto"/>
                <w:sz w:val="21"/>
                <w:highlight w:val="none"/>
              </w:rPr>
            </w:pPr>
          </w:p>
          <w:p w14:paraId="65CBFB43">
            <w:pPr>
              <w:kinsoku/>
              <w:wordWrap w:val="0"/>
              <w:autoSpaceDE/>
              <w:autoSpaceDN/>
              <w:spacing w:line="244" w:lineRule="auto"/>
              <w:rPr>
                <w:rFonts w:ascii="Arial"/>
                <w:color w:val="auto"/>
                <w:sz w:val="21"/>
                <w:highlight w:val="none"/>
              </w:rPr>
            </w:pPr>
          </w:p>
          <w:p w14:paraId="1C4095A2">
            <w:pPr>
              <w:kinsoku/>
              <w:wordWrap w:val="0"/>
              <w:autoSpaceDE/>
              <w:autoSpaceDN/>
              <w:spacing w:line="244" w:lineRule="auto"/>
              <w:rPr>
                <w:rFonts w:ascii="Arial"/>
                <w:color w:val="auto"/>
                <w:sz w:val="21"/>
                <w:highlight w:val="none"/>
              </w:rPr>
            </w:pPr>
          </w:p>
          <w:p w14:paraId="11DCED1E">
            <w:pPr>
              <w:kinsoku/>
              <w:wordWrap w:val="0"/>
              <w:autoSpaceDE/>
              <w:autoSpaceDN/>
              <w:spacing w:line="244" w:lineRule="auto"/>
              <w:rPr>
                <w:rFonts w:ascii="Arial"/>
                <w:color w:val="auto"/>
                <w:sz w:val="21"/>
                <w:highlight w:val="none"/>
              </w:rPr>
            </w:pPr>
          </w:p>
          <w:p w14:paraId="16AD7910">
            <w:pPr>
              <w:kinsoku/>
              <w:wordWrap w:val="0"/>
              <w:autoSpaceDE/>
              <w:autoSpaceDN/>
              <w:spacing w:line="244" w:lineRule="auto"/>
              <w:rPr>
                <w:rFonts w:ascii="Arial"/>
                <w:color w:val="auto"/>
                <w:sz w:val="21"/>
                <w:highlight w:val="none"/>
              </w:rPr>
            </w:pPr>
          </w:p>
          <w:p w14:paraId="3B12EE0B">
            <w:pPr>
              <w:kinsoku/>
              <w:wordWrap w:val="0"/>
              <w:autoSpaceDE/>
              <w:autoSpaceDN/>
              <w:spacing w:line="244" w:lineRule="auto"/>
              <w:rPr>
                <w:rFonts w:ascii="Arial"/>
                <w:color w:val="auto"/>
                <w:sz w:val="21"/>
                <w:highlight w:val="none"/>
              </w:rPr>
            </w:pPr>
          </w:p>
          <w:p w14:paraId="6F8086A3">
            <w:pPr>
              <w:kinsoku/>
              <w:wordWrap w:val="0"/>
              <w:autoSpaceDE/>
              <w:autoSpaceDN/>
              <w:spacing w:line="244" w:lineRule="auto"/>
              <w:rPr>
                <w:rFonts w:ascii="Arial"/>
                <w:color w:val="auto"/>
                <w:sz w:val="21"/>
                <w:highlight w:val="none"/>
              </w:rPr>
            </w:pPr>
          </w:p>
          <w:p w14:paraId="2A429C73">
            <w:pPr>
              <w:kinsoku/>
              <w:wordWrap w:val="0"/>
              <w:autoSpaceDE/>
              <w:autoSpaceDN/>
              <w:spacing w:line="244" w:lineRule="auto"/>
              <w:rPr>
                <w:rFonts w:ascii="Arial"/>
                <w:color w:val="auto"/>
                <w:sz w:val="21"/>
                <w:highlight w:val="none"/>
              </w:rPr>
            </w:pPr>
          </w:p>
          <w:p w14:paraId="2DF4748F">
            <w:pPr>
              <w:kinsoku/>
              <w:wordWrap w:val="0"/>
              <w:autoSpaceDE/>
              <w:autoSpaceDN/>
              <w:spacing w:line="244" w:lineRule="auto"/>
              <w:rPr>
                <w:rFonts w:ascii="Arial"/>
                <w:color w:val="auto"/>
                <w:sz w:val="21"/>
                <w:highlight w:val="none"/>
              </w:rPr>
            </w:pPr>
          </w:p>
          <w:p w14:paraId="3D8CC268">
            <w:pPr>
              <w:kinsoku/>
              <w:wordWrap w:val="0"/>
              <w:autoSpaceDE/>
              <w:autoSpaceDN/>
              <w:spacing w:line="244" w:lineRule="auto"/>
              <w:rPr>
                <w:rFonts w:ascii="Arial"/>
                <w:color w:val="auto"/>
                <w:sz w:val="21"/>
                <w:highlight w:val="none"/>
              </w:rPr>
            </w:pPr>
          </w:p>
          <w:p w14:paraId="55A67858">
            <w:pPr>
              <w:kinsoku/>
              <w:wordWrap w:val="0"/>
              <w:autoSpaceDE/>
              <w:autoSpaceDN/>
              <w:spacing w:line="244" w:lineRule="auto"/>
              <w:rPr>
                <w:rFonts w:ascii="Arial"/>
                <w:color w:val="auto"/>
                <w:sz w:val="21"/>
                <w:highlight w:val="none"/>
              </w:rPr>
            </w:pPr>
          </w:p>
          <w:p w14:paraId="70B240CC">
            <w:pPr>
              <w:kinsoku/>
              <w:wordWrap w:val="0"/>
              <w:autoSpaceDE/>
              <w:autoSpaceDN/>
              <w:spacing w:line="244" w:lineRule="auto"/>
              <w:rPr>
                <w:rFonts w:ascii="Arial"/>
                <w:color w:val="auto"/>
                <w:sz w:val="21"/>
                <w:highlight w:val="none"/>
              </w:rPr>
            </w:pPr>
          </w:p>
          <w:p w14:paraId="2D096064">
            <w:pPr>
              <w:kinsoku/>
              <w:wordWrap w:val="0"/>
              <w:autoSpaceDE/>
              <w:autoSpaceDN/>
              <w:spacing w:line="244" w:lineRule="auto"/>
              <w:rPr>
                <w:rFonts w:ascii="Arial"/>
                <w:color w:val="auto"/>
                <w:sz w:val="21"/>
                <w:highlight w:val="none"/>
              </w:rPr>
            </w:pPr>
          </w:p>
          <w:p w14:paraId="3E2E3114">
            <w:pPr>
              <w:kinsoku/>
              <w:wordWrap w:val="0"/>
              <w:autoSpaceDE/>
              <w:autoSpaceDN/>
              <w:spacing w:line="245" w:lineRule="auto"/>
              <w:rPr>
                <w:rFonts w:ascii="Arial"/>
                <w:color w:val="auto"/>
                <w:sz w:val="21"/>
                <w:highlight w:val="none"/>
              </w:rPr>
            </w:pPr>
          </w:p>
          <w:p w14:paraId="481BAE91">
            <w:pPr>
              <w:pStyle w:val="12"/>
              <w:kinsoku/>
              <w:wordWrap w:val="0"/>
              <w:autoSpaceDE/>
              <w:autoSpaceDN/>
              <w:spacing w:before="65" w:line="268" w:lineRule="exact"/>
              <w:ind w:left="454"/>
              <w:rPr>
                <w:color w:val="auto"/>
                <w:highlight w:val="none"/>
              </w:rPr>
            </w:pPr>
            <w:r>
              <w:rPr>
                <w:color w:val="auto"/>
                <w:position w:val="1"/>
                <w:highlight w:val="none"/>
              </w:rPr>
              <w:t>3</w:t>
            </w:r>
          </w:p>
        </w:tc>
        <w:tc>
          <w:tcPr>
            <w:tcW w:w="7912" w:type="dxa"/>
            <w:vAlign w:val="top"/>
          </w:tcPr>
          <w:p w14:paraId="46CA2D57">
            <w:pPr>
              <w:pStyle w:val="12"/>
              <w:kinsoku/>
              <w:wordWrap w:val="0"/>
              <w:autoSpaceDE/>
              <w:autoSpaceDN/>
              <w:spacing w:before="33" w:line="226" w:lineRule="auto"/>
              <w:ind w:left="127"/>
              <w:rPr>
                <w:rFonts w:hint="eastAsia" w:eastAsia="宋体"/>
                <w:color w:val="auto"/>
                <w:highlight w:val="none"/>
                <w:lang w:eastAsia="zh-CN"/>
              </w:rPr>
            </w:pPr>
            <w:r>
              <w:rPr>
                <w:color w:val="auto"/>
                <w:spacing w:val="8"/>
                <w:highlight w:val="none"/>
              </w:rPr>
              <w:t>1.供应商的资格条件：详见竞争性谈判公告</w:t>
            </w:r>
            <w:r>
              <w:rPr>
                <w:rFonts w:hint="eastAsia"/>
                <w:color w:val="auto"/>
                <w:spacing w:val="8"/>
                <w:highlight w:val="none"/>
                <w:lang w:eastAsia="zh-CN"/>
              </w:rPr>
              <w:t>；</w:t>
            </w:r>
          </w:p>
          <w:p w14:paraId="34BC48DD">
            <w:pPr>
              <w:pStyle w:val="12"/>
              <w:kinsoku/>
              <w:wordWrap w:val="0"/>
              <w:autoSpaceDE/>
              <w:autoSpaceDN/>
              <w:spacing w:before="162" w:line="227" w:lineRule="auto"/>
              <w:ind w:left="114"/>
              <w:rPr>
                <w:color w:val="auto"/>
                <w:highlight w:val="none"/>
              </w:rPr>
            </w:pPr>
            <w:r>
              <w:rPr>
                <w:color w:val="auto"/>
                <w:spacing w:val="8"/>
                <w:highlight w:val="none"/>
              </w:rPr>
              <w:t>2.供应商出现下列情形之一的，不得参加政府采购活动：</w:t>
            </w:r>
          </w:p>
          <w:p w14:paraId="1B935D7D">
            <w:pPr>
              <w:pStyle w:val="12"/>
              <w:kinsoku/>
              <w:wordWrap w:val="0"/>
              <w:autoSpaceDE/>
              <w:autoSpaceDN/>
              <w:spacing w:before="163" w:line="377" w:lineRule="auto"/>
              <w:ind w:left="112" w:right="108" w:firstLine="1"/>
              <w:rPr>
                <w:color w:val="auto"/>
                <w:highlight w:val="none"/>
              </w:rPr>
            </w:pPr>
            <w:r>
              <w:rPr>
                <w:color w:val="auto"/>
                <w:spacing w:val="14"/>
                <w:highlight w:val="none"/>
              </w:rPr>
              <w:t>2.1</w:t>
            </w:r>
            <w:r>
              <w:rPr>
                <w:color w:val="auto"/>
                <w:spacing w:val="-34"/>
                <w:highlight w:val="none"/>
              </w:rPr>
              <w:t xml:space="preserve"> </w:t>
            </w:r>
            <w:r>
              <w:rPr>
                <w:color w:val="auto"/>
                <w:spacing w:val="14"/>
                <w:highlight w:val="none"/>
              </w:rPr>
              <w:t>单位负责人为同一人或者存在直接控股、管理关系的不同供应商，不得参</w:t>
            </w:r>
            <w:r>
              <w:rPr>
                <w:color w:val="auto"/>
                <w:spacing w:val="13"/>
                <w:highlight w:val="none"/>
              </w:rPr>
              <w:t>加同一合同项下的政府采购活动。为本项目提供过整体设计、规范编制或者项目管理、</w:t>
            </w:r>
            <w:r>
              <w:rPr>
                <w:color w:val="auto"/>
                <w:spacing w:val="9"/>
                <w:highlight w:val="none"/>
              </w:rPr>
              <w:t>监理、检测等服务的供应商，不得再参加本项目上述服务以外的其他采购活动。</w:t>
            </w:r>
          </w:p>
          <w:p w14:paraId="46E848D9">
            <w:pPr>
              <w:pStyle w:val="12"/>
              <w:kinsoku/>
              <w:wordWrap w:val="0"/>
              <w:autoSpaceDE/>
              <w:autoSpaceDN/>
              <w:spacing w:before="2" w:line="376" w:lineRule="auto"/>
              <w:ind w:left="111" w:right="106" w:firstLine="2"/>
              <w:rPr>
                <w:color w:val="auto"/>
                <w:highlight w:val="none"/>
              </w:rPr>
            </w:pPr>
            <w:r>
              <w:rPr>
                <w:color w:val="auto"/>
                <w:spacing w:val="-1"/>
                <w:highlight w:val="none"/>
              </w:rPr>
              <w:t>2.2 对</w:t>
            </w:r>
            <w:r>
              <w:rPr>
                <w:color w:val="auto"/>
                <w:spacing w:val="-52"/>
                <w:highlight w:val="none"/>
              </w:rPr>
              <w:t xml:space="preserve"> </w:t>
            </w:r>
            <w:r>
              <w:rPr>
                <w:color w:val="auto"/>
                <w:spacing w:val="-1"/>
                <w:highlight w:val="none"/>
              </w:rPr>
              <w:t>在</w:t>
            </w:r>
            <w:r>
              <w:rPr>
                <w:color w:val="auto"/>
                <w:spacing w:val="-51"/>
                <w:highlight w:val="none"/>
              </w:rPr>
              <w:t xml:space="preserve"> </w:t>
            </w:r>
            <w:r>
              <w:rPr>
                <w:color w:val="auto"/>
                <w:spacing w:val="-1"/>
                <w:highlight w:val="none"/>
              </w:rPr>
              <w:t>“</w:t>
            </w:r>
            <w:r>
              <w:rPr>
                <w:color w:val="auto"/>
                <w:spacing w:val="-53"/>
                <w:highlight w:val="none"/>
              </w:rPr>
              <w:t xml:space="preserve"> </w:t>
            </w:r>
            <w:r>
              <w:rPr>
                <w:color w:val="auto"/>
                <w:spacing w:val="-1"/>
                <w:highlight w:val="none"/>
              </w:rPr>
              <w:t>信</w:t>
            </w:r>
            <w:r>
              <w:rPr>
                <w:color w:val="auto"/>
                <w:spacing w:val="-50"/>
                <w:highlight w:val="none"/>
              </w:rPr>
              <w:t xml:space="preserve"> </w:t>
            </w:r>
            <w:r>
              <w:rPr>
                <w:color w:val="auto"/>
                <w:spacing w:val="-1"/>
                <w:highlight w:val="none"/>
              </w:rPr>
              <w:t>用</w:t>
            </w:r>
            <w:r>
              <w:rPr>
                <w:color w:val="auto"/>
                <w:spacing w:val="-34"/>
                <w:highlight w:val="none"/>
              </w:rPr>
              <w:t xml:space="preserve"> </w:t>
            </w:r>
            <w:r>
              <w:rPr>
                <w:color w:val="auto"/>
                <w:spacing w:val="-1"/>
                <w:highlight w:val="none"/>
              </w:rPr>
              <w:t>中</w:t>
            </w:r>
            <w:r>
              <w:rPr>
                <w:color w:val="auto"/>
                <w:spacing w:val="-31"/>
                <w:highlight w:val="none"/>
              </w:rPr>
              <w:t xml:space="preserve"> </w:t>
            </w:r>
            <w:r>
              <w:rPr>
                <w:color w:val="auto"/>
                <w:spacing w:val="-1"/>
                <w:highlight w:val="none"/>
              </w:rPr>
              <w:t>国</w:t>
            </w:r>
            <w:r>
              <w:rPr>
                <w:color w:val="auto"/>
                <w:spacing w:val="-31"/>
                <w:highlight w:val="none"/>
              </w:rPr>
              <w:t xml:space="preserve"> </w:t>
            </w:r>
            <w:r>
              <w:rPr>
                <w:color w:val="auto"/>
                <w:spacing w:val="-1"/>
                <w:highlight w:val="none"/>
              </w:rPr>
              <w:t>”</w:t>
            </w:r>
            <w:r>
              <w:rPr>
                <w:color w:val="auto"/>
                <w:spacing w:val="-54"/>
                <w:highlight w:val="none"/>
              </w:rPr>
              <w:t xml:space="preserve"> </w:t>
            </w:r>
            <w:r>
              <w:rPr>
                <w:color w:val="auto"/>
                <w:spacing w:val="-1"/>
                <w:highlight w:val="none"/>
              </w:rPr>
              <w:t>网</w:t>
            </w:r>
            <w:r>
              <w:rPr>
                <w:color w:val="auto"/>
                <w:spacing w:val="-50"/>
                <w:highlight w:val="none"/>
              </w:rPr>
              <w:t xml:space="preserve"> </w:t>
            </w:r>
            <w:r>
              <w:rPr>
                <w:color w:val="auto"/>
                <w:spacing w:val="-1"/>
                <w:highlight w:val="none"/>
              </w:rPr>
              <w:t>站</w:t>
            </w:r>
            <w:r>
              <w:rPr>
                <w:color w:val="auto"/>
                <w:spacing w:val="-57"/>
                <w:highlight w:val="none"/>
              </w:rPr>
              <w:t xml:space="preserve"> </w:t>
            </w:r>
            <w:r>
              <w:rPr>
                <w:color w:val="auto"/>
                <w:spacing w:val="-1"/>
                <w:highlight w:val="none"/>
              </w:rPr>
              <w:t>（</w:t>
            </w:r>
            <w:r>
              <w:rPr>
                <w:color w:val="auto"/>
                <w:spacing w:val="-29"/>
                <w:highlight w:val="none"/>
              </w:rPr>
              <w:t xml:space="preserve"> </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1"/>
                <w:highlight w:val="none"/>
              </w:rPr>
              <w:t>www.creditchina.go</w:t>
            </w:r>
            <w:r>
              <w:rPr>
                <w:color w:val="auto"/>
                <w:spacing w:val="-2"/>
                <w:highlight w:val="none"/>
              </w:rPr>
              <w:t>v.cn</w:t>
            </w:r>
            <w:r>
              <w:rPr>
                <w:color w:val="auto"/>
                <w:spacing w:val="-2"/>
                <w:highlight w:val="none"/>
              </w:rPr>
              <w:fldChar w:fldCharType="end"/>
            </w:r>
            <w:r>
              <w:rPr>
                <w:color w:val="auto"/>
                <w:spacing w:val="-30"/>
                <w:highlight w:val="none"/>
              </w:rPr>
              <w:t xml:space="preserve"> </w:t>
            </w:r>
            <w:r>
              <w:rPr>
                <w:color w:val="auto"/>
                <w:spacing w:val="-2"/>
                <w:highlight w:val="none"/>
              </w:rPr>
              <w:t>）</w:t>
            </w:r>
            <w:r>
              <w:rPr>
                <w:color w:val="auto"/>
                <w:spacing w:val="-31"/>
                <w:highlight w:val="none"/>
              </w:rPr>
              <w:t xml:space="preserve"> </w:t>
            </w:r>
            <w:r>
              <w:rPr>
                <w:color w:val="auto"/>
                <w:spacing w:val="-2"/>
                <w:highlight w:val="none"/>
              </w:rPr>
              <w:t>、</w:t>
            </w:r>
            <w:r>
              <w:rPr>
                <w:color w:val="auto"/>
                <w:spacing w:val="-28"/>
                <w:highlight w:val="none"/>
              </w:rPr>
              <w:t xml:space="preserve"> </w:t>
            </w:r>
            <w:r>
              <w:rPr>
                <w:color w:val="auto"/>
                <w:spacing w:val="-2"/>
                <w:highlight w:val="none"/>
              </w:rPr>
              <w:t>中</w:t>
            </w:r>
            <w:r>
              <w:rPr>
                <w:color w:val="auto"/>
                <w:spacing w:val="-31"/>
                <w:highlight w:val="none"/>
              </w:rPr>
              <w:t xml:space="preserve"> </w:t>
            </w:r>
            <w:r>
              <w:rPr>
                <w:color w:val="auto"/>
                <w:spacing w:val="-2"/>
                <w:highlight w:val="none"/>
              </w:rPr>
              <w:t>国</w:t>
            </w:r>
            <w:r>
              <w:rPr>
                <w:color w:val="auto"/>
                <w:spacing w:val="-52"/>
                <w:highlight w:val="none"/>
              </w:rPr>
              <w:t xml:space="preserve"> </w:t>
            </w:r>
            <w:r>
              <w:rPr>
                <w:color w:val="auto"/>
                <w:spacing w:val="-2"/>
                <w:highlight w:val="none"/>
              </w:rPr>
              <w:t>政</w:t>
            </w:r>
            <w:r>
              <w:rPr>
                <w:color w:val="auto"/>
                <w:spacing w:val="-52"/>
                <w:highlight w:val="none"/>
              </w:rPr>
              <w:t xml:space="preserve"> </w:t>
            </w:r>
            <w:r>
              <w:rPr>
                <w:color w:val="auto"/>
                <w:spacing w:val="-2"/>
                <w:highlight w:val="none"/>
              </w:rPr>
              <w:t>府</w:t>
            </w:r>
            <w:r>
              <w:rPr>
                <w:color w:val="auto"/>
                <w:spacing w:val="-55"/>
                <w:highlight w:val="none"/>
              </w:rPr>
              <w:t xml:space="preserve"> </w:t>
            </w:r>
            <w:r>
              <w:rPr>
                <w:color w:val="auto"/>
                <w:spacing w:val="-2"/>
                <w:highlight w:val="none"/>
              </w:rPr>
              <w:t>采</w:t>
            </w:r>
            <w:r>
              <w:rPr>
                <w:color w:val="auto"/>
                <w:spacing w:val="-53"/>
                <w:highlight w:val="none"/>
              </w:rPr>
              <w:t xml:space="preserve"> </w:t>
            </w:r>
            <w:r>
              <w:rPr>
                <w:color w:val="auto"/>
                <w:spacing w:val="-2"/>
                <w:highlight w:val="none"/>
              </w:rPr>
              <w:t>购</w:t>
            </w:r>
            <w:r>
              <w:rPr>
                <w:color w:val="auto"/>
                <w:spacing w:val="-35"/>
                <w:highlight w:val="none"/>
              </w:rPr>
              <w:t xml:space="preserve"> </w:t>
            </w:r>
            <w:r>
              <w:rPr>
                <w:color w:val="auto"/>
                <w:spacing w:val="-2"/>
                <w:highlight w:val="none"/>
              </w:rPr>
              <w:t>网</w:t>
            </w:r>
            <w:r>
              <w:rPr>
                <w:color w:val="auto"/>
                <w:spacing w:val="12"/>
                <w:highlight w:val="none"/>
              </w:rPr>
              <w:t>（</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highlight w:val="none"/>
              </w:rPr>
              <w:t>www</w:t>
            </w:r>
            <w:r>
              <w:rPr>
                <w:color w:val="auto"/>
                <w:spacing w:val="12"/>
                <w:highlight w:val="none"/>
              </w:rPr>
              <w:t>.</w:t>
            </w:r>
            <w:r>
              <w:rPr>
                <w:color w:val="auto"/>
                <w:highlight w:val="none"/>
              </w:rPr>
              <w:t>ccgp</w:t>
            </w:r>
            <w:r>
              <w:rPr>
                <w:color w:val="auto"/>
                <w:spacing w:val="12"/>
                <w:highlight w:val="none"/>
              </w:rPr>
              <w:t>.</w:t>
            </w:r>
            <w:r>
              <w:rPr>
                <w:color w:val="auto"/>
                <w:highlight w:val="none"/>
              </w:rPr>
              <w:t>gov</w:t>
            </w:r>
            <w:r>
              <w:rPr>
                <w:color w:val="auto"/>
                <w:spacing w:val="12"/>
                <w:highlight w:val="none"/>
              </w:rPr>
              <w:t>.</w:t>
            </w:r>
            <w:r>
              <w:rPr>
                <w:color w:val="auto"/>
                <w:highlight w:val="none"/>
              </w:rPr>
              <w:t>cn</w:t>
            </w:r>
            <w:r>
              <w:rPr>
                <w:color w:val="auto"/>
                <w:highlight w:val="none"/>
              </w:rPr>
              <w:fldChar w:fldCharType="end"/>
            </w:r>
            <w:r>
              <w:rPr>
                <w:color w:val="auto"/>
                <w:spacing w:val="12"/>
                <w:highlight w:val="none"/>
              </w:rPr>
              <w:t>）</w:t>
            </w:r>
            <w:r>
              <w:rPr>
                <w:rFonts w:hint="eastAsia"/>
                <w:color w:val="auto"/>
                <w:spacing w:val="12"/>
                <w:highlight w:val="none"/>
                <w:lang w:eastAsia="zh-CN"/>
              </w:rPr>
              <w:t>、</w:t>
            </w:r>
            <w:r>
              <w:rPr>
                <w:rFonts w:hint="eastAsia" w:ascii="宋体" w:hAnsi="宋体" w:cs="宋体"/>
                <w:color w:val="auto"/>
                <w:szCs w:val="21"/>
                <w:highlight w:val="none"/>
              </w:rPr>
              <w:t>中国执行信息公开网（https://zxgk.court.gov.cn/）</w:t>
            </w:r>
            <w:r>
              <w:rPr>
                <w:color w:val="auto"/>
                <w:spacing w:val="12"/>
                <w:highlight w:val="none"/>
              </w:rPr>
              <w:t>被列入失信被执行人、重大税收违法失信主体、政府采购严重</w:t>
            </w:r>
            <w:r>
              <w:rPr>
                <w:color w:val="auto"/>
                <w:spacing w:val="13"/>
                <w:highlight w:val="none"/>
              </w:rPr>
              <w:t>违法失信行为记录名单及其他不符合《中华人民共和国政府采购法》第二十二条规</w:t>
            </w:r>
            <w:r>
              <w:rPr>
                <w:color w:val="auto"/>
                <w:spacing w:val="8"/>
                <w:highlight w:val="none"/>
              </w:rPr>
              <w:t>定条件的供应商，不得参与政府采购活动。</w:t>
            </w:r>
          </w:p>
          <w:p w14:paraId="04D05100">
            <w:pPr>
              <w:pStyle w:val="12"/>
              <w:kinsoku/>
              <w:wordWrap w:val="0"/>
              <w:autoSpaceDE/>
              <w:autoSpaceDN/>
              <w:spacing w:line="377" w:lineRule="auto"/>
              <w:ind w:left="110" w:right="108" w:firstLine="5"/>
              <w:rPr>
                <w:color w:val="auto"/>
                <w:highlight w:val="none"/>
              </w:rPr>
            </w:pPr>
            <w:r>
              <w:rPr>
                <w:color w:val="auto"/>
                <w:spacing w:val="10"/>
                <w:highlight w:val="none"/>
              </w:rPr>
              <w:t>3.根据《北海市财政局 北海市政府采购中心关于推行政府采购领域信用承诺制度的</w:t>
            </w:r>
            <w:r>
              <w:rPr>
                <w:color w:val="auto"/>
                <w:spacing w:val="9"/>
                <w:highlight w:val="none"/>
              </w:rPr>
              <w:t>通知》（北财采〔2022〕24 号</w:t>
            </w:r>
            <w:r>
              <w:rPr>
                <w:color w:val="auto"/>
                <w:spacing w:val="22"/>
                <w:highlight w:val="none"/>
              </w:rPr>
              <w:t>），</w:t>
            </w:r>
            <w:r>
              <w:rPr>
                <w:color w:val="auto"/>
                <w:spacing w:val="9"/>
                <w:highlight w:val="none"/>
              </w:rPr>
              <w:t>凡符合《中华人民共和国政府采购法》第二十二</w:t>
            </w:r>
            <w:r>
              <w:rPr>
                <w:color w:val="auto"/>
                <w:spacing w:val="13"/>
                <w:highlight w:val="none"/>
              </w:rPr>
              <w:t>条规定的资格条件，参与北海市政府采购活动的供应商，在响应文件中按照采购文</w:t>
            </w:r>
            <w:r>
              <w:rPr>
                <w:color w:val="auto"/>
                <w:spacing w:val="9"/>
                <w:highlight w:val="none"/>
              </w:rPr>
              <w:t>件约定提供信用承诺，不再提供以下资质材料：</w:t>
            </w:r>
          </w:p>
          <w:p w14:paraId="7B46A1E7">
            <w:pPr>
              <w:pStyle w:val="12"/>
              <w:kinsoku/>
              <w:wordWrap w:val="0"/>
              <w:autoSpaceDE/>
              <w:autoSpaceDN/>
              <w:spacing w:before="1" w:line="227" w:lineRule="auto"/>
              <w:ind w:left="121"/>
              <w:rPr>
                <w:color w:val="auto"/>
                <w:highlight w:val="none"/>
              </w:rPr>
            </w:pPr>
            <w:r>
              <w:rPr>
                <w:color w:val="auto"/>
                <w:spacing w:val="5"/>
                <w:highlight w:val="none"/>
              </w:rPr>
              <w:t>（1）营业执照；</w:t>
            </w:r>
          </w:p>
          <w:p w14:paraId="2C73AAC9">
            <w:pPr>
              <w:pStyle w:val="12"/>
              <w:kinsoku/>
              <w:wordWrap w:val="0"/>
              <w:autoSpaceDE/>
              <w:autoSpaceDN/>
              <w:spacing w:before="164" w:line="226" w:lineRule="auto"/>
              <w:ind w:left="121"/>
              <w:rPr>
                <w:color w:val="auto"/>
                <w:highlight w:val="none"/>
              </w:rPr>
            </w:pPr>
            <w:r>
              <w:rPr>
                <w:color w:val="auto"/>
                <w:spacing w:val="6"/>
                <w:highlight w:val="none"/>
              </w:rPr>
              <w:t>（2）财务状况报告；</w:t>
            </w:r>
          </w:p>
          <w:p w14:paraId="7DCFD494">
            <w:pPr>
              <w:pStyle w:val="12"/>
              <w:kinsoku/>
              <w:wordWrap w:val="0"/>
              <w:autoSpaceDE/>
              <w:autoSpaceDN/>
              <w:spacing w:before="163" w:line="227" w:lineRule="auto"/>
              <w:ind w:left="121"/>
              <w:rPr>
                <w:color w:val="auto"/>
                <w:highlight w:val="none"/>
              </w:rPr>
            </w:pPr>
            <w:r>
              <w:rPr>
                <w:color w:val="auto"/>
                <w:spacing w:val="8"/>
                <w:highlight w:val="none"/>
              </w:rPr>
              <w:t>（3）依法缴纳税收和社会保障资金相关证明材料；</w:t>
            </w:r>
          </w:p>
          <w:p w14:paraId="303A036A">
            <w:pPr>
              <w:pStyle w:val="12"/>
              <w:kinsoku/>
              <w:wordWrap w:val="0"/>
              <w:autoSpaceDE/>
              <w:autoSpaceDN/>
              <w:spacing w:before="162" w:line="227" w:lineRule="auto"/>
              <w:ind w:left="121"/>
              <w:rPr>
                <w:color w:val="auto"/>
                <w:highlight w:val="none"/>
              </w:rPr>
            </w:pPr>
            <w:r>
              <w:rPr>
                <w:color w:val="auto"/>
                <w:spacing w:val="9"/>
                <w:highlight w:val="none"/>
              </w:rPr>
              <w:t>（4）具有履行合同所必需的设备和专业技术</w:t>
            </w:r>
            <w:r>
              <w:rPr>
                <w:color w:val="auto"/>
                <w:spacing w:val="8"/>
                <w:highlight w:val="none"/>
              </w:rPr>
              <w:t>能力相关证明材料；</w:t>
            </w:r>
          </w:p>
          <w:p w14:paraId="1FAF953D">
            <w:pPr>
              <w:pStyle w:val="12"/>
              <w:kinsoku/>
              <w:wordWrap w:val="0"/>
              <w:autoSpaceDE/>
              <w:autoSpaceDN/>
              <w:spacing w:before="162" w:line="227" w:lineRule="auto"/>
              <w:ind w:left="121"/>
              <w:rPr>
                <w:color w:val="auto"/>
                <w:highlight w:val="none"/>
              </w:rPr>
            </w:pPr>
            <w:r>
              <w:rPr>
                <w:color w:val="auto"/>
                <w:spacing w:val="9"/>
                <w:highlight w:val="none"/>
              </w:rPr>
              <w:t>（5）参加政府采购活动前三年内在经营活动中没有重大违法记录相关证明材料。</w:t>
            </w:r>
          </w:p>
        </w:tc>
      </w:tr>
      <w:tr w14:paraId="227D3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96" w:type="dxa"/>
            <w:vAlign w:val="top"/>
          </w:tcPr>
          <w:p w14:paraId="1C98A3B3">
            <w:pPr>
              <w:pStyle w:val="12"/>
              <w:keepNext w:val="0"/>
              <w:keepLines w:val="0"/>
              <w:kinsoku/>
              <w:wordWrap w:val="0"/>
              <w:autoSpaceDE/>
              <w:autoSpaceDN/>
              <w:spacing w:before="35" w:line="267" w:lineRule="exact"/>
              <w:ind w:left="351"/>
              <w:rPr>
                <w:color w:val="auto"/>
                <w:highlight w:val="none"/>
              </w:rPr>
            </w:pPr>
            <w:r>
              <w:rPr>
                <w:color w:val="auto"/>
                <w:spacing w:val="1"/>
                <w:position w:val="1"/>
                <w:highlight w:val="none"/>
              </w:rPr>
              <w:t>5.1</w:t>
            </w:r>
          </w:p>
        </w:tc>
        <w:tc>
          <w:tcPr>
            <w:tcW w:w="7912" w:type="dxa"/>
            <w:vAlign w:val="top"/>
          </w:tcPr>
          <w:p w14:paraId="581239D8">
            <w:pPr>
              <w:pStyle w:val="12"/>
              <w:keepNext w:val="0"/>
              <w:keepLines w:val="0"/>
              <w:kinsoku/>
              <w:wordWrap w:val="0"/>
              <w:autoSpaceDE/>
              <w:autoSpaceDN/>
              <w:spacing w:before="35" w:line="226" w:lineRule="auto"/>
              <w:ind w:left="115"/>
              <w:rPr>
                <w:rFonts w:hint="eastAsia" w:eastAsia="宋体"/>
                <w:color w:val="auto"/>
                <w:highlight w:val="none"/>
                <w:lang w:eastAsia="zh-CN"/>
              </w:rPr>
            </w:pPr>
            <w:r>
              <w:rPr>
                <w:color w:val="auto"/>
                <w:spacing w:val="9"/>
                <w:highlight w:val="none"/>
              </w:rPr>
              <w:t>是否接受联合体竞标： 详见竞争性谈判公告</w:t>
            </w:r>
            <w:r>
              <w:rPr>
                <w:rFonts w:hint="eastAsia"/>
                <w:color w:val="auto"/>
                <w:spacing w:val="9"/>
                <w:highlight w:val="none"/>
                <w:lang w:eastAsia="zh-CN"/>
              </w:rPr>
              <w:t>。</w:t>
            </w:r>
          </w:p>
        </w:tc>
      </w:tr>
      <w:tr w14:paraId="0C172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3" w:hRule="atLeast"/>
        </w:trPr>
        <w:tc>
          <w:tcPr>
            <w:tcW w:w="996" w:type="dxa"/>
            <w:vAlign w:val="top"/>
          </w:tcPr>
          <w:p w14:paraId="6AF6F986">
            <w:pPr>
              <w:keepNext w:val="0"/>
              <w:keepLines w:val="0"/>
              <w:kinsoku/>
              <w:wordWrap w:val="0"/>
              <w:autoSpaceDE/>
              <w:autoSpaceDN/>
              <w:spacing w:line="256" w:lineRule="auto"/>
              <w:rPr>
                <w:rFonts w:ascii="Arial"/>
                <w:color w:val="auto"/>
                <w:sz w:val="21"/>
                <w:highlight w:val="none"/>
              </w:rPr>
            </w:pPr>
          </w:p>
          <w:p w14:paraId="5E0A0EBD">
            <w:pPr>
              <w:keepNext w:val="0"/>
              <w:keepLines w:val="0"/>
              <w:kinsoku/>
              <w:wordWrap w:val="0"/>
              <w:autoSpaceDE/>
              <w:autoSpaceDN/>
              <w:spacing w:line="256" w:lineRule="auto"/>
              <w:rPr>
                <w:rFonts w:ascii="Arial"/>
                <w:color w:val="auto"/>
                <w:sz w:val="21"/>
                <w:highlight w:val="none"/>
              </w:rPr>
            </w:pPr>
          </w:p>
          <w:p w14:paraId="753204CE">
            <w:pPr>
              <w:keepNext w:val="0"/>
              <w:keepLines w:val="0"/>
              <w:kinsoku/>
              <w:wordWrap w:val="0"/>
              <w:autoSpaceDE/>
              <w:autoSpaceDN/>
              <w:spacing w:line="256" w:lineRule="auto"/>
              <w:rPr>
                <w:rFonts w:ascii="Arial"/>
                <w:color w:val="auto"/>
                <w:sz w:val="21"/>
                <w:highlight w:val="none"/>
              </w:rPr>
            </w:pPr>
          </w:p>
          <w:p w14:paraId="39FEE18F">
            <w:pPr>
              <w:keepNext w:val="0"/>
              <w:keepLines w:val="0"/>
              <w:kinsoku/>
              <w:wordWrap w:val="0"/>
              <w:autoSpaceDE/>
              <w:autoSpaceDN/>
              <w:spacing w:line="257" w:lineRule="auto"/>
              <w:rPr>
                <w:rFonts w:ascii="Arial"/>
                <w:color w:val="auto"/>
                <w:sz w:val="21"/>
                <w:highlight w:val="none"/>
              </w:rPr>
            </w:pPr>
          </w:p>
          <w:p w14:paraId="399D0637">
            <w:pPr>
              <w:keepNext w:val="0"/>
              <w:keepLines w:val="0"/>
              <w:kinsoku/>
              <w:wordWrap w:val="0"/>
              <w:autoSpaceDE/>
              <w:autoSpaceDN/>
              <w:spacing w:line="257" w:lineRule="auto"/>
              <w:rPr>
                <w:rFonts w:ascii="Arial"/>
                <w:color w:val="auto"/>
                <w:sz w:val="21"/>
                <w:highlight w:val="none"/>
              </w:rPr>
            </w:pPr>
          </w:p>
          <w:p w14:paraId="388BF096">
            <w:pPr>
              <w:keepNext w:val="0"/>
              <w:keepLines w:val="0"/>
              <w:kinsoku/>
              <w:wordWrap w:val="0"/>
              <w:autoSpaceDE/>
              <w:autoSpaceDN/>
              <w:spacing w:line="257" w:lineRule="auto"/>
              <w:rPr>
                <w:rFonts w:ascii="Arial"/>
                <w:color w:val="auto"/>
                <w:sz w:val="21"/>
                <w:highlight w:val="none"/>
              </w:rPr>
            </w:pPr>
          </w:p>
          <w:p w14:paraId="691B19D6">
            <w:pPr>
              <w:keepNext w:val="0"/>
              <w:keepLines w:val="0"/>
              <w:kinsoku/>
              <w:wordWrap w:val="0"/>
              <w:autoSpaceDE/>
              <w:autoSpaceDN/>
              <w:spacing w:line="257" w:lineRule="auto"/>
              <w:rPr>
                <w:rFonts w:ascii="Arial"/>
                <w:color w:val="auto"/>
                <w:sz w:val="21"/>
                <w:highlight w:val="none"/>
              </w:rPr>
            </w:pPr>
          </w:p>
          <w:p w14:paraId="2E84F35A">
            <w:pPr>
              <w:pStyle w:val="12"/>
              <w:keepNext w:val="0"/>
              <w:keepLines w:val="0"/>
              <w:kinsoku/>
              <w:wordWrap w:val="0"/>
              <w:autoSpaceDE/>
              <w:autoSpaceDN/>
              <w:spacing w:before="65" w:line="268" w:lineRule="exact"/>
              <w:ind w:left="351"/>
              <w:rPr>
                <w:color w:val="auto"/>
                <w:highlight w:val="none"/>
              </w:rPr>
            </w:pPr>
            <w:r>
              <w:rPr>
                <w:color w:val="auto"/>
                <w:spacing w:val="1"/>
                <w:position w:val="1"/>
                <w:highlight w:val="none"/>
              </w:rPr>
              <w:t>5.2</w:t>
            </w:r>
          </w:p>
        </w:tc>
        <w:tc>
          <w:tcPr>
            <w:tcW w:w="7912" w:type="dxa"/>
            <w:vAlign w:val="top"/>
          </w:tcPr>
          <w:p w14:paraId="0E6D20E0">
            <w:pPr>
              <w:pStyle w:val="12"/>
              <w:keepNext w:val="0"/>
              <w:keepLines w:val="0"/>
              <w:kinsoku/>
              <w:wordWrap w:val="0"/>
              <w:autoSpaceDE/>
              <w:autoSpaceDN/>
              <w:spacing w:before="35" w:line="228" w:lineRule="auto"/>
              <w:ind w:left="115"/>
              <w:rPr>
                <w:color w:val="auto"/>
                <w:highlight w:val="none"/>
              </w:rPr>
            </w:pPr>
            <w:r>
              <w:rPr>
                <w:color w:val="auto"/>
                <w:spacing w:val="8"/>
                <w:highlight w:val="none"/>
              </w:rPr>
              <w:t>如接受联合体竞标，联合体竞标要求如下：</w:t>
            </w:r>
          </w:p>
          <w:p w14:paraId="0CAD4BC0">
            <w:pPr>
              <w:pStyle w:val="12"/>
              <w:keepNext w:val="0"/>
              <w:keepLines w:val="0"/>
              <w:kinsoku/>
              <w:wordWrap w:val="0"/>
              <w:autoSpaceDE/>
              <w:autoSpaceDN/>
              <w:spacing w:before="160" w:line="378" w:lineRule="auto"/>
              <w:ind w:left="112" w:right="143" w:firstLine="14"/>
              <w:rPr>
                <w:color w:val="auto"/>
                <w:highlight w:val="none"/>
              </w:rPr>
            </w:pPr>
            <w:r>
              <w:rPr>
                <w:color w:val="auto"/>
                <w:spacing w:val="11"/>
                <w:highlight w:val="none"/>
              </w:rPr>
              <w:t>1.两个以上供应商可以组成一个竞标联合体，</w:t>
            </w:r>
            <w:r>
              <w:rPr>
                <w:color w:val="auto"/>
                <w:spacing w:val="-58"/>
                <w:highlight w:val="none"/>
              </w:rPr>
              <w:t xml:space="preserve"> </w:t>
            </w:r>
            <w:r>
              <w:rPr>
                <w:color w:val="auto"/>
                <w:spacing w:val="11"/>
                <w:highlight w:val="none"/>
              </w:rPr>
              <w:t>以</w:t>
            </w:r>
            <w:r>
              <w:rPr>
                <w:color w:val="auto"/>
                <w:spacing w:val="10"/>
                <w:highlight w:val="none"/>
              </w:rPr>
              <w:t>一个供应商的身份共同参加竞标。</w:t>
            </w:r>
            <w:r>
              <w:rPr>
                <w:color w:val="auto"/>
                <w:spacing w:val="9"/>
                <w:highlight w:val="none"/>
              </w:rPr>
              <w:t>联合体竞标的，须提供《联合体竞标协议书》（格</w:t>
            </w:r>
            <w:r>
              <w:rPr>
                <w:color w:val="auto"/>
                <w:spacing w:val="8"/>
                <w:highlight w:val="none"/>
              </w:rPr>
              <w:t>式后附）。</w:t>
            </w:r>
          </w:p>
          <w:p w14:paraId="167BE893">
            <w:pPr>
              <w:pStyle w:val="12"/>
              <w:keepNext w:val="0"/>
              <w:keepLines w:val="0"/>
              <w:kinsoku/>
              <w:wordWrap w:val="0"/>
              <w:autoSpaceDE/>
              <w:autoSpaceDN/>
              <w:spacing w:line="377" w:lineRule="auto"/>
              <w:ind w:left="111" w:right="108" w:firstLine="2"/>
              <w:rPr>
                <w:color w:val="auto"/>
                <w:highlight w:val="none"/>
              </w:rPr>
            </w:pPr>
            <w:r>
              <w:rPr>
                <w:color w:val="auto"/>
                <w:spacing w:val="13"/>
                <w:highlight w:val="none"/>
              </w:rPr>
              <w:t>2.以联合体形式参加竞标的，联合体各方均须具备《中华</w:t>
            </w:r>
            <w:r>
              <w:rPr>
                <w:color w:val="auto"/>
                <w:spacing w:val="12"/>
                <w:highlight w:val="none"/>
              </w:rPr>
              <w:t>人民共和国政府采购法》</w:t>
            </w:r>
            <w:r>
              <w:rPr>
                <w:color w:val="auto"/>
                <w:spacing w:val="13"/>
                <w:highlight w:val="none"/>
              </w:rPr>
              <w:t>第二十二条第一款规定的基本条件（涉及行政许可范围的内容，联合体各方均应具</w:t>
            </w:r>
            <w:r>
              <w:rPr>
                <w:color w:val="auto"/>
                <w:spacing w:val="12"/>
                <w:highlight w:val="none"/>
              </w:rPr>
              <w:t>备相应资质）</w:t>
            </w:r>
            <w:r>
              <w:rPr>
                <w:color w:val="auto"/>
                <w:spacing w:val="-47"/>
                <w:highlight w:val="none"/>
              </w:rPr>
              <w:t xml:space="preserve"> </w:t>
            </w:r>
            <w:r>
              <w:rPr>
                <w:color w:val="auto"/>
                <w:spacing w:val="12"/>
                <w:highlight w:val="none"/>
              </w:rPr>
              <w:t>。本项目有特殊要求规定供应商特定条件的，联合体各方中至少有一</w:t>
            </w:r>
            <w:r>
              <w:rPr>
                <w:color w:val="auto"/>
                <w:spacing w:val="8"/>
                <w:highlight w:val="none"/>
              </w:rPr>
              <w:t>方必须符合谈判文件规定的特定条件。</w:t>
            </w:r>
          </w:p>
          <w:p w14:paraId="59218BDD">
            <w:pPr>
              <w:pStyle w:val="12"/>
              <w:keepNext w:val="0"/>
              <w:keepLines w:val="0"/>
              <w:kinsoku/>
              <w:wordWrap w:val="0"/>
              <w:autoSpaceDE/>
              <w:autoSpaceDN/>
              <w:spacing w:before="2" w:line="364" w:lineRule="auto"/>
              <w:ind w:left="113" w:right="108" w:firstLine="2"/>
              <w:rPr>
                <w:color w:val="auto"/>
                <w:highlight w:val="none"/>
              </w:rPr>
            </w:pPr>
            <w:r>
              <w:rPr>
                <w:color w:val="auto"/>
                <w:spacing w:val="12"/>
                <w:highlight w:val="none"/>
              </w:rPr>
              <w:t>3.联合体各方之间必须签订联合竞标协议，协议书必须明确主体方（或者牵头方）</w:t>
            </w:r>
            <w:r>
              <w:rPr>
                <w:color w:val="auto"/>
                <w:spacing w:val="13"/>
                <w:highlight w:val="none"/>
              </w:rPr>
              <w:t>并明确约定联合体各方承担的工作和相应的责任（各方承担责任与义务的分工必须符合采购需求，否则，联合体竞标无效</w:t>
            </w:r>
            <w:r>
              <w:rPr>
                <w:color w:val="auto"/>
                <w:spacing w:val="1"/>
                <w:highlight w:val="none"/>
              </w:rPr>
              <w:t>）</w:t>
            </w:r>
            <w:r>
              <w:rPr>
                <w:color w:val="auto"/>
                <w:spacing w:val="-57"/>
                <w:highlight w:val="none"/>
              </w:rPr>
              <w:t xml:space="preserve"> </w:t>
            </w:r>
            <w:r>
              <w:rPr>
                <w:color w:val="auto"/>
                <w:spacing w:val="1"/>
                <w:highlight w:val="none"/>
              </w:rPr>
              <w:t>，</w:t>
            </w:r>
            <w:r>
              <w:rPr>
                <w:color w:val="auto"/>
                <w:spacing w:val="13"/>
                <w:highlight w:val="none"/>
              </w:rPr>
              <w:t>并将联合竞标协议连同响应文</w:t>
            </w:r>
            <w:r>
              <w:rPr>
                <w:color w:val="auto"/>
                <w:spacing w:val="12"/>
                <w:highlight w:val="none"/>
              </w:rPr>
              <w:t>件一并提</w:t>
            </w:r>
          </w:p>
        </w:tc>
      </w:tr>
    </w:tbl>
    <w:p w14:paraId="7721BDF4">
      <w:pPr>
        <w:keepNext/>
        <w:keepLines/>
        <w:spacing w:line="100" w:lineRule="exact"/>
        <w:rPr>
          <w:rFonts w:ascii="Arial"/>
          <w:color w:val="auto"/>
          <w:sz w:val="8"/>
          <w:highlight w:val="none"/>
        </w:rPr>
      </w:pPr>
    </w:p>
    <w:p w14:paraId="362F2DDA">
      <w:pPr>
        <w:keepNext/>
        <w:keepLines/>
        <w:spacing w:line="100" w:lineRule="exact"/>
        <w:rPr>
          <w:rFonts w:ascii="Arial" w:hAnsi="Arial" w:eastAsia="Arial" w:cs="Arial"/>
          <w:color w:val="auto"/>
          <w:sz w:val="8"/>
          <w:szCs w:val="8"/>
          <w:highlight w:val="none"/>
        </w:rPr>
        <w:sectPr>
          <w:footerReference r:id="rId8" w:type="default"/>
          <w:pgSz w:w="11910" w:h="16840"/>
          <w:pgMar w:top="1431" w:right="1408" w:bottom="1091" w:left="1588" w:header="0" w:footer="929" w:gutter="0"/>
          <w:pgNumType w:fmt="decimal"/>
          <w:cols w:space="720" w:num="1"/>
        </w:sectPr>
      </w:pPr>
    </w:p>
    <w:tbl>
      <w:tblPr>
        <w:tblStyle w:val="11"/>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95"/>
        <w:gridCol w:w="7923"/>
      </w:tblGrid>
      <w:tr w14:paraId="5D052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93" w:hRule="atLeast"/>
        </w:trPr>
        <w:tc>
          <w:tcPr>
            <w:tcW w:w="558" w:type="pct"/>
            <w:vAlign w:val="top"/>
          </w:tcPr>
          <w:p w14:paraId="15BD2552">
            <w:pPr>
              <w:keepNext/>
              <w:keepLines/>
              <w:rPr>
                <w:rFonts w:ascii="Arial"/>
                <w:color w:val="auto"/>
                <w:sz w:val="21"/>
                <w:highlight w:val="none"/>
              </w:rPr>
            </w:pPr>
          </w:p>
        </w:tc>
        <w:tc>
          <w:tcPr>
            <w:tcW w:w="4441" w:type="pct"/>
            <w:vAlign w:val="top"/>
          </w:tcPr>
          <w:p w14:paraId="54B669CA">
            <w:pPr>
              <w:pStyle w:val="12"/>
              <w:keepNext/>
              <w:keepLines/>
              <w:spacing w:before="35" w:line="377" w:lineRule="auto"/>
              <w:ind w:left="111" w:right="108" w:firstLine="4"/>
              <w:rPr>
                <w:color w:val="auto"/>
                <w:highlight w:val="none"/>
              </w:rPr>
            </w:pPr>
            <w:r>
              <w:rPr>
                <w:color w:val="auto"/>
                <w:spacing w:val="13"/>
                <w:highlight w:val="none"/>
              </w:rPr>
              <w:t>交采购代理机构。联合体各方必须共同与采购人签订采购合同，就采购合同约定的</w:t>
            </w:r>
            <w:r>
              <w:rPr>
                <w:color w:val="auto"/>
                <w:spacing w:val="8"/>
                <w:highlight w:val="none"/>
              </w:rPr>
              <w:t>事项对采购人承担连带责任。</w:t>
            </w:r>
          </w:p>
          <w:p w14:paraId="4D5DCFC0">
            <w:pPr>
              <w:pStyle w:val="12"/>
              <w:keepNext/>
              <w:keepLines/>
              <w:spacing w:before="1" w:line="377" w:lineRule="auto"/>
              <w:ind w:left="115" w:right="108" w:hanging="5"/>
              <w:rPr>
                <w:color w:val="auto"/>
                <w:highlight w:val="none"/>
              </w:rPr>
            </w:pPr>
            <w:r>
              <w:rPr>
                <w:color w:val="auto"/>
                <w:spacing w:val="13"/>
                <w:highlight w:val="none"/>
              </w:rPr>
              <w:t>4.以联合体形式参加政府采购活动的，联合体各方不得再单独参加或者与其他供应</w:t>
            </w:r>
            <w:r>
              <w:rPr>
                <w:color w:val="auto"/>
                <w:spacing w:val="9"/>
                <w:highlight w:val="none"/>
              </w:rPr>
              <w:t>商另外组成联合体参加同一合同项下的政府采购活动。</w:t>
            </w:r>
          </w:p>
          <w:p w14:paraId="1A42BD37">
            <w:pPr>
              <w:pStyle w:val="12"/>
              <w:keepNext/>
              <w:keepLines/>
              <w:spacing w:before="1" w:line="376" w:lineRule="auto"/>
              <w:ind w:left="115" w:right="108"/>
              <w:rPr>
                <w:color w:val="auto"/>
                <w:highlight w:val="none"/>
              </w:rPr>
            </w:pPr>
            <w:r>
              <w:rPr>
                <w:color w:val="auto"/>
                <w:spacing w:val="13"/>
                <w:highlight w:val="none"/>
              </w:rPr>
              <w:t>5.联合体中有同类资质的供应商按照联合体分工承担相同工作的，应当按照资质等</w:t>
            </w:r>
            <w:r>
              <w:rPr>
                <w:color w:val="auto"/>
                <w:spacing w:val="8"/>
                <w:highlight w:val="none"/>
              </w:rPr>
              <w:t>级较低的供应商确定资质等级。</w:t>
            </w:r>
          </w:p>
          <w:p w14:paraId="2CBEDCC7">
            <w:pPr>
              <w:pStyle w:val="12"/>
              <w:keepNext/>
              <w:keepLines/>
              <w:spacing w:line="227" w:lineRule="auto"/>
              <w:ind w:left="113"/>
              <w:rPr>
                <w:color w:val="auto"/>
                <w:highlight w:val="none"/>
              </w:rPr>
            </w:pPr>
            <w:r>
              <w:rPr>
                <w:color w:val="auto"/>
                <w:spacing w:val="9"/>
                <w:highlight w:val="none"/>
              </w:rPr>
              <w:t>6.联合体竞标业绩、履约能力按照联合体各方中较高的一方认定并计算。</w:t>
            </w:r>
          </w:p>
          <w:p w14:paraId="4218555B">
            <w:pPr>
              <w:pStyle w:val="12"/>
              <w:keepNext/>
              <w:keepLines/>
              <w:spacing w:before="161" w:line="378" w:lineRule="auto"/>
              <w:ind w:left="112" w:right="108" w:firstLine="4"/>
              <w:rPr>
                <w:color w:val="auto"/>
                <w:highlight w:val="none"/>
              </w:rPr>
            </w:pPr>
            <w:r>
              <w:rPr>
                <w:color w:val="auto"/>
                <w:spacing w:val="13"/>
                <w:highlight w:val="none"/>
              </w:rPr>
              <w:t>7.供应商为联合体的，可以由联合体中的一方或者多方共同交纳保证金，其交纳的</w:t>
            </w:r>
            <w:r>
              <w:rPr>
                <w:color w:val="auto"/>
                <w:spacing w:val="8"/>
                <w:highlight w:val="none"/>
              </w:rPr>
              <w:t>保证金对联合体各方均具有约束力。</w:t>
            </w:r>
          </w:p>
          <w:p w14:paraId="370E985B">
            <w:pPr>
              <w:pStyle w:val="12"/>
              <w:keepNext/>
              <w:keepLines/>
              <w:spacing w:line="227" w:lineRule="auto"/>
              <w:ind w:left="112"/>
              <w:rPr>
                <w:color w:val="auto"/>
                <w:highlight w:val="none"/>
              </w:rPr>
            </w:pPr>
            <w:r>
              <w:rPr>
                <w:color w:val="auto"/>
                <w:spacing w:val="9"/>
                <w:highlight w:val="none"/>
              </w:rPr>
              <w:t>8.联合体各方均应按照谈判文件的规定分别提交资格证明</w:t>
            </w:r>
            <w:r>
              <w:rPr>
                <w:color w:val="auto"/>
                <w:spacing w:val="8"/>
                <w:highlight w:val="none"/>
              </w:rPr>
              <w:t>文件。</w:t>
            </w:r>
          </w:p>
        </w:tc>
      </w:tr>
      <w:tr w14:paraId="79755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5" w:hRule="atLeast"/>
        </w:trPr>
        <w:tc>
          <w:tcPr>
            <w:tcW w:w="558" w:type="pct"/>
            <w:vAlign w:val="top"/>
          </w:tcPr>
          <w:p w14:paraId="6052BDEB">
            <w:pPr>
              <w:keepNext/>
              <w:keepLines/>
              <w:spacing w:line="262" w:lineRule="auto"/>
              <w:rPr>
                <w:rFonts w:ascii="Arial"/>
                <w:color w:val="auto"/>
                <w:sz w:val="21"/>
                <w:highlight w:val="none"/>
              </w:rPr>
            </w:pPr>
          </w:p>
          <w:p w14:paraId="60057ABA">
            <w:pPr>
              <w:keepNext/>
              <w:keepLines/>
              <w:spacing w:line="263" w:lineRule="auto"/>
              <w:rPr>
                <w:rFonts w:ascii="Arial"/>
                <w:color w:val="auto"/>
                <w:sz w:val="21"/>
                <w:highlight w:val="none"/>
              </w:rPr>
            </w:pPr>
          </w:p>
          <w:p w14:paraId="01EEFBCC">
            <w:pPr>
              <w:keepNext/>
              <w:keepLines/>
              <w:spacing w:line="263" w:lineRule="auto"/>
              <w:rPr>
                <w:rFonts w:ascii="Arial"/>
                <w:color w:val="auto"/>
                <w:sz w:val="21"/>
                <w:highlight w:val="none"/>
              </w:rPr>
            </w:pPr>
          </w:p>
          <w:p w14:paraId="3506CB1F">
            <w:pPr>
              <w:pStyle w:val="12"/>
              <w:keepNext/>
              <w:keepLines/>
              <w:spacing w:before="65" w:line="268" w:lineRule="exact"/>
              <w:ind w:left="348"/>
              <w:rPr>
                <w:color w:val="auto"/>
                <w:highlight w:val="none"/>
              </w:rPr>
            </w:pPr>
            <w:r>
              <w:rPr>
                <w:color w:val="auto"/>
                <w:spacing w:val="1"/>
                <w:position w:val="1"/>
                <w:highlight w:val="none"/>
              </w:rPr>
              <w:t>6.2</w:t>
            </w:r>
          </w:p>
        </w:tc>
        <w:tc>
          <w:tcPr>
            <w:tcW w:w="4441" w:type="pct"/>
            <w:vAlign w:val="top"/>
          </w:tcPr>
          <w:p w14:paraId="1974C13F">
            <w:pPr>
              <w:pStyle w:val="12"/>
              <w:keepNext/>
              <w:keepLines/>
              <w:spacing w:before="47" w:line="215" w:lineRule="auto"/>
              <w:ind w:left="120"/>
              <w:rPr>
                <w:color w:val="auto"/>
                <w:highlight w:val="none"/>
              </w:rPr>
            </w:pPr>
            <w:r>
              <w:rPr>
                <w:rFonts w:hint="eastAsia" w:ascii="Segoe UI Symbol" w:hAnsi="Segoe UI Symbol" w:eastAsia="宋体" w:cs="Segoe UI Symbol"/>
                <w:color w:val="auto"/>
                <w:spacing w:val="6"/>
                <w:highlight w:val="none"/>
                <w:lang w:eastAsia="zh-CN"/>
              </w:rPr>
              <w:t>□</w:t>
            </w:r>
            <w:r>
              <w:rPr>
                <w:color w:val="auto"/>
                <w:spacing w:val="6"/>
                <w:highlight w:val="none"/>
              </w:rPr>
              <w:t>不允许分包</w:t>
            </w:r>
          </w:p>
          <w:p w14:paraId="45F4ADC1">
            <w:pPr>
              <w:pStyle w:val="12"/>
              <w:keepNext/>
              <w:keepLines/>
              <w:spacing w:before="165" w:line="228" w:lineRule="auto"/>
              <w:ind w:left="133"/>
              <w:rPr>
                <w:color w:val="auto"/>
                <w:highlight w:val="none"/>
              </w:rPr>
            </w:pPr>
            <w:r>
              <w:rPr>
                <w:rFonts w:hint="eastAsia"/>
                <w:color w:val="auto"/>
                <w:spacing w:val="3"/>
                <w:highlight w:val="none"/>
                <w:lang w:eastAsia="zh-CN"/>
              </w:rPr>
              <w:t>☑</w:t>
            </w:r>
            <w:r>
              <w:rPr>
                <w:color w:val="auto"/>
                <w:spacing w:val="3"/>
                <w:highlight w:val="none"/>
              </w:rPr>
              <w:t>允许分包</w:t>
            </w:r>
          </w:p>
          <w:p w14:paraId="111A79AD">
            <w:pPr>
              <w:pStyle w:val="12"/>
              <w:keepNext/>
              <w:keepLines/>
              <w:spacing w:before="161" w:line="228" w:lineRule="auto"/>
              <w:ind w:left="114"/>
              <w:rPr>
                <w:color w:val="auto"/>
                <w:highlight w:val="none"/>
              </w:rPr>
            </w:pPr>
            <w:r>
              <w:rPr>
                <w:color w:val="auto"/>
                <w:spacing w:val="6"/>
                <w:highlight w:val="none"/>
              </w:rPr>
              <w:t>分包内容：</w:t>
            </w:r>
            <w:r>
              <w:rPr>
                <w:color w:val="auto"/>
                <w:highlight w:val="none"/>
                <w:u w:val="single" w:color="auto"/>
              </w:rPr>
              <w:t xml:space="preserve"> </w:t>
            </w:r>
            <w:r>
              <w:rPr>
                <w:rFonts w:hint="eastAsia"/>
                <w:color w:val="auto"/>
                <w:highlight w:val="none"/>
                <w:u w:val="single" w:color="auto"/>
                <w:lang w:eastAsia="zh-CN"/>
              </w:rPr>
              <w:t>第</w:t>
            </w:r>
            <w:r>
              <w:rPr>
                <w:rFonts w:hint="eastAsia"/>
                <w:color w:val="auto"/>
                <w:highlight w:val="none"/>
                <w:u w:val="single" w:color="auto"/>
                <w:lang w:val="en-US" w:eastAsia="zh-CN"/>
              </w:rPr>
              <w:t>7项二次设计费</w:t>
            </w:r>
            <w:r>
              <w:rPr>
                <w:rFonts w:hint="eastAsia"/>
                <w:color w:val="auto"/>
                <w:highlight w:val="none"/>
                <w:u w:val="single" w:color="auto"/>
                <w:lang w:eastAsia="zh-CN"/>
              </w:rPr>
              <w:t xml:space="preserve"> </w:t>
            </w:r>
            <w:r>
              <w:rPr>
                <w:color w:val="auto"/>
                <w:spacing w:val="6"/>
                <w:highlight w:val="none"/>
                <w:u w:val="single" w:color="auto"/>
              </w:rPr>
              <w:t>。</w:t>
            </w:r>
          </w:p>
          <w:p w14:paraId="51CE4681">
            <w:pPr>
              <w:pStyle w:val="12"/>
              <w:keepNext/>
              <w:keepLines/>
              <w:spacing w:before="163" w:line="228" w:lineRule="auto"/>
              <w:ind w:left="114"/>
              <w:rPr>
                <w:color w:val="auto"/>
                <w:highlight w:val="none"/>
              </w:rPr>
            </w:pPr>
            <w:r>
              <w:rPr>
                <w:color w:val="auto"/>
                <w:spacing w:val="8"/>
                <w:highlight w:val="none"/>
              </w:rPr>
              <w:t>分包金额或者比例：</w:t>
            </w:r>
            <w:r>
              <w:rPr>
                <w:color w:val="auto"/>
                <w:highlight w:val="none"/>
                <w:u w:val="single" w:color="auto"/>
              </w:rPr>
              <w:t xml:space="preserve"> </w:t>
            </w:r>
            <w:r>
              <w:rPr>
                <w:rFonts w:hint="eastAsia"/>
                <w:color w:val="auto"/>
                <w:highlight w:val="none"/>
                <w:u w:val="single" w:color="auto"/>
                <w:lang w:val="en-US" w:eastAsia="zh-CN"/>
              </w:rPr>
              <w:t>9648.99元</w:t>
            </w:r>
            <w:r>
              <w:rPr>
                <w:color w:val="auto"/>
                <w:highlight w:val="none"/>
                <w:u w:val="single" w:color="auto"/>
              </w:rPr>
              <w:t xml:space="preserve"> </w:t>
            </w:r>
            <w:r>
              <w:rPr>
                <w:color w:val="auto"/>
                <w:spacing w:val="8"/>
                <w:highlight w:val="none"/>
                <w:u w:val="single" w:color="auto"/>
              </w:rPr>
              <w:t>。</w:t>
            </w:r>
          </w:p>
          <w:p w14:paraId="7D936FA3">
            <w:pPr>
              <w:pStyle w:val="12"/>
              <w:keepNext/>
              <w:keepLines/>
              <w:spacing w:before="161" w:line="227" w:lineRule="auto"/>
              <w:ind w:left="114"/>
              <w:rPr>
                <w:color w:val="auto"/>
                <w:highlight w:val="none"/>
              </w:rPr>
            </w:pPr>
            <w:r>
              <w:rPr>
                <w:color w:val="auto"/>
                <w:spacing w:val="7"/>
                <w:highlight w:val="none"/>
              </w:rPr>
              <w:t>分包供应商必须具备的资质：</w:t>
            </w:r>
            <w:r>
              <w:rPr>
                <w:color w:val="auto"/>
                <w:spacing w:val="7"/>
                <w:highlight w:val="none"/>
                <w:u w:val="single" w:color="auto"/>
              </w:rPr>
              <w:t xml:space="preserve"> </w:t>
            </w:r>
            <w:r>
              <w:rPr>
                <w:rFonts w:hint="eastAsia"/>
                <w:color w:val="auto"/>
                <w:spacing w:val="7"/>
                <w:highlight w:val="none"/>
                <w:u w:val="single" w:color="auto"/>
                <w:lang w:val="en-US" w:eastAsia="zh-CN"/>
              </w:rPr>
              <w:t xml:space="preserve">     </w:t>
            </w:r>
            <w:r>
              <w:rPr>
                <w:color w:val="auto"/>
                <w:spacing w:val="6"/>
                <w:highlight w:val="none"/>
                <w:u w:val="single" w:color="auto"/>
              </w:rPr>
              <w:t xml:space="preserve"> 。</w:t>
            </w:r>
          </w:p>
        </w:tc>
      </w:tr>
      <w:tr w14:paraId="761E6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558" w:type="pct"/>
            <w:vAlign w:val="top"/>
          </w:tcPr>
          <w:p w14:paraId="51F01A79">
            <w:pPr>
              <w:keepNext/>
              <w:keepLines/>
              <w:spacing w:line="246" w:lineRule="auto"/>
              <w:rPr>
                <w:rFonts w:ascii="Arial"/>
                <w:color w:val="auto"/>
                <w:sz w:val="21"/>
                <w:highlight w:val="none"/>
              </w:rPr>
            </w:pPr>
          </w:p>
          <w:p w14:paraId="150B1CC7">
            <w:pPr>
              <w:keepNext/>
              <w:keepLines/>
              <w:spacing w:line="246" w:lineRule="auto"/>
              <w:rPr>
                <w:rFonts w:ascii="Arial"/>
                <w:color w:val="auto"/>
                <w:sz w:val="21"/>
                <w:highlight w:val="none"/>
              </w:rPr>
            </w:pPr>
          </w:p>
          <w:p w14:paraId="02B85BCD">
            <w:pPr>
              <w:keepNext/>
              <w:keepLines/>
              <w:spacing w:line="246" w:lineRule="auto"/>
              <w:rPr>
                <w:rFonts w:ascii="Arial"/>
                <w:color w:val="auto"/>
                <w:sz w:val="21"/>
                <w:highlight w:val="none"/>
              </w:rPr>
            </w:pPr>
          </w:p>
          <w:p w14:paraId="3F3A425A">
            <w:pPr>
              <w:keepNext/>
              <w:keepLines/>
              <w:spacing w:line="247" w:lineRule="auto"/>
              <w:rPr>
                <w:rFonts w:ascii="Arial"/>
                <w:color w:val="auto"/>
                <w:sz w:val="21"/>
                <w:highlight w:val="none"/>
              </w:rPr>
            </w:pPr>
          </w:p>
          <w:p w14:paraId="4A67C547">
            <w:pPr>
              <w:pStyle w:val="12"/>
              <w:keepNext/>
              <w:keepLines/>
              <w:spacing w:before="65" w:line="268" w:lineRule="exact"/>
              <w:ind w:left="351"/>
              <w:rPr>
                <w:color w:val="auto"/>
                <w:highlight w:val="none"/>
              </w:rPr>
            </w:pPr>
            <w:r>
              <w:rPr>
                <w:color w:val="auto"/>
                <w:position w:val="1"/>
                <w:highlight w:val="none"/>
              </w:rPr>
              <w:t>7.1</w:t>
            </w:r>
          </w:p>
        </w:tc>
        <w:tc>
          <w:tcPr>
            <w:tcW w:w="4441" w:type="pct"/>
            <w:vAlign w:val="top"/>
          </w:tcPr>
          <w:p w14:paraId="0D722B68">
            <w:pPr>
              <w:pStyle w:val="12"/>
              <w:keepNext/>
              <w:keepLines/>
              <w:spacing w:before="33" w:line="378" w:lineRule="auto"/>
              <w:ind w:left="111" w:right="108"/>
              <w:rPr>
                <w:color w:val="auto"/>
                <w:highlight w:val="none"/>
              </w:rPr>
            </w:pPr>
            <w:r>
              <w:rPr>
                <w:color w:val="auto"/>
                <w:spacing w:val="12"/>
                <w:highlight w:val="none"/>
              </w:rPr>
              <w:t>提供相同品牌产品（非单一产品采购项目的，指核心产品）</w:t>
            </w:r>
            <w:r>
              <w:rPr>
                <w:color w:val="auto"/>
                <w:spacing w:val="-48"/>
                <w:highlight w:val="none"/>
              </w:rPr>
              <w:t xml:space="preserve"> </w:t>
            </w:r>
            <w:r>
              <w:rPr>
                <w:color w:val="auto"/>
                <w:spacing w:val="12"/>
                <w:highlight w:val="none"/>
              </w:rPr>
              <w:t>的不同供应商最后报价</w:t>
            </w:r>
            <w:r>
              <w:rPr>
                <w:color w:val="auto"/>
                <w:spacing w:val="9"/>
                <w:highlight w:val="none"/>
              </w:rPr>
              <w:t>相同时，按照下列方式确定一个供应商获得成交人推荐资格：</w:t>
            </w:r>
          </w:p>
          <w:p w14:paraId="75BA48F9">
            <w:pPr>
              <w:pStyle w:val="12"/>
              <w:keepNext/>
              <w:keepLines/>
              <w:spacing w:line="227" w:lineRule="auto"/>
              <w:ind w:left="133"/>
              <w:rPr>
                <w:color w:val="auto"/>
                <w:highlight w:val="none"/>
              </w:rPr>
            </w:pPr>
            <w:r>
              <w:rPr>
                <w:color w:val="auto"/>
                <w:spacing w:val="3"/>
                <w:highlight w:val="none"/>
              </w:rPr>
              <w:t>□随机抽取；</w:t>
            </w:r>
          </w:p>
          <w:p w14:paraId="1A66C8F8">
            <w:pPr>
              <w:pStyle w:val="12"/>
              <w:keepNext/>
              <w:keepLines/>
              <w:spacing w:before="163" w:line="364" w:lineRule="auto"/>
              <w:ind w:left="114" w:right="108" w:firstLine="5"/>
              <w:rPr>
                <w:color w:val="auto"/>
                <w:highlight w:val="none"/>
              </w:rPr>
            </w:pPr>
            <w:r>
              <w:rPr>
                <w:rFonts w:ascii="MS Mincho" w:hAnsi="MS Mincho" w:eastAsia="MS Mincho" w:cs="MS Mincho"/>
                <w:color w:val="auto"/>
                <w:spacing w:val="13"/>
                <w:highlight w:val="none"/>
              </w:rPr>
              <w:t>☑</w:t>
            </w:r>
            <w:r>
              <w:rPr>
                <w:color w:val="auto"/>
                <w:spacing w:val="13"/>
                <w:highlight w:val="none"/>
              </w:rPr>
              <w:t>正偏离项数多的优先、均无正偏离或者正偏离项数一致时，按交货期短的优先，</w:t>
            </w:r>
            <w:r>
              <w:rPr>
                <w:color w:val="auto"/>
                <w:spacing w:val="11"/>
                <w:highlight w:val="none"/>
              </w:rPr>
              <w:t>响应时间短优先、售后服务承诺优的优先顺序推荐，</w:t>
            </w:r>
            <w:r>
              <w:rPr>
                <w:color w:val="auto"/>
                <w:spacing w:val="-58"/>
                <w:highlight w:val="none"/>
              </w:rPr>
              <w:t xml:space="preserve"> </w:t>
            </w:r>
            <w:r>
              <w:rPr>
                <w:color w:val="auto"/>
                <w:spacing w:val="11"/>
                <w:highlight w:val="none"/>
              </w:rPr>
              <w:t>以上内容均相同的，</w:t>
            </w:r>
            <w:r>
              <w:rPr>
                <w:color w:val="auto"/>
                <w:spacing w:val="-56"/>
                <w:highlight w:val="none"/>
              </w:rPr>
              <w:t xml:space="preserve"> </w:t>
            </w:r>
            <w:r>
              <w:rPr>
                <w:color w:val="auto"/>
                <w:spacing w:val="11"/>
                <w:highlight w:val="none"/>
              </w:rPr>
              <w:t>由谈判小</w:t>
            </w:r>
            <w:r>
              <w:rPr>
                <w:color w:val="auto"/>
                <w:spacing w:val="7"/>
                <w:highlight w:val="none"/>
              </w:rPr>
              <w:t>组推荐代表随机抽取。</w:t>
            </w:r>
          </w:p>
        </w:tc>
      </w:tr>
      <w:tr w14:paraId="19340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7" w:hRule="atLeast"/>
        </w:trPr>
        <w:tc>
          <w:tcPr>
            <w:tcW w:w="558" w:type="pct"/>
            <w:vAlign w:val="top"/>
          </w:tcPr>
          <w:p w14:paraId="75C96297">
            <w:pPr>
              <w:keepNext/>
              <w:keepLines/>
              <w:rPr>
                <w:rFonts w:ascii="Arial"/>
                <w:color w:val="auto"/>
                <w:sz w:val="21"/>
                <w:highlight w:val="none"/>
              </w:rPr>
            </w:pPr>
          </w:p>
          <w:p w14:paraId="252813FA">
            <w:pPr>
              <w:keepNext/>
              <w:keepLines/>
              <w:rPr>
                <w:rFonts w:ascii="Arial"/>
                <w:color w:val="auto"/>
                <w:sz w:val="21"/>
                <w:highlight w:val="none"/>
              </w:rPr>
            </w:pPr>
          </w:p>
          <w:p w14:paraId="4D96691A">
            <w:pPr>
              <w:keepNext/>
              <w:keepLines/>
              <w:rPr>
                <w:rFonts w:ascii="Arial"/>
                <w:color w:val="auto"/>
                <w:sz w:val="21"/>
                <w:highlight w:val="none"/>
              </w:rPr>
            </w:pPr>
          </w:p>
          <w:p w14:paraId="53ED1B0D">
            <w:pPr>
              <w:keepNext/>
              <w:keepLines/>
              <w:rPr>
                <w:rFonts w:ascii="Arial"/>
                <w:color w:val="auto"/>
                <w:sz w:val="21"/>
                <w:highlight w:val="none"/>
              </w:rPr>
            </w:pPr>
          </w:p>
          <w:p w14:paraId="1EEA5F4C">
            <w:pPr>
              <w:keepNext/>
              <w:keepLines/>
              <w:rPr>
                <w:rFonts w:ascii="Arial"/>
                <w:color w:val="auto"/>
                <w:sz w:val="21"/>
                <w:highlight w:val="none"/>
              </w:rPr>
            </w:pPr>
          </w:p>
          <w:p w14:paraId="47DE198E">
            <w:pPr>
              <w:keepNext/>
              <w:keepLines/>
              <w:rPr>
                <w:rFonts w:ascii="Arial"/>
                <w:color w:val="auto"/>
                <w:sz w:val="21"/>
                <w:highlight w:val="none"/>
              </w:rPr>
            </w:pPr>
          </w:p>
          <w:p w14:paraId="2E7B2DE3">
            <w:pPr>
              <w:keepNext/>
              <w:keepLines/>
              <w:spacing w:line="241" w:lineRule="auto"/>
              <w:rPr>
                <w:rFonts w:ascii="Arial"/>
                <w:color w:val="auto"/>
                <w:sz w:val="21"/>
                <w:highlight w:val="none"/>
              </w:rPr>
            </w:pPr>
          </w:p>
          <w:p w14:paraId="24CBF1BA">
            <w:pPr>
              <w:keepNext/>
              <w:keepLines/>
              <w:spacing w:line="241" w:lineRule="auto"/>
              <w:rPr>
                <w:rFonts w:ascii="Arial"/>
                <w:color w:val="auto"/>
                <w:sz w:val="21"/>
                <w:highlight w:val="none"/>
              </w:rPr>
            </w:pPr>
          </w:p>
          <w:p w14:paraId="4FB25D4F">
            <w:pPr>
              <w:keepNext/>
              <w:keepLines/>
              <w:spacing w:line="241" w:lineRule="auto"/>
              <w:rPr>
                <w:rFonts w:ascii="Arial"/>
                <w:color w:val="auto"/>
                <w:sz w:val="21"/>
                <w:highlight w:val="none"/>
              </w:rPr>
            </w:pPr>
          </w:p>
          <w:p w14:paraId="74455AB6">
            <w:pPr>
              <w:keepNext/>
              <w:keepLines/>
              <w:spacing w:line="241" w:lineRule="auto"/>
              <w:rPr>
                <w:rFonts w:ascii="Arial"/>
                <w:color w:val="auto"/>
                <w:sz w:val="21"/>
                <w:highlight w:val="none"/>
              </w:rPr>
            </w:pPr>
          </w:p>
          <w:p w14:paraId="58FB2A19">
            <w:pPr>
              <w:pStyle w:val="12"/>
              <w:keepNext/>
              <w:keepLines/>
              <w:spacing w:before="65" w:line="268" w:lineRule="exact"/>
              <w:ind w:left="204"/>
              <w:rPr>
                <w:color w:val="auto"/>
                <w:highlight w:val="none"/>
              </w:rPr>
            </w:pPr>
            <w:r>
              <w:rPr>
                <w:color w:val="auto"/>
                <w:spacing w:val="1"/>
                <w:position w:val="1"/>
                <w:highlight w:val="none"/>
              </w:rPr>
              <w:t>12.1.1</w:t>
            </w:r>
          </w:p>
        </w:tc>
        <w:tc>
          <w:tcPr>
            <w:tcW w:w="4441" w:type="pct"/>
            <w:vAlign w:val="top"/>
          </w:tcPr>
          <w:p w14:paraId="7677F22F">
            <w:pPr>
              <w:pStyle w:val="12"/>
              <w:keepNext/>
              <w:keepLines/>
              <w:spacing w:before="36" w:line="228" w:lineRule="auto"/>
              <w:ind w:left="120"/>
              <w:rPr>
                <w:color w:val="auto"/>
                <w:highlight w:val="none"/>
              </w:rPr>
            </w:pPr>
            <w:r>
              <w:rPr>
                <w:b/>
                <w:bCs/>
                <w:color w:val="auto"/>
                <w:spacing w:val="5"/>
                <w:highlight w:val="none"/>
              </w:rPr>
              <w:t>资格证明文件</w:t>
            </w:r>
          </w:p>
          <w:p w14:paraId="64AC110E">
            <w:pPr>
              <w:pStyle w:val="12"/>
              <w:keepNext/>
              <w:keepLines/>
              <w:spacing w:before="160" w:line="377" w:lineRule="auto"/>
              <w:ind w:left="115" w:right="243" w:firstLine="12"/>
              <w:rPr>
                <w:color w:val="auto"/>
                <w:highlight w:val="none"/>
              </w:rPr>
            </w:pPr>
            <w:r>
              <w:rPr>
                <w:color w:val="auto"/>
                <w:spacing w:val="10"/>
                <w:highlight w:val="none"/>
              </w:rPr>
              <w:t>1.供应商应当在响应文件中以书面形式作出信用承诺（承诺函</w:t>
            </w:r>
            <w:r>
              <w:rPr>
                <w:color w:val="auto"/>
                <w:spacing w:val="9"/>
                <w:highlight w:val="none"/>
              </w:rPr>
              <w:t>格式见附件</w:t>
            </w:r>
            <w:r>
              <w:rPr>
                <w:color w:val="auto"/>
                <w:spacing w:val="-1"/>
                <w:highlight w:val="none"/>
              </w:rPr>
              <w:t>）；</w:t>
            </w:r>
            <w:r>
              <w:rPr>
                <w:b/>
                <w:bCs/>
                <w:color w:val="auto"/>
                <w:spacing w:val="-1"/>
                <w:highlight w:val="none"/>
              </w:rPr>
              <w:t>（</w:t>
            </w:r>
            <w:r>
              <w:rPr>
                <w:b/>
                <w:bCs/>
                <w:color w:val="auto"/>
                <w:spacing w:val="9"/>
                <w:highlight w:val="none"/>
              </w:rPr>
              <w:t>必</w:t>
            </w:r>
            <w:r>
              <w:rPr>
                <w:b/>
                <w:bCs/>
                <w:color w:val="auto"/>
                <w:spacing w:val="7"/>
                <w:highlight w:val="none"/>
              </w:rPr>
              <w:t>须提供，否则响应文件按无效响应处理）</w:t>
            </w:r>
          </w:p>
          <w:p w14:paraId="56246735">
            <w:pPr>
              <w:pStyle w:val="12"/>
              <w:keepNext/>
              <w:keepLines/>
              <w:spacing w:line="226" w:lineRule="auto"/>
              <w:ind w:left="114"/>
              <w:rPr>
                <w:color w:val="auto"/>
                <w:highlight w:val="none"/>
              </w:rPr>
            </w:pPr>
            <w:r>
              <w:rPr>
                <w:color w:val="auto"/>
                <w:spacing w:val="10"/>
                <w:highlight w:val="none"/>
              </w:rPr>
              <w:t>2.供应商直接控股股东信息表（格式后附</w:t>
            </w:r>
            <w:r>
              <w:rPr>
                <w:color w:val="auto"/>
                <w:spacing w:val="-2"/>
                <w:highlight w:val="none"/>
              </w:rPr>
              <w:t>）；</w:t>
            </w:r>
            <w:r>
              <w:rPr>
                <w:b/>
                <w:bCs/>
                <w:color w:val="auto"/>
                <w:spacing w:val="-2"/>
                <w:highlight w:val="none"/>
              </w:rPr>
              <w:t>（</w:t>
            </w:r>
            <w:r>
              <w:rPr>
                <w:b/>
                <w:bCs/>
                <w:color w:val="auto"/>
                <w:spacing w:val="10"/>
                <w:highlight w:val="none"/>
              </w:rPr>
              <w:t>必须提供，</w:t>
            </w:r>
            <w:r>
              <w:rPr>
                <w:b/>
                <w:bCs/>
                <w:color w:val="auto"/>
                <w:spacing w:val="9"/>
                <w:highlight w:val="none"/>
              </w:rPr>
              <w:t>否则响应文件按无效响</w:t>
            </w:r>
          </w:p>
          <w:p w14:paraId="14AF4E34">
            <w:pPr>
              <w:pStyle w:val="12"/>
              <w:keepNext/>
              <w:keepLines/>
              <w:spacing w:before="161" w:line="230" w:lineRule="auto"/>
              <w:ind w:left="111"/>
              <w:rPr>
                <w:color w:val="auto"/>
                <w:highlight w:val="none"/>
              </w:rPr>
            </w:pPr>
            <w:r>
              <w:rPr>
                <w:b/>
                <w:bCs/>
                <w:color w:val="auto"/>
                <w:spacing w:val="3"/>
                <w:highlight w:val="none"/>
              </w:rPr>
              <w:t>应处理）</w:t>
            </w:r>
          </w:p>
          <w:p w14:paraId="30EFD198">
            <w:pPr>
              <w:pStyle w:val="12"/>
              <w:keepNext/>
              <w:keepLines/>
              <w:spacing w:before="159" w:line="378" w:lineRule="auto"/>
              <w:ind w:left="115" w:right="231"/>
              <w:rPr>
                <w:color w:val="auto"/>
                <w:highlight w:val="none"/>
              </w:rPr>
            </w:pPr>
            <w:r>
              <w:rPr>
                <w:color w:val="auto"/>
                <w:spacing w:val="10"/>
                <w:highlight w:val="none"/>
              </w:rPr>
              <w:t>3.供应商直接管理关系信息表（格式后附</w:t>
            </w:r>
            <w:r>
              <w:rPr>
                <w:color w:val="auto"/>
                <w:spacing w:val="-5"/>
                <w:highlight w:val="none"/>
              </w:rPr>
              <w:t>）（</w:t>
            </w:r>
            <w:r>
              <w:rPr>
                <w:b/>
                <w:bCs/>
                <w:color w:val="auto"/>
                <w:spacing w:val="10"/>
                <w:highlight w:val="none"/>
              </w:rPr>
              <w:t>必</w:t>
            </w:r>
            <w:r>
              <w:rPr>
                <w:b/>
                <w:bCs/>
                <w:color w:val="auto"/>
                <w:spacing w:val="9"/>
                <w:highlight w:val="none"/>
              </w:rPr>
              <w:t>须提供，否则响应文件按无效响应</w:t>
            </w:r>
            <w:r>
              <w:rPr>
                <w:b/>
                <w:bCs/>
                <w:color w:val="auto"/>
                <w:spacing w:val="1"/>
                <w:highlight w:val="none"/>
              </w:rPr>
              <w:t>处理</w:t>
            </w:r>
            <w:r>
              <w:rPr>
                <w:color w:val="auto"/>
                <w:spacing w:val="1"/>
                <w:highlight w:val="none"/>
              </w:rPr>
              <w:t>）</w:t>
            </w:r>
          </w:p>
          <w:p w14:paraId="7E628CDD">
            <w:pPr>
              <w:pStyle w:val="12"/>
              <w:keepNext/>
              <w:keepLines/>
              <w:spacing w:before="1" w:line="226" w:lineRule="auto"/>
              <w:ind w:left="110"/>
              <w:rPr>
                <w:color w:val="auto"/>
                <w:highlight w:val="none"/>
              </w:rPr>
            </w:pPr>
            <w:r>
              <w:rPr>
                <w:color w:val="auto"/>
                <w:spacing w:val="9"/>
                <w:highlight w:val="none"/>
              </w:rPr>
              <w:t>4.竞标声明（格式后附</w:t>
            </w:r>
            <w:r>
              <w:rPr>
                <w:color w:val="auto"/>
                <w:spacing w:val="2"/>
                <w:highlight w:val="none"/>
              </w:rPr>
              <w:t>）；（</w:t>
            </w:r>
            <w:r>
              <w:rPr>
                <w:b/>
                <w:bCs/>
                <w:color w:val="auto"/>
                <w:spacing w:val="9"/>
                <w:highlight w:val="none"/>
              </w:rPr>
              <w:t>必须提供，否则响应文件按无效响应处理</w:t>
            </w:r>
            <w:r>
              <w:rPr>
                <w:color w:val="auto"/>
                <w:spacing w:val="9"/>
                <w:highlight w:val="none"/>
              </w:rPr>
              <w:t>）</w:t>
            </w:r>
          </w:p>
          <w:p w14:paraId="5084914A">
            <w:pPr>
              <w:pStyle w:val="12"/>
              <w:keepNext/>
              <w:keepLines/>
              <w:spacing w:before="161" w:line="378" w:lineRule="auto"/>
              <w:ind w:left="117" w:right="291" w:hanging="2"/>
              <w:rPr>
                <w:color w:val="auto"/>
                <w:highlight w:val="none"/>
              </w:rPr>
            </w:pPr>
            <w:r>
              <w:rPr>
                <w:color w:val="auto"/>
                <w:spacing w:val="8"/>
                <w:highlight w:val="none"/>
              </w:rPr>
              <w:t>5.供应商在广西政府采购云平台下载采购文件的网页截图证明材料</w:t>
            </w:r>
            <w:r>
              <w:rPr>
                <w:color w:val="auto"/>
                <w:spacing w:val="3"/>
                <w:highlight w:val="none"/>
              </w:rPr>
              <w:t>；（</w:t>
            </w:r>
            <w:r>
              <w:rPr>
                <w:b/>
                <w:bCs/>
                <w:color w:val="auto"/>
                <w:spacing w:val="8"/>
                <w:highlight w:val="none"/>
              </w:rPr>
              <w:t>必须提供，</w:t>
            </w:r>
            <w:r>
              <w:rPr>
                <w:b/>
                <w:bCs/>
                <w:color w:val="auto"/>
                <w:spacing w:val="6"/>
                <w:highlight w:val="none"/>
              </w:rPr>
              <w:t>否则响应文件按无效响应处理</w:t>
            </w:r>
            <w:r>
              <w:rPr>
                <w:color w:val="auto"/>
                <w:spacing w:val="6"/>
                <w:highlight w:val="none"/>
              </w:rPr>
              <w:t>）</w:t>
            </w:r>
          </w:p>
          <w:p w14:paraId="76D9F3AF">
            <w:pPr>
              <w:pStyle w:val="12"/>
              <w:keepNext/>
              <w:keepLines/>
              <w:spacing w:before="1" w:line="376" w:lineRule="auto"/>
              <w:ind w:left="114" w:right="245" w:hanging="1"/>
              <w:rPr>
                <w:rFonts w:hint="eastAsia" w:eastAsia="宋体"/>
                <w:color w:val="auto"/>
                <w:highlight w:val="none"/>
                <w:lang w:eastAsia="zh-CN"/>
              </w:rPr>
            </w:pPr>
            <w:r>
              <w:rPr>
                <w:color w:val="auto"/>
                <w:spacing w:val="8"/>
                <w:highlight w:val="none"/>
              </w:rPr>
              <w:t>6.供应商</w:t>
            </w:r>
            <w:r>
              <w:rPr>
                <w:rFonts w:hint="eastAsia"/>
                <w:color w:val="auto"/>
                <w:spacing w:val="8"/>
                <w:highlight w:val="none"/>
                <w:lang w:val="en-US" w:eastAsia="zh-CN"/>
              </w:rPr>
              <w:t>为</w:t>
            </w:r>
            <w:r>
              <w:rPr>
                <w:color w:val="auto"/>
                <w:spacing w:val="8"/>
                <w:highlight w:val="none"/>
              </w:rPr>
              <w:t>中小企业声明函或残疾人福利性单位声明函或供应商属于监狱</w:t>
            </w:r>
            <w:r>
              <w:rPr>
                <w:color w:val="auto"/>
                <w:spacing w:val="9"/>
                <w:highlight w:val="none"/>
              </w:rPr>
              <w:t>企业的证明材料</w:t>
            </w:r>
            <w:r>
              <w:rPr>
                <w:color w:val="auto"/>
                <w:spacing w:val="-3"/>
                <w:highlight w:val="none"/>
              </w:rPr>
              <w:t>；</w:t>
            </w:r>
            <w:r>
              <w:rPr>
                <w:rFonts w:hint="eastAsia"/>
                <w:b/>
                <w:bCs/>
                <w:color w:val="auto"/>
                <w:spacing w:val="-3"/>
                <w:highlight w:val="none"/>
              </w:rPr>
              <w:t>（必须提供，否则响应文件按无效响应处理）</w:t>
            </w:r>
          </w:p>
          <w:p w14:paraId="01058B24">
            <w:pPr>
              <w:pStyle w:val="12"/>
              <w:keepNext/>
              <w:keepLines/>
              <w:spacing w:before="1" w:line="226" w:lineRule="auto"/>
              <w:ind w:left="116"/>
              <w:rPr>
                <w:color w:val="auto"/>
                <w:highlight w:val="none"/>
              </w:rPr>
            </w:pPr>
            <w:r>
              <w:rPr>
                <w:color w:val="auto"/>
                <w:spacing w:val="9"/>
                <w:highlight w:val="none"/>
              </w:rPr>
              <w:t>7.除谈判文件规定必须提供以外，供应商认为需要提供的其他证明</w:t>
            </w:r>
            <w:r>
              <w:rPr>
                <w:color w:val="auto"/>
                <w:spacing w:val="8"/>
                <w:highlight w:val="none"/>
              </w:rPr>
              <w:t>材料。</w:t>
            </w:r>
          </w:p>
        </w:tc>
      </w:tr>
    </w:tbl>
    <w:p w14:paraId="092B64D8">
      <w:pPr>
        <w:keepNext/>
        <w:keepLines/>
        <w:rPr>
          <w:rFonts w:ascii="Arial"/>
          <w:color w:val="auto"/>
          <w:sz w:val="21"/>
          <w:highlight w:val="none"/>
        </w:rPr>
      </w:pPr>
    </w:p>
    <w:p w14:paraId="750E10FE">
      <w:pPr>
        <w:keepNext/>
        <w:keepLines/>
        <w:rPr>
          <w:rFonts w:ascii="Arial" w:hAnsi="Arial" w:eastAsia="Arial" w:cs="Arial"/>
          <w:color w:val="auto"/>
          <w:sz w:val="21"/>
          <w:szCs w:val="21"/>
          <w:highlight w:val="none"/>
        </w:rPr>
        <w:sectPr>
          <w:footerReference r:id="rId9" w:type="default"/>
          <w:pgSz w:w="11910" w:h="16840"/>
          <w:pgMar w:top="1340" w:right="1408" w:bottom="1088" w:left="1588" w:header="0" w:footer="929" w:gutter="0"/>
          <w:pgNumType w:fmt="decimal"/>
          <w:cols w:space="720" w:num="1"/>
        </w:sectPr>
      </w:pPr>
    </w:p>
    <w:tbl>
      <w:tblPr>
        <w:tblStyle w:val="11"/>
        <w:tblW w:w="89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7912"/>
      </w:tblGrid>
      <w:tr w14:paraId="0DE79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trPr>
        <w:tc>
          <w:tcPr>
            <w:tcW w:w="996" w:type="dxa"/>
            <w:vAlign w:val="top"/>
          </w:tcPr>
          <w:p w14:paraId="491CBFEE">
            <w:pPr>
              <w:keepNext/>
              <w:keepLines/>
              <w:rPr>
                <w:rFonts w:ascii="Arial"/>
                <w:color w:val="auto"/>
                <w:sz w:val="21"/>
                <w:highlight w:val="none"/>
              </w:rPr>
            </w:pPr>
          </w:p>
        </w:tc>
        <w:tc>
          <w:tcPr>
            <w:tcW w:w="7912" w:type="dxa"/>
            <w:vAlign w:val="top"/>
          </w:tcPr>
          <w:p w14:paraId="00B73EA6">
            <w:pPr>
              <w:pStyle w:val="12"/>
              <w:keepNext/>
              <w:keepLines/>
              <w:spacing w:before="36" w:line="232" w:lineRule="auto"/>
              <w:ind w:left="111"/>
              <w:rPr>
                <w:color w:val="auto"/>
                <w:highlight w:val="none"/>
              </w:rPr>
            </w:pPr>
            <w:r>
              <w:rPr>
                <w:b/>
                <w:bCs/>
                <w:color w:val="auto"/>
                <w:spacing w:val="-2"/>
                <w:highlight w:val="none"/>
              </w:rPr>
              <w:t>注：</w:t>
            </w:r>
          </w:p>
          <w:p w14:paraId="572DB807">
            <w:pPr>
              <w:pStyle w:val="12"/>
              <w:keepNext/>
              <w:keepLines/>
              <w:spacing w:before="157" w:line="377" w:lineRule="auto"/>
              <w:ind w:left="110" w:right="217" w:firstLine="438"/>
              <w:jc w:val="both"/>
              <w:rPr>
                <w:color w:val="auto"/>
                <w:highlight w:val="none"/>
              </w:rPr>
            </w:pPr>
            <w:r>
              <w:rPr>
                <w:b/>
                <w:bCs/>
                <w:color w:val="auto"/>
                <w:spacing w:val="6"/>
                <w:highlight w:val="none"/>
              </w:rPr>
              <w:t>以上标明“必须提供</w:t>
            </w:r>
            <w:r>
              <w:rPr>
                <w:color w:val="auto"/>
                <w:spacing w:val="-70"/>
                <w:highlight w:val="none"/>
              </w:rPr>
              <w:t xml:space="preserve"> </w:t>
            </w:r>
            <w:r>
              <w:rPr>
                <w:b/>
                <w:bCs/>
                <w:color w:val="auto"/>
                <w:spacing w:val="6"/>
                <w:highlight w:val="none"/>
              </w:rPr>
              <w:t>”的材料</w:t>
            </w:r>
            <w:r>
              <w:rPr>
                <w:color w:val="auto"/>
                <w:spacing w:val="33"/>
                <w:highlight w:val="none"/>
              </w:rPr>
              <w:t xml:space="preserve"> </w:t>
            </w:r>
            <w:r>
              <w:rPr>
                <w:b/>
                <w:bCs/>
                <w:color w:val="auto"/>
                <w:spacing w:val="6"/>
                <w:highlight w:val="none"/>
              </w:rPr>
              <w:t>，必须加盖供应商公章；必须提供的</w:t>
            </w:r>
            <w:r>
              <w:rPr>
                <w:b/>
                <w:bCs/>
                <w:color w:val="auto"/>
                <w:spacing w:val="5"/>
                <w:highlight w:val="none"/>
              </w:rPr>
              <w:t>材料在</w:t>
            </w:r>
            <w:r>
              <w:rPr>
                <w:b/>
                <w:bCs/>
                <w:color w:val="auto"/>
                <w:spacing w:val="8"/>
                <w:highlight w:val="none"/>
              </w:rPr>
              <w:t>第五章“响应文件格式</w:t>
            </w:r>
            <w:r>
              <w:rPr>
                <w:color w:val="auto"/>
                <w:spacing w:val="-70"/>
                <w:highlight w:val="none"/>
              </w:rPr>
              <w:t xml:space="preserve"> </w:t>
            </w:r>
            <w:r>
              <w:rPr>
                <w:b/>
                <w:bCs/>
                <w:color w:val="auto"/>
                <w:spacing w:val="8"/>
                <w:highlight w:val="none"/>
              </w:rPr>
              <w:t>”中有要求法定代表人</w:t>
            </w:r>
            <w:r>
              <w:rPr>
                <w:b/>
                <w:bCs/>
                <w:color w:val="auto"/>
                <w:spacing w:val="7"/>
                <w:highlight w:val="none"/>
              </w:rPr>
              <w:t>或委托代理人签字的，必须由法定代</w:t>
            </w:r>
            <w:r>
              <w:rPr>
                <w:b/>
                <w:bCs/>
                <w:color w:val="auto"/>
                <w:spacing w:val="8"/>
                <w:highlight w:val="none"/>
              </w:rPr>
              <w:t>表人或委托代理人签字，否则响应文件按无效响应处理。其中，竞标声明必须由法定代表人在规定签章处签字（或盖章）并加盖供应商公章，否则响应文件按无效响</w:t>
            </w:r>
            <w:r>
              <w:rPr>
                <w:b/>
                <w:bCs/>
                <w:color w:val="auto"/>
                <w:spacing w:val="3"/>
                <w:highlight w:val="none"/>
              </w:rPr>
              <w:t>应处理。</w:t>
            </w:r>
          </w:p>
          <w:p w14:paraId="6E039A4E">
            <w:pPr>
              <w:pStyle w:val="12"/>
              <w:keepNext/>
              <w:keepLines/>
              <w:spacing w:before="1" w:line="365" w:lineRule="auto"/>
              <w:ind w:left="0" w:right="214" w:firstLine="0"/>
              <w:jc w:val="both"/>
              <w:rPr>
                <w:color w:val="auto"/>
                <w:highlight w:val="none"/>
              </w:rPr>
            </w:pPr>
          </w:p>
        </w:tc>
      </w:tr>
      <w:tr w14:paraId="74044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6" w:hRule="atLeast"/>
        </w:trPr>
        <w:tc>
          <w:tcPr>
            <w:tcW w:w="996" w:type="dxa"/>
            <w:vAlign w:val="top"/>
          </w:tcPr>
          <w:p w14:paraId="665CD447">
            <w:pPr>
              <w:keepNext/>
              <w:keepLines/>
              <w:spacing w:line="249" w:lineRule="auto"/>
              <w:rPr>
                <w:rFonts w:ascii="Arial"/>
                <w:color w:val="auto"/>
                <w:sz w:val="21"/>
                <w:highlight w:val="none"/>
              </w:rPr>
            </w:pPr>
          </w:p>
          <w:p w14:paraId="39423DCF">
            <w:pPr>
              <w:keepNext/>
              <w:keepLines/>
              <w:spacing w:line="249" w:lineRule="auto"/>
              <w:rPr>
                <w:rFonts w:ascii="Arial"/>
                <w:color w:val="auto"/>
                <w:sz w:val="21"/>
                <w:highlight w:val="none"/>
              </w:rPr>
            </w:pPr>
          </w:p>
          <w:p w14:paraId="53B3CFA6">
            <w:pPr>
              <w:keepNext/>
              <w:keepLines/>
              <w:spacing w:line="249" w:lineRule="auto"/>
              <w:rPr>
                <w:rFonts w:ascii="Arial"/>
                <w:color w:val="auto"/>
                <w:sz w:val="21"/>
                <w:highlight w:val="none"/>
              </w:rPr>
            </w:pPr>
          </w:p>
          <w:p w14:paraId="1CBA060D">
            <w:pPr>
              <w:keepNext/>
              <w:keepLines/>
              <w:spacing w:line="250" w:lineRule="auto"/>
              <w:rPr>
                <w:rFonts w:ascii="Arial"/>
                <w:color w:val="auto"/>
                <w:sz w:val="21"/>
                <w:highlight w:val="none"/>
              </w:rPr>
            </w:pPr>
          </w:p>
          <w:p w14:paraId="315AF8F6">
            <w:pPr>
              <w:keepNext/>
              <w:keepLines/>
              <w:spacing w:line="250" w:lineRule="auto"/>
              <w:rPr>
                <w:rFonts w:ascii="Arial"/>
                <w:color w:val="auto"/>
                <w:sz w:val="21"/>
                <w:highlight w:val="none"/>
              </w:rPr>
            </w:pPr>
          </w:p>
          <w:p w14:paraId="4FEBF236">
            <w:pPr>
              <w:keepNext/>
              <w:keepLines/>
              <w:spacing w:line="250" w:lineRule="auto"/>
              <w:rPr>
                <w:rFonts w:ascii="Arial"/>
                <w:color w:val="auto"/>
                <w:sz w:val="21"/>
                <w:highlight w:val="none"/>
              </w:rPr>
            </w:pPr>
          </w:p>
          <w:p w14:paraId="76943C8F">
            <w:pPr>
              <w:keepNext/>
              <w:keepLines/>
              <w:spacing w:line="250" w:lineRule="auto"/>
              <w:rPr>
                <w:rFonts w:ascii="Arial"/>
                <w:color w:val="auto"/>
                <w:sz w:val="21"/>
                <w:highlight w:val="none"/>
              </w:rPr>
            </w:pPr>
          </w:p>
          <w:p w14:paraId="6BDF1C09">
            <w:pPr>
              <w:keepNext/>
              <w:keepLines/>
              <w:spacing w:line="250" w:lineRule="auto"/>
              <w:rPr>
                <w:rFonts w:ascii="Arial"/>
                <w:color w:val="auto"/>
                <w:sz w:val="21"/>
                <w:highlight w:val="none"/>
              </w:rPr>
            </w:pPr>
          </w:p>
          <w:p w14:paraId="39DD6E80">
            <w:pPr>
              <w:pStyle w:val="12"/>
              <w:keepNext/>
              <w:keepLines/>
              <w:spacing w:before="65" w:line="268" w:lineRule="exact"/>
              <w:ind w:left="204"/>
              <w:rPr>
                <w:color w:val="auto"/>
                <w:highlight w:val="none"/>
              </w:rPr>
            </w:pPr>
            <w:r>
              <w:rPr>
                <w:color w:val="auto"/>
                <w:spacing w:val="1"/>
                <w:position w:val="1"/>
                <w:highlight w:val="none"/>
              </w:rPr>
              <w:t>12.1.2</w:t>
            </w:r>
          </w:p>
        </w:tc>
        <w:tc>
          <w:tcPr>
            <w:tcW w:w="7912" w:type="dxa"/>
            <w:vAlign w:val="top"/>
          </w:tcPr>
          <w:p w14:paraId="7FF55F8B">
            <w:pPr>
              <w:pStyle w:val="12"/>
              <w:keepNext/>
              <w:keepLines/>
              <w:spacing w:before="33" w:line="226" w:lineRule="auto"/>
              <w:ind w:left="110"/>
              <w:rPr>
                <w:color w:val="auto"/>
                <w:highlight w:val="none"/>
              </w:rPr>
            </w:pPr>
            <w:r>
              <w:rPr>
                <w:color w:val="auto"/>
                <w:spacing w:val="7"/>
                <w:highlight w:val="none"/>
              </w:rPr>
              <w:t>报价文件</w:t>
            </w:r>
          </w:p>
          <w:p w14:paraId="2530C283">
            <w:pPr>
              <w:pStyle w:val="12"/>
              <w:keepNext/>
              <w:keepLines/>
              <w:spacing w:before="163" w:line="226" w:lineRule="auto"/>
              <w:ind w:left="127"/>
              <w:rPr>
                <w:color w:val="auto"/>
                <w:highlight w:val="none"/>
              </w:rPr>
            </w:pPr>
            <w:r>
              <w:rPr>
                <w:color w:val="auto"/>
                <w:spacing w:val="9"/>
                <w:highlight w:val="none"/>
              </w:rPr>
              <w:t>1.竞标报价表（格式后附</w:t>
            </w:r>
            <w:r>
              <w:rPr>
                <w:color w:val="auto"/>
                <w:highlight w:val="none"/>
              </w:rPr>
              <w:t>）；（</w:t>
            </w:r>
            <w:r>
              <w:rPr>
                <w:b/>
                <w:bCs/>
                <w:color w:val="auto"/>
                <w:spacing w:val="9"/>
                <w:highlight w:val="none"/>
              </w:rPr>
              <w:t>必须提供，否则响</w:t>
            </w:r>
            <w:r>
              <w:rPr>
                <w:b/>
                <w:bCs/>
                <w:color w:val="auto"/>
                <w:spacing w:val="8"/>
                <w:highlight w:val="none"/>
              </w:rPr>
              <w:t>应文件按无效处理</w:t>
            </w:r>
            <w:r>
              <w:rPr>
                <w:color w:val="auto"/>
                <w:spacing w:val="8"/>
                <w:highlight w:val="none"/>
              </w:rPr>
              <w:t>）</w:t>
            </w:r>
          </w:p>
          <w:p w14:paraId="59B2588C">
            <w:pPr>
              <w:pStyle w:val="12"/>
              <w:keepNext/>
              <w:keepLines/>
              <w:spacing w:before="162" w:line="378" w:lineRule="auto"/>
              <w:ind w:left="113" w:right="108"/>
              <w:rPr>
                <w:color w:val="auto"/>
                <w:highlight w:val="none"/>
              </w:rPr>
            </w:pPr>
            <w:r>
              <w:rPr>
                <w:color w:val="auto"/>
                <w:spacing w:val="12"/>
                <w:highlight w:val="none"/>
              </w:rPr>
              <w:t>2.供应商享受中小企业扶持政策的材料（供应商根据自身响应情</w:t>
            </w:r>
            <w:r>
              <w:rPr>
                <w:color w:val="auto"/>
                <w:spacing w:val="9"/>
                <w:highlight w:val="none"/>
              </w:rPr>
              <w:t>况，提供以下任意一项材料以证明自身可享受中小企业扶持政策</w:t>
            </w:r>
            <w:r>
              <w:rPr>
                <w:color w:val="auto"/>
                <w:spacing w:val="7"/>
                <w:highlight w:val="none"/>
              </w:rPr>
              <w:t>）：</w:t>
            </w:r>
          </w:p>
          <w:p w14:paraId="138FBE4E">
            <w:pPr>
              <w:pStyle w:val="12"/>
              <w:keepNext/>
              <w:keepLines/>
              <w:spacing w:line="227" w:lineRule="auto"/>
              <w:ind w:left="121"/>
              <w:rPr>
                <w:color w:val="auto"/>
                <w:highlight w:val="none"/>
              </w:rPr>
            </w:pPr>
            <w:r>
              <w:rPr>
                <w:color w:val="auto"/>
                <w:spacing w:val="8"/>
                <w:highlight w:val="none"/>
              </w:rPr>
              <w:t>（1）《中小企业声明函》（</w:t>
            </w:r>
            <w:r>
              <w:rPr>
                <w:b/>
                <w:bCs/>
                <w:color w:val="auto"/>
                <w:spacing w:val="9"/>
                <w:highlight w:val="none"/>
              </w:rPr>
              <w:t>必须提供，否则响</w:t>
            </w:r>
            <w:r>
              <w:rPr>
                <w:b/>
                <w:bCs/>
                <w:color w:val="auto"/>
                <w:spacing w:val="8"/>
                <w:highlight w:val="none"/>
              </w:rPr>
              <w:t>应文件按无效处理</w:t>
            </w:r>
            <w:r>
              <w:rPr>
                <w:color w:val="auto"/>
                <w:spacing w:val="3"/>
                <w:highlight w:val="none"/>
              </w:rPr>
              <w:t>）；</w:t>
            </w:r>
          </w:p>
          <w:p w14:paraId="2677BD99">
            <w:pPr>
              <w:pStyle w:val="12"/>
              <w:keepNext/>
              <w:keepLines/>
              <w:spacing w:before="162" w:line="227" w:lineRule="auto"/>
              <w:ind w:left="121"/>
              <w:rPr>
                <w:color w:val="auto"/>
                <w:highlight w:val="none"/>
              </w:rPr>
            </w:pPr>
            <w:r>
              <w:rPr>
                <w:color w:val="auto"/>
                <w:spacing w:val="8"/>
                <w:highlight w:val="none"/>
              </w:rPr>
              <w:t>（2）《残疾人福利性单位声明函》（格式后附）</w:t>
            </w:r>
          </w:p>
          <w:p w14:paraId="4709E95B">
            <w:pPr>
              <w:pStyle w:val="12"/>
              <w:keepNext/>
              <w:keepLines/>
              <w:spacing w:before="161" w:line="377" w:lineRule="auto"/>
              <w:ind w:left="127" w:right="108" w:hanging="6"/>
              <w:rPr>
                <w:color w:val="auto"/>
                <w:highlight w:val="none"/>
              </w:rPr>
            </w:pPr>
            <w:r>
              <w:rPr>
                <w:color w:val="auto"/>
                <w:spacing w:val="10"/>
                <w:highlight w:val="none"/>
              </w:rPr>
              <w:t>（3）省级以上监狱管理局、戒毒管理局(含新疆生产建设兵团)出具的属</w:t>
            </w:r>
            <w:r>
              <w:rPr>
                <w:color w:val="auto"/>
                <w:spacing w:val="9"/>
                <w:highlight w:val="none"/>
              </w:rPr>
              <w:t>于监狱企业</w:t>
            </w:r>
            <w:r>
              <w:rPr>
                <w:color w:val="auto"/>
                <w:spacing w:val="3"/>
                <w:highlight w:val="none"/>
              </w:rPr>
              <w:t>的证明文件；</w:t>
            </w:r>
          </w:p>
          <w:p w14:paraId="58938F2D">
            <w:pPr>
              <w:pStyle w:val="12"/>
              <w:keepNext/>
              <w:keepLines/>
              <w:spacing w:before="1" w:line="377" w:lineRule="auto"/>
              <w:ind w:left="110" w:right="108" w:firstLine="5"/>
              <w:rPr>
                <w:color w:val="auto"/>
                <w:highlight w:val="none"/>
              </w:rPr>
            </w:pPr>
            <w:r>
              <w:rPr>
                <w:color w:val="auto"/>
                <w:spacing w:val="13"/>
                <w:highlight w:val="none"/>
              </w:rPr>
              <w:t>3.《关于符合本国产品标准的声明函》或者财政部会同有关部门规定的有关证明文</w:t>
            </w:r>
            <w:r>
              <w:rPr>
                <w:color w:val="auto"/>
                <w:spacing w:val="10"/>
                <w:highlight w:val="none"/>
              </w:rPr>
              <w:t>件</w:t>
            </w:r>
            <w:r>
              <w:rPr>
                <w:color w:val="auto"/>
                <w:spacing w:val="-1"/>
                <w:highlight w:val="none"/>
              </w:rPr>
              <w:t>；（</w:t>
            </w:r>
            <w:r>
              <w:rPr>
                <w:color w:val="auto"/>
                <w:spacing w:val="10"/>
                <w:highlight w:val="none"/>
              </w:rPr>
              <w:t>供应商根据自身响应情况出具）</w:t>
            </w:r>
          </w:p>
          <w:p w14:paraId="4D41F1EE">
            <w:pPr>
              <w:pStyle w:val="12"/>
              <w:keepNext/>
              <w:keepLines/>
              <w:spacing w:line="227" w:lineRule="auto"/>
              <w:ind w:left="110"/>
              <w:rPr>
                <w:color w:val="auto"/>
                <w:highlight w:val="none"/>
              </w:rPr>
            </w:pPr>
            <w:r>
              <w:rPr>
                <w:color w:val="auto"/>
                <w:spacing w:val="8"/>
                <w:highlight w:val="none"/>
              </w:rPr>
              <w:t>4.供应商认为需要提供的其他有关资料。</w:t>
            </w:r>
          </w:p>
        </w:tc>
      </w:tr>
      <w:tr w14:paraId="15C18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4" w:hRule="atLeast"/>
        </w:trPr>
        <w:tc>
          <w:tcPr>
            <w:tcW w:w="996" w:type="dxa"/>
            <w:vAlign w:val="top"/>
          </w:tcPr>
          <w:p w14:paraId="6E6A3734">
            <w:pPr>
              <w:keepNext/>
              <w:keepLines/>
              <w:spacing w:line="255" w:lineRule="auto"/>
              <w:rPr>
                <w:rFonts w:ascii="Arial"/>
                <w:color w:val="auto"/>
                <w:sz w:val="21"/>
                <w:highlight w:val="none"/>
              </w:rPr>
            </w:pPr>
          </w:p>
          <w:p w14:paraId="28DB14FE">
            <w:pPr>
              <w:keepNext/>
              <w:keepLines/>
              <w:spacing w:line="255" w:lineRule="auto"/>
              <w:rPr>
                <w:rFonts w:ascii="Arial"/>
                <w:color w:val="auto"/>
                <w:sz w:val="21"/>
                <w:highlight w:val="none"/>
              </w:rPr>
            </w:pPr>
          </w:p>
          <w:p w14:paraId="6B56C0B4">
            <w:pPr>
              <w:keepNext/>
              <w:keepLines/>
              <w:spacing w:line="255" w:lineRule="auto"/>
              <w:rPr>
                <w:rFonts w:ascii="Arial"/>
                <w:color w:val="auto"/>
                <w:sz w:val="21"/>
                <w:highlight w:val="none"/>
              </w:rPr>
            </w:pPr>
          </w:p>
          <w:p w14:paraId="742DE158">
            <w:pPr>
              <w:keepNext/>
              <w:keepLines/>
              <w:spacing w:line="255" w:lineRule="auto"/>
              <w:rPr>
                <w:rFonts w:ascii="Arial"/>
                <w:color w:val="auto"/>
                <w:sz w:val="21"/>
                <w:highlight w:val="none"/>
              </w:rPr>
            </w:pPr>
          </w:p>
          <w:p w14:paraId="02770178">
            <w:pPr>
              <w:keepNext/>
              <w:keepLines/>
              <w:spacing w:line="256" w:lineRule="auto"/>
              <w:rPr>
                <w:rFonts w:ascii="Arial"/>
                <w:color w:val="auto"/>
                <w:sz w:val="21"/>
                <w:highlight w:val="none"/>
              </w:rPr>
            </w:pPr>
          </w:p>
          <w:p w14:paraId="1ED89C47">
            <w:pPr>
              <w:keepNext/>
              <w:keepLines/>
              <w:spacing w:line="256" w:lineRule="auto"/>
              <w:rPr>
                <w:rFonts w:ascii="Arial"/>
                <w:color w:val="auto"/>
                <w:sz w:val="21"/>
                <w:highlight w:val="none"/>
              </w:rPr>
            </w:pPr>
          </w:p>
          <w:p w14:paraId="301E8A9F">
            <w:pPr>
              <w:keepNext/>
              <w:keepLines/>
              <w:spacing w:line="256" w:lineRule="auto"/>
              <w:rPr>
                <w:rFonts w:ascii="Arial"/>
                <w:color w:val="auto"/>
                <w:sz w:val="21"/>
                <w:highlight w:val="none"/>
              </w:rPr>
            </w:pPr>
          </w:p>
          <w:p w14:paraId="12DD2D90">
            <w:pPr>
              <w:keepNext/>
              <w:keepLines/>
              <w:spacing w:line="256" w:lineRule="auto"/>
              <w:rPr>
                <w:rFonts w:ascii="Arial"/>
                <w:color w:val="auto"/>
                <w:sz w:val="21"/>
                <w:highlight w:val="none"/>
              </w:rPr>
            </w:pPr>
          </w:p>
          <w:p w14:paraId="6882392E">
            <w:pPr>
              <w:keepNext/>
              <w:keepLines/>
              <w:spacing w:line="256" w:lineRule="auto"/>
              <w:rPr>
                <w:rFonts w:ascii="Arial"/>
                <w:color w:val="auto"/>
                <w:sz w:val="21"/>
                <w:highlight w:val="none"/>
              </w:rPr>
            </w:pPr>
          </w:p>
          <w:p w14:paraId="4DD548AB">
            <w:pPr>
              <w:keepNext/>
              <w:keepLines/>
              <w:spacing w:line="256" w:lineRule="auto"/>
              <w:rPr>
                <w:rFonts w:ascii="Arial"/>
                <w:color w:val="auto"/>
                <w:sz w:val="21"/>
                <w:highlight w:val="none"/>
              </w:rPr>
            </w:pPr>
          </w:p>
          <w:p w14:paraId="70CD2CE5">
            <w:pPr>
              <w:keepNext/>
              <w:keepLines/>
              <w:spacing w:line="256" w:lineRule="auto"/>
              <w:rPr>
                <w:rFonts w:ascii="Arial"/>
                <w:color w:val="auto"/>
                <w:sz w:val="21"/>
                <w:highlight w:val="none"/>
              </w:rPr>
            </w:pPr>
          </w:p>
          <w:p w14:paraId="3762DB09">
            <w:pPr>
              <w:pStyle w:val="12"/>
              <w:keepNext/>
              <w:keepLines/>
              <w:spacing w:before="65" w:line="268" w:lineRule="exact"/>
              <w:ind w:left="204"/>
              <w:rPr>
                <w:color w:val="auto"/>
                <w:highlight w:val="none"/>
              </w:rPr>
            </w:pPr>
            <w:r>
              <w:rPr>
                <w:color w:val="auto"/>
                <w:spacing w:val="1"/>
                <w:position w:val="1"/>
                <w:highlight w:val="none"/>
              </w:rPr>
              <w:t>12.1.3</w:t>
            </w:r>
          </w:p>
        </w:tc>
        <w:tc>
          <w:tcPr>
            <w:tcW w:w="7912" w:type="dxa"/>
            <w:vAlign w:val="top"/>
          </w:tcPr>
          <w:p w14:paraId="235E8F92">
            <w:pPr>
              <w:pStyle w:val="12"/>
              <w:keepNext/>
              <w:keepLines/>
              <w:spacing w:before="33" w:line="228" w:lineRule="auto"/>
              <w:ind w:left="115"/>
              <w:rPr>
                <w:color w:val="auto"/>
                <w:highlight w:val="none"/>
              </w:rPr>
            </w:pPr>
            <w:r>
              <w:rPr>
                <w:color w:val="auto"/>
                <w:spacing w:val="7"/>
                <w:highlight w:val="none"/>
              </w:rPr>
              <w:t>商务技术文件</w:t>
            </w:r>
          </w:p>
          <w:p w14:paraId="42FBA824">
            <w:pPr>
              <w:pStyle w:val="12"/>
              <w:keepNext/>
              <w:keepLines/>
              <w:spacing w:before="160" w:line="378" w:lineRule="auto"/>
              <w:ind w:left="114" w:right="108" w:firstLine="12"/>
              <w:rPr>
                <w:color w:val="auto"/>
                <w:highlight w:val="none"/>
              </w:rPr>
            </w:pPr>
            <w:r>
              <w:rPr>
                <w:color w:val="auto"/>
                <w:spacing w:val="18"/>
                <w:highlight w:val="none"/>
              </w:rPr>
              <w:t>1.无串通竞标行为的承诺函（格式后附</w:t>
            </w:r>
            <w:r>
              <w:rPr>
                <w:color w:val="auto"/>
                <w:spacing w:val="-12"/>
                <w:highlight w:val="none"/>
              </w:rPr>
              <w:t>）</w:t>
            </w:r>
            <w:r>
              <w:rPr>
                <w:color w:val="auto"/>
                <w:spacing w:val="-43"/>
                <w:highlight w:val="none"/>
              </w:rPr>
              <w:t xml:space="preserve"> </w:t>
            </w:r>
            <w:r>
              <w:rPr>
                <w:color w:val="auto"/>
                <w:spacing w:val="-12"/>
                <w:highlight w:val="none"/>
              </w:rPr>
              <w:t>；</w:t>
            </w:r>
            <w:r>
              <w:rPr>
                <w:color w:val="auto"/>
                <w:spacing w:val="-77"/>
                <w:highlight w:val="none"/>
              </w:rPr>
              <w:t xml:space="preserve"> </w:t>
            </w:r>
            <w:r>
              <w:rPr>
                <w:color w:val="auto"/>
                <w:spacing w:val="-12"/>
                <w:highlight w:val="none"/>
              </w:rPr>
              <w:t>（</w:t>
            </w:r>
            <w:r>
              <w:rPr>
                <w:b/>
                <w:bCs/>
                <w:color w:val="auto"/>
                <w:spacing w:val="18"/>
                <w:highlight w:val="none"/>
              </w:rPr>
              <w:t>必须提供，否则响应文件按无效处</w:t>
            </w:r>
            <w:r>
              <w:rPr>
                <w:b/>
                <w:bCs/>
                <w:color w:val="auto"/>
                <w:spacing w:val="-2"/>
                <w:highlight w:val="none"/>
              </w:rPr>
              <w:t>理</w:t>
            </w:r>
            <w:r>
              <w:rPr>
                <w:color w:val="auto"/>
                <w:spacing w:val="-2"/>
                <w:highlight w:val="none"/>
              </w:rPr>
              <w:t>）</w:t>
            </w:r>
          </w:p>
          <w:p w14:paraId="17413546">
            <w:pPr>
              <w:pStyle w:val="12"/>
              <w:keepNext/>
              <w:keepLines/>
              <w:spacing w:before="1" w:line="376" w:lineRule="auto"/>
              <w:ind w:left="121" w:right="508" w:hanging="7"/>
              <w:rPr>
                <w:color w:val="auto"/>
                <w:highlight w:val="none"/>
              </w:rPr>
            </w:pPr>
            <w:r>
              <w:rPr>
                <w:color w:val="auto"/>
                <w:spacing w:val="9"/>
                <w:highlight w:val="none"/>
              </w:rPr>
              <w:t>2.法定代表人身份证明书及法定代表人有效身份证正反面复印件（格式后附</w:t>
            </w:r>
            <w:r>
              <w:rPr>
                <w:color w:val="auto"/>
                <w:spacing w:val="-12"/>
                <w:highlight w:val="none"/>
              </w:rPr>
              <w:t>）；</w:t>
            </w:r>
            <w:r>
              <w:rPr>
                <w:color w:val="auto"/>
                <w:spacing w:val="1"/>
                <w:highlight w:val="none"/>
              </w:rPr>
              <w:t xml:space="preserve"> </w:t>
            </w:r>
            <w:r>
              <w:rPr>
                <w:color w:val="auto"/>
                <w:spacing w:val="7"/>
                <w:highlight w:val="none"/>
              </w:rPr>
              <w:t>（</w:t>
            </w:r>
            <w:r>
              <w:rPr>
                <w:b/>
                <w:bCs/>
                <w:color w:val="auto"/>
                <w:spacing w:val="7"/>
                <w:highlight w:val="none"/>
              </w:rPr>
              <w:t>必须提供，否则响应文件按无效处理</w:t>
            </w:r>
            <w:r>
              <w:rPr>
                <w:color w:val="auto"/>
                <w:spacing w:val="7"/>
                <w:highlight w:val="none"/>
              </w:rPr>
              <w:t>）</w:t>
            </w:r>
          </w:p>
          <w:p w14:paraId="04D93787">
            <w:pPr>
              <w:pStyle w:val="12"/>
              <w:keepNext/>
              <w:keepLines/>
              <w:spacing w:before="1" w:line="377" w:lineRule="auto"/>
              <w:ind w:left="112" w:right="108" w:firstLine="3"/>
              <w:rPr>
                <w:color w:val="auto"/>
                <w:highlight w:val="none"/>
              </w:rPr>
            </w:pPr>
            <w:r>
              <w:rPr>
                <w:color w:val="auto"/>
                <w:spacing w:val="13"/>
                <w:highlight w:val="none"/>
              </w:rPr>
              <w:t>3.授权委托书及委托代理人有效身份证正反面复印件（格式后附</w:t>
            </w:r>
            <w:r>
              <w:rPr>
                <w:color w:val="auto"/>
                <w:spacing w:val="-6"/>
                <w:highlight w:val="none"/>
              </w:rPr>
              <w:t>）</w:t>
            </w:r>
            <w:r>
              <w:rPr>
                <w:color w:val="auto"/>
                <w:spacing w:val="-54"/>
                <w:highlight w:val="none"/>
              </w:rPr>
              <w:t xml:space="preserve"> </w:t>
            </w:r>
            <w:r>
              <w:rPr>
                <w:color w:val="auto"/>
                <w:spacing w:val="-6"/>
                <w:highlight w:val="none"/>
              </w:rPr>
              <w:t>；（</w:t>
            </w:r>
            <w:r>
              <w:rPr>
                <w:b/>
                <w:bCs/>
                <w:color w:val="auto"/>
                <w:spacing w:val="13"/>
                <w:highlight w:val="none"/>
              </w:rPr>
              <w:t>委托时必须</w:t>
            </w:r>
            <w:r>
              <w:rPr>
                <w:b/>
                <w:bCs/>
                <w:color w:val="auto"/>
                <w:spacing w:val="7"/>
                <w:highlight w:val="none"/>
              </w:rPr>
              <w:t>提供，否则响应文件按无效处理</w:t>
            </w:r>
            <w:r>
              <w:rPr>
                <w:color w:val="auto"/>
                <w:spacing w:val="7"/>
                <w:highlight w:val="none"/>
              </w:rPr>
              <w:t>）</w:t>
            </w:r>
          </w:p>
          <w:p w14:paraId="0BBC7F7F">
            <w:pPr>
              <w:pStyle w:val="12"/>
              <w:keepNext/>
              <w:keepLines/>
              <w:spacing w:before="1" w:line="226" w:lineRule="auto"/>
              <w:ind w:left="110"/>
              <w:rPr>
                <w:color w:val="auto"/>
                <w:highlight w:val="none"/>
              </w:rPr>
            </w:pPr>
            <w:r>
              <w:rPr>
                <w:color w:val="auto"/>
                <w:spacing w:val="9"/>
                <w:highlight w:val="none"/>
              </w:rPr>
              <w:t>4.竞标保证金提交凭证</w:t>
            </w:r>
            <w:r>
              <w:rPr>
                <w:color w:val="auto"/>
                <w:spacing w:val="-1"/>
                <w:highlight w:val="none"/>
              </w:rPr>
              <w:t>；（</w:t>
            </w:r>
            <w:r>
              <w:rPr>
                <w:rFonts w:hint="eastAsia"/>
                <w:b/>
                <w:bCs/>
                <w:color w:val="auto"/>
                <w:spacing w:val="9"/>
                <w:highlight w:val="none"/>
                <w:lang w:val="en-US" w:eastAsia="zh-CN"/>
              </w:rPr>
              <w:t>如有，请提供</w:t>
            </w:r>
            <w:r>
              <w:rPr>
                <w:color w:val="auto"/>
                <w:spacing w:val="9"/>
                <w:highlight w:val="none"/>
              </w:rPr>
              <w:t>）</w:t>
            </w:r>
          </w:p>
          <w:p w14:paraId="5E826E4D">
            <w:pPr>
              <w:pStyle w:val="12"/>
              <w:keepNext/>
              <w:keepLines/>
              <w:spacing w:before="162" w:line="227" w:lineRule="auto"/>
              <w:ind w:left="115"/>
              <w:rPr>
                <w:color w:val="auto"/>
                <w:highlight w:val="none"/>
              </w:rPr>
            </w:pPr>
            <w:r>
              <w:rPr>
                <w:color w:val="auto"/>
                <w:spacing w:val="9"/>
                <w:highlight w:val="none"/>
              </w:rPr>
              <w:t>5.商务要求偏离表（格式后附</w:t>
            </w:r>
            <w:r>
              <w:rPr>
                <w:color w:val="auto"/>
                <w:spacing w:val="2"/>
                <w:highlight w:val="none"/>
              </w:rPr>
              <w:t>）；（</w:t>
            </w:r>
            <w:r>
              <w:rPr>
                <w:b/>
                <w:bCs/>
                <w:color w:val="auto"/>
                <w:spacing w:val="9"/>
                <w:highlight w:val="none"/>
              </w:rPr>
              <w:t>必须提供，否则响应文件按无效处理</w:t>
            </w:r>
            <w:r>
              <w:rPr>
                <w:color w:val="auto"/>
                <w:spacing w:val="9"/>
                <w:highlight w:val="none"/>
              </w:rPr>
              <w:t>）</w:t>
            </w:r>
          </w:p>
          <w:p w14:paraId="58964CEA">
            <w:pPr>
              <w:pStyle w:val="12"/>
              <w:keepNext/>
              <w:keepLines/>
              <w:spacing w:before="162" w:line="227" w:lineRule="auto"/>
              <w:ind w:left="113"/>
              <w:rPr>
                <w:color w:val="auto"/>
                <w:highlight w:val="none"/>
              </w:rPr>
            </w:pPr>
            <w:r>
              <w:rPr>
                <w:color w:val="auto"/>
                <w:spacing w:val="9"/>
                <w:highlight w:val="none"/>
              </w:rPr>
              <w:t>6.技术要求偏离表（格式后附</w:t>
            </w:r>
            <w:r>
              <w:rPr>
                <w:color w:val="auto"/>
                <w:spacing w:val="2"/>
                <w:highlight w:val="none"/>
              </w:rPr>
              <w:t>）；（</w:t>
            </w:r>
            <w:r>
              <w:rPr>
                <w:b/>
                <w:bCs/>
                <w:color w:val="auto"/>
                <w:spacing w:val="9"/>
                <w:highlight w:val="none"/>
              </w:rPr>
              <w:t>必须提供，否则响应文件按无效处理</w:t>
            </w:r>
            <w:r>
              <w:rPr>
                <w:color w:val="auto"/>
                <w:spacing w:val="9"/>
                <w:highlight w:val="none"/>
              </w:rPr>
              <w:t>）</w:t>
            </w:r>
          </w:p>
          <w:p w14:paraId="4A483CD8">
            <w:pPr>
              <w:pStyle w:val="12"/>
              <w:keepNext/>
              <w:keepLines/>
              <w:spacing w:before="165" w:line="227" w:lineRule="auto"/>
              <w:ind w:left="116"/>
              <w:rPr>
                <w:color w:val="auto"/>
                <w:highlight w:val="none"/>
              </w:rPr>
            </w:pPr>
            <w:r>
              <w:rPr>
                <w:color w:val="auto"/>
                <w:spacing w:val="9"/>
                <w:highlight w:val="none"/>
              </w:rPr>
              <w:t>7.售后服务承诺（格式自拟</w:t>
            </w:r>
            <w:r>
              <w:rPr>
                <w:color w:val="auto"/>
                <w:spacing w:val="1"/>
                <w:highlight w:val="none"/>
              </w:rPr>
              <w:t>）；（</w:t>
            </w:r>
            <w:r>
              <w:rPr>
                <w:b/>
                <w:bCs/>
                <w:color w:val="auto"/>
                <w:spacing w:val="9"/>
                <w:highlight w:val="none"/>
              </w:rPr>
              <w:t>必须提供，否则响应文件按无效处理</w:t>
            </w:r>
            <w:r>
              <w:rPr>
                <w:color w:val="auto"/>
                <w:spacing w:val="9"/>
                <w:highlight w:val="none"/>
              </w:rPr>
              <w:t>）</w:t>
            </w:r>
          </w:p>
          <w:p w14:paraId="4BC94EA4">
            <w:pPr>
              <w:pStyle w:val="12"/>
              <w:keepNext/>
              <w:keepLines/>
              <w:spacing w:before="162" w:line="227" w:lineRule="auto"/>
              <w:ind w:left="112"/>
              <w:rPr>
                <w:color w:val="auto"/>
                <w:highlight w:val="none"/>
              </w:rPr>
            </w:pPr>
            <w:r>
              <w:rPr>
                <w:color w:val="auto"/>
                <w:spacing w:val="9"/>
                <w:highlight w:val="none"/>
              </w:rPr>
              <w:t>8.</w:t>
            </w:r>
            <w:r>
              <w:rPr>
                <w:rFonts w:hint="eastAsia"/>
                <w:color w:val="auto"/>
                <w:spacing w:val="9"/>
                <w:highlight w:val="none"/>
                <w:lang w:val="en-US" w:eastAsia="zh-CN"/>
              </w:rPr>
              <w:t>技术</w:t>
            </w:r>
            <w:r>
              <w:rPr>
                <w:color w:val="auto"/>
                <w:spacing w:val="9"/>
                <w:highlight w:val="none"/>
              </w:rPr>
              <w:t>方案（格式自拟</w:t>
            </w:r>
            <w:r>
              <w:rPr>
                <w:color w:val="auto"/>
                <w:spacing w:val="2"/>
                <w:highlight w:val="none"/>
              </w:rPr>
              <w:t>）；（</w:t>
            </w:r>
            <w:r>
              <w:rPr>
                <w:b/>
                <w:bCs/>
                <w:color w:val="auto"/>
                <w:spacing w:val="9"/>
                <w:highlight w:val="none"/>
              </w:rPr>
              <w:t>必须提供，否则响应文件按无效处理</w:t>
            </w:r>
            <w:r>
              <w:rPr>
                <w:color w:val="auto"/>
                <w:spacing w:val="9"/>
                <w:highlight w:val="none"/>
              </w:rPr>
              <w:t>）</w:t>
            </w:r>
          </w:p>
          <w:p w14:paraId="70976806">
            <w:pPr>
              <w:pStyle w:val="12"/>
              <w:keepNext/>
              <w:keepLines/>
              <w:spacing w:before="162" w:line="227" w:lineRule="auto"/>
              <w:ind w:left="112"/>
              <w:rPr>
                <w:color w:val="auto"/>
                <w:highlight w:val="none"/>
              </w:rPr>
            </w:pPr>
            <w:r>
              <w:rPr>
                <w:color w:val="auto"/>
                <w:spacing w:val="8"/>
                <w:highlight w:val="none"/>
              </w:rPr>
              <w:t>9.代理服务费承诺书（格式后附</w:t>
            </w:r>
            <w:r>
              <w:rPr>
                <w:color w:val="auto"/>
                <w:spacing w:val="5"/>
                <w:highlight w:val="none"/>
              </w:rPr>
              <w:t>）；</w:t>
            </w:r>
          </w:p>
          <w:p w14:paraId="55FE443F">
            <w:pPr>
              <w:pStyle w:val="12"/>
              <w:keepNext/>
              <w:keepLines/>
              <w:spacing w:before="162" w:line="227" w:lineRule="auto"/>
              <w:ind w:left="127"/>
              <w:rPr>
                <w:color w:val="auto"/>
                <w:highlight w:val="none"/>
              </w:rPr>
            </w:pPr>
            <w:r>
              <w:rPr>
                <w:color w:val="auto"/>
                <w:spacing w:val="9"/>
                <w:highlight w:val="none"/>
              </w:rPr>
              <w:t>10.对应采购需求的技术要求、商务要求提供的其</w:t>
            </w:r>
            <w:r>
              <w:rPr>
                <w:color w:val="auto"/>
                <w:spacing w:val="8"/>
                <w:highlight w:val="none"/>
              </w:rPr>
              <w:t>他文件资料（格式自拟</w:t>
            </w:r>
            <w:r>
              <w:rPr>
                <w:color w:val="auto"/>
                <w:highlight w:val="none"/>
              </w:rPr>
              <w:t>）；</w:t>
            </w:r>
          </w:p>
          <w:p w14:paraId="3A29B31F">
            <w:pPr>
              <w:pStyle w:val="12"/>
              <w:keepNext/>
              <w:keepLines/>
              <w:spacing w:before="162" w:line="227" w:lineRule="auto"/>
              <w:ind w:left="127"/>
              <w:rPr>
                <w:color w:val="auto"/>
                <w:highlight w:val="none"/>
              </w:rPr>
            </w:pPr>
            <w:r>
              <w:rPr>
                <w:color w:val="auto"/>
                <w:spacing w:val="7"/>
                <w:highlight w:val="none"/>
              </w:rPr>
              <w:t>11.供应商认为需要提供的其他有关资料。</w:t>
            </w:r>
          </w:p>
        </w:tc>
      </w:tr>
    </w:tbl>
    <w:p w14:paraId="40EE50A3">
      <w:pPr>
        <w:keepNext/>
        <w:keepLines/>
        <w:spacing w:line="63" w:lineRule="exact"/>
        <w:rPr>
          <w:rFonts w:ascii="Arial"/>
          <w:color w:val="auto"/>
          <w:sz w:val="5"/>
          <w:highlight w:val="none"/>
        </w:rPr>
      </w:pPr>
    </w:p>
    <w:p w14:paraId="7EF8FDDD">
      <w:pPr>
        <w:keepNext/>
        <w:keepLines/>
        <w:spacing w:line="63" w:lineRule="exact"/>
        <w:rPr>
          <w:rFonts w:ascii="Arial" w:hAnsi="Arial" w:eastAsia="Arial" w:cs="Arial"/>
          <w:color w:val="auto"/>
          <w:sz w:val="5"/>
          <w:szCs w:val="5"/>
          <w:highlight w:val="none"/>
        </w:rPr>
        <w:sectPr>
          <w:footerReference r:id="rId10" w:type="default"/>
          <w:pgSz w:w="11910" w:h="16840"/>
          <w:pgMar w:top="1340" w:right="1408" w:bottom="1091" w:left="1588" w:header="0" w:footer="929" w:gutter="0"/>
          <w:pgNumType w:fmt="decimal"/>
          <w:cols w:space="720" w:num="1"/>
        </w:sectPr>
      </w:pPr>
    </w:p>
    <w:tbl>
      <w:tblPr>
        <w:tblStyle w:val="11"/>
        <w:tblW w:w="89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7912"/>
      </w:tblGrid>
      <w:tr w14:paraId="3B71E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996" w:type="dxa"/>
            <w:vAlign w:val="top"/>
          </w:tcPr>
          <w:p w14:paraId="1C6A3071">
            <w:pPr>
              <w:keepNext/>
              <w:keepLines/>
              <w:rPr>
                <w:rFonts w:ascii="Arial"/>
                <w:color w:val="auto"/>
                <w:sz w:val="21"/>
                <w:highlight w:val="none"/>
              </w:rPr>
            </w:pPr>
          </w:p>
        </w:tc>
        <w:tc>
          <w:tcPr>
            <w:tcW w:w="7912" w:type="dxa"/>
            <w:vAlign w:val="top"/>
          </w:tcPr>
          <w:p w14:paraId="04B7FFA2">
            <w:pPr>
              <w:pStyle w:val="12"/>
              <w:keepNext/>
              <w:keepLines/>
              <w:spacing w:before="35" w:line="366" w:lineRule="auto"/>
              <w:ind w:left="113" w:right="111" w:hanging="2"/>
              <w:jc w:val="both"/>
              <w:rPr>
                <w:color w:val="auto"/>
                <w:highlight w:val="none"/>
              </w:rPr>
            </w:pPr>
            <w:r>
              <w:rPr>
                <w:b/>
                <w:bCs/>
                <w:color w:val="auto"/>
                <w:spacing w:val="6"/>
                <w:highlight w:val="none"/>
              </w:rPr>
              <w:t>注：</w:t>
            </w:r>
            <w:r>
              <w:rPr>
                <w:color w:val="auto"/>
                <w:spacing w:val="-60"/>
                <w:highlight w:val="none"/>
              </w:rPr>
              <w:t xml:space="preserve"> </w:t>
            </w:r>
            <w:r>
              <w:rPr>
                <w:b/>
                <w:bCs/>
                <w:color w:val="auto"/>
                <w:spacing w:val="6"/>
                <w:highlight w:val="none"/>
              </w:rPr>
              <w:t>以上标明“必须提供</w:t>
            </w:r>
            <w:r>
              <w:rPr>
                <w:color w:val="auto"/>
                <w:spacing w:val="-72"/>
                <w:highlight w:val="none"/>
              </w:rPr>
              <w:t xml:space="preserve"> </w:t>
            </w:r>
            <w:r>
              <w:rPr>
                <w:b/>
                <w:bCs/>
                <w:color w:val="auto"/>
                <w:spacing w:val="6"/>
                <w:highlight w:val="none"/>
              </w:rPr>
              <w:t>”的材料</w:t>
            </w:r>
            <w:r>
              <w:rPr>
                <w:color w:val="auto"/>
                <w:spacing w:val="31"/>
                <w:highlight w:val="none"/>
              </w:rPr>
              <w:t xml:space="preserve"> </w:t>
            </w:r>
            <w:r>
              <w:rPr>
                <w:b/>
                <w:bCs/>
                <w:color w:val="auto"/>
                <w:spacing w:val="6"/>
                <w:highlight w:val="none"/>
              </w:rPr>
              <w:t>，必须加盖供应商公章；必须</w:t>
            </w:r>
            <w:r>
              <w:rPr>
                <w:b/>
                <w:bCs/>
                <w:color w:val="auto"/>
                <w:spacing w:val="5"/>
                <w:highlight w:val="none"/>
              </w:rPr>
              <w:t>提供的材料在第五</w:t>
            </w:r>
            <w:r>
              <w:rPr>
                <w:b/>
                <w:bCs/>
                <w:color w:val="auto"/>
                <w:spacing w:val="7"/>
                <w:highlight w:val="none"/>
              </w:rPr>
              <w:t>章“响应文件格式</w:t>
            </w:r>
            <w:r>
              <w:rPr>
                <w:color w:val="auto"/>
                <w:spacing w:val="-53"/>
                <w:highlight w:val="none"/>
              </w:rPr>
              <w:t xml:space="preserve"> </w:t>
            </w:r>
            <w:r>
              <w:rPr>
                <w:b/>
                <w:bCs/>
                <w:color w:val="auto"/>
                <w:spacing w:val="7"/>
                <w:highlight w:val="none"/>
              </w:rPr>
              <w:t>”中有要求法定代表人或委托代理人签字的，必须由法定代表人或委托代理人签字，否则响应文件按无效响应处理。</w:t>
            </w:r>
          </w:p>
        </w:tc>
      </w:tr>
      <w:tr w14:paraId="108C2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6" w:hRule="atLeast"/>
        </w:trPr>
        <w:tc>
          <w:tcPr>
            <w:tcW w:w="996" w:type="dxa"/>
            <w:vAlign w:val="top"/>
          </w:tcPr>
          <w:p w14:paraId="3CAD8C72">
            <w:pPr>
              <w:keepNext/>
              <w:keepLines/>
              <w:spacing w:line="259" w:lineRule="auto"/>
              <w:rPr>
                <w:rFonts w:ascii="Arial"/>
                <w:color w:val="auto"/>
                <w:sz w:val="21"/>
                <w:highlight w:val="none"/>
              </w:rPr>
            </w:pPr>
          </w:p>
          <w:p w14:paraId="7C67AAFC">
            <w:pPr>
              <w:keepNext/>
              <w:keepLines/>
              <w:spacing w:line="259" w:lineRule="auto"/>
              <w:rPr>
                <w:rFonts w:ascii="Arial"/>
                <w:color w:val="auto"/>
                <w:sz w:val="21"/>
                <w:highlight w:val="none"/>
              </w:rPr>
            </w:pPr>
          </w:p>
          <w:p w14:paraId="1290E1B1">
            <w:pPr>
              <w:keepNext/>
              <w:keepLines/>
              <w:spacing w:line="260" w:lineRule="auto"/>
              <w:rPr>
                <w:rFonts w:ascii="Arial"/>
                <w:color w:val="auto"/>
                <w:sz w:val="21"/>
                <w:highlight w:val="none"/>
              </w:rPr>
            </w:pPr>
          </w:p>
          <w:p w14:paraId="660725FE">
            <w:pPr>
              <w:pStyle w:val="12"/>
              <w:keepNext/>
              <w:keepLines/>
              <w:spacing w:before="65" w:line="268" w:lineRule="exact"/>
              <w:ind w:left="309"/>
              <w:rPr>
                <w:color w:val="auto"/>
                <w:highlight w:val="none"/>
              </w:rPr>
            </w:pPr>
            <w:r>
              <w:rPr>
                <w:color w:val="auto"/>
                <w:spacing w:val="-1"/>
                <w:position w:val="1"/>
                <w:highlight w:val="none"/>
              </w:rPr>
              <w:t>15.2</w:t>
            </w:r>
          </w:p>
        </w:tc>
        <w:tc>
          <w:tcPr>
            <w:tcW w:w="7912" w:type="dxa"/>
            <w:vAlign w:val="top"/>
          </w:tcPr>
          <w:p w14:paraId="3C753DCA">
            <w:pPr>
              <w:pStyle w:val="12"/>
              <w:keepNext/>
              <w:keepLines/>
              <w:spacing w:before="31" w:line="370" w:lineRule="auto"/>
              <w:ind w:left="111" w:right="245" w:firstLine="2"/>
              <w:rPr>
                <w:color w:val="auto"/>
                <w:highlight w:val="none"/>
              </w:rPr>
            </w:pPr>
            <w:r>
              <w:rPr>
                <w:color w:val="auto"/>
                <w:spacing w:val="10"/>
                <w:highlight w:val="none"/>
              </w:rPr>
              <w:t>竞标报价包括但不限于竞标货物的价格，竞标货</w:t>
            </w:r>
            <w:r>
              <w:rPr>
                <w:color w:val="auto"/>
                <w:spacing w:val="9"/>
                <w:highlight w:val="none"/>
              </w:rPr>
              <w:t>物及其附件的设计、采购、制造、</w:t>
            </w:r>
            <w:r>
              <w:rPr>
                <w:color w:val="auto"/>
                <w:spacing w:val="10"/>
                <w:highlight w:val="none"/>
              </w:rPr>
              <w:t>出厂检测、试验、运输、保险、安装、调试、验收、培</w:t>
            </w:r>
            <w:r>
              <w:rPr>
                <w:color w:val="auto"/>
                <w:spacing w:val="9"/>
                <w:highlight w:val="none"/>
              </w:rPr>
              <w:t>训、技术服务、保修期保障</w:t>
            </w:r>
            <w:r>
              <w:rPr>
                <w:color w:val="auto"/>
                <w:spacing w:val="10"/>
                <w:highlight w:val="none"/>
              </w:rPr>
              <w:t>等一切税金和费用。谈判供应商在固定总价中必须考虑</w:t>
            </w:r>
            <w:r>
              <w:rPr>
                <w:color w:val="auto"/>
                <w:spacing w:val="9"/>
                <w:highlight w:val="none"/>
              </w:rPr>
              <w:t>各种风险费用。在合同履行</w:t>
            </w:r>
            <w:r>
              <w:rPr>
                <w:color w:val="auto"/>
                <w:spacing w:val="10"/>
                <w:highlight w:val="none"/>
              </w:rPr>
              <w:t>过程中，采购人不予支付合同以外的其他费用。谈判供</w:t>
            </w:r>
            <w:r>
              <w:rPr>
                <w:color w:val="auto"/>
                <w:spacing w:val="9"/>
                <w:highlight w:val="none"/>
              </w:rPr>
              <w:t>应商负责工人人身、设备安</w:t>
            </w:r>
            <w:r>
              <w:rPr>
                <w:color w:val="auto"/>
                <w:spacing w:val="8"/>
                <w:highlight w:val="none"/>
              </w:rPr>
              <w:t>全责任，验收前，设备丢失自行负责。</w:t>
            </w:r>
          </w:p>
        </w:tc>
      </w:tr>
      <w:tr w14:paraId="05958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996" w:type="dxa"/>
            <w:vAlign w:val="top"/>
          </w:tcPr>
          <w:p w14:paraId="559E147E">
            <w:pPr>
              <w:pStyle w:val="12"/>
              <w:keepNext/>
              <w:keepLines/>
              <w:spacing w:before="33" w:line="268" w:lineRule="exact"/>
              <w:ind w:left="309"/>
              <w:rPr>
                <w:color w:val="auto"/>
                <w:highlight w:val="none"/>
              </w:rPr>
            </w:pPr>
            <w:r>
              <w:rPr>
                <w:color w:val="auto"/>
                <w:spacing w:val="-1"/>
                <w:position w:val="1"/>
                <w:highlight w:val="none"/>
              </w:rPr>
              <w:t>16.2</w:t>
            </w:r>
          </w:p>
        </w:tc>
        <w:tc>
          <w:tcPr>
            <w:tcW w:w="7912" w:type="dxa"/>
            <w:vAlign w:val="top"/>
          </w:tcPr>
          <w:p w14:paraId="2D60CB3B">
            <w:pPr>
              <w:pStyle w:val="12"/>
              <w:keepNext/>
              <w:keepLines/>
              <w:spacing w:before="33" w:line="228" w:lineRule="auto"/>
              <w:ind w:left="114"/>
              <w:rPr>
                <w:color w:val="auto"/>
                <w:highlight w:val="none"/>
              </w:rPr>
            </w:pPr>
            <w:r>
              <w:rPr>
                <w:color w:val="auto"/>
                <w:spacing w:val="3"/>
                <w:highlight w:val="none"/>
              </w:rPr>
              <w:t>竞标有效期：</w:t>
            </w:r>
            <w:r>
              <w:rPr>
                <w:color w:val="auto"/>
                <w:spacing w:val="-33"/>
                <w:highlight w:val="none"/>
              </w:rPr>
              <w:t xml:space="preserve"> </w:t>
            </w:r>
            <w:r>
              <w:rPr>
                <w:color w:val="auto"/>
                <w:spacing w:val="3"/>
                <w:highlight w:val="none"/>
              </w:rPr>
              <w:t>自首次响应文件提交截止之日起</w:t>
            </w:r>
            <w:r>
              <w:rPr>
                <w:color w:val="auto"/>
                <w:spacing w:val="32"/>
                <w:highlight w:val="none"/>
                <w:u w:val="single" w:color="auto"/>
              </w:rPr>
              <w:t xml:space="preserve"> </w:t>
            </w:r>
            <w:r>
              <w:rPr>
                <w:color w:val="auto"/>
                <w:spacing w:val="3"/>
                <w:highlight w:val="none"/>
                <w:u w:val="single" w:color="auto"/>
              </w:rPr>
              <w:t>120</w:t>
            </w:r>
            <w:r>
              <w:rPr>
                <w:color w:val="auto"/>
                <w:spacing w:val="48"/>
                <w:highlight w:val="none"/>
                <w:u w:val="single" w:color="auto"/>
              </w:rPr>
              <w:t xml:space="preserve"> </w:t>
            </w:r>
            <w:r>
              <w:rPr>
                <w:color w:val="auto"/>
                <w:spacing w:val="3"/>
                <w:highlight w:val="none"/>
              </w:rPr>
              <w:t>日。</w:t>
            </w:r>
          </w:p>
        </w:tc>
      </w:tr>
      <w:tr w14:paraId="05BAA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5" w:hRule="atLeast"/>
        </w:trPr>
        <w:tc>
          <w:tcPr>
            <w:tcW w:w="996" w:type="dxa"/>
            <w:vAlign w:val="top"/>
          </w:tcPr>
          <w:p w14:paraId="7E92E4D9">
            <w:pPr>
              <w:keepNext/>
              <w:keepLines/>
              <w:rPr>
                <w:rFonts w:ascii="Arial"/>
                <w:color w:val="auto"/>
                <w:sz w:val="21"/>
                <w:highlight w:val="none"/>
              </w:rPr>
            </w:pPr>
          </w:p>
          <w:p w14:paraId="37727095">
            <w:pPr>
              <w:keepNext/>
              <w:keepLines/>
              <w:rPr>
                <w:rFonts w:ascii="Arial"/>
                <w:color w:val="auto"/>
                <w:sz w:val="21"/>
                <w:highlight w:val="none"/>
              </w:rPr>
            </w:pPr>
          </w:p>
          <w:p w14:paraId="575D43A0">
            <w:pPr>
              <w:keepNext/>
              <w:keepLines/>
              <w:rPr>
                <w:rFonts w:ascii="Arial"/>
                <w:color w:val="auto"/>
                <w:sz w:val="21"/>
                <w:highlight w:val="none"/>
              </w:rPr>
            </w:pPr>
          </w:p>
          <w:p w14:paraId="2F42B368">
            <w:pPr>
              <w:keepNext/>
              <w:keepLines/>
              <w:rPr>
                <w:rFonts w:ascii="Arial"/>
                <w:color w:val="auto"/>
                <w:sz w:val="21"/>
                <w:highlight w:val="none"/>
              </w:rPr>
            </w:pPr>
          </w:p>
          <w:p w14:paraId="25F0236D">
            <w:pPr>
              <w:keepNext/>
              <w:keepLines/>
              <w:rPr>
                <w:rFonts w:ascii="Arial"/>
                <w:color w:val="auto"/>
                <w:sz w:val="21"/>
                <w:highlight w:val="none"/>
              </w:rPr>
            </w:pPr>
          </w:p>
          <w:p w14:paraId="68C9EB78">
            <w:pPr>
              <w:keepNext/>
              <w:keepLines/>
              <w:rPr>
                <w:rFonts w:ascii="Arial"/>
                <w:color w:val="auto"/>
                <w:sz w:val="21"/>
                <w:highlight w:val="none"/>
              </w:rPr>
            </w:pPr>
          </w:p>
          <w:p w14:paraId="0B273311">
            <w:pPr>
              <w:keepNext/>
              <w:keepLines/>
              <w:rPr>
                <w:rFonts w:ascii="Arial"/>
                <w:color w:val="auto"/>
                <w:sz w:val="21"/>
                <w:highlight w:val="none"/>
              </w:rPr>
            </w:pPr>
          </w:p>
          <w:p w14:paraId="34710B78">
            <w:pPr>
              <w:keepNext/>
              <w:keepLines/>
              <w:rPr>
                <w:rFonts w:ascii="Arial"/>
                <w:color w:val="auto"/>
                <w:sz w:val="21"/>
                <w:highlight w:val="none"/>
              </w:rPr>
            </w:pPr>
          </w:p>
          <w:p w14:paraId="2C66E390">
            <w:pPr>
              <w:keepNext/>
              <w:keepLines/>
              <w:rPr>
                <w:rFonts w:ascii="Arial"/>
                <w:color w:val="auto"/>
                <w:sz w:val="21"/>
                <w:highlight w:val="none"/>
              </w:rPr>
            </w:pPr>
          </w:p>
          <w:p w14:paraId="64CABF4B">
            <w:pPr>
              <w:keepNext/>
              <w:keepLines/>
              <w:rPr>
                <w:rFonts w:ascii="Arial"/>
                <w:color w:val="auto"/>
                <w:sz w:val="21"/>
                <w:highlight w:val="none"/>
              </w:rPr>
            </w:pPr>
          </w:p>
          <w:p w14:paraId="68128E9E">
            <w:pPr>
              <w:keepNext/>
              <w:keepLines/>
              <w:rPr>
                <w:rFonts w:ascii="Arial"/>
                <w:color w:val="auto"/>
                <w:sz w:val="21"/>
                <w:highlight w:val="none"/>
              </w:rPr>
            </w:pPr>
          </w:p>
          <w:p w14:paraId="3A5EDC0F">
            <w:pPr>
              <w:keepNext/>
              <w:keepLines/>
              <w:rPr>
                <w:rFonts w:ascii="Arial"/>
                <w:color w:val="auto"/>
                <w:sz w:val="21"/>
                <w:highlight w:val="none"/>
              </w:rPr>
            </w:pPr>
          </w:p>
          <w:p w14:paraId="75B10308">
            <w:pPr>
              <w:keepNext/>
              <w:keepLines/>
              <w:rPr>
                <w:rFonts w:ascii="Arial"/>
                <w:color w:val="auto"/>
                <w:sz w:val="21"/>
                <w:highlight w:val="none"/>
              </w:rPr>
            </w:pPr>
          </w:p>
          <w:p w14:paraId="1D482F11">
            <w:pPr>
              <w:keepNext/>
              <w:keepLines/>
              <w:rPr>
                <w:rFonts w:ascii="Arial"/>
                <w:color w:val="auto"/>
                <w:sz w:val="21"/>
                <w:highlight w:val="none"/>
              </w:rPr>
            </w:pPr>
          </w:p>
          <w:p w14:paraId="6497E123">
            <w:pPr>
              <w:keepNext/>
              <w:keepLines/>
              <w:rPr>
                <w:rFonts w:ascii="Arial"/>
                <w:color w:val="auto"/>
                <w:sz w:val="21"/>
                <w:highlight w:val="none"/>
              </w:rPr>
            </w:pPr>
          </w:p>
          <w:p w14:paraId="7F6FA36F">
            <w:pPr>
              <w:keepNext/>
              <w:keepLines/>
              <w:rPr>
                <w:rFonts w:ascii="Arial"/>
                <w:color w:val="auto"/>
                <w:sz w:val="21"/>
                <w:highlight w:val="none"/>
              </w:rPr>
            </w:pPr>
          </w:p>
          <w:p w14:paraId="45DD69A6">
            <w:pPr>
              <w:keepNext/>
              <w:keepLines/>
              <w:rPr>
                <w:rFonts w:ascii="Arial"/>
                <w:color w:val="auto"/>
                <w:sz w:val="21"/>
                <w:highlight w:val="none"/>
              </w:rPr>
            </w:pPr>
          </w:p>
          <w:p w14:paraId="00A0EDE0">
            <w:pPr>
              <w:keepNext/>
              <w:keepLines/>
              <w:rPr>
                <w:rFonts w:ascii="Arial"/>
                <w:color w:val="auto"/>
                <w:sz w:val="21"/>
                <w:highlight w:val="none"/>
              </w:rPr>
            </w:pPr>
          </w:p>
          <w:p w14:paraId="1422CFA1">
            <w:pPr>
              <w:keepNext/>
              <w:keepLines/>
              <w:spacing w:line="241" w:lineRule="auto"/>
              <w:rPr>
                <w:rFonts w:ascii="Arial"/>
                <w:color w:val="auto"/>
                <w:sz w:val="21"/>
                <w:highlight w:val="none"/>
              </w:rPr>
            </w:pPr>
          </w:p>
          <w:p w14:paraId="587BD380">
            <w:pPr>
              <w:keepNext/>
              <w:keepLines/>
              <w:spacing w:line="241" w:lineRule="auto"/>
              <w:rPr>
                <w:rFonts w:ascii="Arial"/>
                <w:color w:val="auto"/>
                <w:sz w:val="21"/>
                <w:highlight w:val="none"/>
              </w:rPr>
            </w:pPr>
          </w:p>
          <w:p w14:paraId="0BA13CE3">
            <w:pPr>
              <w:keepNext/>
              <w:keepLines/>
              <w:spacing w:line="241" w:lineRule="auto"/>
              <w:rPr>
                <w:rFonts w:ascii="Arial"/>
                <w:color w:val="auto"/>
                <w:sz w:val="21"/>
                <w:highlight w:val="none"/>
              </w:rPr>
            </w:pPr>
          </w:p>
          <w:p w14:paraId="7AD4754D">
            <w:pPr>
              <w:pStyle w:val="12"/>
              <w:keepNext/>
              <w:keepLines/>
              <w:spacing w:before="65" w:line="267" w:lineRule="exact"/>
              <w:ind w:left="309"/>
              <w:rPr>
                <w:color w:val="auto"/>
                <w:highlight w:val="none"/>
              </w:rPr>
            </w:pPr>
            <w:r>
              <w:rPr>
                <w:color w:val="auto"/>
                <w:spacing w:val="-1"/>
                <w:position w:val="1"/>
                <w:highlight w:val="none"/>
              </w:rPr>
              <w:t>17.1</w:t>
            </w:r>
          </w:p>
        </w:tc>
        <w:tc>
          <w:tcPr>
            <w:tcW w:w="7912" w:type="dxa"/>
            <w:vAlign w:val="top"/>
          </w:tcPr>
          <w:p w14:paraId="1C361AA5">
            <w:pPr>
              <w:pStyle w:val="12"/>
              <w:keepNext/>
              <w:keepLines/>
              <w:spacing w:before="31" w:line="227" w:lineRule="auto"/>
              <w:ind w:left="133"/>
              <w:rPr>
                <w:color w:val="auto"/>
                <w:highlight w:val="none"/>
              </w:rPr>
            </w:pPr>
            <w:r>
              <w:rPr>
                <w:rFonts w:hint="eastAsia"/>
                <w:color w:val="auto"/>
                <w:spacing w:val="6"/>
                <w:highlight w:val="none"/>
                <w:lang w:eastAsia="zh-CN"/>
              </w:rPr>
              <w:t>☑</w:t>
            </w:r>
            <w:r>
              <w:rPr>
                <w:color w:val="auto"/>
                <w:spacing w:val="6"/>
                <w:highlight w:val="none"/>
              </w:rPr>
              <w:t>本项目不收取竞标保证金。</w:t>
            </w:r>
          </w:p>
          <w:p w14:paraId="4AD385B6">
            <w:pPr>
              <w:pStyle w:val="12"/>
              <w:keepNext/>
              <w:keepLines/>
              <w:spacing w:before="162" w:line="227" w:lineRule="auto"/>
              <w:ind w:left="119"/>
              <w:rPr>
                <w:color w:val="auto"/>
                <w:highlight w:val="none"/>
              </w:rPr>
            </w:pPr>
            <w:r>
              <w:rPr>
                <w:rFonts w:hint="eastAsia" w:ascii="MS Mincho" w:hAnsi="MS Mincho" w:eastAsia="MS Mincho" w:cs="MS Mincho"/>
                <w:color w:val="auto"/>
                <w:spacing w:val="8"/>
                <w:highlight w:val="none"/>
                <w:lang w:eastAsia="zh-CN"/>
              </w:rPr>
              <w:t>□</w:t>
            </w:r>
            <w:r>
              <w:rPr>
                <w:color w:val="auto"/>
                <w:spacing w:val="8"/>
                <w:highlight w:val="none"/>
              </w:rPr>
              <w:t>本项目收取竞标保证金，具体规定如下：</w:t>
            </w:r>
          </w:p>
          <w:p w14:paraId="72F1E64E">
            <w:pPr>
              <w:pStyle w:val="12"/>
              <w:keepNext/>
              <w:keepLines/>
              <w:spacing w:before="164" w:line="226" w:lineRule="auto"/>
              <w:ind w:left="114"/>
              <w:rPr>
                <w:color w:val="auto"/>
                <w:highlight w:val="none"/>
              </w:rPr>
            </w:pPr>
            <w:r>
              <w:rPr>
                <w:color w:val="auto"/>
                <w:spacing w:val="8"/>
                <w:highlight w:val="none"/>
              </w:rPr>
              <w:t>竞标保证金金额：</w:t>
            </w:r>
            <w:r>
              <w:rPr>
                <w:color w:val="auto"/>
                <w:spacing w:val="8"/>
                <w:highlight w:val="none"/>
                <w:u w:val="single" w:color="auto"/>
              </w:rPr>
              <w:t>详见《第一章 竞争性谈判公告》</w:t>
            </w:r>
            <w:r>
              <w:rPr>
                <w:color w:val="auto"/>
                <w:spacing w:val="8"/>
                <w:highlight w:val="none"/>
              </w:rPr>
              <w:t>。</w:t>
            </w:r>
          </w:p>
          <w:p w14:paraId="1D28701D">
            <w:pPr>
              <w:pStyle w:val="12"/>
              <w:keepNext/>
              <w:keepLines/>
              <w:spacing w:before="161" w:line="377" w:lineRule="auto"/>
              <w:ind w:left="112" w:right="108" w:firstLine="1"/>
              <w:jc w:val="both"/>
              <w:rPr>
                <w:color w:val="auto"/>
                <w:highlight w:val="none"/>
              </w:rPr>
            </w:pPr>
            <w:r>
              <w:rPr>
                <w:color w:val="auto"/>
                <w:spacing w:val="13"/>
                <w:highlight w:val="none"/>
              </w:rPr>
              <w:t>竞标保证金的交纳方式：银行转账、支票、汇票、本票或者银行、保险机构出具的保函（包含电子保函</w:t>
            </w:r>
            <w:r>
              <w:rPr>
                <w:color w:val="auto"/>
                <w:spacing w:val="-1"/>
                <w:highlight w:val="none"/>
              </w:rPr>
              <w:t>）</w:t>
            </w:r>
            <w:r>
              <w:rPr>
                <w:color w:val="auto"/>
                <w:spacing w:val="-56"/>
                <w:highlight w:val="none"/>
              </w:rPr>
              <w:t xml:space="preserve"> </w:t>
            </w:r>
            <w:r>
              <w:rPr>
                <w:color w:val="auto"/>
                <w:spacing w:val="-1"/>
                <w:highlight w:val="none"/>
              </w:rPr>
              <w:t>，</w:t>
            </w:r>
            <w:r>
              <w:rPr>
                <w:color w:val="auto"/>
                <w:spacing w:val="13"/>
                <w:highlight w:val="none"/>
              </w:rPr>
              <w:t>禁止采用现钞方式。采用银行转账方式的，在响应文件提</w:t>
            </w:r>
            <w:r>
              <w:rPr>
                <w:color w:val="auto"/>
                <w:spacing w:val="12"/>
                <w:highlight w:val="none"/>
              </w:rPr>
              <w:t>交截止时间前交至指定账户并且到账（开户银行：</w:t>
            </w:r>
            <w:r>
              <w:rPr>
                <w:color w:val="auto"/>
                <w:spacing w:val="-48"/>
                <w:highlight w:val="none"/>
              </w:rPr>
              <w:t xml:space="preserve"> </w:t>
            </w:r>
            <w:r>
              <w:rPr>
                <w:rFonts w:hint="eastAsia"/>
                <w:color w:val="auto"/>
                <w:spacing w:val="12"/>
                <w:highlight w:val="none"/>
                <w:u w:val="single" w:color="auto"/>
                <w:lang w:val="en-US" w:eastAsia="zh-CN"/>
              </w:rPr>
              <w:t>/</w:t>
            </w:r>
            <w:r>
              <w:rPr>
                <w:color w:val="auto"/>
                <w:spacing w:val="-74"/>
                <w:highlight w:val="none"/>
              </w:rPr>
              <w:t xml:space="preserve"> </w:t>
            </w:r>
            <w:r>
              <w:rPr>
                <w:color w:val="auto"/>
                <w:spacing w:val="-3"/>
                <w:highlight w:val="none"/>
              </w:rPr>
              <w:t>，</w:t>
            </w:r>
            <w:r>
              <w:rPr>
                <w:color w:val="auto"/>
                <w:spacing w:val="-34"/>
                <w:highlight w:val="none"/>
              </w:rPr>
              <w:t xml:space="preserve"> </w:t>
            </w:r>
            <w:r>
              <w:rPr>
                <w:color w:val="auto"/>
                <w:spacing w:val="-3"/>
                <w:highlight w:val="none"/>
              </w:rPr>
              <w:t>开</w:t>
            </w:r>
            <w:r>
              <w:rPr>
                <w:color w:val="auto"/>
                <w:spacing w:val="-43"/>
                <w:highlight w:val="none"/>
              </w:rPr>
              <w:t xml:space="preserve"> </w:t>
            </w:r>
            <w:r>
              <w:rPr>
                <w:color w:val="auto"/>
                <w:spacing w:val="-3"/>
                <w:highlight w:val="none"/>
              </w:rPr>
              <w:t>户名</w:t>
            </w:r>
            <w:r>
              <w:rPr>
                <w:color w:val="auto"/>
                <w:spacing w:val="-45"/>
                <w:highlight w:val="none"/>
              </w:rPr>
              <w:t xml:space="preserve"> </w:t>
            </w:r>
            <w:r>
              <w:rPr>
                <w:color w:val="auto"/>
                <w:spacing w:val="-3"/>
                <w:highlight w:val="none"/>
              </w:rPr>
              <w:t>称</w:t>
            </w:r>
            <w:r>
              <w:rPr>
                <w:color w:val="auto"/>
                <w:spacing w:val="-24"/>
                <w:highlight w:val="none"/>
              </w:rPr>
              <w:t xml:space="preserve"> </w:t>
            </w:r>
            <w:r>
              <w:rPr>
                <w:color w:val="auto"/>
                <w:spacing w:val="-3"/>
                <w:highlight w:val="none"/>
              </w:rPr>
              <w:t>：</w:t>
            </w:r>
            <w:r>
              <w:rPr>
                <w:color w:val="auto"/>
                <w:spacing w:val="-46"/>
                <w:highlight w:val="none"/>
              </w:rPr>
              <w:t xml:space="preserve"> </w:t>
            </w:r>
            <w:r>
              <w:rPr>
                <w:color w:val="auto"/>
                <w:spacing w:val="-86"/>
                <w:highlight w:val="none"/>
                <w:u w:val="single" w:color="auto"/>
              </w:rPr>
              <w:t xml:space="preserve"> </w:t>
            </w:r>
            <w:r>
              <w:rPr>
                <w:rFonts w:hint="eastAsia"/>
                <w:color w:val="auto"/>
                <w:spacing w:val="-3"/>
                <w:highlight w:val="none"/>
                <w:u w:val="single" w:color="auto"/>
                <w:lang w:val="en-US" w:eastAsia="zh-CN"/>
              </w:rPr>
              <w:t>/</w:t>
            </w:r>
            <w:r>
              <w:rPr>
                <w:color w:val="auto"/>
                <w:spacing w:val="-50"/>
                <w:highlight w:val="none"/>
                <w:u w:val="single" w:color="auto"/>
              </w:rPr>
              <w:t xml:space="preserve"> </w:t>
            </w:r>
            <w:r>
              <w:rPr>
                <w:color w:val="auto"/>
                <w:spacing w:val="-75"/>
                <w:highlight w:val="none"/>
              </w:rPr>
              <w:t xml:space="preserve"> </w:t>
            </w:r>
            <w:r>
              <w:rPr>
                <w:color w:val="auto"/>
                <w:spacing w:val="-3"/>
                <w:highlight w:val="none"/>
              </w:rPr>
              <w:t>，</w:t>
            </w:r>
            <w:r>
              <w:rPr>
                <w:color w:val="auto"/>
                <w:spacing w:val="-34"/>
                <w:highlight w:val="none"/>
              </w:rPr>
              <w:t xml:space="preserve"> </w:t>
            </w:r>
            <w:r>
              <w:rPr>
                <w:color w:val="auto"/>
                <w:spacing w:val="-3"/>
                <w:highlight w:val="none"/>
              </w:rPr>
              <w:t>银</w:t>
            </w:r>
            <w:r>
              <w:rPr>
                <w:color w:val="auto"/>
                <w:spacing w:val="-41"/>
                <w:highlight w:val="none"/>
              </w:rPr>
              <w:t xml:space="preserve"> </w:t>
            </w:r>
            <w:r>
              <w:rPr>
                <w:color w:val="auto"/>
                <w:spacing w:val="-4"/>
                <w:highlight w:val="none"/>
              </w:rPr>
              <w:t>行</w:t>
            </w:r>
            <w:r>
              <w:rPr>
                <w:color w:val="auto"/>
                <w:spacing w:val="-38"/>
                <w:highlight w:val="none"/>
              </w:rPr>
              <w:t xml:space="preserve"> </w:t>
            </w:r>
            <w:r>
              <w:rPr>
                <w:color w:val="auto"/>
                <w:spacing w:val="-4"/>
                <w:highlight w:val="none"/>
              </w:rPr>
              <w:t>账</w:t>
            </w:r>
            <w:r>
              <w:rPr>
                <w:color w:val="auto"/>
                <w:spacing w:val="-39"/>
                <w:highlight w:val="none"/>
              </w:rPr>
              <w:t xml:space="preserve"> </w:t>
            </w:r>
            <w:r>
              <w:rPr>
                <w:color w:val="auto"/>
                <w:spacing w:val="-4"/>
                <w:highlight w:val="none"/>
              </w:rPr>
              <w:t>号</w:t>
            </w:r>
            <w:r>
              <w:rPr>
                <w:color w:val="auto"/>
                <w:spacing w:val="-49"/>
                <w:highlight w:val="none"/>
              </w:rPr>
              <w:t xml:space="preserve"> </w:t>
            </w:r>
            <w:r>
              <w:rPr>
                <w:color w:val="auto"/>
                <w:spacing w:val="-4"/>
                <w:highlight w:val="none"/>
              </w:rPr>
              <w:t>：</w:t>
            </w:r>
            <w:r>
              <w:rPr>
                <w:rFonts w:hint="eastAsia"/>
                <w:color w:val="auto"/>
                <w:spacing w:val="8"/>
                <w:highlight w:val="none"/>
                <w:u w:val="single" w:color="auto"/>
                <w:lang w:val="en-US" w:eastAsia="zh-CN"/>
              </w:rPr>
              <w:t>/</w:t>
            </w:r>
            <w:r>
              <w:rPr>
                <w:color w:val="auto"/>
                <w:spacing w:val="16"/>
                <w:highlight w:val="none"/>
              </w:rPr>
              <w:t>）；</w:t>
            </w:r>
            <w:r>
              <w:rPr>
                <w:color w:val="auto"/>
                <w:spacing w:val="8"/>
                <w:highlight w:val="none"/>
              </w:rPr>
              <w:t>采用支票、汇票、本票或者保函（电子保函除外）等方式</w:t>
            </w:r>
            <w:r>
              <w:rPr>
                <w:color w:val="auto"/>
                <w:spacing w:val="13"/>
                <w:highlight w:val="none"/>
              </w:rPr>
              <w:t>的，在响应文件提交截止时间前，供应商必须提交单独密封的支票、汇票、本票或</w:t>
            </w:r>
            <w:r>
              <w:rPr>
                <w:color w:val="auto"/>
                <w:spacing w:val="8"/>
                <w:highlight w:val="none"/>
              </w:rPr>
              <w:t>者保函（电子保函除外）原件。</w:t>
            </w:r>
            <w:r>
              <w:rPr>
                <w:b/>
                <w:bCs/>
                <w:color w:val="auto"/>
                <w:spacing w:val="8"/>
                <w:highlight w:val="none"/>
              </w:rPr>
              <w:t>否则视为无效竞标保证金。</w:t>
            </w:r>
          </w:p>
          <w:p w14:paraId="09C42C50">
            <w:pPr>
              <w:pStyle w:val="12"/>
              <w:keepNext/>
              <w:keepLines/>
              <w:spacing w:line="228" w:lineRule="auto"/>
              <w:ind w:left="111"/>
              <w:rPr>
                <w:color w:val="auto"/>
                <w:highlight w:val="none"/>
              </w:rPr>
            </w:pPr>
            <w:r>
              <w:rPr>
                <w:color w:val="auto"/>
                <w:spacing w:val="5"/>
                <w:highlight w:val="none"/>
              </w:rPr>
              <w:t>相关要求：</w:t>
            </w:r>
          </w:p>
          <w:p w14:paraId="4744A0CC">
            <w:pPr>
              <w:pStyle w:val="12"/>
              <w:keepNext/>
              <w:keepLines/>
              <w:spacing w:before="162" w:line="377" w:lineRule="auto"/>
              <w:ind w:left="113" w:right="108" w:firstLine="13"/>
              <w:rPr>
                <w:color w:val="auto"/>
                <w:highlight w:val="none"/>
              </w:rPr>
            </w:pPr>
            <w:r>
              <w:rPr>
                <w:color w:val="auto"/>
                <w:spacing w:val="13"/>
                <w:highlight w:val="none"/>
              </w:rPr>
              <w:t>1.竞标保证金采用银行转账交纳方式的，在响应文件提</w:t>
            </w:r>
            <w:r>
              <w:rPr>
                <w:color w:val="auto"/>
                <w:spacing w:val="12"/>
                <w:highlight w:val="none"/>
              </w:rPr>
              <w:t>交截止时间前交至指定账户</w:t>
            </w:r>
            <w:r>
              <w:rPr>
                <w:color w:val="auto"/>
                <w:spacing w:val="13"/>
                <w:highlight w:val="none"/>
              </w:rPr>
              <w:t>并且到账，供应商应将银行转账底单的复印件作为竞标保证金提交凭证，放置于商</w:t>
            </w:r>
            <w:r>
              <w:rPr>
                <w:color w:val="auto"/>
                <w:spacing w:val="8"/>
                <w:highlight w:val="none"/>
              </w:rPr>
              <w:t>务技术文件中，</w:t>
            </w:r>
            <w:r>
              <w:rPr>
                <w:b/>
                <w:bCs/>
                <w:color w:val="auto"/>
                <w:spacing w:val="8"/>
                <w:highlight w:val="none"/>
              </w:rPr>
              <w:t>否则响应文件按无效响应处理</w:t>
            </w:r>
            <w:r>
              <w:rPr>
                <w:color w:val="auto"/>
                <w:spacing w:val="8"/>
                <w:highlight w:val="none"/>
              </w:rPr>
              <w:t>。</w:t>
            </w:r>
          </w:p>
          <w:p w14:paraId="588BB298">
            <w:pPr>
              <w:pStyle w:val="12"/>
              <w:keepNext/>
              <w:keepLines/>
              <w:spacing w:line="377" w:lineRule="auto"/>
              <w:ind w:left="110" w:right="108" w:firstLine="4"/>
              <w:rPr>
                <w:color w:val="auto"/>
                <w:highlight w:val="none"/>
              </w:rPr>
            </w:pPr>
            <w:r>
              <w:rPr>
                <w:color w:val="auto"/>
                <w:spacing w:val="13"/>
                <w:highlight w:val="none"/>
              </w:rPr>
              <w:t>2.竞标保证金采用支票、汇票、本票或者银行、保险机构出具的保函（包含电子保</w:t>
            </w:r>
            <w:r>
              <w:rPr>
                <w:color w:val="auto"/>
                <w:spacing w:val="18"/>
                <w:highlight w:val="none"/>
              </w:rPr>
              <w:t>函）</w:t>
            </w:r>
            <w:r>
              <w:rPr>
                <w:color w:val="auto"/>
                <w:spacing w:val="-44"/>
                <w:highlight w:val="none"/>
              </w:rPr>
              <w:t xml:space="preserve"> </w:t>
            </w:r>
            <w:r>
              <w:rPr>
                <w:color w:val="auto"/>
                <w:spacing w:val="18"/>
                <w:highlight w:val="none"/>
              </w:rPr>
              <w:t>交纳方式的，供应商应将支票、汇票、本票或者银行、保险机构出具的保函</w:t>
            </w:r>
            <w:r>
              <w:rPr>
                <w:color w:val="auto"/>
                <w:spacing w:val="12"/>
                <w:highlight w:val="none"/>
              </w:rPr>
              <w:t>（包含电子保函）</w:t>
            </w:r>
            <w:r>
              <w:rPr>
                <w:color w:val="auto"/>
                <w:spacing w:val="-50"/>
                <w:highlight w:val="none"/>
              </w:rPr>
              <w:t xml:space="preserve"> </w:t>
            </w:r>
            <w:r>
              <w:rPr>
                <w:color w:val="auto"/>
                <w:spacing w:val="12"/>
                <w:highlight w:val="none"/>
              </w:rPr>
              <w:t>的复印件作为竞标保证金提交凭证，放置于商务技术文件中，</w:t>
            </w:r>
            <w:r>
              <w:rPr>
                <w:b/>
                <w:bCs/>
                <w:color w:val="auto"/>
                <w:spacing w:val="12"/>
                <w:highlight w:val="none"/>
              </w:rPr>
              <w:t>否</w:t>
            </w:r>
            <w:r>
              <w:rPr>
                <w:b/>
                <w:bCs/>
                <w:color w:val="auto"/>
                <w:spacing w:val="13"/>
                <w:highlight w:val="none"/>
              </w:rPr>
              <w:t>则响应文件按无效处理</w:t>
            </w:r>
            <w:r>
              <w:rPr>
                <w:color w:val="auto"/>
                <w:spacing w:val="13"/>
                <w:highlight w:val="none"/>
              </w:rPr>
              <w:t>。供应商必须在响应文件提交截止时间前采用现场或邮</w:t>
            </w:r>
            <w:r>
              <w:rPr>
                <w:color w:val="auto"/>
                <w:spacing w:val="12"/>
                <w:highlight w:val="none"/>
              </w:rPr>
              <w:t>寄方</w:t>
            </w:r>
            <w:r>
              <w:rPr>
                <w:color w:val="auto"/>
                <w:spacing w:val="13"/>
                <w:highlight w:val="none"/>
              </w:rPr>
              <w:t>式（现场提交地址或邮寄地址：</w:t>
            </w:r>
            <w:r>
              <w:rPr>
                <w:color w:val="auto"/>
                <w:spacing w:val="-52"/>
                <w:highlight w:val="none"/>
                <w:u w:val="single" w:color="auto"/>
              </w:rPr>
              <w:t xml:space="preserve"> </w:t>
            </w:r>
            <w:r>
              <w:rPr>
                <w:rFonts w:hint="eastAsia" w:ascii="宋体" w:hAnsi="宋体"/>
                <w:color w:val="auto"/>
                <w:szCs w:val="21"/>
                <w:highlight w:val="none"/>
                <w:u w:val="single" w:color="auto"/>
              </w:rPr>
              <w:t>北海市海城区北京路49号桂成花园B座1602号</w:t>
            </w:r>
            <w:r>
              <w:rPr>
                <w:rFonts w:hint="eastAsia"/>
                <w:color w:val="auto"/>
                <w:spacing w:val="10"/>
                <w:highlight w:val="none"/>
                <w:u w:val="single" w:color="auto"/>
                <w:lang w:eastAsia="zh-CN"/>
              </w:rPr>
              <w:t>广西同泽工程项目管理股份有限公司</w:t>
            </w:r>
            <w:r>
              <w:rPr>
                <w:color w:val="auto"/>
                <w:spacing w:val="10"/>
                <w:highlight w:val="none"/>
                <w:u w:val="single" w:color="auto"/>
              </w:rPr>
              <w:t>。</w:t>
            </w:r>
            <w:r>
              <w:rPr>
                <w:b/>
                <w:bCs/>
                <w:color w:val="auto"/>
                <w:spacing w:val="10"/>
                <w:highlight w:val="none"/>
                <w:u w:val="single" w:color="auto"/>
              </w:rPr>
              <w:t>本项目拒收到付邮件，通过邮寄</w:t>
            </w:r>
            <w:r>
              <w:rPr>
                <w:b/>
                <w:bCs/>
                <w:color w:val="auto"/>
                <w:spacing w:val="9"/>
                <w:highlight w:val="none"/>
                <w:u w:val="single" w:color="auto"/>
              </w:rPr>
              <w:t>方式送达的，请</w:t>
            </w:r>
            <w:r>
              <w:rPr>
                <w:b/>
                <w:bCs/>
                <w:color w:val="auto"/>
                <w:spacing w:val="11"/>
                <w:highlight w:val="none"/>
                <w:u w:val="single" w:color="auto"/>
              </w:rPr>
              <w:t>合理安排邮寄时间，因邮寄原因未能在规定时间内送达的后果由供应商自行承担，逾期送达按无效响应处理</w:t>
            </w:r>
            <w:r>
              <w:rPr>
                <w:color w:val="auto"/>
                <w:spacing w:val="11"/>
                <w:highlight w:val="none"/>
              </w:rPr>
              <w:t>，收件人：</w:t>
            </w:r>
            <w:r>
              <w:rPr>
                <w:rFonts w:hint="eastAsia" w:ascii="宋体" w:hAnsi="宋体" w:cs="宋体"/>
                <w:color w:val="auto"/>
                <w:kern w:val="0"/>
                <w:szCs w:val="21"/>
                <w:highlight w:val="none"/>
              </w:rPr>
              <w:t>陆珍花、奉云、</w:t>
            </w:r>
            <w:r>
              <w:rPr>
                <w:rFonts w:hint="eastAsia" w:ascii="宋体" w:hAnsi="宋体" w:cs="宋体"/>
                <w:color w:val="auto"/>
                <w:kern w:val="0"/>
                <w:szCs w:val="21"/>
                <w:highlight w:val="none"/>
                <w:lang w:val="en-US" w:eastAsia="zh-CN"/>
              </w:rPr>
              <w:t>谭晓妮、</w:t>
            </w:r>
            <w:r>
              <w:rPr>
                <w:rFonts w:hint="eastAsia" w:ascii="宋体" w:hAnsi="宋体" w:cs="宋体"/>
                <w:color w:val="auto"/>
                <w:kern w:val="0"/>
                <w:szCs w:val="21"/>
                <w:highlight w:val="none"/>
              </w:rPr>
              <w:t>农英民</w:t>
            </w:r>
            <w:r>
              <w:rPr>
                <w:color w:val="auto"/>
                <w:spacing w:val="11"/>
                <w:highlight w:val="none"/>
              </w:rPr>
              <w:t>，联系方式：</w:t>
            </w:r>
            <w:r>
              <w:rPr>
                <w:rFonts w:hint="eastAsia" w:ascii="宋体" w:hAnsi="宋体" w:cs="宋体"/>
                <w:color w:val="auto"/>
                <w:szCs w:val="21"/>
                <w:highlight w:val="none"/>
              </w:rPr>
              <w:t>0779-2026225、0771-5590176</w:t>
            </w:r>
            <w:r>
              <w:rPr>
                <w:color w:val="auto"/>
                <w:spacing w:val="11"/>
                <w:highlight w:val="none"/>
              </w:rPr>
              <w:t>）将单独密</w:t>
            </w:r>
            <w:r>
              <w:rPr>
                <w:color w:val="auto"/>
                <w:spacing w:val="14"/>
                <w:highlight w:val="none"/>
              </w:rPr>
              <w:t>封的支票、汇票、本票或者银行、保险机构</w:t>
            </w:r>
            <w:r>
              <w:rPr>
                <w:color w:val="auto"/>
                <w:spacing w:val="13"/>
                <w:highlight w:val="none"/>
              </w:rPr>
              <w:t>出具的保函（电子保函除外）原件提交</w:t>
            </w:r>
            <w:r>
              <w:rPr>
                <w:color w:val="auto"/>
                <w:spacing w:val="12"/>
                <w:highlight w:val="none"/>
              </w:rPr>
              <w:t>给采购人或者采购代理机构，</w:t>
            </w:r>
            <w:r>
              <w:rPr>
                <w:color w:val="auto"/>
                <w:spacing w:val="-46"/>
                <w:highlight w:val="none"/>
              </w:rPr>
              <w:t xml:space="preserve"> </w:t>
            </w:r>
            <w:r>
              <w:rPr>
                <w:color w:val="auto"/>
                <w:spacing w:val="12"/>
                <w:highlight w:val="none"/>
              </w:rPr>
              <w:t>由采购人或者采购代理机构向供应商出具回执（邮寄</w:t>
            </w:r>
            <w:r>
              <w:rPr>
                <w:color w:val="auto"/>
                <w:spacing w:val="7"/>
                <w:highlight w:val="none"/>
              </w:rPr>
              <w:t>方式的除外</w:t>
            </w:r>
            <w:r>
              <w:rPr>
                <w:color w:val="auto"/>
                <w:spacing w:val="16"/>
                <w:highlight w:val="none"/>
              </w:rPr>
              <w:t>），</w:t>
            </w:r>
            <w:r>
              <w:rPr>
                <w:color w:val="auto"/>
                <w:spacing w:val="7"/>
                <w:highlight w:val="none"/>
              </w:rPr>
              <w:t>并妥善保管。</w:t>
            </w:r>
          </w:p>
          <w:p w14:paraId="3C13D3B4">
            <w:pPr>
              <w:pStyle w:val="12"/>
              <w:keepNext/>
              <w:keepLines/>
              <w:spacing w:before="1" w:line="226" w:lineRule="auto"/>
              <w:ind w:left="115"/>
              <w:rPr>
                <w:color w:val="auto"/>
                <w:highlight w:val="none"/>
              </w:rPr>
            </w:pPr>
            <w:r>
              <w:rPr>
                <w:color w:val="auto"/>
                <w:spacing w:val="13"/>
                <w:highlight w:val="none"/>
              </w:rPr>
              <w:t>3.供应商为联合体的，可以由联合体中的一方或者多方共同交纳竞标保证金，其交</w:t>
            </w:r>
          </w:p>
        </w:tc>
      </w:tr>
    </w:tbl>
    <w:p w14:paraId="5876DFDF">
      <w:pPr>
        <w:keepNext/>
        <w:keepLines/>
        <w:spacing w:line="53" w:lineRule="exact"/>
        <w:rPr>
          <w:rFonts w:ascii="Arial"/>
          <w:color w:val="auto"/>
          <w:sz w:val="4"/>
          <w:highlight w:val="none"/>
        </w:rPr>
      </w:pPr>
    </w:p>
    <w:p w14:paraId="5A0831D8">
      <w:pPr>
        <w:keepNext/>
        <w:keepLines/>
        <w:spacing w:line="53" w:lineRule="exact"/>
        <w:rPr>
          <w:rFonts w:ascii="Arial" w:hAnsi="Arial" w:eastAsia="Arial" w:cs="Arial"/>
          <w:color w:val="auto"/>
          <w:sz w:val="4"/>
          <w:szCs w:val="4"/>
          <w:highlight w:val="none"/>
        </w:rPr>
        <w:sectPr>
          <w:footerReference r:id="rId11" w:type="default"/>
          <w:pgSz w:w="11910" w:h="16840"/>
          <w:pgMar w:top="1340" w:right="1408" w:bottom="1091" w:left="1588" w:header="0" w:footer="929" w:gutter="0"/>
          <w:pgNumType w:fmt="decimal"/>
          <w:cols w:space="720" w:num="1"/>
        </w:sectPr>
      </w:pPr>
    </w:p>
    <w:tbl>
      <w:tblPr>
        <w:tblStyle w:val="11"/>
        <w:tblW w:w="89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8302"/>
      </w:tblGrid>
      <w:tr w14:paraId="5C4AA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7" w:hRule="atLeast"/>
        </w:trPr>
        <w:tc>
          <w:tcPr>
            <w:tcW w:w="681" w:type="dxa"/>
            <w:vAlign w:val="top"/>
          </w:tcPr>
          <w:p w14:paraId="3E599D6C">
            <w:pPr>
              <w:keepNext/>
              <w:keepLines/>
              <w:rPr>
                <w:rFonts w:ascii="Arial"/>
                <w:color w:val="auto"/>
                <w:sz w:val="21"/>
                <w:highlight w:val="none"/>
              </w:rPr>
            </w:pPr>
          </w:p>
        </w:tc>
        <w:tc>
          <w:tcPr>
            <w:tcW w:w="8302" w:type="dxa"/>
            <w:vAlign w:val="top"/>
          </w:tcPr>
          <w:p w14:paraId="5439D5D9">
            <w:pPr>
              <w:pStyle w:val="12"/>
              <w:keepNext/>
              <w:keepLines/>
              <w:spacing w:before="36" w:line="228" w:lineRule="auto"/>
              <w:ind w:left="113"/>
              <w:rPr>
                <w:color w:val="auto"/>
                <w:highlight w:val="none"/>
              </w:rPr>
            </w:pPr>
            <w:r>
              <w:rPr>
                <w:color w:val="auto"/>
                <w:spacing w:val="8"/>
                <w:highlight w:val="none"/>
              </w:rPr>
              <w:t>纳的保证金对联合体各方均具有约束力。</w:t>
            </w:r>
          </w:p>
          <w:p w14:paraId="77677AA4">
            <w:pPr>
              <w:pStyle w:val="12"/>
              <w:keepNext/>
              <w:keepLines/>
              <w:spacing w:before="161" w:line="229" w:lineRule="auto"/>
              <w:ind w:left="114"/>
              <w:rPr>
                <w:color w:val="auto"/>
                <w:highlight w:val="none"/>
              </w:rPr>
            </w:pPr>
            <w:r>
              <w:rPr>
                <w:b/>
                <w:bCs/>
                <w:color w:val="auto"/>
                <w:spacing w:val="1"/>
                <w:highlight w:val="none"/>
              </w:rPr>
              <w:t>备注：</w:t>
            </w:r>
          </w:p>
          <w:p w14:paraId="33DFF77D">
            <w:pPr>
              <w:pStyle w:val="12"/>
              <w:keepNext/>
              <w:keepLines/>
              <w:spacing w:before="159" w:line="378" w:lineRule="auto"/>
              <w:ind w:left="114" w:right="160" w:firstLine="12"/>
              <w:rPr>
                <w:color w:val="auto"/>
                <w:highlight w:val="none"/>
              </w:rPr>
            </w:pPr>
            <w:r>
              <w:rPr>
                <w:b/>
                <w:bCs/>
                <w:color w:val="auto"/>
                <w:spacing w:val="9"/>
                <w:highlight w:val="none"/>
              </w:rPr>
              <w:t>1.竞标保证金在响应文件提交截止时间后提交的，或者不按规定交纳方式交纳的，</w:t>
            </w:r>
            <w:r>
              <w:rPr>
                <w:b/>
                <w:bCs/>
                <w:color w:val="auto"/>
                <w:spacing w:val="7"/>
                <w:highlight w:val="none"/>
              </w:rPr>
              <w:t>或者未足额交纳的（包含保函额度不足的</w:t>
            </w:r>
            <w:r>
              <w:rPr>
                <w:b/>
                <w:bCs/>
                <w:color w:val="auto"/>
                <w:spacing w:val="21"/>
                <w:highlight w:val="none"/>
              </w:rPr>
              <w:t>），</w:t>
            </w:r>
            <w:r>
              <w:rPr>
                <w:b/>
                <w:bCs/>
                <w:color w:val="auto"/>
                <w:spacing w:val="7"/>
                <w:highlight w:val="none"/>
              </w:rPr>
              <w:t>视为无效竞标保证金。</w:t>
            </w:r>
          </w:p>
          <w:p w14:paraId="6FB833DD">
            <w:pPr>
              <w:pStyle w:val="12"/>
              <w:keepNext/>
              <w:keepLines/>
              <w:spacing w:before="1" w:line="376" w:lineRule="auto"/>
              <w:ind w:left="114" w:right="108"/>
              <w:rPr>
                <w:color w:val="auto"/>
                <w:highlight w:val="none"/>
              </w:rPr>
            </w:pPr>
            <w:r>
              <w:rPr>
                <w:b/>
                <w:bCs/>
                <w:color w:val="auto"/>
                <w:spacing w:val="9"/>
                <w:highlight w:val="none"/>
              </w:rPr>
              <w:t>2.供应商采用现钞方式或者从个人账户（</w:t>
            </w:r>
            <w:r>
              <w:rPr>
                <w:color w:val="auto"/>
                <w:spacing w:val="-22"/>
                <w:highlight w:val="none"/>
              </w:rPr>
              <w:t xml:space="preserve"> </w:t>
            </w:r>
            <w:r>
              <w:rPr>
                <w:b/>
                <w:bCs/>
                <w:color w:val="auto"/>
                <w:spacing w:val="9"/>
                <w:highlight w:val="none"/>
              </w:rPr>
              <w:t>自然人竞标除外）转出的竞</w:t>
            </w:r>
            <w:r>
              <w:rPr>
                <w:b/>
                <w:bCs/>
                <w:color w:val="auto"/>
                <w:spacing w:val="8"/>
                <w:highlight w:val="none"/>
              </w:rPr>
              <w:t>标保证金，视</w:t>
            </w:r>
            <w:r>
              <w:rPr>
                <w:b/>
                <w:bCs/>
                <w:color w:val="auto"/>
                <w:spacing w:val="6"/>
                <w:highlight w:val="none"/>
              </w:rPr>
              <w:t>为无效竞标保证金。</w:t>
            </w:r>
          </w:p>
          <w:p w14:paraId="64A2B04D">
            <w:pPr>
              <w:pStyle w:val="12"/>
              <w:keepNext/>
              <w:keepLines/>
              <w:spacing w:line="226" w:lineRule="auto"/>
              <w:ind w:left="115"/>
              <w:rPr>
                <w:color w:val="auto"/>
                <w:highlight w:val="none"/>
              </w:rPr>
            </w:pPr>
            <w:r>
              <w:rPr>
                <w:b/>
                <w:bCs/>
                <w:color w:val="auto"/>
                <w:spacing w:val="8"/>
                <w:highlight w:val="none"/>
              </w:rPr>
              <w:t>3.支票、汇票或者本票出现无效或者背书</w:t>
            </w:r>
            <w:r>
              <w:rPr>
                <w:b/>
                <w:bCs/>
                <w:color w:val="auto"/>
                <w:spacing w:val="7"/>
                <w:highlight w:val="none"/>
              </w:rPr>
              <w:t>情形的，视为无效竞标保证金。</w:t>
            </w:r>
          </w:p>
          <w:p w14:paraId="470B1ABC">
            <w:pPr>
              <w:pStyle w:val="12"/>
              <w:keepNext/>
              <w:keepLines/>
              <w:spacing w:before="162" w:line="228" w:lineRule="auto"/>
              <w:ind w:left="110"/>
              <w:rPr>
                <w:color w:val="auto"/>
                <w:highlight w:val="none"/>
              </w:rPr>
            </w:pPr>
            <w:r>
              <w:rPr>
                <w:b/>
                <w:bCs/>
                <w:color w:val="auto"/>
                <w:spacing w:val="7"/>
                <w:highlight w:val="none"/>
              </w:rPr>
              <w:t>4.保函有效期低于竞标有效期的，视为无效竞标保证金。</w:t>
            </w:r>
          </w:p>
          <w:p w14:paraId="68579E3D">
            <w:pPr>
              <w:pStyle w:val="12"/>
              <w:keepNext/>
              <w:keepLines/>
              <w:spacing w:before="163" w:line="359" w:lineRule="auto"/>
              <w:ind w:left="113" w:right="108" w:firstLine="2"/>
              <w:rPr>
                <w:color w:val="auto"/>
                <w:highlight w:val="none"/>
              </w:rPr>
            </w:pPr>
            <w:r>
              <w:rPr>
                <w:b/>
                <w:bCs/>
                <w:color w:val="auto"/>
                <w:spacing w:val="11"/>
                <w:highlight w:val="none"/>
              </w:rPr>
              <w:t>5.竞标保证金采用银行、保险机构出具的保函为有条件保函的，视为无效</w:t>
            </w:r>
            <w:r>
              <w:rPr>
                <w:b/>
                <w:bCs/>
                <w:color w:val="auto"/>
                <w:spacing w:val="10"/>
                <w:highlight w:val="none"/>
              </w:rPr>
              <w:t>竞标保证</w:t>
            </w:r>
            <w:r>
              <w:rPr>
                <w:b/>
                <w:bCs/>
                <w:color w:val="auto"/>
                <w:spacing w:val="-3"/>
                <w:highlight w:val="none"/>
              </w:rPr>
              <w:t>金。</w:t>
            </w:r>
          </w:p>
        </w:tc>
      </w:tr>
      <w:tr w14:paraId="3184C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1" w:type="dxa"/>
            <w:vAlign w:val="top"/>
          </w:tcPr>
          <w:p w14:paraId="103018BC">
            <w:pPr>
              <w:keepNext/>
              <w:keepLines/>
              <w:spacing w:line="255" w:lineRule="auto"/>
              <w:rPr>
                <w:rFonts w:ascii="Arial"/>
                <w:color w:val="auto"/>
                <w:sz w:val="21"/>
                <w:highlight w:val="none"/>
              </w:rPr>
            </w:pPr>
          </w:p>
          <w:p w14:paraId="538FD0A2">
            <w:pPr>
              <w:keepNext/>
              <w:keepLines/>
              <w:spacing w:line="255" w:lineRule="auto"/>
              <w:rPr>
                <w:rFonts w:ascii="Arial"/>
                <w:color w:val="auto"/>
                <w:sz w:val="21"/>
                <w:highlight w:val="none"/>
              </w:rPr>
            </w:pPr>
          </w:p>
          <w:p w14:paraId="114FD56B">
            <w:pPr>
              <w:keepNext/>
              <w:keepLines/>
              <w:spacing w:line="255" w:lineRule="auto"/>
              <w:rPr>
                <w:rFonts w:ascii="Arial"/>
                <w:color w:val="auto"/>
                <w:sz w:val="21"/>
                <w:highlight w:val="none"/>
              </w:rPr>
            </w:pPr>
          </w:p>
          <w:p w14:paraId="33746A63">
            <w:pPr>
              <w:keepNext/>
              <w:keepLines/>
              <w:spacing w:line="255" w:lineRule="auto"/>
              <w:rPr>
                <w:rFonts w:ascii="Arial"/>
                <w:color w:val="auto"/>
                <w:sz w:val="21"/>
                <w:highlight w:val="none"/>
              </w:rPr>
            </w:pPr>
          </w:p>
          <w:p w14:paraId="691F66D5">
            <w:pPr>
              <w:keepNext/>
              <w:keepLines/>
              <w:spacing w:line="255" w:lineRule="auto"/>
              <w:rPr>
                <w:rFonts w:ascii="Arial"/>
                <w:color w:val="auto"/>
                <w:sz w:val="21"/>
                <w:highlight w:val="none"/>
              </w:rPr>
            </w:pPr>
          </w:p>
          <w:p w14:paraId="75356E8F">
            <w:pPr>
              <w:keepNext/>
              <w:keepLines/>
              <w:spacing w:line="255" w:lineRule="auto"/>
              <w:rPr>
                <w:rFonts w:ascii="Arial"/>
                <w:color w:val="auto"/>
                <w:sz w:val="21"/>
                <w:highlight w:val="none"/>
              </w:rPr>
            </w:pPr>
          </w:p>
          <w:p w14:paraId="6A68C535">
            <w:pPr>
              <w:keepNext/>
              <w:keepLines/>
              <w:spacing w:line="255" w:lineRule="auto"/>
              <w:rPr>
                <w:rFonts w:ascii="Arial"/>
                <w:color w:val="auto"/>
                <w:sz w:val="21"/>
                <w:highlight w:val="none"/>
              </w:rPr>
            </w:pPr>
          </w:p>
          <w:p w14:paraId="15CD26DD">
            <w:pPr>
              <w:keepNext/>
              <w:keepLines/>
              <w:spacing w:line="255" w:lineRule="auto"/>
              <w:rPr>
                <w:rFonts w:ascii="Arial"/>
                <w:color w:val="auto"/>
                <w:sz w:val="21"/>
                <w:highlight w:val="none"/>
              </w:rPr>
            </w:pPr>
          </w:p>
          <w:p w14:paraId="5F50781A">
            <w:pPr>
              <w:keepNext/>
              <w:keepLines/>
              <w:spacing w:line="255" w:lineRule="auto"/>
              <w:rPr>
                <w:rFonts w:ascii="Arial"/>
                <w:color w:val="auto"/>
                <w:sz w:val="21"/>
                <w:highlight w:val="none"/>
              </w:rPr>
            </w:pPr>
          </w:p>
          <w:p w14:paraId="0482C043">
            <w:pPr>
              <w:keepNext/>
              <w:keepLines/>
              <w:spacing w:line="255" w:lineRule="auto"/>
              <w:rPr>
                <w:rFonts w:ascii="Arial"/>
                <w:color w:val="auto"/>
                <w:sz w:val="21"/>
                <w:highlight w:val="none"/>
              </w:rPr>
            </w:pPr>
          </w:p>
          <w:p w14:paraId="3C92410B">
            <w:pPr>
              <w:keepNext/>
              <w:keepLines/>
              <w:spacing w:line="255" w:lineRule="auto"/>
              <w:rPr>
                <w:rFonts w:ascii="Arial"/>
                <w:color w:val="auto"/>
                <w:sz w:val="21"/>
                <w:highlight w:val="none"/>
              </w:rPr>
            </w:pPr>
          </w:p>
          <w:p w14:paraId="28929038">
            <w:pPr>
              <w:keepNext/>
              <w:keepLines/>
              <w:spacing w:line="255" w:lineRule="auto"/>
              <w:rPr>
                <w:rFonts w:ascii="Arial"/>
                <w:color w:val="auto"/>
                <w:sz w:val="21"/>
                <w:highlight w:val="none"/>
              </w:rPr>
            </w:pPr>
          </w:p>
          <w:p w14:paraId="06DCA79D">
            <w:pPr>
              <w:keepNext/>
              <w:keepLines/>
              <w:spacing w:line="255" w:lineRule="auto"/>
              <w:rPr>
                <w:rFonts w:ascii="Arial"/>
                <w:color w:val="auto"/>
                <w:sz w:val="21"/>
                <w:highlight w:val="none"/>
              </w:rPr>
            </w:pPr>
          </w:p>
          <w:p w14:paraId="40607FA4">
            <w:pPr>
              <w:keepNext/>
              <w:keepLines/>
              <w:spacing w:line="255" w:lineRule="auto"/>
              <w:rPr>
                <w:rFonts w:ascii="Arial"/>
                <w:color w:val="auto"/>
                <w:sz w:val="21"/>
                <w:highlight w:val="none"/>
              </w:rPr>
            </w:pPr>
          </w:p>
          <w:p w14:paraId="3457411F">
            <w:pPr>
              <w:keepNext/>
              <w:keepLines/>
              <w:spacing w:line="255" w:lineRule="auto"/>
              <w:rPr>
                <w:rFonts w:ascii="Arial"/>
                <w:color w:val="auto"/>
                <w:sz w:val="21"/>
                <w:highlight w:val="none"/>
              </w:rPr>
            </w:pPr>
          </w:p>
          <w:p w14:paraId="385771BD">
            <w:pPr>
              <w:pStyle w:val="12"/>
              <w:keepNext/>
              <w:keepLines/>
              <w:spacing w:before="65" w:line="268" w:lineRule="exact"/>
              <w:ind w:left="415"/>
              <w:rPr>
                <w:color w:val="auto"/>
                <w:highlight w:val="none"/>
              </w:rPr>
            </w:pPr>
            <w:r>
              <w:rPr>
                <w:color w:val="auto"/>
                <w:spacing w:val="-7"/>
                <w:position w:val="1"/>
                <w:highlight w:val="none"/>
              </w:rPr>
              <w:t>19</w:t>
            </w:r>
          </w:p>
        </w:tc>
        <w:tc>
          <w:tcPr>
            <w:tcW w:w="8302" w:type="dxa"/>
            <w:vAlign w:val="top"/>
          </w:tcPr>
          <w:p w14:paraId="6AEC8DFC">
            <w:pPr>
              <w:pStyle w:val="12"/>
              <w:keepNext/>
              <w:keepLines/>
              <w:spacing w:before="32" w:line="378" w:lineRule="auto"/>
              <w:ind w:left="119" w:right="4496" w:firstLine="13"/>
              <w:rPr>
                <w:color w:val="auto"/>
                <w:spacing w:val="4"/>
                <w:highlight w:val="none"/>
              </w:rPr>
            </w:pPr>
            <w:r>
              <w:rPr>
                <w:color w:val="auto"/>
                <w:spacing w:val="4"/>
                <w:highlight w:val="none"/>
              </w:rPr>
              <w:t>□本项目不接受电子备份响应文件；</w:t>
            </w:r>
          </w:p>
          <w:p w14:paraId="501CB16E">
            <w:pPr>
              <w:pStyle w:val="12"/>
              <w:keepNext/>
              <w:keepLines/>
              <w:spacing w:before="32" w:line="378" w:lineRule="auto"/>
              <w:ind w:left="0" w:right="4496" w:firstLine="0"/>
              <w:rPr>
                <w:color w:val="auto"/>
                <w:highlight w:val="none"/>
              </w:rPr>
            </w:pPr>
            <w:r>
              <w:rPr>
                <w:color w:val="auto"/>
                <w:spacing w:val="12"/>
                <w:highlight w:val="none"/>
              </w:rPr>
              <w:t xml:space="preserve"> </w:t>
            </w:r>
            <w:r>
              <w:rPr>
                <w:rFonts w:ascii="MS Mincho" w:hAnsi="MS Mincho" w:eastAsia="MS Mincho" w:cs="MS Mincho"/>
                <w:color w:val="auto"/>
                <w:spacing w:val="8"/>
                <w:highlight w:val="none"/>
              </w:rPr>
              <w:t>☑</w:t>
            </w:r>
            <w:r>
              <w:rPr>
                <w:color w:val="auto"/>
                <w:spacing w:val="8"/>
                <w:highlight w:val="none"/>
              </w:rPr>
              <w:t>本项目接受电子备份响应文件。</w:t>
            </w:r>
          </w:p>
          <w:p w14:paraId="57E41DB9">
            <w:pPr>
              <w:pStyle w:val="12"/>
              <w:keepNext/>
              <w:keepLines/>
              <w:spacing w:line="227" w:lineRule="auto"/>
              <w:ind w:left="556"/>
              <w:rPr>
                <w:color w:val="auto"/>
                <w:highlight w:val="none"/>
              </w:rPr>
            </w:pPr>
            <w:r>
              <w:rPr>
                <w:color w:val="auto"/>
                <w:spacing w:val="12"/>
                <w:highlight w:val="none"/>
              </w:rPr>
              <w:t>电子备份响应文件提交方式：供应商可以在响应截止时间前采用以下</w:t>
            </w:r>
            <w:r>
              <w:rPr>
                <w:color w:val="auto"/>
                <w:spacing w:val="-78"/>
                <w:highlight w:val="none"/>
              </w:rPr>
              <w:t xml:space="preserve"> </w:t>
            </w:r>
            <w:r>
              <w:rPr>
                <w:color w:val="auto"/>
                <w:spacing w:val="12"/>
                <w:highlight w:val="none"/>
                <w:u w:val="single" w:color="auto"/>
              </w:rPr>
              <w:t xml:space="preserve"> （</w:t>
            </w:r>
            <w:r>
              <w:rPr>
                <w:rFonts w:ascii="Times New Roman" w:hAnsi="Times New Roman" w:eastAsia="Times New Roman" w:cs="Times New Roman"/>
                <w:color w:val="auto"/>
                <w:spacing w:val="12"/>
                <w:highlight w:val="none"/>
                <w:u w:val="single" w:color="auto"/>
              </w:rPr>
              <w:t>1</w:t>
            </w:r>
            <w:r>
              <w:rPr>
                <w:color w:val="auto"/>
                <w:spacing w:val="12"/>
                <w:highlight w:val="none"/>
                <w:u w:val="single" w:color="auto"/>
              </w:rPr>
              <w:t>）或</w:t>
            </w:r>
          </w:p>
          <w:p w14:paraId="0B28544E">
            <w:pPr>
              <w:pStyle w:val="12"/>
              <w:keepNext/>
              <w:keepLines/>
              <w:tabs>
                <w:tab w:val="left" w:pos="221"/>
              </w:tabs>
              <w:spacing w:before="162" w:line="227" w:lineRule="auto"/>
              <w:ind w:left="102"/>
              <w:rPr>
                <w:color w:val="auto"/>
                <w:highlight w:val="none"/>
              </w:rPr>
            </w:pPr>
            <w:r>
              <w:rPr>
                <w:color w:val="auto"/>
                <w:highlight w:val="none"/>
                <w:u w:val="single" w:color="auto"/>
              </w:rPr>
              <w:tab/>
            </w:r>
            <w:r>
              <w:rPr>
                <w:color w:val="auto"/>
                <w:spacing w:val="4"/>
                <w:highlight w:val="none"/>
                <w:u w:val="single" w:color="auto"/>
              </w:rPr>
              <w:t>（</w:t>
            </w:r>
            <w:r>
              <w:rPr>
                <w:rFonts w:ascii="Times New Roman" w:hAnsi="Times New Roman" w:eastAsia="Times New Roman" w:cs="Times New Roman"/>
                <w:color w:val="auto"/>
                <w:spacing w:val="4"/>
                <w:highlight w:val="none"/>
                <w:u w:val="single" w:color="auto"/>
              </w:rPr>
              <w:t>3</w:t>
            </w:r>
            <w:r>
              <w:rPr>
                <w:color w:val="auto"/>
                <w:spacing w:val="4"/>
                <w:highlight w:val="none"/>
                <w:u w:val="single" w:color="auto"/>
              </w:rPr>
              <w:t xml:space="preserve">）  </w:t>
            </w:r>
            <w:r>
              <w:rPr>
                <w:color w:val="auto"/>
                <w:spacing w:val="-91"/>
                <w:highlight w:val="none"/>
              </w:rPr>
              <w:t xml:space="preserve"> </w:t>
            </w:r>
            <w:r>
              <w:rPr>
                <w:color w:val="auto"/>
                <w:spacing w:val="4"/>
                <w:highlight w:val="none"/>
              </w:rPr>
              <w:t>种方式向采购代理机构提交电子备份响应文件：</w:t>
            </w:r>
          </w:p>
          <w:p w14:paraId="5AFB5695">
            <w:pPr>
              <w:pStyle w:val="12"/>
              <w:keepNext/>
              <w:keepLines/>
              <w:spacing w:before="162" w:line="377" w:lineRule="auto"/>
              <w:ind w:left="110" w:right="106" w:firstLine="10"/>
              <w:rPr>
                <w:color w:val="auto"/>
                <w:highlight w:val="none"/>
              </w:rPr>
            </w:pPr>
            <w:r>
              <w:rPr>
                <w:color w:val="auto"/>
                <w:spacing w:val="11"/>
                <w:highlight w:val="none"/>
              </w:rPr>
              <w:t>（</w:t>
            </w:r>
            <w:r>
              <w:rPr>
                <w:rFonts w:ascii="Times New Roman" w:hAnsi="Times New Roman" w:eastAsia="Times New Roman" w:cs="Times New Roman"/>
                <w:color w:val="auto"/>
                <w:spacing w:val="11"/>
                <w:highlight w:val="none"/>
              </w:rPr>
              <w:t>1</w:t>
            </w:r>
            <w:r>
              <w:rPr>
                <w:color w:val="auto"/>
                <w:spacing w:val="11"/>
                <w:highlight w:val="none"/>
              </w:rPr>
              <w:t>）现场提交方式，应采用</w:t>
            </w:r>
            <w:r>
              <w:rPr>
                <w:rFonts w:ascii="Times New Roman" w:hAnsi="Times New Roman" w:eastAsia="Times New Roman" w:cs="Times New Roman"/>
                <w:color w:val="auto"/>
                <w:spacing w:val="11"/>
                <w:highlight w:val="none"/>
              </w:rPr>
              <w:t xml:space="preserve">U </w:t>
            </w:r>
            <w:r>
              <w:rPr>
                <w:color w:val="auto"/>
                <w:spacing w:val="11"/>
                <w:highlight w:val="none"/>
              </w:rPr>
              <w:t>盘进行存储，提交地址：</w:t>
            </w:r>
            <w:r>
              <w:rPr>
                <w:color w:val="auto"/>
                <w:spacing w:val="11"/>
                <w:highlight w:val="none"/>
                <w:u w:val="single" w:color="auto"/>
              </w:rPr>
              <w:t xml:space="preserve"> </w:t>
            </w:r>
            <w:r>
              <w:rPr>
                <w:rFonts w:hint="eastAsia"/>
                <w:color w:val="auto"/>
                <w:spacing w:val="10"/>
                <w:highlight w:val="none"/>
                <w:u w:val="single" w:color="auto"/>
                <w:lang w:eastAsia="zh-CN"/>
              </w:rPr>
              <w:t>北海市海城区北京路49号桂成花园B座1602号</w:t>
            </w:r>
            <w:r>
              <w:rPr>
                <w:rFonts w:hint="eastAsia"/>
                <w:color w:val="auto"/>
                <w:spacing w:val="6"/>
                <w:highlight w:val="none"/>
                <w:u w:val="single" w:color="auto"/>
                <w:lang w:eastAsia="zh-CN"/>
              </w:rPr>
              <w:t>广西同泽工程项目管理股份有限公司</w:t>
            </w:r>
            <w:r>
              <w:rPr>
                <w:color w:val="auto"/>
                <w:spacing w:val="34"/>
                <w:highlight w:val="none"/>
                <w:u w:val="single" w:color="auto"/>
              </w:rPr>
              <w:t xml:space="preserve"> </w:t>
            </w:r>
            <w:r>
              <w:rPr>
                <w:color w:val="auto"/>
                <w:spacing w:val="6"/>
                <w:highlight w:val="none"/>
              </w:rPr>
              <w:t>；提交截止时间</w:t>
            </w:r>
            <w:r>
              <w:rPr>
                <w:color w:val="auto"/>
                <w:spacing w:val="6"/>
                <w:highlight w:val="none"/>
                <w:u w:val="single" w:color="auto"/>
              </w:rPr>
              <w:t>：响应文件</w:t>
            </w:r>
            <w:r>
              <w:rPr>
                <w:color w:val="auto"/>
                <w:spacing w:val="10"/>
                <w:highlight w:val="none"/>
                <w:u w:val="single" w:color="auto"/>
              </w:rPr>
              <w:t>提交截止时间前</w:t>
            </w:r>
            <w:r>
              <w:rPr>
                <w:color w:val="auto"/>
                <w:spacing w:val="33"/>
                <w:highlight w:val="none"/>
                <w:u w:val="single" w:color="auto"/>
              </w:rPr>
              <w:t xml:space="preserve"> </w:t>
            </w:r>
            <w:r>
              <w:rPr>
                <w:color w:val="auto"/>
                <w:spacing w:val="10"/>
                <w:highlight w:val="none"/>
                <w:u w:val="single" w:color="auto"/>
              </w:rPr>
              <w:t>；</w:t>
            </w:r>
            <w:r>
              <w:rPr>
                <w:color w:val="auto"/>
                <w:spacing w:val="10"/>
                <w:highlight w:val="none"/>
              </w:rPr>
              <w:t>外包装上注明供应商名称、项目名称及项目编</w:t>
            </w:r>
            <w:r>
              <w:rPr>
                <w:color w:val="auto"/>
                <w:spacing w:val="9"/>
                <w:highlight w:val="none"/>
              </w:rPr>
              <w:t>号（外包装不作密</w:t>
            </w:r>
            <w:r>
              <w:rPr>
                <w:color w:val="auto"/>
                <w:spacing w:val="4"/>
                <w:highlight w:val="none"/>
              </w:rPr>
              <w:t>封要求）。</w:t>
            </w:r>
          </w:p>
          <w:p w14:paraId="2D146BBC">
            <w:pPr>
              <w:pStyle w:val="12"/>
              <w:keepNext/>
              <w:keepLines/>
              <w:spacing w:line="227" w:lineRule="auto"/>
              <w:ind w:left="121"/>
              <w:rPr>
                <w:color w:val="auto"/>
                <w:highlight w:val="none"/>
              </w:rPr>
            </w:pPr>
            <w:r>
              <w:rPr>
                <w:color w:val="auto"/>
                <w:spacing w:val="6"/>
                <w:highlight w:val="none"/>
              </w:rPr>
              <w:t>（</w:t>
            </w:r>
            <w:r>
              <w:rPr>
                <w:rFonts w:ascii="Times New Roman" w:hAnsi="Times New Roman" w:eastAsia="Times New Roman" w:cs="Times New Roman"/>
                <w:color w:val="auto"/>
                <w:spacing w:val="6"/>
                <w:highlight w:val="none"/>
              </w:rPr>
              <w:t>2</w:t>
            </w:r>
            <w:r>
              <w:rPr>
                <w:color w:val="auto"/>
                <w:spacing w:val="6"/>
                <w:highlight w:val="none"/>
              </w:rPr>
              <w:t>）</w:t>
            </w:r>
            <w:r>
              <w:rPr>
                <w:color w:val="auto"/>
                <w:spacing w:val="-60"/>
                <w:highlight w:val="none"/>
              </w:rPr>
              <w:t xml:space="preserve"> </w:t>
            </w:r>
            <w:r>
              <w:rPr>
                <w:color w:val="auto"/>
                <w:spacing w:val="6"/>
                <w:highlight w:val="none"/>
              </w:rPr>
              <w:t>电子邮件方式，接收电子备份响应文件的电子邮箱为：</w:t>
            </w:r>
            <w:r>
              <w:rPr>
                <w:rFonts w:ascii="Times New Roman" w:hAnsi="Times New Roman" w:eastAsia="Times New Roman" w:cs="Times New Roman"/>
                <w:color w:val="auto"/>
                <w:spacing w:val="6"/>
                <w:highlight w:val="none"/>
                <w:u w:val="single" w:color="auto"/>
              </w:rPr>
              <w:t xml:space="preserve">    </w:t>
            </w:r>
            <w:r>
              <w:rPr>
                <w:rFonts w:ascii="Times New Roman" w:hAnsi="Times New Roman" w:eastAsia="Times New Roman" w:cs="Times New Roman"/>
                <w:color w:val="auto"/>
                <w:spacing w:val="5"/>
                <w:highlight w:val="none"/>
                <w:u w:val="single" w:color="auto"/>
              </w:rPr>
              <w:t xml:space="preserve">/        </w:t>
            </w:r>
            <w:r>
              <w:rPr>
                <w:color w:val="auto"/>
                <w:spacing w:val="5"/>
                <w:highlight w:val="none"/>
              </w:rPr>
              <w:t>。</w:t>
            </w:r>
          </w:p>
          <w:p w14:paraId="111DDF4B">
            <w:pPr>
              <w:pStyle w:val="12"/>
              <w:keepNext/>
              <w:keepLines/>
              <w:spacing w:before="163" w:line="377" w:lineRule="auto"/>
              <w:ind w:left="113" w:right="108" w:firstLine="3"/>
              <w:rPr>
                <w:color w:val="auto"/>
                <w:highlight w:val="none"/>
              </w:rPr>
            </w:pPr>
            <w:r>
              <w:rPr>
                <w:color w:val="auto"/>
                <w:spacing w:val="13"/>
                <w:highlight w:val="none"/>
              </w:rPr>
              <w:t>（</w:t>
            </w:r>
            <w:r>
              <w:rPr>
                <w:rFonts w:ascii="Times New Roman" w:hAnsi="Times New Roman" w:eastAsia="Times New Roman" w:cs="Times New Roman"/>
                <w:color w:val="auto"/>
                <w:spacing w:val="13"/>
                <w:highlight w:val="none"/>
              </w:rPr>
              <w:t>3</w:t>
            </w:r>
            <w:r>
              <w:rPr>
                <w:color w:val="auto"/>
                <w:spacing w:val="13"/>
                <w:highlight w:val="none"/>
              </w:rPr>
              <w:t>）</w:t>
            </w:r>
            <w:r>
              <w:rPr>
                <w:color w:val="auto"/>
                <w:spacing w:val="-55"/>
                <w:highlight w:val="none"/>
              </w:rPr>
              <w:t xml:space="preserve"> </w:t>
            </w:r>
            <w:r>
              <w:rPr>
                <w:color w:val="auto"/>
                <w:spacing w:val="13"/>
                <w:highlight w:val="none"/>
              </w:rPr>
              <w:t>邮寄方式，应采用</w:t>
            </w:r>
            <w:r>
              <w:rPr>
                <w:rFonts w:ascii="Times New Roman" w:hAnsi="Times New Roman" w:eastAsia="Times New Roman" w:cs="Times New Roman"/>
                <w:color w:val="auto"/>
                <w:spacing w:val="13"/>
                <w:highlight w:val="none"/>
              </w:rPr>
              <w:t xml:space="preserve">U </w:t>
            </w:r>
            <w:r>
              <w:rPr>
                <w:color w:val="auto"/>
                <w:spacing w:val="13"/>
                <w:highlight w:val="none"/>
              </w:rPr>
              <w:t>盘进行存储，</w:t>
            </w:r>
            <w:r>
              <w:rPr>
                <w:color w:val="auto"/>
                <w:spacing w:val="12"/>
                <w:highlight w:val="none"/>
              </w:rPr>
              <w:t>邮寄地址：</w:t>
            </w:r>
            <w:r>
              <w:rPr>
                <w:color w:val="auto"/>
                <w:spacing w:val="-77"/>
                <w:highlight w:val="none"/>
              </w:rPr>
              <w:t xml:space="preserve"> </w:t>
            </w:r>
            <w:r>
              <w:rPr>
                <w:color w:val="auto"/>
                <w:spacing w:val="12"/>
                <w:highlight w:val="none"/>
                <w:u w:val="single" w:color="auto"/>
              </w:rPr>
              <w:t xml:space="preserve"> </w:t>
            </w:r>
            <w:r>
              <w:rPr>
                <w:rFonts w:hint="eastAsia" w:ascii="宋体" w:hAnsi="宋体" w:cs="宋体"/>
                <w:color w:val="auto"/>
                <w:kern w:val="0"/>
                <w:szCs w:val="21"/>
                <w:highlight w:val="none"/>
                <w:u w:val="single"/>
              </w:rPr>
              <w:t>北海市海城区北京路49号桂成花园B座1602号</w:t>
            </w:r>
            <w:r>
              <w:rPr>
                <w:rFonts w:hint="eastAsia"/>
                <w:color w:val="auto"/>
                <w:spacing w:val="8"/>
                <w:highlight w:val="none"/>
                <w:u w:val="single" w:color="auto"/>
                <w:lang w:eastAsia="zh-CN"/>
              </w:rPr>
              <w:t>广西同泽工程项目管理股份有限公司</w:t>
            </w:r>
            <w:r>
              <w:rPr>
                <w:color w:val="auto"/>
                <w:spacing w:val="36"/>
                <w:highlight w:val="none"/>
                <w:u w:val="single" w:color="auto"/>
              </w:rPr>
              <w:t xml:space="preserve"> </w:t>
            </w:r>
            <w:r>
              <w:rPr>
                <w:color w:val="auto"/>
                <w:spacing w:val="7"/>
                <w:highlight w:val="none"/>
              </w:rPr>
              <w:t>，截止接收时间：</w:t>
            </w:r>
            <w:r>
              <w:rPr>
                <w:color w:val="auto"/>
                <w:spacing w:val="7"/>
                <w:highlight w:val="none"/>
                <w:u w:val="single" w:color="auto"/>
              </w:rPr>
              <w:t>响应文件提</w:t>
            </w:r>
            <w:r>
              <w:rPr>
                <w:color w:val="auto"/>
                <w:spacing w:val="8"/>
                <w:highlight w:val="none"/>
                <w:u w:val="single" w:color="auto"/>
              </w:rPr>
              <w:t>交截止时间前</w:t>
            </w:r>
            <w:r>
              <w:rPr>
                <w:color w:val="auto"/>
                <w:spacing w:val="52"/>
                <w:highlight w:val="none"/>
                <w:u w:val="single" w:color="auto"/>
              </w:rPr>
              <w:t xml:space="preserve"> </w:t>
            </w:r>
            <w:r>
              <w:rPr>
                <w:color w:val="auto"/>
                <w:spacing w:val="8"/>
                <w:highlight w:val="none"/>
              </w:rPr>
              <w:t>，收件人：</w:t>
            </w:r>
            <w:r>
              <w:rPr>
                <w:color w:val="auto"/>
                <w:spacing w:val="8"/>
                <w:highlight w:val="none"/>
                <w:u w:val="single" w:color="auto"/>
              </w:rPr>
              <w:t xml:space="preserve"> </w:t>
            </w:r>
            <w:r>
              <w:rPr>
                <w:rFonts w:hint="eastAsia" w:ascii="宋体" w:hAnsi="宋体" w:cs="宋体"/>
                <w:color w:val="auto"/>
                <w:kern w:val="0"/>
                <w:szCs w:val="21"/>
                <w:highlight w:val="none"/>
                <w:u w:val="single" w:color="auto"/>
              </w:rPr>
              <w:t>陆珍花、奉云、</w:t>
            </w:r>
            <w:r>
              <w:rPr>
                <w:rFonts w:hint="eastAsia" w:ascii="宋体" w:hAnsi="宋体" w:cs="宋体"/>
                <w:color w:val="auto"/>
                <w:kern w:val="0"/>
                <w:szCs w:val="21"/>
                <w:highlight w:val="none"/>
                <w:u w:val="single" w:color="auto"/>
                <w:lang w:val="en-US" w:eastAsia="zh-CN"/>
              </w:rPr>
              <w:t>谭晓妮、</w:t>
            </w:r>
            <w:r>
              <w:rPr>
                <w:rFonts w:hint="eastAsia" w:ascii="宋体" w:hAnsi="宋体" w:cs="宋体"/>
                <w:color w:val="auto"/>
                <w:kern w:val="0"/>
                <w:szCs w:val="21"/>
                <w:highlight w:val="none"/>
                <w:u w:val="single" w:color="auto"/>
              </w:rPr>
              <w:t>农英民</w:t>
            </w:r>
            <w:r>
              <w:rPr>
                <w:color w:val="auto"/>
                <w:spacing w:val="40"/>
                <w:highlight w:val="none"/>
                <w:u w:val="single" w:color="auto"/>
              </w:rPr>
              <w:t xml:space="preserve"> </w:t>
            </w:r>
            <w:r>
              <w:rPr>
                <w:color w:val="auto"/>
                <w:spacing w:val="8"/>
                <w:highlight w:val="none"/>
              </w:rPr>
              <w:t>，联系方式：</w:t>
            </w:r>
            <w:r>
              <w:rPr>
                <w:color w:val="auto"/>
                <w:spacing w:val="-77"/>
                <w:highlight w:val="none"/>
                <w:u w:val="single"/>
              </w:rPr>
              <w:t xml:space="preserve"> </w:t>
            </w:r>
            <w:r>
              <w:rPr>
                <w:rFonts w:hint="eastAsia" w:ascii="宋体" w:hAnsi="宋体" w:cs="宋体"/>
                <w:color w:val="auto"/>
                <w:kern w:val="0"/>
                <w:szCs w:val="21"/>
                <w:highlight w:val="none"/>
                <w:u w:val="single"/>
              </w:rPr>
              <w:t>0779-2026225、0771-5590176</w:t>
            </w:r>
            <w:r>
              <w:rPr>
                <w:color w:val="auto"/>
                <w:spacing w:val="8"/>
                <w:highlight w:val="none"/>
              </w:rPr>
              <w:t>；外包装</w:t>
            </w:r>
            <w:r>
              <w:rPr>
                <w:color w:val="auto"/>
                <w:spacing w:val="9"/>
                <w:highlight w:val="none"/>
              </w:rPr>
              <w:t>上注明供应商名称、项目名称及项目编号（外包装不作密封</w:t>
            </w:r>
            <w:r>
              <w:rPr>
                <w:color w:val="auto"/>
                <w:spacing w:val="8"/>
                <w:highlight w:val="none"/>
              </w:rPr>
              <w:t>要求）。</w:t>
            </w:r>
          </w:p>
          <w:p w14:paraId="0D0E8921">
            <w:pPr>
              <w:pStyle w:val="12"/>
              <w:keepNext/>
              <w:keepLines/>
              <w:spacing w:before="5" w:line="371" w:lineRule="auto"/>
              <w:ind w:left="110" w:right="108" w:firstLine="1"/>
              <w:jc w:val="both"/>
              <w:rPr>
                <w:color w:val="auto"/>
                <w:highlight w:val="none"/>
              </w:rPr>
            </w:pPr>
            <w:r>
              <w:rPr>
                <w:color w:val="auto"/>
                <w:spacing w:val="13"/>
                <w:highlight w:val="none"/>
              </w:rPr>
              <w:t>供应商未按上述规定提交的电子备份响应文件，采购代理机构不予接收或承认。若</w:t>
            </w:r>
            <w:r>
              <w:rPr>
                <w:color w:val="auto"/>
                <w:spacing w:val="12"/>
                <w:highlight w:val="none"/>
              </w:rPr>
              <w:t>电子加密响应文件解密成功，</w:t>
            </w:r>
            <w:r>
              <w:rPr>
                <w:color w:val="auto"/>
                <w:spacing w:val="-46"/>
                <w:highlight w:val="none"/>
              </w:rPr>
              <w:t xml:space="preserve"> </w:t>
            </w:r>
            <w:r>
              <w:rPr>
                <w:color w:val="auto"/>
                <w:spacing w:val="12"/>
                <w:highlight w:val="none"/>
              </w:rPr>
              <w:t>电子备份响应文件自动失效。若供应商无法在规定的</w:t>
            </w:r>
            <w:r>
              <w:rPr>
                <w:color w:val="auto"/>
                <w:spacing w:val="14"/>
                <w:highlight w:val="none"/>
              </w:rPr>
              <w:t>时间内解密响应文件或者解密失败的，采购</w:t>
            </w:r>
            <w:r>
              <w:rPr>
                <w:color w:val="auto"/>
                <w:spacing w:val="13"/>
                <w:highlight w:val="none"/>
              </w:rPr>
              <w:t>代理机构将电子备份响应文件按“广西</w:t>
            </w:r>
            <w:r>
              <w:rPr>
                <w:color w:val="auto"/>
                <w:spacing w:val="10"/>
                <w:highlight w:val="none"/>
              </w:rPr>
              <w:t>政府采购云平台</w:t>
            </w:r>
            <w:r>
              <w:rPr>
                <w:color w:val="auto"/>
                <w:spacing w:val="-50"/>
                <w:highlight w:val="none"/>
              </w:rPr>
              <w:t xml:space="preserve"> </w:t>
            </w:r>
            <w:r>
              <w:rPr>
                <w:color w:val="auto"/>
                <w:spacing w:val="10"/>
                <w:highlight w:val="none"/>
              </w:rPr>
              <w:t>”操作规范上传至“广西政府采购云平台</w:t>
            </w:r>
            <w:r>
              <w:rPr>
                <w:color w:val="auto"/>
                <w:spacing w:val="-67"/>
                <w:highlight w:val="none"/>
              </w:rPr>
              <w:t xml:space="preserve"> </w:t>
            </w:r>
            <w:r>
              <w:rPr>
                <w:color w:val="auto"/>
                <w:spacing w:val="10"/>
                <w:highlight w:val="none"/>
              </w:rPr>
              <w:t>”，</w:t>
            </w:r>
            <w:r>
              <w:rPr>
                <w:color w:val="auto"/>
                <w:spacing w:val="-56"/>
                <w:highlight w:val="none"/>
              </w:rPr>
              <w:t xml:space="preserve"> </w:t>
            </w:r>
            <w:r>
              <w:rPr>
                <w:color w:val="auto"/>
                <w:spacing w:val="10"/>
                <w:highlight w:val="none"/>
              </w:rPr>
              <w:t>电子备份响应文件上</w:t>
            </w:r>
            <w:r>
              <w:rPr>
                <w:color w:val="auto"/>
                <w:spacing w:val="13"/>
                <w:highlight w:val="none"/>
              </w:rPr>
              <w:t>传成功后，供应商原上传的电子加密响应文件自动失效。若供应商在规定时间内无法解密或解密失败且未提供电子备份响应文件的（包含提供的电子备份响应文件无</w:t>
            </w:r>
            <w:r>
              <w:rPr>
                <w:color w:val="auto"/>
                <w:spacing w:val="8"/>
                <w:highlight w:val="none"/>
              </w:rPr>
              <w:t>效或无法解读的情况</w:t>
            </w:r>
            <w:r>
              <w:rPr>
                <w:color w:val="auto"/>
                <w:spacing w:val="15"/>
                <w:highlight w:val="none"/>
              </w:rPr>
              <w:t>），</w:t>
            </w:r>
            <w:r>
              <w:rPr>
                <w:b/>
                <w:bCs/>
                <w:color w:val="auto"/>
                <w:spacing w:val="8"/>
                <w:highlight w:val="none"/>
              </w:rPr>
              <w:t>供应商的响应文件作无效处理</w:t>
            </w:r>
            <w:r>
              <w:rPr>
                <w:color w:val="auto"/>
                <w:spacing w:val="8"/>
                <w:highlight w:val="none"/>
              </w:rPr>
              <w:t>。</w:t>
            </w:r>
          </w:p>
        </w:tc>
      </w:tr>
      <w:tr w14:paraId="6C0B1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681" w:type="dxa"/>
            <w:vAlign w:val="top"/>
          </w:tcPr>
          <w:p w14:paraId="2EE17C20">
            <w:pPr>
              <w:keepNext/>
              <w:keepLines/>
              <w:spacing w:line="378" w:lineRule="auto"/>
              <w:rPr>
                <w:rFonts w:ascii="Arial"/>
                <w:color w:val="auto"/>
                <w:sz w:val="21"/>
                <w:highlight w:val="none"/>
              </w:rPr>
            </w:pPr>
          </w:p>
          <w:p w14:paraId="342298A3">
            <w:pPr>
              <w:pStyle w:val="12"/>
              <w:keepNext/>
              <w:keepLines/>
              <w:spacing w:before="65" w:line="267" w:lineRule="exact"/>
              <w:ind w:left="296"/>
              <w:rPr>
                <w:color w:val="auto"/>
                <w:highlight w:val="none"/>
              </w:rPr>
            </w:pPr>
            <w:r>
              <w:rPr>
                <w:color w:val="auto"/>
                <w:spacing w:val="2"/>
                <w:position w:val="1"/>
                <w:highlight w:val="none"/>
              </w:rPr>
              <w:t>20.1</w:t>
            </w:r>
          </w:p>
        </w:tc>
        <w:tc>
          <w:tcPr>
            <w:tcW w:w="8302" w:type="dxa"/>
            <w:vAlign w:val="top"/>
          </w:tcPr>
          <w:p w14:paraId="6B52EF54">
            <w:pPr>
              <w:pStyle w:val="12"/>
              <w:keepNext/>
              <w:keepLines/>
              <w:spacing w:before="37" w:line="226" w:lineRule="auto"/>
              <w:ind w:left="122"/>
              <w:rPr>
                <w:color w:val="auto"/>
                <w:highlight w:val="none"/>
              </w:rPr>
            </w:pPr>
            <w:r>
              <w:rPr>
                <w:color w:val="auto"/>
                <w:spacing w:val="9"/>
                <w:highlight w:val="none"/>
              </w:rPr>
              <w:t>响应文件提交起止时间：竞争性谈判公告发布之时起至响应文件提交截止时间止。</w:t>
            </w:r>
          </w:p>
          <w:p w14:paraId="3B470587">
            <w:pPr>
              <w:pStyle w:val="12"/>
              <w:keepNext/>
              <w:keepLines/>
              <w:spacing w:before="163" w:line="226" w:lineRule="auto"/>
              <w:ind w:left="122"/>
              <w:rPr>
                <w:color w:val="auto"/>
                <w:highlight w:val="none"/>
              </w:rPr>
            </w:pPr>
            <w:r>
              <w:rPr>
                <w:color w:val="auto"/>
                <w:spacing w:val="8"/>
                <w:highlight w:val="none"/>
              </w:rPr>
              <w:t>响应文件提交截止时间：详见竞争性谈判公告。</w:t>
            </w:r>
          </w:p>
          <w:p w14:paraId="4C7EE053">
            <w:pPr>
              <w:pStyle w:val="12"/>
              <w:keepNext/>
              <w:keepLines/>
              <w:spacing w:before="163" w:line="226" w:lineRule="auto"/>
              <w:ind w:left="122"/>
              <w:rPr>
                <w:color w:val="auto"/>
                <w:highlight w:val="none"/>
              </w:rPr>
            </w:pPr>
            <w:r>
              <w:rPr>
                <w:color w:val="auto"/>
                <w:spacing w:val="8"/>
                <w:highlight w:val="none"/>
              </w:rPr>
              <w:t>响应文件提交地点：详见竞争性谈判公告。</w:t>
            </w:r>
          </w:p>
        </w:tc>
      </w:tr>
      <w:tr w14:paraId="72B6A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681" w:type="dxa"/>
            <w:vAlign w:val="top"/>
          </w:tcPr>
          <w:p w14:paraId="7161E99A">
            <w:pPr>
              <w:pStyle w:val="12"/>
              <w:keepNext/>
              <w:keepLines/>
              <w:spacing w:before="38" w:line="268" w:lineRule="exact"/>
              <w:ind w:left="296"/>
              <w:rPr>
                <w:color w:val="auto"/>
                <w:highlight w:val="none"/>
              </w:rPr>
            </w:pPr>
            <w:r>
              <w:rPr>
                <w:color w:val="auto"/>
                <w:spacing w:val="2"/>
                <w:position w:val="1"/>
                <w:highlight w:val="none"/>
              </w:rPr>
              <w:t>24.1</w:t>
            </w:r>
          </w:p>
        </w:tc>
        <w:tc>
          <w:tcPr>
            <w:tcW w:w="8302" w:type="dxa"/>
            <w:vAlign w:val="top"/>
          </w:tcPr>
          <w:p w14:paraId="4022F0BA">
            <w:pPr>
              <w:pStyle w:val="12"/>
              <w:keepNext/>
              <w:keepLines/>
              <w:spacing w:before="38" w:line="228" w:lineRule="auto"/>
              <w:ind w:left="110"/>
              <w:rPr>
                <w:color w:val="auto"/>
                <w:highlight w:val="none"/>
              </w:rPr>
            </w:pPr>
            <w:r>
              <w:rPr>
                <w:color w:val="auto"/>
                <w:spacing w:val="6"/>
                <w:highlight w:val="none"/>
              </w:rPr>
              <w:t>谈判小组的人数：</w:t>
            </w:r>
            <w:r>
              <w:rPr>
                <w:color w:val="auto"/>
                <w:spacing w:val="6"/>
                <w:highlight w:val="none"/>
                <w:u w:val="single" w:color="auto"/>
              </w:rPr>
              <w:t xml:space="preserve"> 3</w:t>
            </w:r>
            <w:r>
              <w:rPr>
                <w:color w:val="auto"/>
                <w:spacing w:val="23"/>
                <w:highlight w:val="none"/>
                <w:u w:val="single" w:color="auto"/>
              </w:rPr>
              <w:t xml:space="preserve"> </w:t>
            </w:r>
            <w:r>
              <w:rPr>
                <w:color w:val="auto"/>
                <w:spacing w:val="6"/>
                <w:highlight w:val="none"/>
              </w:rPr>
              <w:t>人。</w:t>
            </w:r>
          </w:p>
        </w:tc>
      </w:tr>
      <w:tr w14:paraId="396A2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681" w:type="dxa"/>
            <w:vAlign w:val="top"/>
          </w:tcPr>
          <w:p w14:paraId="689237BF">
            <w:pPr>
              <w:pStyle w:val="12"/>
              <w:keepNext/>
              <w:keepLines/>
              <w:spacing w:before="37" w:line="268" w:lineRule="exact"/>
              <w:ind w:left="402"/>
              <w:rPr>
                <w:color w:val="auto"/>
                <w:highlight w:val="none"/>
              </w:rPr>
            </w:pPr>
            <w:r>
              <w:rPr>
                <w:color w:val="auto"/>
                <w:spacing w:val="-1"/>
                <w:position w:val="1"/>
                <w:highlight w:val="none"/>
              </w:rPr>
              <w:t>25</w:t>
            </w:r>
          </w:p>
        </w:tc>
        <w:tc>
          <w:tcPr>
            <w:tcW w:w="8302" w:type="dxa"/>
            <w:vAlign w:val="top"/>
          </w:tcPr>
          <w:p w14:paraId="21C7E8E1">
            <w:pPr>
              <w:pStyle w:val="12"/>
              <w:keepNext/>
              <w:keepLines/>
              <w:spacing w:before="37" w:line="226" w:lineRule="auto"/>
              <w:ind w:left="115"/>
              <w:rPr>
                <w:color w:val="auto"/>
                <w:highlight w:val="none"/>
              </w:rPr>
            </w:pPr>
            <w:r>
              <w:rPr>
                <w:color w:val="auto"/>
                <w:spacing w:val="12"/>
                <w:highlight w:val="none"/>
              </w:rPr>
              <w:t>首次响应文件开启时间详见“竞争性谈判公告</w:t>
            </w:r>
            <w:r>
              <w:rPr>
                <w:color w:val="auto"/>
                <w:spacing w:val="-56"/>
                <w:highlight w:val="none"/>
              </w:rPr>
              <w:t xml:space="preserve"> </w:t>
            </w:r>
            <w:r>
              <w:rPr>
                <w:color w:val="auto"/>
                <w:spacing w:val="12"/>
                <w:highlight w:val="none"/>
              </w:rPr>
              <w:t>”</w:t>
            </w:r>
          </w:p>
        </w:tc>
      </w:tr>
    </w:tbl>
    <w:p w14:paraId="79A69D49">
      <w:pPr>
        <w:keepNext/>
        <w:keepLines/>
        <w:spacing w:line="43" w:lineRule="exact"/>
        <w:rPr>
          <w:rFonts w:ascii="Arial"/>
          <w:color w:val="auto"/>
          <w:sz w:val="3"/>
          <w:highlight w:val="none"/>
        </w:rPr>
      </w:pPr>
    </w:p>
    <w:p w14:paraId="61DBCC2A">
      <w:pPr>
        <w:keepNext/>
        <w:keepLines/>
        <w:spacing w:line="43" w:lineRule="exact"/>
        <w:rPr>
          <w:rFonts w:ascii="Arial" w:hAnsi="Arial" w:eastAsia="Arial" w:cs="Arial"/>
          <w:color w:val="auto"/>
          <w:sz w:val="3"/>
          <w:szCs w:val="3"/>
          <w:highlight w:val="none"/>
        </w:rPr>
        <w:sectPr>
          <w:footerReference r:id="rId12" w:type="default"/>
          <w:pgSz w:w="11910" w:h="16840"/>
          <w:pgMar w:top="1340" w:right="1408" w:bottom="1091" w:left="1588" w:header="0" w:footer="929" w:gutter="0"/>
          <w:pgNumType w:fmt="decimal"/>
          <w:cols w:space="720" w:num="1"/>
        </w:sectPr>
      </w:pPr>
    </w:p>
    <w:tbl>
      <w:tblPr>
        <w:tblStyle w:val="11"/>
        <w:tblW w:w="89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7912"/>
      </w:tblGrid>
      <w:tr w14:paraId="5CF12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996" w:type="dxa"/>
            <w:vAlign w:val="top"/>
          </w:tcPr>
          <w:p w14:paraId="32C729E1">
            <w:pPr>
              <w:keepNext/>
              <w:keepLines/>
              <w:rPr>
                <w:rFonts w:ascii="Arial"/>
                <w:color w:val="auto"/>
                <w:sz w:val="21"/>
                <w:highlight w:val="none"/>
              </w:rPr>
            </w:pPr>
          </w:p>
        </w:tc>
        <w:tc>
          <w:tcPr>
            <w:tcW w:w="7912" w:type="dxa"/>
            <w:vAlign w:val="top"/>
          </w:tcPr>
          <w:p w14:paraId="7E8E6892">
            <w:pPr>
              <w:pStyle w:val="12"/>
              <w:keepNext/>
              <w:keepLines/>
              <w:spacing w:before="36" w:line="228" w:lineRule="auto"/>
              <w:ind w:left="115"/>
              <w:rPr>
                <w:color w:val="auto"/>
                <w:highlight w:val="none"/>
              </w:rPr>
            </w:pPr>
            <w:r>
              <w:rPr>
                <w:color w:val="auto"/>
                <w:spacing w:val="8"/>
                <w:highlight w:val="none"/>
              </w:rPr>
              <w:t>首次响应文件解密时间：</w:t>
            </w:r>
            <w:r>
              <w:rPr>
                <w:color w:val="auto"/>
                <w:spacing w:val="8"/>
                <w:highlight w:val="none"/>
                <w:u w:val="single" w:color="auto"/>
              </w:rPr>
              <w:t xml:space="preserve"> 30 </w:t>
            </w:r>
            <w:r>
              <w:rPr>
                <w:color w:val="auto"/>
                <w:spacing w:val="8"/>
                <w:highlight w:val="none"/>
              </w:rPr>
              <w:t>分钟</w:t>
            </w:r>
          </w:p>
        </w:tc>
      </w:tr>
      <w:tr w14:paraId="4E9C4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3" w:hRule="atLeast"/>
        </w:trPr>
        <w:tc>
          <w:tcPr>
            <w:tcW w:w="996" w:type="dxa"/>
            <w:vMerge w:val="restart"/>
            <w:tcBorders>
              <w:bottom w:val="nil"/>
            </w:tcBorders>
            <w:vAlign w:val="top"/>
          </w:tcPr>
          <w:p w14:paraId="2F84EB10">
            <w:pPr>
              <w:keepNext/>
              <w:keepLines/>
              <w:spacing w:line="281" w:lineRule="auto"/>
              <w:rPr>
                <w:rFonts w:ascii="Arial"/>
                <w:color w:val="auto"/>
                <w:sz w:val="21"/>
                <w:highlight w:val="none"/>
              </w:rPr>
            </w:pPr>
          </w:p>
          <w:p w14:paraId="20F0A397">
            <w:pPr>
              <w:keepNext/>
              <w:keepLines/>
              <w:spacing w:line="282" w:lineRule="auto"/>
              <w:rPr>
                <w:rFonts w:ascii="Arial"/>
                <w:color w:val="auto"/>
                <w:sz w:val="21"/>
                <w:highlight w:val="none"/>
              </w:rPr>
            </w:pPr>
          </w:p>
          <w:p w14:paraId="47814A8F">
            <w:pPr>
              <w:keepNext/>
              <w:keepLines/>
              <w:spacing w:line="282" w:lineRule="auto"/>
              <w:rPr>
                <w:rFonts w:ascii="Arial"/>
                <w:color w:val="auto"/>
                <w:sz w:val="21"/>
                <w:highlight w:val="none"/>
              </w:rPr>
            </w:pPr>
          </w:p>
          <w:p w14:paraId="7F20722D">
            <w:pPr>
              <w:keepNext/>
              <w:keepLines/>
              <w:spacing w:line="282" w:lineRule="auto"/>
              <w:rPr>
                <w:rFonts w:ascii="Arial"/>
                <w:color w:val="auto"/>
                <w:sz w:val="21"/>
                <w:highlight w:val="none"/>
              </w:rPr>
            </w:pPr>
          </w:p>
          <w:p w14:paraId="49DCEF85">
            <w:pPr>
              <w:keepNext/>
              <w:keepLines/>
              <w:spacing w:line="282" w:lineRule="auto"/>
              <w:rPr>
                <w:rFonts w:ascii="Arial"/>
                <w:color w:val="auto"/>
                <w:sz w:val="21"/>
                <w:highlight w:val="none"/>
              </w:rPr>
            </w:pPr>
          </w:p>
          <w:p w14:paraId="36DB947B">
            <w:pPr>
              <w:pStyle w:val="12"/>
              <w:keepNext/>
              <w:keepLines/>
              <w:spacing w:before="65" w:line="268" w:lineRule="exact"/>
              <w:ind w:left="402"/>
              <w:rPr>
                <w:color w:val="auto"/>
                <w:highlight w:val="none"/>
              </w:rPr>
            </w:pPr>
            <w:r>
              <w:rPr>
                <w:color w:val="auto"/>
                <w:spacing w:val="-1"/>
                <w:position w:val="1"/>
                <w:highlight w:val="none"/>
              </w:rPr>
              <w:t>26</w:t>
            </w:r>
          </w:p>
        </w:tc>
        <w:tc>
          <w:tcPr>
            <w:tcW w:w="7912" w:type="dxa"/>
            <w:vAlign w:val="top"/>
          </w:tcPr>
          <w:p w14:paraId="5BADE6B0">
            <w:pPr>
              <w:pStyle w:val="12"/>
              <w:keepNext/>
              <w:keepLines/>
              <w:spacing w:before="31" w:line="378" w:lineRule="auto"/>
              <w:ind w:left="115" w:right="108" w:hanging="5"/>
              <w:rPr>
                <w:color w:val="auto"/>
                <w:highlight w:val="none"/>
              </w:rPr>
            </w:pPr>
            <w:r>
              <w:rPr>
                <w:color w:val="auto"/>
                <w:spacing w:val="13"/>
                <w:highlight w:val="none"/>
              </w:rPr>
              <w:t>评审价相同时，按照最后报价由低到高顺序依次推荐；最后报价相同时，按以下原</w:t>
            </w:r>
            <w:r>
              <w:rPr>
                <w:color w:val="auto"/>
                <w:spacing w:val="8"/>
                <w:highlight w:val="none"/>
              </w:rPr>
              <w:t>则确定成交候选人的顺序：</w:t>
            </w:r>
          </w:p>
          <w:p w14:paraId="50858960">
            <w:pPr>
              <w:pStyle w:val="12"/>
              <w:keepNext/>
              <w:keepLines/>
              <w:spacing w:before="13" w:line="373" w:lineRule="auto"/>
              <w:ind w:left="114" w:right="108" w:firstLine="6"/>
              <w:jc w:val="both"/>
              <w:rPr>
                <w:color w:val="auto"/>
                <w:highlight w:val="none"/>
              </w:rPr>
            </w:pPr>
            <w:r>
              <w:rPr>
                <w:rFonts w:ascii="Segoe UI Symbol" w:hAnsi="Segoe UI Symbol" w:eastAsia="Segoe UI Symbol" w:cs="Segoe UI Symbol"/>
                <w:color w:val="auto"/>
                <w:spacing w:val="14"/>
                <w:highlight w:val="none"/>
              </w:rPr>
              <w:t>☑</w:t>
            </w:r>
            <w:r>
              <w:rPr>
                <w:color w:val="auto"/>
                <w:spacing w:val="14"/>
                <w:highlight w:val="none"/>
              </w:rPr>
              <w:t>正偏离项数多的优先、均无正偏离或者正偏离项数一致时，按交货期短的优先，</w:t>
            </w:r>
            <w:r>
              <w:rPr>
                <w:color w:val="auto"/>
                <w:spacing w:val="11"/>
                <w:highlight w:val="none"/>
              </w:rPr>
              <w:t>响应时间短优先、售后服务承诺优的优先顺序推荐，</w:t>
            </w:r>
            <w:r>
              <w:rPr>
                <w:color w:val="auto"/>
                <w:spacing w:val="-58"/>
                <w:highlight w:val="none"/>
              </w:rPr>
              <w:t xml:space="preserve"> </w:t>
            </w:r>
            <w:r>
              <w:rPr>
                <w:color w:val="auto"/>
                <w:spacing w:val="11"/>
                <w:highlight w:val="none"/>
              </w:rPr>
              <w:t>以上内容均相同的，</w:t>
            </w:r>
            <w:r>
              <w:rPr>
                <w:color w:val="auto"/>
                <w:spacing w:val="-56"/>
                <w:highlight w:val="none"/>
              </w:rPr>
              <w:t xml:space="preserve"> </w:t>
            </w:r>
            <w:r>
              <w:rPr>
                <w:color w:val="auto"/>
                <w:spacing w:val="11"/>
                <w:highlight w:val="none"/>
              </w:rPr>
              <w:t>由谈判小</w:t>
            </w:r>
            <w:r>
              <w:rPr>
                <w:color w:val="auto"/>
                <w:spacing w:val="7"/>
                <w:highlight w:val="none"/>
              </w:rPr>
              <w:t>组推荐代表随机抽取。</w:t>
            </w:r>
          </w:p>
          <w:p w14:paraId="753AD247">
            <w:pPr>
              <w:pStyle w:val="12"/>
              <w:keepNext/>
              <w:keepLines/>
              <w:spacing w:line="226" w:lineRule="auto"/>
              <w:ind w:left="133"/>
              <w:rPr>
                <w:color w:val="auto"/>
                <w:highlight w:val="none"/>
              </w:rPr>
            </w:pPr>
            <w:r>
              <w:rPr>
                <w:color w:val="auto"/>
                <w:spacing w:val="7"/>
                <w:highlight w:val="none"/>
              </w:rPr>
              <w:t>□由谈判小组推荐代表随机抽取。</w:t>
            </w:r>
          </w:p>
        </w:tc>
      </w:tr>
      <w:tr w14:paraId="1966D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996" w:type="dxa"/>
            <w:vMerge w:val="continue"/>
            <w:tcBorders>
              <w:top w:val="nil"/>
            </w:tcBorders>
            <w:vAlign w:val="top"/>
          </w:tcPr>
          <w:p w14:paraId="190E3B99">
            <w:pPr>
              <w:keepNext/>
              <w:keepLines/>
              <w:rPr>
                <w:rFonts w:ascii="Arial"/>
                <w:color w:val="auto"/>
                <w:sz w:val="21"/>
                <w:highlight w:val="none"/>
              </w:rPr>
            </w:pPr>
          </w:p>
        </w:tc>
        <w:tc>
          <w:tcPr>
            <w:tcW w:w="7912" w:type="dxa"/>
            <w:vAlign w:val="top"/>
          </w:tcPr>
          <w:p w14:paraId="772D3F1F">
            <w:pPr>
              <w:pStyle w:val="12"/>
              <w:keepNext/>
              <w:keepLines/>
              <w:spacing w:before="41" w:line="228" w:lineRule="auto"/>
              <w:ind w:left="115"/>
              <w:rPr>
                <w:color w:val="auto"/>
                <w:highlight w:val="none"/>
              </w:rPr>
            </w:pPr>
            <w:r>
              <w:rPr>
                <w:color w:val="auto"/>
                <w:spacing w:val="7"/>
                <w:highlight w:val="none"/>
              </w:rPr>
              <w:t>商务要求评审中允许负偏离的条款数为</w:t>
            </w:r>
            <w:r>
              <w:rPr>
                <w:color w:val="auto"/>
                <w:spacing w:val="7"/>
                <w:highlight w:val="none"/>
                <w:u w:val="single" w:color="auto"/>
              </w:rPr>
              <w:t xml:space="preserve"> 0 </w:t>
            </w:r>
            <w:r>
              <w:rPr>
                <w:color w:val="auto"/>
                <w:spacing w:val="-75"/>
                <w:highlight w:val="none"/>
              </w:rPr>
              <w:t xml:space="preserve"> </w:t>
            </w:r>
            <w:r>
              <w:rPr>
                <w:color w:val="auto"/>
                <w:spacing w:val="7"/>
                <w:highlight w:val="none"/>
              </w:rPr>
              <w:t>项。</w:t>
            </w:r>
          </w:p>
          <w:p w14:paraId="1BD66A6E">
            <w:pPr>
              <w:pStyle w:val="12"/>
              <w:keepNext/>
              <w:keepLines/>
              <w:spacing w:before="161" w:line="228" w:lineRule="auto"/>
              <w:ind w:left="112"/>
              <w:rPr>
                <w:color w:val="auto"/>
                <w:highlight w:val="none"/>
              </w:rPr>
            </w:pPr>
            <w:r>
              <w:rPr>
                <w:color w:val="auto"/>
                <w:spacing w:val="8"/>
                <w:highlight w:val="none"/>
              </w:rPr>
              <w:t>技术要求评审中允许负偏离的条款数为</w:t>
            </w:r>
            <w:r>
              <w:rPr>
                <w:color w:val="auto"/>
                <w:spacing w:val="8"/>
                <w:highlight w:val="none"/>
                <w:u w:val="single" w:color="auto"/>
              </w:rPr>
              <w:t xml:space="preserve"> 0 </w:t>
            </w:r>
            <w:r>
              <w:rPr>
                <w:color w:val="auto"/>
                <w:spacing w:val="8"/>
                <w:highlight w:val="none"/>
              </w:rPr>
              <w:t>项。</w:t>
            </w:r>
          </w:p>
        </w:tc>
      </w:tr>
      <w:tr w14:paraId="2EE5B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4" w:hRule="atLeast"/>
        </w:trPr>
        <w:tc>
          <w:tcPr>
            <w:tcW w:w="996" w:type="dxa"/>
            <w:vAlign w:val="top"/>
          </w:tcPr>
          <w:p w14:paraId="1BC56D28">
            <w:pPr>
              <w:keepNext/>
              <w:keepLines/>
              <w:spacing w:line="241" w:lineRule="auto"/>
              <w:rPr>
                <w:rFonts w:ascii="Arial"/>
                <w:color w:val="auto"/>
                <w:sz w:val="21"/>
                <w:highlight w:val="none"/>
              </w:rPr>
            </w:pPr>
          </w:p>
          <w:p w14:paraId="2EA5AA59">
            <w:pPr>
              <w:keepNext/>
              <w:keepLines/>
              <w:spacing w:line="241" w:lineRule="auto"/>
              <w:rPr>
                <w:rFonts w:ascii="Arial"/>
                <w:color w:val="auto"/>
                <w:sz w:val="21"/>
                <w:highlight w:val="none"/>
              </w:rPr>
            </w:pPr>
          </w:p>
          <w:p w14:paraId="468F3B6C">
            <w:pPr>
              <w:keepNext/>
              <w:keepLines/>
              <w:spacing w:line="241" w:lineRule="auto"/>
              <w:rPr>
                <w:rFonts w:ascii="Arial"/>
                <w:color w:val="auto"/>
                <w:sz w:val="21"/>
                <w:highlight w:val="none"/>
              </w:rPr>
            </w:pPr>
          </w:p>
          <w:p w14:paraId="405CFCC9">
            <w:pPr>
              <w:keepNext/>
              <w:keepLines/>
              <w:spacing w:line="241" w:lineRule="auto"/>
              <w:rPr>
                <w:rFonts w:ascii="Arial"/>
                <w:color w:val="auto"/>
                <w:sz w:val="21"/>
                <w:highlight w:val="none"/>
              </w:rPr>
            </w:pPr>
          </w:p>
          <w:p w14:paraId="44152E2B">
            <w:pPr>
              <w:keepNext/>
              <w:keepLines/>
              <w:spacing w:line="241" w:lineRule="auto"/>
              <w:rPr>
                <w:rFonts w:ascii="Arial"/>
                <w:color w:val="auto"/>
                <w:sz w:val="21"/>
                <w:highlight w:val="none"/>
              </w:rPr>
            </w:pPr>
          </w:p>
          <w:p w14:paraId="04E1D01D">
            <w:pPr>
              <w:keepNext/>
              <w:keepLines/>
              <w:spacing w:line="241" w:lineRule="auto"/>
              <w:rPr>
                <w:rFonts w:ascii="Arial"/>
                <w:color w:val="auto"/>
                <w:sz w:val="21"/>
                <w:highlight w:val="none"/>
              </w:rPr>
            </w:pPr>
          </w:p>
          <w:p w14:paraId="41C5F426">
            <w:pPr>
              <w:keepNext/>
              <w:keepLines/>
              <w:spacing w:line="241" w:lineRule="auto"/>
              <w:rPr>
                <w:rFonts w:ascii="Arial"/>
                <w:color w:val="auto"/>
                <w:sz w:val="21"/>
                <w:highlight w:val="none"/>
              </w:rPr>
            </w:pPr>
          </w:p>
          <w:p w14:paraId="4B4BC299">
            <w:pPr>
              <w:keepNext/>
              <w:keepLines/>
              <w:spacing w:line="241" w:lineRule="auto"/>
              <w:rPr>
                <w:rFonts w:ascii="Arial"/>
                <w:color w:val="auto"/>
                <w:sz w:val="21"/>
                <w:highlight w:val="none"/>
              </w:rPr>
            </w:pPr>
          </w:p>
          <w:p w14:paraId="5B1C31DB">
            <w:pPr>
              <w:keepNext/>
              <w:keepLines/>
              <w:spacing w:line="242" w:lineRule="auto"/>
              <w:rPr>
                <w:rFonts w:ascii="Arial"/>
                <w:color w:val="auto"/>
                <w:sz w:val="21"/>
                <w:highlight w:val="none"/>
              </w:rPr>
            </w:pPr>
          </w:p>
          <w:p w14:paraId="3F0AA6B3">
            <w:pPr>
              <w:keepNext/>
              <w:keepLines/>
              <w:spacing w:line="242" w:lineRule="auto"/>
              <w:rPr>
                <w:rFonts w:ascii="Arial"/>
                <w:color w:val="auto"/>
                <w:sz w:val="21"/>
                <w:highlight w:val="none"/>
              </w:rPr>
            </w:pPr>
          </w:p>
          <w:p w14:paraId="1D7452A0">
            <w:pPr>
              <w:keepNext/>
              <w:keepLines/>
              <w:spacing w:line="242" w:lineRule="auto"/>
              <w:rPr>
                <w:rFonts w:ascii="Arial"/>
                <w:color w:val="auto"/>
                <w:sz w:val="21"/>
                <w:highlight w:val="none"/>
              </w:rPr>
            </w:pPr>
          </w:p>
          <w:p w14:paraId="3E8625C9">
            <w:pPr>
              <w:keepNext/>
              <w:keepLines/>
              <w:spacing w:line="242" w:lineRule="auto"/>
              <w:rPr>
                <w:rFonts w:ascii="Arial"/>
                <w:color w:val="auto"/>
                <w:sz w:val="21"/>
                <w:highlight w:val="none"/>
              </w:rPr>
            </w:pPr>
          </w:p>
          <w:p w14:paraId="4A8C24C2">
            <w:pPr>
              <w:keepNext/>
              <w:keepLines/>
              <w:spacing w:line="242" w:lineRule="auto"/>
              <w:rPr>
                <w:rFonts w:ascii="Arial"/>
                <w:color w:val="auto"/>
                <w:sz w:val="21"/>
                <w:highlight w:val="none"/>
              </w:rPr>
            </w:pPr>
          </w:p>
          <w:p w14:paraId="6B27277C">
            <w:pPr>
              <w:keepNext/>
              <w:keepLines/>
              <w:spacing w:line="242" w:lineRule="auto"/>
              <w:rPr>
                <w:rFonts w:ascii="Arial"/>
                <w:color w:val="auto"/>
                <w:sz w:val="21"/>
                <w:highlight w:val="none"/>
              </w:rPr>
            </w:pPr>
          </w:p>
          <w:p w14:paraId="01B9E05C">
            <w:pPr>
              <w:keepNext/>
              <w:keepLines/>
              <w:spacing w:line="242" w:lineRule="auto"/>
              <w:rPr>
                <w:rFonts w:ascii="Arial"/>
                <w:color w:val="auto"/>
                <w:sz w:val="21"/>
                <w:highlight w:val="none"/>
              </w:rPr>
            </w:pPr>
          </w:p>
          <w:p w14:paraId="3866DA5B">
            <w:pPr>
              <w:pStyle w:val="12"/>
              <w:keepNext/>
              <w:keepLines/>
              <w:spacing w:before="65" w:line="268" w:lineRule="exact"/>
              <w:ind w:left="296"/>
              <w:rPr>
                <w:color w:val="auto"/>
                <w:highlight w:val="none"/>
              </w:rPr>
            </w:pPr>
            <w:r>
              <w:rPr>
                <w:color w:val="auto"/>
                <w:spacing w:val="2"/>
                <w:position w:val="1"/>
                <w:highlight w:val="none"/>
              </w:rPr>
              <w:t>28.1</w:t>
            </w:r>
          </w:p>
        </w:tc>
        <w:tc>
          <w:tcPr>
            <w:tcW w:w="7912" w:type="dxa"/>
            <w:vAlign w:val="top"/>
          </w:tcPr>
          <w:p w14:paraId="66D8F009">
            <w:pPr>
              <w:pStyle w:val="12"/>
              <w:keepNext/>
              <w:keepLines/>
              <w:spacing w:before="32" w:line="227" w:lineRule="auto"/>
              <w:ind w:left="119"/>
              <w:rPr>
                <w:color w:val="auto"/>
                <w:highlight w:val="none"/>
              </w:rPr>
            </w:pPr>
            <w:r>
              <w:rPr>
                <w:rFonts w:ascii="MS Mincho" w:hAnsi="MS Mincho" w:eastAsia="MS Mincho" w:cs="MS Mincho"/>
                <w:color w:val="auto"/>
                <w:spacing w:val="7"/>
                <w:highlight w:val="none"/>
              </w:rPr>
              <w:t>☑</w:t>
            </w:r>
            <w:r>
              <w:rPr>
                <w:color w:val="auto"/>
                <w:spacing w:val="7"/>
                <w:highlight w:val="none"/>
              </w:rPr>
              <w:t>本项目不收取履约保证金。</w:t>
            </w:r>
          </w:p>
          <w:p w14:paraId="6C630E4B">
            <w:pPr>
              <w:pStyle w:val="12"/>
              <w:keepNext/>
              <w:keepLines/>
              <w:spacing w:before="162" w:line="227" w:lineRule="auto"/>
              <w:ind w:left="133"/>
              <w:rPr>
                <w:color w:val="auto"/>
                <w:highlight w:val="none"/>
              </w:rPr>
            </w:pPr>
            <w:r>
              <w:rPr>
                <w:color w:val="auto"/>
                <w:spacing w:val="7"/>
                <w:highlight w:val="none"/>
              </w:rPr>
              <w:t>□本项目收取履约保证金，具体规定如下：</w:t>
            </w:r>
          </w:p>
          <w:p w14:paraId="067D4D87">
            <w:pPr>
              <w:pStyle w:val="12"/>
              <w:keepNext/>
              <w:keepLines/>
              <w:spacing w:before="164" w:line="228" w:lineRule="auto"/>
              <w:ind w:left="115"/>
              <w:rPr>
                <w:color w:val="auto"/>
                <w:highlight w:val="none"/>
              </w:rPr>
            </w:pPr>
            <w:r>
              <w:rPr>
                <w:color w:val="auto"/>
                <w:spacing w:val="6"/>
                <w:highlight w:val="none"/>
              </w:rPr>
              <w:t>履约保证金金额</w:t>
            </w:r>
            <w:r>
              <w:rPr>
                <w:color w:val="auto"/>
                <w:spacing w:val="6"/>
                <w:highlight w:val="none"/>
                <w:u w:val="single" w:color="auto"/>
              </w:rPr>
              <w:t>：</w:t>
            </w:r>
            <w:r>
              <w:rPr>
                <w:color w:val="auto"/>
                <w:spacing w:val="8"/>
                <w:highlight w:val="none"/>
                <w:u w:val="single" w:color="auto"/>
              </w:rPr>
              <w:t xml:space="preserve">     </w:t>
            </w:r>
            <w:r>
              <w:rPr>
                <w:color w:val="auto"/>
                <w:spacing w:val="6"/>
                <w:highlight w:val="none"/>
                <w:u w:val="single" w:color="auto"/>
              </w:rPr>
              <w:t>/</w:t>
            </w:r>
            <w:r>
              <w:rPr>
                <w:color w:val="auto"/>
                <w:highlight w:val="none"/>
                <w:u w:val="single" w:color="auto"/>
              </w:rPr>
              <w:t xml:space="preserve">      </w:t>
            </w:r>
          </w:p>
          <w:p w14:paraId="4C4C415C">
            <w:pPr>
              <w:pStyle w:val="12"/>
              <w:keepNext/>
              <w:keepLines/>
              <w:spacing w:before="161" w:line="228" w:lineRule="auto"/>
              <w:ind w:left="115"/>
              <w:rPr>
                <w:color w:val="auto"/>
                <w:highlight w:val="none"/>
              </w:rPr>
            </w:pPr>
            <w:r>
              <w:rPr>
                <w:color w:val="auto"/>
                <w:spacing w:val="7"/>
                <w:highlight w:val="none"/>
              </w:rPr>
              <w:t>履约保证金提交方式：</w:t>
            </w:r>
            <w:r>
              <w:rPr>
                <w:color w:val="auto"/>
                <w:spacing w:val="7"/>
                <w:highlight w:val="none"/>
                <w:u w:val="single" w:color="auto"/>
              </w:rPr>
              <w:t xml:space="preserve">     /</w:t>
            </w:r>
            <w:r>
              <w:rPr>
                <w:color w:val="auto"/>
                <w:highlight w:val="none"/>
                <w:u w:val="single" w:color="auto"/>
              </w:rPr>
              <w:t xml:space="preserve">      </w:t>
            </w:r>
          </w:p>
          <w:p w14:paraId="7A34DB2F">
            <w:pPr>
              <w:pStyle w:val="12"/>
              <w:keepNext/>
              <w:keepLines/>
              <w:spacing w:before="160" w:line="228" w:lineRule="auto"/>
              <w:ind w:left="115"/>
              <w:rPr>
                <w:color w:val="auto"/>
                <w:highlight w:val="none"/>
              </w:rPr>
            </w:pPr>
            <w:r>
              <w:rPr>
                <w:color w:val="auto"/>
                <w:spacing w:val="7"/>
                <w:highlight w:val="none"/>
              </w:rPr>
              <w:t>履约保证金缴纳期限：</w:t>
            </w:r>
            <w:r>
              <w:rPr>
                <w:color w:val="auto"/>
                <w:spacing w:val="7"/>
                <w:highlight w:val="none"/>
                <w:u w:val="single" w:color="auto"/>
              </w:rPr>
              <w:t xml:space="preserve">     /</w:t>
            </w:r>
            <w:r>
              <w:rPr>
                <w:color w:val="auto"/>
                <w:highlight w:val="none"/>
                <w:u w:val="single" w:color="auto"/>
              </w:rPr>
              <w:t xml:space="preserve">      </w:t>
            </w:r>
          </w:p>
          <w:p w14:paraId="4B8BF0AB">
            <w:pPr>
              <w:pStyle w:val="12"/>
              <w:keepNext/>
              <w:keepLines/>
              <w:spacing w:before="161" w:line="228" w:lineRule="auto"/>
              <w:ind w:left="115"/>
              <w:rPr>
                <w:color w:val="auto"/>
                <w:highlight w:val="none"/>
              </w:rPr>
            </w:pPr>
            <w:r>
              <w:rPr>
                <w:color w:val="auto"/>
                <w:spacing w:val="8"/>
                <w:highlight w:val="none"/>
              </w:rPr>
              <w:t>履约保证金退付方式、时间及条件</w:t>
            </w:r>
            <w:r>
              <w:rPr>
                <w:color w:val="auto"/>
                <w:spacing w:val="8"/>
                <w:highlight w:val="none"/>
                <w:u w:val="single" w:color="auto"/>
              </w:rPr>
              <w:t>：     /</w:t>
            </w:r>
            <w:r>
              <w:rPr>
                <w:color w:val="auto"/>
                <w:highlight w:val="none"/>
                <w:u w:val="single" w:color="auto"/>
              </w:rPr>
              <w:t xml:space="preserve">      </w:t>
            </w:r>
          </w:p>
          <w:p w14:paraId="3A9E6CC9">
            <w:pPr>
              <w:pStyle w:val="12"/>
              <w:keepNext/>
              <w:keepLines/>
              <w:spacing w:before="162" w:line="228" w:lineRule="auto"/>
              <w:ind w:left="115"/>
              <w:rPr>
                <w:color w:val="auto"/>
                <w:highlight w:val="none"/>
              </w:rPr>
            </w:pPr>
            <w:r>
              <w:rPr>
                <w:color w:val="auto"/>
                <w:spacing w:val="7"/>
                <w:highlight w:val="none"/>
              </w:rPr>
              <w:t>履约保证金指定账户：</w:t>
            </w:r>
            <w:r>
              <w:rPr>
                <w:color w:val="auto"/>
                <w:spacing w:val="7"/>
                <w:highlight w:val="none"/>
                <w:u w:val="single" w:color="auto"/>
              </w:rPr>
              <w:t xml:space="preserve">     /</w:t>
            </w:r>
            <w:r>
              <w:rPr>
                <w:color w:val="auto"/>
                <w:highlight w:val="none"/>
                <w:u w:val="single" w:color="auto"/>
              </w:rPr>
              <w:t xml:space="preserve">      </w:t>
            </w:r>
          </w:p>
          <w:p w14:paraId="1A5B6472">
            <w:pPr>
              <w:keepNext/>
              <w:keepLines/>
              <w:spacing w:line="251" w:lineRule="auto"/>
              <w:rPr>
                <w:rFonts w:ascii="Arial"/>
                <w:color w:val="auto"/>
                <w:sz w:val="21"/>
                <w:highlight w:val="none"/>
              </w:rPr>
            </w:pPr>
          </w:p>
          <w:p w14:paraId="5FD7D86C">
            <w:pPr>
              <w:keepNext/>
              <w:keepLines/>
              <w:spacing w:line="251" w:lineRule="auto"/>
              <w:rPr>
                <w:rFonts w:ascii="Arial"/>
                <w:color w:val="auto"/>
                <w:sz w:val="21"/>
                <w:highlight w:val="none"/>
              </w:rPr>
            </w:pPr>
          </w:p>
          <w:p w14:paraId="67F2E5E5">
            <w:pPr>
              <w:pStyle w:val="12"/>
              <w:keepNext/>
              <w:keepLines/>
              <w:spacing w:before="66" w:line="229" w:lineRule="auto"/>
              <w:ind w:left="114"/>
              <w:rPr>
                <w:color w:val="auto"/>
                <w:highlight w:val="none"/>
              </w:rPr>
            </w:pPr>
            <w:r>
              <w:rPr>
                <w:b/>
                <w:bCs/>
                <w:color w:val="auto"/>
                <w:spacing w:val="1"/>
                <w:highlight w:val="none"/>
              </w:rPr>
              <w:t>备注：</w:t>
            </w:r>
          </w:p>
          <w:p w14:paraId="3F564249">
            <w:pPr>
              <w:pStyle w:val="12"/>
              <w:keepNext/>
              <w:keepLines/>
              <w:spacing w:before="160" w:line="377" w:lineRule="auto"/>
              <w:ind w:left="111" w:right="108" w:firstLine="15"/>
              <w:rPr>
                <w:color w:val="auto"/>
                <w:highlight w:val="none"/>
              </w:rPr>
            </w:pPr>
            <w:r>
              <w:rPr>
                <w:b/>
                <w:bCs/>
                <w:color w:val="auto"/>
                <w:spacing w:val="11"/>
                <w:highlight w:val="none"/>
              </w:rPr>
              <w:t>1.根据《广西壮族自治区财政厅关于持续优化政</w:t>
            </w:r>
            <w:r>
              <w:rPr>
                <w:b/>
                <w:bCs/>
                <w:color w:val="auto"/>
                <w:spacing w:val="10"/>
                <w:highlight w:val="none"/>
              </w:rPr>
              <w:t>府采购营商环境推动高质量发展的</w:t>
            </w:r>
            <w:r>
              <w:rPr>
                <w:b/>
                <w:bCs/>
                <w:color w:val="auto"/>
                <w:spacing w:val="7"/>
                <w:highlight w:val="none"/>
              </w:rPr>
              <w:t>通知》</w:t>
            </w:r>
            <w:r>
              <w:rPr>
                <w:color w:val="auto"/>
                <w:spacing w:val="-78"/>
                <w:highlight w:val="none"/>
              </w:rPr>
              <w:t xml:space="preserve"> </w:t>
            </w:r>
            <w:r>
              <w:rPr>
                <w:b/>
                <w:bCs/>
                <w:color w:val="auto"/>
                <w:spacing w:val="7"/>
                <w:highlight w:val="none"/>
              </w:rPr>
              <w:t>（桂财采〔2024〕55</w:t>
            </w:r>
            <w:r>
              <w:rPr>
                <w:color w:val="auto"/>
                <w:spacing w:val="-33"/>
                <w:highlight w:val="none"/>
              </w:rPr>
              <w:t xml:space="preserve"> </w:t>
            </w:r>
            <w:r>
              <w:rPr>
                <w:b/>
                <w:bCs/>
                <w:color w:val="auto"/>
                <w:spacing w:val="7"/>
                <w:highlight w:val="none"/>
              </w:rPr>
              <w:t>号）</w:t>
            </w:r>
            <w:r>
              <w:rPr>
                <w:color w:val="auto"/>
                <w:spacing w:val="-59"/>
                <w:highlight w:val="none"/>
              </w:rPr>
              <w:t xml:space="preserve"> </w:t>
            </w:r>
            <w:r>
              <w:rPr>
                <w:b/>
                <w:bCs/>
                <w:color w:val="auto"/>
                <w:spacing w:val="7"/>
                <w:highlight w:val="none"/>
              </w:rPr>
              <w:t>的规定，履约保证金数额不得超过政府采购合同金额的</w:t>
            </w:r>
            <w:r>
              <w:rPr>
                <w:color w:val="auto"/>
                <w:spacing w:val="-33"/>
                <w:highlight w:val="none"/>
              </w:rPr>
              <w:t xml:space="preserve"> </w:t>
            </w:r>
            <w:r>
              <w:rPr>
                <w:b/>
                <w:bCs/>
                <w:color w:val="auto"/>
                <w:spacing w:val="7"/>
                <w:highlight w:val="none"/>
              </w:rPr>
              <w:t>5%；对中小企业收取的履约保证金数额不得超过政府采购合同</w:t>
            </w:r>
            <w:r>
              <w:rPr>
                <w:b/>
                <w:bCs/>
                <w:color w:val="auto"/>
                <w:spacing w:val="6"/>
                <w:highlight w:val="none"/>
              </w:rPr>
              <w:t>金额的</w:t>
            </w:r>
            <w:r>
              <w:rPr>
                <w:color w:val="auto"/>
                <w:spacing w:val="-34"/>
                <w:highlight w:val="none"/>
              </w:rPr>
              <w:t xml:space="preserve"> </w:t>
            </w:r>
            <w:r>
              <w:rPr>
                <w:b/>
                <w:bCs/>
                <w:color w:val="auto"/>
                <w:spacing w:val="6"/>
                <w:highlight w:val="none"/>
              </w:rPr>
              <w:t>2%。</w:t>
            </w:r>
          </w:p>
          <w:p w14:paraId="7BB04792">
            <w:pPr>
              <w:pStyle w:val="12"/>
              <w:keepNext/>
              <w:keepLines/>
              <w:spacing w:before="3" w:line="376" w:lineRule="auto"/>
              <w:ind w:left="114" w:right="108"/>
              <w:rPr>
                <w:color w:val="auto"/>
                <w:highlight w:val="none"/>
              </w:rPr>
            </w:pPr>
            <w:r>
              <w:rPr>
                <w:b/>
                <w:bCs/>
                <w:color w:val="auto"/>
                <w:spacing w:val="10"/>
                <w:highlight w:val="none"/>
              </w:rPr>
              <w:t>2.履约保证金不足额缴纳的（包含保函额度不足的</w:t>
            </w:r>
            <w:r>
              <w:rPr>
                <w:b/>
                <w:bCs/>
                <w:color w:val="auto"/>
                <w:spacing w:val="5"/>
                <w:highlight w:val="none"/>
              </w:rPr>
              <w:t>）</w:t>
            </w:r>
            <w:r>
              <w:rPr>
                <w:color w:val="auto"/>
                <w:spacing w:val="-55"/>
                <w:highlight w:val="none"/>
              </w:rPr>
              <w:t xml:space="preserve"> </w:t>
            </w:r>
            <w:r>
              <w:rPr>
                <w:b/>
                <w:bCs/>
                <w:color w:val="auto"/>
                <w:spacing w:val="5"/>
                <w:highlight w:val="none"/>
              </w:rPr>
              <w:t>，</w:t>
            </w:r>
            <w:r>
              <w:rPr>
                <w:b/>
                <w:bCs/>
                <w:color w:val="auto"/>
                <w:spacing w:val="10"/>
                <w:highlight w:val="none"/>
              </w:rPr>
              <w:t>或者不按规定提交方式提交</w:t>
            </w:r>
            <w:r>
              <w:rPr>
                <w:b/>
                <w:bCs/>
                <w:color w:val="auto"/>
                <w:spacing w:val="11"/>
                <w:highlight w:val="none"/>
              </w:rPr>
              <w:t>的，或者保函有效期低于合同履行期限（即合同中规定的当事人履行自己的义务，</w:t>
            </w:r>
            <w:r>
              <w:rPr>
                <w:b/>
                <w:bCs/>
                <w:color w:val="auto"/>
                <w:spacing w:val="10"/>
                <w:highlight w:val="none"/>
              </w:rPr>
              <w:t>如交付标的物、价款或者报酬，履行劳务、完成工作的时间界限）</w:t>
            </w:r>
            <w:r>
              <w:rPr>
                <w:color w:val="auto"/>
                <w:spacing w:val="-54"/>
                <w:highlight w:val="none"/>
              </w:rPr>
              <w:t xml:space="preserve"> </w:t>
            </w:r>
            <w:r>
              <w:rPr>
                <w:b/>
                <w:bCs/>
                <w:color w:val="auto"/>
                <w:spacing w:val="10"/>
                <w:highlight w:val="none"/>
              </w:rPr>
              <w:t>的，不予签订合</w:t>
            </w:r>
            <w:r>
              <w:rPr>
                <w:b/>
                <w:bCs/>
                <w:color w:val="auto"/>
                <w:spacing w:val="-4"/>
                <w:highlight w:val="none"/>
              </w:rPr>
              <w:t>同。</w:t>
            </w:r>
          </w:p>
          <w:p w14:paraId="4674FD0D">
            <w:pPr>
              <w:pStyle w:val="12"/>
              <w:keepNext/>
              <w:keepLines/>
              <w:spacing w:before="1" w:line="226" w:lineRule="auto"/>
              <w:ind w:left="115"/>
              <w:rPr>
                <w:color w:val="auto"/>
                <w:highlight w:val="none"/>
              </w:rPr>
            </w:pPr>
            <w:r>
              <w:rPr>
                <w:b/>
                <w:bCs/>
                <w:color w:val="auto"/>
                <w:spacing w:val="8"/>
                <w:highlight w:val="none"/>
              </w:rPr>
              <w:t>3.采用银行、保险机构出具的保函的，必须为无条件保</w:t>
            </w:r>
            <w:r>
              <w:rPr>
                <w:b/>
                <w:bCs/>
                <w:color w:val="auto"/>
                <w:spacing w:val="7"/>
                <w:highlight w:val="none"/>
              </w:rPr>
              <w:t>函，否则不予签订合同。</w:t>
            </w:r>
          </w:p>
          <w:p w14:paraId="2914C2E3">
            <w:pPr>
              <w:pStyle w:val="12"/>
              <w:keepNext/>
              <w:keepLines/>
              <w:spacing w:before="162" w:line="359" w:lineRule="auto"/>
              <w:ind w:left="111" w:right="108" w:hanging="1"/>
              <w:rPr>
                <w:color w:val="auto"/>
                <w:highlight w:val="none"/>
              </w:rPr>
            </w:pPr>
            <w:r>
              <w:rPr>
                <w:b/>
                <w:bCs/>
                <w:color w:val="auto"/>
                <w:spacing w:val="10"/>
                <w:highlight w:val="none"/>
              </w:rPr>
              <w:t>4.供应商为联合体的，</w:t>
            </w:r>
            <w:r>
              <w:rPr>
                <w:color w:val="auto"/>
                <w:spacing w:val="-55"/>
                <w:highlight w:val="none"/>
              </w:rPr>
              <w:t xml:space="preserve"> </w:t>
            </w:r>
            <w:r>
              <w:rPr>
                <w:b/>
                <w:bCs/>
                <w:color w:val="auto"/>
                <w:spacing w:val="10"/>
                <w:highlight w:val="none"/>
              </w:rPr>
              <w:t>由联合体任意一方按规定提交的履约保证金</w:t>
            </w:r>
            <w:r>
              <w:rPr>
                <w:b/>
                <w:bCs/>
                <w:color w:val="auto"/>
                <w:spacing w:val="9"/>
                <w:highlight w:val="none"/>
              </w:rPr>
              <w:t>，视为有效履约</w:t>
            </w:r>
            <w:r>
              <w:rPr>
                <w:b/>
                <w:bCs/>
                <w:color w:val="auto"/>
                <w:spacing w:val="3"/>
                <w:highlight w:val="none"/>
              </w:rPr>
              <w:t>保证金。</w:t>
            </w:r>
          </w:p>
        </w:tc>
      </w:tr>
      <w:tr w14:paraId="26871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6" w:hRule="atLeast"/>
        </w:trPr>
        <w:tc>
          <w:tcPr>
            <w:tcW w:w="996" w:type="dxa"/>
            <w:vAlign w:val="top"/>
          </w:tcPr>
          <w:p w14:paraId="2BADEFB0">
            <w:pPr>
              <w:keepNext/>
              <w:keepLines/>
              <w:spacing w:line="260" w:lineRule="auto"/>
              <w:rPr>
                <w:rFonts w:ascii="Arial"/>
                <w:color w:val="auto"/>
                <w:sz w:val="21"/>
                <w:highlight w:val="none"/>
              </w:rPr>
            </w:pPr>
          </w:p>
          <w:p w14:paraId="4F8D23F7">
            <w:pPr>
              <w:keepNext/>
              <w:keepLines/>
              <w:spacing w:line="260" w:lineRule="auto"/>
              <w:rPr>
                <w:rFonts w:ascii="Arial"/>
                <w:color w:val="auto"/>
                <w:sz w:val="21"/>
                <w:highlight w:val="none"/>
              </w:rPr>
            </w:pPr>
          </w:p>
          <w:p w14:paraId="07CABA16">
            <w:pPr>
              <w:keepNext/>
              <w:keepLines/>
              <w:spacing w:line="261" w:lineRule="auto"/>
              <w:rPr>
                <w:rFonts w:ascii="Arial"/>
                <w:color w:val="auto"/>
                <w:sz w:val="21"/>
                <w:highlight w:val="none"/>
              </w:rPr>
            </w:pPr>
          </w:p>
          <w:p w14:paraId="0ECD4C52">
            <w:pPr>
              <w:pStyle w:val="12"/>
              <w:keepNext/>
              <w:keepLines/>
              <w:spacing w:before="65" w:line="268" w:lineRule="exact"/>
              <w:ind w:left="296"/>
              <w:rPr>
                <w:color w:val="auto"/>
                <w:highlight w:val="none"/>
              </w:rPr>
            </w:pPr>
            <w:r>
              <w:rPr>
                <w:color w:val="auto"/>
                <w:spacing w:val="2"/>
                <w:position w:val="1"/>
                <w:highlight w:val="none"/>
              </w:rPr>
              <w:t>29.1</w:t>
            </w:r>
          </w:p>
        </w:tc>
        <w:tc>
          <w:tcPr>
            <w:tcW w:w="7912" w:type="dxa"/>
            <w:vAlign w:val="top"/>
          </w:tcPr>
          <w:p w14:paraId="11E04A99">
            <w:pPr>
              <w:pStyle w:val="12"/>
              <w:keepNext/>
              <w:keepLines/>
              <w:spacing w:before="35" w:line="227" w:lineRule="auto"/>
              <w:ind w:left="111"/>
              <w:rPr>
                <w:color w:val="auto"/>
                <w:highlight w:val="none"/>
              </w:rPr>
            </w:pPr>
            <w:r>
              <w:rPr>
                <w:color w:val="auto"/>
                <w:spacing w:val="8"/>
                <w:highlight w:val="none"/>
              </w:rPr>
              <w:t>签订合同携带的证明材料：</w:t>
            </w:r>
          </w:p>
          <w:p w14:paraId="5C16476E">
            <w:pPr>
              <w:pStyle w:val="12"/>
              <w:keepNext/>
              <w:keepLines/>
              <w:spacing w:before="161" w:line="377" w:lineRule="auto"/>
              <w:ind w:left="110" w:right="108"/>
              <w:rPr>
                <w:color w:val="auto"/>
                <w:highlight w:val="none"/>
              </w:rPr>
            </w:pPr>
            <w:r>
              <w:rPr>
                <w:color w:val="auto"/>
                <w:spacing w:val="13"/>
                <w:highlight w:val="none"/>
              </w:rPr>
              <w:t>委托代理人负责签订合同的，须携带授权委托书及委托代理人身份证原件等其他资</w:t>
            </w:r>
            <w:r>
              <w:rPr>
                <w:color w:val="auto"/>
                <w:spacing w:val="5"/>
                <w:highlight w:val="none"/>
              </w:rPr>
              <w:t>格证件。</w:t>
            </w:r>
          </w:p>
          <w:p w14:paraId="1C6A772C">
            <w:pPr>
              <w:pStyle w:val="12"/>
              <w:keepNext/>
              <w:keepLines/>
              <w:spacing w:before="1" w:line="358" w:lineRule="auto"/>
              <w:ind w:left="111" w:right="108"/>
              <w:rPr>
                <w:color w:val="auto"/>
                <w:highlight w:val="none"/>
              </w:rPr>
            </w:pPr>
            <w:r>
              <w:rPr>
                <w:color w:val="auto"/>
                <w:spacing w:val="13"/>
                <w:highlight w:val="none"/>
              </w:rPr>
              <w:t>法定代表人负责签订合同的，须携带法定代表人身份证明原件及身份证原件等其他</w:t>
            </w:r>
            <w:r>
              <w:rPr>
                <w:color w:val="auto"/>
                <w:spacing w:val="5"/>
                <w:highlight w:val="none"/>
              </w:rPr>
              <w:t>证明材料。</w:t>
            </w:r>
          </w:p>
        </w:tc>
      </w:tr>
      <w:tr w14:paraId="4A88F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996" w:type="dxa"/>
            <w:vAlign w:val="top"/>
          </w:tcPr>
          <w:p w14:paraId="1B1926FC">
            <w:pPr>
              <w:pStyle w:val="12"/>
              <w:keepNext/>
              <w:keepLines/>
              <w:spacing w:before="36" w:line="267" w:lineRule="exact"/>
              <w:ind w:left="298"/>
              <w:rPr>
                <w:color w:val="auto"/>
                <w:highlight w:val="none"/>
              </w:rPr>
            </w:pPr>
            <w:r>
              <w:rPr>
                <w:color w:val="auto"/>
                <w:spacing w:val="2"/>
                <w:position w:val="1"/>
                <w:highlight w:val="none"/>
              </w:rPr>
              <w:t>31.2</w:t>
            </w:r>
          </w:p>
        </w:tc>
        <w:tc>
          <w:tcPr>
            <w:tcW w:w="7912" w:type="dxa"/>
            <w:vAlign w:val="top"/>
          </w:tcPr>
          <w:p w14:paraId="4594E4F5">
            <w:pPr>
              <w:pStyle w:val="12"/>
              <w:keepNext/>
              <w:keepLines/>
              <w:spacing w:before="36" w:line="227" w:lineRule="auto"/>
              <w:ind w:left="110"/>
              <w:rPr>
                <w:color w:val="auto"/>
                <w:highlight w:val="none"/>
              </w:rPr>
            </w:pPr>
            <w:r>
              <w:rPr>
                <w:color w:val="auto"/>
                <w:spacing w:val="5"/>
                <w:highlight w:val="none"/>
              </w:rPr>
              <w:t>接收质疑函方式：</w:t>
            </w:r>
            <w:r>
              <w:rPr>
                <w:color w:val="auto"/>
                <w:spacing w:val="-50"/>
                <w:highlight w:val="none"/>
              </w:rPr>
              <w:t xml:space="preserve"> </w:t>
            </w:r>
            <w:r>
              <w:rPr>
                <w:color w:val="auto"/>
                <w:spacing w:val="5"/>
                <w:highlight w:val="none"/>
              </w:rPr>
              <w:t>以书面形式。</w:t>
            </w:r>
          </w:p>
        </w:tc>
      </w:tr>
    </w:tbl>
    <w:p w14:paraId="1B6305D4">
      <w:pPr>
        <w:keepNext/>
        <w:keepLines/>
        <w:rPr>
          <w:rFonts w:ascii="Arial"/>
          <w:color w:val="auto"/>
          <w:sz w:val="21"/>
          <w:highlight w:val="none"/>
        </w:rPr>
      </w:pPr>
    </w:p>
    <w:p w14:paraId="39AE947A">
      <w:pPr>
        <w:keepNext/>
        <w:keepLines/>
        <w:rPr>
          <w:rFonts w:ascii="Arial" w:hAnsi="Arial" w:eastAsia="Arial" w:cs="Arial"/>
          <w:color w:val="auto"/>
          <w:sz w:val="21"/>
          <w:szCs w:val="21"/>
          <w:highlight w:val="none"/>
        </w:rPr>
        <w:sectPr>
          <w:footerReference r:id="rId13" w:type="default"/>
          <w:pgSz w:w="11910" w:h="16840"/>
          <w:pgMar w:top="1340" w:right="1408" w:bottom="1091" w:left="1588" w:header="0" w:footer="928" w:gutter="0"/>
          <w:pgNumType w:fmt="decimal"/>
          <w:cols w:space="720" w:num="1"/>
        </w:sectPr>
      </w:pPr>
    </w:p>
    <w:tbl>
      <w:tblPr>
        <w:tblStyle w:val="11"/>
        <w:tblW w:w="89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7912"/>
      </w:tblGrid>
      <w:tr w14:paraId="05546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2" w:hRule="atLeast"/>
        </w:trPr>
        <w:tc>
          <w:tcPr>
            <w:tcW w:w="996" w:type="dxa"/>
            <w:vAlign w:val="top"/>
          </w:tcPr>
          <w:p w14:paraId="79A5179E">
            <w:pPr>
              <w:keepNext/>
              <w:keepLines/>
              <w:rPr>
                <w:rFonts w:ascii="Arial"/>
                <w:color w:val="auto"/>
                <w:sz w:val="21"/>
                <w:highlight w:val="none"/>
              </w:rPr>
            </w:pPr>
          </w:p>
        </w:tc>
        <w:tc>
          <w:tcPr>
            <w:tcW w:w="7912" w:type="dxa"/>
            <w:vAlign w:val="top"/>
          </w:tcPr>
          <w:p w14:paraId="3BAA3790">
            <w:pPr>
              <w:pStyle w:val="12"/>
              <w:keepNext/>
              <w:keepLines/>
              <w:spacing w:before="35" w:line="377" w:lineRule="auto"/>
              <w:ind w:left="115" w:right="107" w:hanging="3"/>
              <w:jc w:val="both"/>
              <w:rPr>
                <w:color w:val="auto"/>
                <w:highlight w:val="none"/>
              </w:rPr>
            </w:pPr>
            <w:r>
              <w:rPr>
                <w:color w:val="auto"/>
                <w:spacing w:val="10"/>
                <w:highlight w:val="none"/>
              </w:rPr>
              <w:t>质疑联系部门及联系方式：</w:t>
            </w:r>
            <w:r>
              <w:rPr>
                <w:rFonts w:hint="eastAsia"/>
                <w:color w:val="auto"/>
                <w:spacing w:val="10"/>
                <w:highlight w:val="none"/>
                <w:u w:val="single" w:color="auto"/>
                <w:lang w:eastAsia="zh-CN"/>
              </w:rPr>
              <w:t>广西同泽工程项目管理股份有限公司</w:t>
            </w:r>
            <w:r>
              <w:rPr>
                <w:color w:val="auto"/>
                <w:spacing w:val="10"/>
                <w:highlight w:val="none"/>
                <w:u w:val="single" w:color="auto"/>
              </w:rPr>
              <w:t>，联系电话：</w:t>
            </w:r>
            <w:r>
              <w:rPr>
                <w:color w:val="auto"/>
                <w:spacing w:val="9"/>
                <w:highlight w:val="none"/>
                <w:u w:val="single" w:color="auto"/>
              </w:rPr>
              <w:t>0</w:t>
            </w:r>
            <w:r>
              <w:rPr>
                <w:rFonts w:hint="eastAsia"/>
                <w:color w:val="auto"/>
                <w:spacing w:val="9"/>
                <w:highlight w:val="none"/>
                <w:u w:val="single" w:color="auto"/>
                <w:lang w:eastAsia="zh-CN"/>
              </w:rPr>
              <w:t>0779-2026225、0771-5590176</w:t>
            </w:r>
            <w:r>
              <w:rPr>
                <w:color w:val="auto"/>
                <w:spacing w:val="-57"/>
                <w:highlight w:val="none"/>
                <w:u w:val="single" w:color="auto"/>
              </w:rPr>
              <w:t xml:space="preserve"> </w:t>
            </w:r>
            <w:r>
              <w:rPr>
                <w:color w:val="auto"/>
                <w:spacing w:val="11"/>
                <w:highlight w:val="none"/>
                <w:u w:val="single" w:color="auto"/>
              </w:rPr>
              <w:t>，通讯地址：</w:t>
            </w:r>
            <w:r>
              <w:rPr>
                <w:color w:val="auto"/>
                <w:spacing w:val="-45"/>
                <w:highlight w:val="none"/>
                <w:u w:val="single" w:color="auto"/>
              </w:rPr>
              <w:t xml:space="preserve"> </w:t>
            </w:r>
            <w:r>
              <w:rPr>
                <w:rFonts w:hint="eastAsia"/>
                <w:color w:val="auto"/>
                <w:spacing w:val="11"/>
                <w:highlight w:val="none"/>
                <w:u w:val="single" w:color="auto"/>
                <w:lang w:eastAsia="zh-CN"/>
              </w:rPr>
              <w:t>北海市海城区北京路49号桂成花园B座1602号</w:t>
            </w:r>
            <w:r>
              <w:rPr>
                <w:rFonts w:hint="eastAsia"/>
                <w:color w:val="auto"/>
                <w:spacing w:val="8"/>
                <w:highlight w:val="none"/>
                <w:u w:val="single" w:color="auto"/>
                <w:lang w:eastAsia="zh-CN"/>
              </w:rPr>
              <w:t>广西同泽工程项目管理股份有限公司</w:t>
            </w:r>
            <w:r>
              <w:rPr>
                <w:color w:val="auto"/>
                <w:spacing w:val="8"/>
                <w:highlight w:val="none"/>
                <w:u w:val="single" w:color="auto"/>
              </w:rPr>
              <w:t>。</w:t>
            </w:r>
          </w:p>
          <w:p w14:paraId="45FFC280">
            <w:pPr>
              <w:pStyle w:val="12"/>
              <w:keepNext/>
              <w:keepLines/>
              <w:spacing w:before="1" w:line="360" w:lineRule="auto"/>
              <w:ind w:left="113" w:right="107" w:hanging="3"/>
              <w:jc w:val="both"/>
              <w:rPr>
                <w:color w:val="auto"/>
                <w:highlight w:val="none"/>
              </w:rPr>
            </w:pPr>
            <w:r>
              <w:rPr>
                <w:color w:val="auto"/>
                <w:spacing w:val="7"/>
                <w:highlight w:val="none"/>
              </w:rPr>
              <w:t>业务时间：</w:t>
            </w:r>
            <w:r>
              <w:rPr>
                <w:color w:val="auto"/>
                <w:spacing w:val="-50"/>
                <w:highlight w:val="none"/>
              </w:rPr>
              <w:t xml:space="preserve"> </w:t>
            </w:r>
            <w:r>
              <w:rPr>
                <w:color w:val="auto"/>
                <w:spacing w:val="7"/>
                <w:highlight w:val="none"/>
              </w:rPr>
              <w:t>工作日每天上午</w:t>
            </w:r>
            <w:r>
              <w:rPr>
                <w:color w:val="auto"/>
                <w:spacing w:val="-24"/>
                <w:highlight w:val="none"/>
              </w:rPr>
              <w:t xml:space="preserve"> </w:t>
            </w:r>
            <w:r>
              <w:rPr>
                <w:rFonts w:hint="eastAsia"/>
                <w:color w:val="auto"/>
                <w:spacing w:val="7"/>
                <w:highlight w:val="none"/>
                <w:lang w:val="en-US" w:eastAsia="zh-CN"/>
              </w:rPr>
              <w:t>9</w:t>
            </w:r>
            <w:r>
              <w:rPr>
                <w:color w:val="auto"/>
                <w:spacing w:val="-13"/>
                <w:highlight w:val="none"/>
              </w:rPr>
              <w:t xml:space="preserve"> </w:t>
            </w:r>
            <w:r>
              <w:rPr>
                <w:color w:val="auto"/>
                <w:spacing w:val="7"/>
                <w:highlight w:val="none"/>
              </w:rPr>
              <w:t>时</w:t>
            </w:r>
            <w:r>
              <w:rPr>
                <w:color w:val="auto"/>
                <w:spacing w:val="-23"/>
                <w:highlight w:val="none"/>
              </w:rPr>
              <w:t xml:space="preserve"> </w:t>
            </w:r>
            <w:r>
              <w:rPr>
                <w:color w:val="auto"/>
                <w:spacing w:val="7"/>
                <w:highlight w:val="none"/>
              </w:rPr>
              <w:t>00</w:t>
            </w:r>
            <w:r>
              <w:rPr>
                <w:color w:val="auto"/>
                <w:spacing w:val="-24"/>
                <w:highlight w:val="none"/>
              </w:rPr>
              <w:t xml:space="preserve"> </w:t>
            </w:r>
            <w:r>
              <w:rPr>
                <w:color w:val="auto"/>
                <w:spacing w:val="7"/>
                <w:highlight w:val="none"/>
              </w:rPr>
              <w:t>分到 12</w:t>
            </w:r>
            <w:r>
              <w:rPr>
                <w:color w:val="auto"/>
                <w:spacing w:val="-16"/>
                <w:highlight w:val="none"/>
              </w:rPr>
              <w:t xml:space="preserve"> </w:t>
            </w:r>
            <w:r>
              <w:rPr>
                <w:color w:val="auto"/>
                <w:spacing w:val="7"/>
                <w:highlight w:val="none"/>
              </w:rPr>
              <w:t>时</w:t>
            </w:r>
            <w:r>
              <w:rPr>
                <w:color w:val="auto"/>
                <w:spacing w:val="-23"/>
                <w:highlight w:val="none"/>
              </w:rPr>
              <w:t xml:space="preserve"> </w:t>
            </w:r>
            <w:r>
              <w:rPr>
                <w:color w:val="auto"/>
                <w:spacing w:val="7"/>
                <w:highlight w:val="none"/>
              </w:rPr>
              <w:t>00</w:t>
            </w:r>
            <w:r>
              <w:rPr>
                <w:color w:val="auto"/>
                <w:spacing w:val="-24"/>
                <w:highlight w:val="none"/>
              </w:rPr>
              <w:t xml:space="preserve"> </w:t>
            </w:r>
            <w:r>
              <w:rPr>
                <w:color w:val="auto"/>
                <w:spacing w:val="7"/>
                <w:highlight w:val="none"/>
              </w:rPr>
              <w:t>分，下</w:t>
            </w:r>
            <w:r>
              <w:rPr>
                <w:color w:val="auto"/>
                <w:spacing w:val="6"/>
                <w:highlight w:val="none"/>
              </w:rPr>
              <w:t>午</w:t>
            </w:r>
            <w:r>
              <w:rPr>
                <w:color w:val="auto"/>
                <w:spacing w:val="-18"/>
                <w:highlight w:val="none"/>
              </w:rPr>
              <w:t xml:space="preserve"> </w:t>
            </w:r>
            <w:r>
              <w:rPr>
                <w:rFonts w:hint="eastAsia"/>
                <w:color w:val="auto"/>
                <w:spacing w:val="6"/>
                <w:highlight w:val="none"/>
                <w:lang w:val="en-US" w:eastAsia="zh-CN"/>
              </w:rPr>
              <w:t>2:30</w:t>
            </w:r>
            <w:r>
              <w:rPr>
                <w:color w:val="auto"/>
                <w:spacing w:val="-16"/>
                <w:highlight w:val="none"/>
              </w:rPr>
              <w:t xml:space="preserve"> </w:t>
            </w:r>
            <w:r>
              <w:rPr>
                <w:color w:val="auto"/>
                <w:spacing w:val="6"/>
                <w:highlight w:val="none"/>
              </w:rPr>
              <w:t>时</w:t>
            </w:r>
            <w:r>
              <w:rPr>
                <w:color w:val="auto"/>
                <w:spacing w:val="-23"/>
                <w:highlight w:val="none"/>
              </w:rPr>
              <w:t xml:space="preserve"> </w:t>
            </w:r>
            <w:r>
              <w:rPr>
                <w:color w:val="auto"/>
                <w:spacing w:val="6"/>
                <w:highlight w:val="none"/>
              </w:rPr>
              <w:t>00</w:t>
            </w:r>
            <w:r>
              <w:rPr>
                <w:color w:val="auto"/>
                <w:spacing w:val="-21"/>
                <w:highlight w:val="none"/>
              </w:rPr>
              <w:t xml:space="preserve"> </w:t>
            </w:r>
            <w:r>
              <w:rPr>
                <w:color w:val="auto"/>
                <w:spacing w:val="6"/>
                <w:highlight w:val="none"/>
              </w:rPr>
              <w:t>分到</w:t>
            </w:r>
            <w:r>
              <w:rPr>
                <w:color w:val="auto"/>
                <w:spacing w:val="-21"/>
                <w:highlight w:val="none"/>
              </w:rPr>
              <w:t xml:space="preserve"> </w:t>
            </w:r>
            <w:r>
              <w:rPr>
                <w:rFonts w:hint="eastAsia"/>
                <w:color w:val="auto"/>
                <w:spacing w:val="6"/>
                <w:highlight w:val="none"/>
                <w:lang w:val="en-US" w:eastAsia="zh-CN"/>
              </w:rPr>
              <w:t>17</w:t>
            </w:r>
            <w:r>
              <w:rPr>
                <w:color w:val="auto"/>
                <w:spacing w:val="-16"/>
                <w:highlight w:val="none"/>
              </w:rPr>
              <w:t xml:space="preserve"> </w:t>
            </w:r>
            <w:r>
              <w:rPr>
                <w:color w:val="auto"/>
                <w:spacing w:val="6"/>
                <w:highlight w:val="none"/>
              </w:rPr>
              <w:t>时</w:t>
            </w:r>
            <w:r>
              <w:rPr>
                <w:color w:val="auto"/>
                <w:spacing w:val="44"/>
                <w:highlight w:val="none"/>
              </w:rPr>
              <w:t xml:space="preserve"> </w:t>
            </w:r>
            <w:r>
              <w:rPr>
                <w:rFonts w:hint="eastAsia"/>
                <w:color w:val="auto"/>
                <w:spacing w:val="6"/>
                <w:highlight w:val="none"/>
                <w:lang w:val="en-US" w:eastAsia="zh-CN"/>
              </w:rPr>
              <w:t>3</w:t>
            </w:r>
            <w:r>
              <w:rPr>
                <w:color w:val="auto"/>
                <w:spacing w:val="6"/>
                <w:highlight w:val="none"/>
              </w:rPr>
              <w:t>0</w:t>
            </w:r>
            <w:r>
              <w:rPr>
                <w:color w:val="auto"/>
                <w:spacing w:val="8"/>
                <w:highlight w:val="none"/>
              </w:rPr>
              <w:t>分，双休日和法定节假日不办理业务。</w:t>
            </w:r>
          </w:p>
        </w:tc>
      </w:tr>
      <w:tr w14:paraId="3E7DE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5" w:hRule="atLeast"/>
        </w:trPr>
        <w:tc>
          <w:tcPr>
            <w:tcW w:w="996" w:type="dxa"/>
            <w:vAlign w:val="top"/>
          </w:tcPr>
          <w:p w14:paraId="1E917310">
            <w:pPr>
              <w:keepNext/>
              <w:keepLines/>
              <w:spacing w:line="244" w:lineRule="auto"/>
              <w:rPr>
                <w:rFonts w:ascii="Arial"/>
                <w:color w:val="auto"/>
                <w:sz w:val="21"/>
                <w:highlight w:val="none"/>
              </w:rPr>
            </w:pPr>
          </w:p>
          <w:p w14:paraId="25FCF2E3">
            <w:pPr>
              <w:keepNext/>
              <w:keepLines/>
              <w:spacing w:line="244" w:lineRule="auto"/>
              <w:rPr>
                <w:rFonts w:ascii="Arial"/>
                <w:color w:val="auto"/>
                <w:sz w:val="21"/>
                <w:highlight w:val="none"/>
              </w:rPr>
            </w:pPr>
          </w:p>
          <w:p w14:paraId="478FE4E3">
            <w:pPr>
              <w:keepNext/>
              <w:keepLines/>
              <w:spacing w:line="244" w:lineRule="auto"/>
              <w:rPr>
                <w:rFonts w:ascii="Arial"/>
                <w:color w:val="auto"/>
                <w:sz w:val="21"/>
                <w:highlight w:val="none"/>
              </w:rPr>
            </w:pPr>
          </w:p>
          <w:p w14:paraId="275EF31A">
            <w:pPr>
              <w:keepNext/>
              <w:keepLines/>
              <w:spacing w:line="244" w:lineRule="auto"/>
              <w:rPr>
                <w:rFonts w:ascii="Arial"/>
                <w:color w:val="auto"/>
                <w:sz w:val="21"/>
                <w:highlight w:val="none"/>
              </w:rPr>
            </w:pPr>
          </w:p>
          <w:p w14:paraId="26420587">
            <w:pPr>
              <w:keepNext/>
              <w:keepLines/>
              <w:spacing w:line="244" w:lineRule="auto"/>
              <w:rPr>
                <w:rFonts w:ascii="Arial"/>
                <w:color w:val="auto"/>
                <w:sz w:val="21"/>
                <w:highlight w:val="none"/>
              </w:rPr>
            </w:pPr>
          </w:p>
          <w:p w14:paraId="7916CA97">
            <w:pPr>
              <w:keepNext/>
              <w:keepLines/>
              <w:spacing w:line="244" w:lineRule="auto"/>
              <w:rPr>
                <w:rFonts w:ascii="Arial"/>
                <w:color w:val="auto"/>
                <w:sz w:val="21"/>
                <w:highlight w:val="none"/>
              </w:rPr>
            </w:pPr>
          </w:p>
          <w:p w14:paraId="014D8955">
            <w:pPr>
              <w:keepNext/>
              <w:keepLines/>
              <w:spacing w:line="245" w:lineRule="auto"/>
              <w:rPr>
                <w:rFonts w:ascii="Arial"/>
                <w:color w:val="auto"/>
                <w:sz w:val="21"/>
                <w:highlight w:val="none"/>
              </w:rPr>
            </w:pPr>
          </w:p>
          <w:p w14:paraId="31195608">
            <w:pPr>
              <w:keepNext/>
              <w:keepLines/>
              <w:spacing w:line="245" w:lineRule="auto"/>
              <w:rPr>
                <w:rFonts w:ascii="Arial"/>
                <w:color w:val="auto"/>
                <w:sz w:val="21"/>
                <w:highlight w:val="none"/>
              </w:rPr>
            </w:pPr>
          </w:p>
          <w:p w14:paraId="18B56DA7">
            <w:pPr>
              <w:keepNext/>
              <w:keepLines/>
              <w:spacing w:line="245" w:lineRule="auto"/>
              <w:rPr>
                <w:rFonts w:ascii="Arial"/>
                <w:color w:val="auto"/>
                <w:sz w:val="21"/>
                <w:highlight w:val="none"/>
              </w:rPr>
            </w:pPr>
          </w:p>
          <w:p w14:paraId="7E79C34F">
            <w:pPr>
              <w:pStyle w:val="12"/>
              <w:keepNext/>
              <w:keepLines/>
              <w:spacing w:before="65" w:line="268" w:lineRule="exact"/>
              <w:ind w:left="298"/>
              <w:rPr>
                <w:color w:val="auto"/>
                <w:highlight w:val="none"/>
              </w:rPr>
            </w:pPr>
            <w:r>
              <w:rPr>
                <w:color w:val="auto"/>
                <w:spacing w:val="2"/>
                <w:position w:val="1"/>
                <w:highlight w:val="none"/>
              </w:rPr>
              <w:t>32.1</w:t>
            </w:r>
          </w:p>
        </w:tc>
        <w:tc>
          <w:tcPr>
            <w:tcW w:w="7912" w:type="dxa"/>
            <w:vAlign w:val="top"/>
          </w:tcPr>
          <w:p w14:paraId="5B66AB7D">
            <w:pPr>
              <w:pStyle w:val="12"/>
              <w:keepNext/>
              <w:keepLines/>
              <w:spacing w:before="31" w:line="227" w:lineRule="auto"/>
              <w:ind w:left="127"/>
              <w:rPr>
                <w:color w:val="auto"/>
                <w:highlight w:val="none"/>
              </w:rPr>
            </w:pPr>
            <w:r>
              <w:rPr>
                <w:color w:val="auto"/>
                <w:spacing w:val="6"/>
                <w:highlight w:val="none"/>
              </w:rPr>
              <w:t>1.采购代理费支付方式：</w:t>
            </w:r>
          </w:p>
          <w:p w14:paraId="0D88BCE6">
            <w:pPr>
              <w:pStyle w:val="12"/>
              <w:keepNext/>
              <w:keepLines/>
              <w:spacing w:before="161" w:line="377" w:lineRule="auto"/>
              <w:ind w:left="147" w:right="108" w:hanging="35"/>
              <w:rPr>
                <w:color w:val="auto"/>
                <w:highlight w:val="none"/>
              </w:rPr>
            </w:pPr>
            <w:r>
              <w:rPr>
                <w:color w:val="auto"/>
                <w:spacing w:val="13"/>
                <w:highlight w:val="none"/>
              </w:rPr>
              <w:t>本项目代理服务费按如下规定由</w:t>
            </w:r>
            <w:r>
              <w:rPr>
                <w:color w:val="auto"/>
                <w:spacing w:val="13"/>
                <w:highlight w:val="none"/>
                <w:u w:val="single" w:color="auto"/>
              </w:rPr>
              <w:t>成交供应商</w:t>
            </w:r>
            <w:r>
              <w:rPr>
                <w:color w:val="auto"/>
                <w:spacing w:val="13"/>
                <w:highlight w:val="none"/>
              </w:rPr>
              <w:t>在领取成交通知书后三个工作</w:t>
            </w:r>
            <w:r>
              <w:rPr>
                <w:color w:val="auto"/>
                <w:spacing w:val="6"/>
                <w:highlight w:val="none"/>
              </w:rPr>
              <w:t>日内，一次性向采购代理机构支付。</w:t>
            </w:r>
          </w:p>
          <w:p w14:paraId="7F645113">
            <w:pPr>
              <w:pStyle w:val="12"/>
              <w:keepNext/>
              <w:keepLines/>
              <w:spacing w:line="226" w:lineRule="auto"/>
              <w:ind w:left="114"/>
              <w:rPr>
                <w:color w:val="auto"/>
                <w:highlight w:val="none"/>
              </w:rPr>
            </w:pPr>
            <w:r>
              <w:rPr>
                <w:color w:val="auto"/>
                <w:spacing w:val="7"/>
                <w:highlight w:val="none"/>
              </w:rPr>
              <w:t>2.采购代理费收取标准：</w:t>
            </w:r>
          </w:p>
          <w:p w14:paraId="5C21C119">
            <w:pPr>
              <w:pStyle w:val="12"/>
              <w:keepNext/>
              <w:keepLines/>
              <w:spacing w:before="165" w:line="377" w:lineRule="auto"/>
              <w:ind w:left="110" w:right="108" w:firstLine="1"/>
              <w:jc w:val="both"/>
              <w:rPr>
                <w:color w:val="auto"/>
                <w:highlight w:val="none"/>
              </w:rPr>
            </w:pPr>
            <w:r>
              <w:rPr>
                <w:color w:val="auto"/>
                <w:spacing w:val="13"/>
                <w:highlight w:val="none"/>
              </w:rPr>
              <w:t>本项目的代理服务费由成交供应商支付，</w:t>
            </w:r>
            <w:r>
              <w:rPr>
                <w:rFonts w:hint="eastAsia"/>
                <w:color w:val="auto"/>
                <w:spacing w:val="13"/>
                <w:highlight w:val="none"/>
                <w:lang w:val="en-US" w:eastAsia="zh-CN"/>
              </w:rPr>
              <w:t>参照国家发展计划委员会《招标代理服务费管理暂行办法》(计价格(2002)1980号)、《国家发展改革委关于降低部分建设项目收费标准规范收费行为等有关问题的通知》(发改价格[2011]534号)的代理服务费收费标准下浮10% 计算并收取代理费</w:t>
            </w:r>
            <w:r>
              <w:rPr>
                <w:color w:val="auto"/>
                <w:spacing w:val="6"/>
                <w:highlight w:val="none"/>
              </w:rPr>
              <w:t>。</w:t>
            </w:r>
          </w:p>
          <w:p w14:paraId="1E2E97A9">
            <w:pPr>
              <w:pStyle w:val="12"/>
              <w:keepNext/>
              <w:keepLines/>
              <w:spacing w:before="1" w:line="226" w:lineRule="auto"/>
              <w:ind w:left="115"/>
              <w:rPr>
                <w:color w:val="auto"/>
                <w:highlight w:val="none"/>
              </w:rPr>
            </w:pPr>
            <w:r>
              <w:rPr>
                <w:color w:val="auto"/>
                <w:spacing w:val="8"/>
                <w:highlight w:val="none"/>
              </w:rPr>
              <w:t>3. 采购代理费的收取银行账户：</w:t>
            </w:r>
          </w:p>
          <w:p w14:paraId="7E090E47">
            <w:pPr>
              <w:pStyle w:val="12"/>
              <w:keepNext/>
              <w:keepLines/>
              <w:spacing w:before="161" w:line="228" w:lineRule="auto"/>
              <w:ind w:left="112"/>
              <w:rPr>
                <w:color w:val="auto"/>
                <w:highlight w:val="none"/>
              </w:rPr>
            </w:pPr>
            <w:r>
              <w:rPr>
                <w:color w:val="auto"/>
                <w:spacing w:val="9"/>
                <w:highlight w:val="none"/>
              </w:rPr>
              <w:t>开户名称：</w:t>
            </w:r>
            <w:r>
              <w:rPr>
                <w:rFonts w:hint="eastAsia" w:ascii="宋体" w:hAnsi="宋体" w:cs="宋体"/>
                <w:color w:val="auto"/>
                <w:szCs w:val="21"/>
                <w:highlight w:val="none"/>
              </w:rPr>
              <w:t>详见后续的付款通知书。</w:t>
            </w:r>
          </w:p>
          <w:p w14:paraId="3F977849">
            <w:pPr>
              <w:pStyle w:val="12"/>
              <w:keepNext/>
              <w:keepLines/>
              <w:spacing w:before="161" w:line="228" w:lineRule="auto"/>
              <w:ind w:left="112"/>
              <w:rPr>
                <w:color w:val="auto"/>
                <w:highlight w:val="none"/>
              </w:rPr>
            </w:pPr>
            <w:r>
              <w:rPr>
                <w:color w:val="auto"/>
                <w:spacing w:val="9"/>
                <w:highlight w:val="none"/>
              </w:rPr>
              <w:t>开户银行：</w:t>
            </w:r>
            <w:r>
              <w:rPr>
                <w:rFonts w:hint="eastAsia" w:ascii="宋体" w:hAnsi="宋体" w:cs="宋体"/>
                <w:color w:val="auto"/>
                <w:szCs w:val="21"/>
                <w:highlight w:val="none"/>
              </w:rPr>
              <w:t>详见后续的付款通知书</w:t>
            </w:r>
          </w:p>
          <w:p w14:paraId="43F9C2FB">
            <w:pPr>
              <w:pStyle w:val="12"/>
              <w:keepNext/>
              <w:keepLines/>
              <w:spacing w:before="162" w:line="228" w:lineRule="auto"/>
              <w:ind w:left="112"/>
              <w:rPr>
                <w:color w:val="auto"/>
                <w:highlight w:val="none"/>
              </w:rPr>
            </w:pPr>
            <w:r>
              <w:rPr>
                <w:color w:val="auto"/>
                <w:spacing w:val="5"/>
                <w:highlight w:val="none"/>
              </w:rPr>
              <w:t>银行账号：</w:t>
            </w:r>
            <w:r>
              <w:rPr>
                <w:rFonts w:hint="eastAsia" w:ascii="宋体" w:hAnsi="宋体" w:cs="宋体"/>
                <w:color w:val="auto"/>
                <w:szCs w:val="21"/>
                <w:highlight w:val="none"/>
              </w:rPr>
              <w:t>详见后续的付款通知书</w:t>
            </w:r>
          </w:p>
        </w:tc>
      </w:tr>
      <w:tr w14:paraId="079FD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3" w:hRule="atLeast"/>
        </w:trPr>
        <w:tc>
          <w:tcPr>
            <w:tcW w:w="996" w:type="dxa"/>
            <w:vAlign w:val="top"/>
          </w:tcPr>
          <w:p w14:paraId="5BCD4319">
            <w:pPr>
              <w:keepNext/>
              <w:keepLines/>
              <w:spacing w:line="296" w:lineRule="auto"/>
              <w:rPr>
                <w:rFonts w:ascii="Arial"/>
                <w:color w:val="auto"/>
                <w:sz w:val="21"/>
                <w:highlight w:val="none"/>
              </w:rPr>
            </w:pPr>
          </w:p>
          <w:p w14:paraId="28829450">
            <w:pPr>
              <w:keepNext/>
              <w:keepLines/>
              <w:spacing w:line="296" w:lineRule="auto"/>
              <w:rPr>
                <w:rFonts w:ascii="Arial"/>
                <w:color w:val="auto"/>
                <w:sz w:val="21"/>
                <w:highlight w:val="none"/>
              </w:rPr>
            </w:pPr>
          </w:p>
          <w:p w14:paraId="0D42072B">
            <w:pPr>
              <w:keepNext/>
              <w:keepLines/>
              <w:spacing w:line="296" w:lineRule="auto"/>
              <w:rPr>
                <w:rFonts w:ascii="Arial"/>
                <w:color w:val="auto"/>
                <w:sz w:val="21"/>
                <w:highlight w:val="none"/>
              </w:rPr>
            </w:pPr>
          </w:p>
          <w:p w14:paraId="5580B356">
            <w:pPr>
              <w:keepNext/>
              <w:keepLines/>
              <w:spacing w:line="297" w:lineRule="auto"/>
              <w:rPr>
                <w:rFonts w:ascii="Arial"/>
                <w:color w:val="auto"/>
                <w:sz w:val="21"/>
                <w:highlight w:val="none"/>
              </w:rPr>
            </w:pPr>
          </w:p>
          <w:p w14:paraId="1DB403DC">
            <w:pPr>
              <w:pStyle w:val="12"/>
              <w:keepNext/>
              <w:keepLines/>
              <w:spacing w:before="65" w:line="268" w:lineRule="exact"/>
              <w:ind w:left="298"/>
              <w:rPr>
                <w:color w:val="auto"/>
                <w:highlight w:val="none"/>
              </w:rPr>
            </w:pPr>
            <w:r>
              <w:rPr>
                <w:color w:val="auto"/>
                <w:spacing w:val="2"/>
                <w:position w:val="1"/>
                <w:highlight w:val="none"/>
              </w:rPr>
              <w:t>33.1</w:t>
            </w:r>
          </w:p>
        </w:tc>
        <w:tc>
          <w:tcPr>
            <w:tcW w:w="7912" w:type="dxa"/>
            <w:vAlign w:val="top"/>
          </w:tcPr>
          <w:p w14:paraId="2326F2E5">
            <w:pPr>
              <w:pStyle w:val="12"/>
              <w:keepNext/>
              <w:keepLines/>
              <w:spacing w:before="31" w:line="372" w:lineRule="auto"/>
              <w:ind w:left="110" w:right="108"/>
              <w:rPr>
                <w:color w:val="auto"/>
                <w:highlight w:val="none"/>
              </w:rPr>
            </w:pPr>
            <w:r>
              <w:rPr>
                <w:color w:val="auto"/>
                <w:spacing w:val="13"/>
                <w:highlight w:val="none"/>
              </w:rPr>
              <w:t>解释：构成本谈判文件的各个组成文件应互为解释，互为说明；除谈判文件中有特</w:t>
            </w:r>
            <w:r>
              <w:rPr>
                <w:color w:val="auto"/>
                <w:spacing w:val="18"/>
                <w:highlight w:val="none"/>
              </w:rPr>
              <w:t>别规定外，仅适用于竞标阶段的规定，按更正公告（澄清公告）</w:t>
            </w:r>
            <w:r>
              <w:rPr>
                <w:color w:val="auto"/>
                <w:spacing w:val="-44"/>
                <w:highlight w:val="none"/>
              </w:rPr>
              <w:t xml:space="preserve"> </w:t>
            </w:r>
            <w:r>
              <w:rPr>
                <w:color w:val="auto"/>
                <w:spacing w:val="18"/>
                <w:highlight w:val="none"/>
              </w:rPr>
              <w:t>、竞争性谈判公</w:t>
            </w:r>
            <w:r>
              <w:rPr>
                <w:color w:val="auto"/>
                <w:spacing w:val="13"/>
                <w:highlight w:val="none"/>
              </w:rPr>
              <w:t>告、供应商须知、采购需求、评审程序和评定成交的标准、响应文件格式、合同文</w:t>
            </w:r>
            <w:r>
              <w:rPr>
                <w:color w:val="auto"/>
                <w:spacing w:val="11"/>
                <w:highlight w:val="none"/>
              </w:rPr>
              <w:t>本的先后顺序解释；</w:t>
            </w:r>
            <w:r>
              <w:rPr>
                <w:color w:val="auto"/>
                <w:spacing w:val="-53"/>
                <w:highlight w:val="none"/>
              </w:rPr>
              <w:t xml:space="preserve"> </w:t>
            </w:r>
            <w:r>
              <w:rPr>
                <w:color w:val="auto"/>
                <w:spacing w:val="11"/>
                <w:highlight w:val="none"/>
              </w:rPr>
              <w:t>同一组成文件中就同一事项的规定或约定不一致的，</w:t>
            </w:r>
            <w:r>
              <w:rPr>
                <w:color w:val="auto"/>
                <w:spacing w:val="-57"/>
                <w:highlight w:val="none"/>
              </w:rPr>
              <w:t xml:space="preserve"> </w:t>
            </w:r>
            <w:r>
              <w:rPr>
                <w:color w:val="auto"/>
                <w:spacing w:val="11"/>
                <w:highlight w:val="none"/>
              </w:rPr>
              <w:t>以编排顺序在后者为准；</w:t>
            </w:r>
            <w:r>
              <w:rPr>
                <w:color w:val="auto"/>
                <w:spacing w:val="-53"/>
                <w:highlight w:val="none"/>
              </w:rPr>
              <w:t xml:space="preserve"> </w:t>
            </w:r>
            <w:r>
              <w:rPr>
                <w:color w:val="auto"/>
                <w:spacing w:val="11"/>
                <w:highlight w:val="none"/>
              </w:rPr>
              <w:t>同一组成文件不同版本之间有不一</w:t>
            </w:r>
            <w:r>
              <w:rPr>
                <w:color w:val="auto"/>
                <w:spacing w:val="10"/>
                <w:highlight w:val="none"/>
              </w:rPr>
              <w:t>致的，</w:t>
            </w:r>
            <w:r>
              <w:rPr>
                <w:color w:val="auto"/>
                <w:spacing w:val="-57"/>
                <w:highlight w:val="none"/>
              </w:rPr>
              <w:t xml:space="preserve"> </w:t>
            </w:r>
            <w:r>
              <w:rPr>
                <w:color w:val="auto"/>
                <w:spacing w:val="10"/>
                <w:highlight w:val="none"/>
              </w:rPr>
              <w:t>以形成时间在后者为准；</w:t>
            </w:r>
            <w:r>
              <w:rPr>
                <w:color w:val="auto"/>
                <w:spacing w:val="13"/>
                <w:highlight w:val="none"/>
              </w:rPr>
              <w:t>更正公告（澄清公告）与同步更新的谈判文件不一致时以更正公告（澄清公告）为</w:t>
            </w:r>
            <w:r>
              <w:rPr>
                <w:color w:val="auto"/>
                <w:spacing w:val="8"/>
                <w:highlight w:val="none"/>
              </w:rPr>
              <w:t>准。按本款前述规定仍不能形成结论的，</w:t>
            </w:r>
            <w:r>
              <w:rPr>
                <w:color w:val="auto"/>
                <w:spacing w:val="-51"/>
                <w:highlight w:val="none"/>
              </w:rPr>
              <w:t xml:space="preserve"> </w:t>
            </w:r>
            <w:r>
              <w:rPr>
                <w:color w:val="auto"/>
                <w:spacing w:val="8"/>
                <w:highlight w:val="none"/>
              </w:rPr>
              <w:t>由采购人或者采购代理机构负责解释。</w:t>
            </w:r>
          </w:p>
        </w:tc>
      </w:tr>
      <w:tr w14:paraId="5799A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0" w:hRule="atLeast"/>
        </w:trPr>
        <w:tc>
          <w:tcPr>
            <w:tcW w:w="996" w:type="dxa"/>
            <w:vAlign w:val="top"/>
          </w:tcPr>
          <w:p w14:paraId="20C223E2">
            <w:pPr>
              <w:keepNext/>
              <w:keepLines/>
              <w:spacing w:line="249" w:lineRule="auto"/>
              <w:rPr>
                <w:rFonts w:ascii="Arial"/>
                <w:color w:val="auto"/>
                <w:sz w:val="21"/>
                <w:highlight w:val="none"/>
              </w:rPr>
            </w:pPr>
          </w:p>
          <w:p w14:paraId="017D0DBF">
            <w:pPr>
              <w:keepNext/>
              <w:keepLines/>
              <w:spacing w:line="250" w:lineRule="auto"/>
              <w:rPr>
                <w:rFonts w:ascii="Arial"/>
                <w:color w:val="auto"/>
                <w:sz w:val="21"/>
                <w:highlight w:val="none"/>
              </w:rPr>
            </w:pPr>
          </w:p>
          <w:p w14:paraId="5B6F672A">
            <w:pPr>
              <w:keepNext/>
              <w:keepLines/>
              <w:spacing w:line="250" w:lineRule="auto"/>
              <w:rPr>
                <w:rFonts w:ascii="Arial"/>
                <w:color w:val="auto"/>
                <w:sz w:val="21"/>
                <w:highlight w:val="none"/>
              </w:rPr>
            </w:pPr>
          </w:p>
          <w:p w14:paraId="7B6F8EA8">
            <w:pPr>
              <w:keepNext/>
              <w:keepLines/>
              <w:spacing w:line="250" w:lineRule="auto"/>
              <w:rPr>
                <w:rFonts w:ascii="Arial"/>
                <w:color w:val="auto"/>
                <w:sz w:val="21"/>
                <w:highlight w:val="none"/>
              </w:rPr>
            </w:pPr>
          </w:p>
          <w:p w14:paraId="58220F79">
            <w:pPr>
              <w:keepNext/>
              <w:keepLines/>
              <w:spacing w:line="250" w:lineRule="auto"/>
              <w:rPr>
                <w:rFonts w:ascii="Arial"/>
                <w:color w:val="auto"/>
                <w:sz w:val="21"/>
                <w:highlight w:val="none"/>
              </w:rPr>
            </w:pPr>
          </w:p>
          <w:p w14:paraId="50888DA3">
            <w:pPr>
              <w:keepNext/>
              <w:keepLines/>
              <w:spacing w:line="250" w:lineRule="auto"/>
              <w:rPr>
                <w:rFonts w:ascii="Arial"/>
                <w:color w:val="auto"/>
                <w:sz w:val="21"/>
                <w:highlight w:val="none"/>
              </w:rPr>
            </w:pPr>
          </w:p>
          <w:p w14:paraId="12B42DE2">
            <w:pPr>
              <w:keepNext/>
              <w:keepLines/>
              <w:spacing w:line="250" w:lineRule="auto"/>
              <w:rPr>
                <w:rFonts w:ascii="Arial"/>
                <w:color w:val="auto"/>
                <w:sz w:val="21"/>
                <w:highlight w:val="none"/>
              </w:rPr>
            </w:pPr>
          </w:p>
          <w:p w14:paraId="308E846D">
            <w:pPr>
              <w:keepNext/>
              <w:keepLines/>
              <w:spacing w:line="250" w:lineRule="auto"/>
              <w:rPr>
                <w:rFonts w:ascii="Arial"/>
                <w:color w:val="auto"/>
                <w:sz w:val="21"/>
                <w:highlight w:val="none"/>
              </w:rPr>
            </w:pPr>
          </w:p>
          <w:p w14:paraId="3371B6CB">
            <w:pPr>
              <w:pStyle w:val="12"/>
              <w:keepNext/>
              <w:keepLines/>
              <w:spacing w:before="65" w:line="268" w:lineRule="exact"/>
              <w:ind w:left="298"/>
              <w:rPr>
                <w:color w:val="auto"/>
                <w:highlight w:val="none"/>
              </w:rPr>
            </w:pPr>
            <w:r>
              <w:rPr>
                <w:color w:val="auto"/>
                <w:spacing w:val="2"/>
                <w:position w:val="1"/>
                <w:highlight w:val="none"/>
              </w:rPr>
              <w:t>33.2</w:t>
            </w:r>
          </w:p>
        </w:tc>
        <w:tc>
          <w:tcPr>
            <w:tcW w:w="7912" w:type="dxa"/>
            <w:vAlign w:val="top"/>
          </w:tcPr>
          <w:p w14:paraId="5A899455">
            <w:pPr>
              <w:pStyle w:val="12"/>
              <w:keepNext/>
              <w:keepLines/>
              <w:spacing w:before="34" w:line="377" w:lineRule="auto"/>
              <w:ind w:left="112" w:right="108" w:firstLine="14"/>
              <w:rPr>
                <w:color w:val="auto"/>
                <w:highlight w:val="none"/>
              </w:rPr>
            </w:pPr>
            <w:r>
              <w:rPr>
                <w:color w:val="auto"/>
                <w:spacing w:val="12"/>
                <w:highlight w:val="none"/>
              </w:rPr>
              <w:t>1.本谈判文件中描述供应商的“公章</w:t>
            </w:r>
            <w:r>
              <w:rPr>
                <w:color w:val="auto"/>
                <w:spacing w:val="-68"/>
                <w:highlight w:val="none"/>
              </w:rPr>
              <w:t xml:space="preserve"> </w:t>
            </w:r>
            <w:r>
              <w:rPr>
                <w:color w:val="auto"/>
                <w:spacing w:val="12"/>
                <w:highlight w:val="none"/>
              </w:rPr>
              <w:t>”是指根据我国对公章的管理</w:t>
            </w:r>
            <w:r>
              <w:rPr>
                <w:color w:val="auto"/>
                <w:spacing w:val="11"/>
                <w:highlight w:val="none"/>
              </w:rPr>
              <w:t>规定，用供应商</w:t>
            </w:r>
            <w:r>
              <w:rPr>
                <w:color w:val="auto"/>
                <w:spacing w:val="13"/>
                <w:highlight w:val="none"/>
              </w:rPr>
              <w:t>法定主体行为名称制作的印章，除本谈判文件有特殊规定外，供应商的财务章、部门章、分公司章、工会章、合同章、竞标专用章、业务专用章及银行的转账章、现</w:t>
            </w:r>
            <w:r>
              <w:rPr>
                <w:color w:val="auto"/>
                <w:spacing w:val="9"/>
                <w:highlight w:val="none"/>
              </w:rPr>
              <w:t>金收讫章、现金付讫章等其他形式印章均不能代替公章。</w:t>
            </w:r>
          </w:p>
          <w:p w14:paraId="167980D2">
            <w:pPr>
              <w:pStyle w:val="12"/>
              <w:keepNext/>
              <w:keepLines/>
              <w:spacing w:before="1" w:line="377" w:lineRule="auto"/>
              <w:ind w:left="113" w:right="108"/>
              <w:rPr>
                <w:color w:val="auto"/>
                <w:highlight w:val="none"/>
              </w:rPr>
            </w:pPr>
            <w:r>
              <w:rPr>
                <w:color w:val="auto"/>
                <w:spacing w:val="9"/>
                <w:highlight w:val="none"/>
              </w:rPr>
              <w:t>2.本谈判文件所称的“</w:t>
            </w:r>
            <w:r>
              <w:rPr>
                <w:color w:val="auto"/>
                <w:spacing w:val="-55"/>
                <w:highlight w:val="none"/>
              </w:rPr>
              <w:t xml:space="preserve"> </w:t>
            </w:r>
            <w:r>
              <w:rPr>
                <w:color w:val="auto"/>
                <w:spacing w:val="9"/>
                <w:highlight w:val="none"/>
              </w:rPr>
              <w:t>电子签章</w:t>
            </w:r>
            <w:r>
              <w:rPr>
                <w:color w:val="auto"/>
                <w:spacing w:val="-65"/>
                <w:highlight w:val="none"/>
              </w:rPr>
              <w:t xml:space="preserve"> </w:t>
            </w:r>
            <w:r>
              <w:rPr>
                <w:color w:val="auto"/>
                <w:spacing w:val="9"/>
                <w:highlight w:val="none"/>
              </w:rPr>
              <w:t>”、“</w:t>
            </w:r>
            <w:r>
              <w:rPr>
                <w:color w:val="auto"/>
                <w:spacing w:val="-63"/>
                <w:highlight w:val="none"/>
              </w:rPr>
              <w:t xml:space="preserve"> </w:t>
            </w:r>
            <w:r>
              <w:rPr>
                <w:color w:val="auto"/>
                <w:spacing w:val="9"/>
                <w:highlight w:val="none"/>
              </w:rPr>
              <w:t>电子签名</w:t>
            </w:r>
            <w:r>
              <w:rPr>
                <w:color w:val="auto"/>
                <w:spacing w:val="-68"/>
                <w:highlight w:val="none"/>
              </w:rPr>
              <w:t xml:space="preserve"> </w:t>
            </w:r>
            <w:r>
              <w:rPr>
                <w:color w:val="auto"/>
                <w:spacing w:val="9"/>
                <w:highlight w:val="none"/>
              </w:rPr>
              <w:t>”，是指经广西政府采购云平台认</w:t>
            </w:r>
            <w:r>
              <w:rPr>
                <w:color w:val="auto"/>
                <w:spacing w:val="11"/>
                <w:highlight w:val="none"/>
              </w:rPr>
              <w:t>可的</w:t>
            </w:r>
            <w:r>
              <w:rPr>
                <w:color w:val="auto"/>
                <w:highlight w:val="none"/>
              </w:rPr>
              <w:t>CA</w:t>
            </w:r>
            <w:r>
              <w:rPr>
                <w:color w:val="auto"/>
                <w:spacing w:val="-40"/>
                <w:highlight w:val="none"/>
              </w:rPr>
              <w:t xml:space="preserve"> </w:t>
            </w:r>
            <w:r>
              <w:rPr>
                <w:color w:val="auto"/>
                <w:spacing w:val="11"/>
                <w:highlight w:val="none"/>
              </w:rPr>
              <w:t>认证的电子签名数据为表现形式的印章，可用于签署电子响应文件，</w:t>
            </w:r>
            <w:r>
              <w:rPr>
                <w:color w:val="auto"/>
                <w:spacing w:val="-59"/>
                <w:highlight w:val="none"/>
              </w:rPr>
              <w:t xml:space="preserve"> </w:t>
            </w:r>
            <w:r>
              <w:rPr>
                <w:color w:val="auto"/>
                <w:spacing w:val="10"/>
                <w:highlight w:val="none"/>
              </w:rPr>
              <w:t>电子印</w:t>
            </w:r>
            <w:r>
              <w:rPr>
                <w:color w:val="auto"/>
                <w:spacing w:val="9"/>
                <w:highlight w:val="none"/>
              </w:rPr>
              <w:t>章与实物印章具有同等法律效力，不因其采用电子化表现形式而否定其法律效力。</w:t>
            </w:r>
          </w:p>
          <w:p w14:paraId="54C8D893">
            <w:pPr>
              <w:pStyle w:val="12"/>
              <w:keepNext/>
              <w:keepLines/>
              <w:spacing w:before="1" w:line="370" w:lineRule="auto"/>
              <w:ind w:left="111" w:right="108" w:firstLine="4"/>
              <w:rPr>
                <w:color w:val="auto"/>
                <w:highlight w:val="none"/>
              </w:rPr>
            </w:pPr>
            <w:r>
              <w:rPr>
                <w:color w:val="auto"/>
                <w:spacing w:val="13"/>
                <w:highlight w:val="none"/>
              </w:rPr>
              <w:t>3.供应商为其他组织或者自然人时，本谈判文件规定的法定代表人指负责人或者自然人。本谈判文件所称负责人是指参加竞标的其他组织营业执照或者执业许可证等证照上的负责人，本谈判文件所称自然人指参与竞标的自然人本人，且应具备独立承担民事责任能力，</w:t>
            </w:r>
            <w:r>
              <w:rPr>
                <w:color w:val="auto"/>
                <w:spacing w:val="-43"/>
                <w:highlight w:val="none"/>
              </w:rPr>
              <w:t xml:space="preserve"> </w:t>
            </w:r>
            <w:r>
              <w:rPr>
                <w:color w:val="auto"/>
                <w:spacing w:val="13"/>
                <w:highlight w:val="none"/>
              </w:rPr>
              <w:t>自然人应当为年满</w:t>
            </w:r>
            <w:r>
              <w:rPr>
                <w:color w:val="auto"/>
                <w:spacing w:val="-14"/>
                <w:highlight w:val="none"/>
              </w:rPr>
              <w:t xml:space="preserve"> </w:t>
            </w:r>
            <w:r>
              <w:rPr>
                <w:color w:val="auto"/>
                <w:spacing w:val="13"/>
                <w:highlight w:val="none"/>
              </w:rPr>
              <w:t>18</w:t>
            </w:r>
            <w:r>
              <w:rPr>
                <w:color w:val="auto"/>
                <w:spacing w:val="-26"/>
                <w:highlight w:val="none"/>
              </w:rPr>
              <w:t xml:space="preserve"> </w:t>
            </w:r>
            <w:r>
              <w:rPr>
                <w:color w:val="auto"/>
                <w:spacing w:val="13"/>
                <w:highlight w:val="none"/>
              </w:rPr>
              <w:t>岁以上成年人（十六周岁以上的未成年</w:t>
            </w:r>
          </w:p>
        </w:tc>
      </w:tr>
    </w:tbl>
    <w:p w14:paraId="574A01EF">
      <w:pPr>
        <w:keepNext/>
        <w:keepLines/>
        <w:spacing w:line="43" w:lineRule="exact"/>
        <w:rPr>
          <w:rFonts w:ascii="Arial"/>
          <w:color w:val="auto"/>
          <w:sz w:val="3"/>
          <w:highlight w:val="none"/>
        </w:rPr>
      </w:pPr>
    </w:p>
    <w:p w14:paraId="2FF9E549">
      <w:pPr>
        <w:keepNext/>
        <w:keepLines/>
        <w:spacing w:line="43" w:lineRule="exact"/>
        <w:rPr>
          <w:rFonts w:ascii="Arial" w:hAnsi="Arial" w:eastAsia="Arial" w:cs="Arial"/>
          <w:color w:val="auto"/>
          <w:sz w:val="3"/>
          <w:szCs w:val="3"/>
          <w:highlight w:val="none"/>
        </w:rPr>
        <w:sectPr>
          <w:footerReference r:id="rId14" w:type="default"/>
          <w:pgSz w:w="11910" w:h="16840"/>
          <w:pgMar w:top="1340" w:right="1408" w:bottom="1091" w:left="1588" w:header="0" w:footer="928" w:gutter="0"/>
          <w:pgNumType w:fmt="decimal"/>
          <w:cols w:space="720" w:num="1"/>
        </w:sectPr>
      </w:pPr>
    </w:p>
    <w:tbl>
      <w:tblPr>
        <w:tblStyle w:val="11"/>
        <w:tblW w:w="89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7912"/>
      </w:tblGrid>
      <w:tr w14:paraId="0CEB2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0" w:hRule="atLeast"/>
        </w:trPr>
        <w:tc>
          <w:tcPr>
            <w:tcW w:w="996" w:type="dxa"/>
            <w:vAlign w:val="top"/>
          </w:tcPr>
          <w:p w14:paraId="6B01DF73">
            <w:pPr>
              <w:keepNext/>
              <w:keepLines/>
              <w:rPr>
                <w:rFonts w:ascii="Arial"/>
                <w:color w:val="auto"/>
                <w:sz w:val="21"/>
                <w:highlight w:val="none"/>
              </w:rPr>
            </w:pPr>
          </w:p>
        </w:tc>
        <w:tc>
          <w:tcPr>
            <w:tcW w:w="7912" w:type="dxa"/>
            <w:vAlign w:val="top"/>
          </w:tcPr>
          <w:p w14:paraId="003512E2">
            <w:pPr>
              <w:pStyle w:val="12"/>
              <w:keepNext/>
              <w:keepLines/>
              <w:spacing w:before="36" w:line="228" w:lineRule="auto"/>
              <w:ind w:left="113"/>
              <w:rPr>
                <w:color w:val="auto"/>
                <w:highlight w:val="none"/>
              </w:rPr>
            </w:pPr>
            <w:r>
              <w:rPr>
                <w:color w:val="auto"/>
                <w:spacing w:val="8"/>
                <w:highlight w:val="none"/>
              </w:rPr>
              <w:t>人，</w:t>
            </w:r>
            <w:r>
              <w:rPr>
                <w:color w:val="auto"/>
                <w:spacing w:val="-60"/>
                <w:highlight w:val="none"/>
              </w:rPr>
              <w:t xml:space="preserve"> </w:t>
            </w:r>
            <w:r>
              <w:rPr>
                <w:color w:val="auto"/>
                <w:spacing w:val="8"/>
                <w:highlight w:val="none"/>
              </w:rPr>
              <w:t>以自己的劳动收入为主要生活来源的，视为完</w:t>
            </w:r>
            <w:r>
              <w:rPr>
                <w:color w:val="auto"/>
                <w:spacing w:val="7"/>
                <w:highlight w:val="none"/>
              </w:rPr>
              <w:t>全民事行为能力人）。</w:t>
            </w:r>
          </w:p>
          <w:p w14:paraId="7EFE9043">
            <w:pPr>
              <w:pStyle w:val="12"/>
              <w:keepNext/>
              <w:keepLines/>
              <w:spacing w:before="162" w:line="377" w:lineRule="auto"/>
              <w:ind w:left="110" w:right="108"/>
              <w:rPr>
                <w:color w:val="auto"/>
                <w:highlight w:val="none"/>
              </w:rPr>
            </w:pPr>
            <w:r>
              <w:rPr>
                <w:color w:val="auto"/>
                <w:spacing w:val="12"/>
                <w:highlight w:val="none"/>
              </w:rPr>
              <w:t>4.本谈判文件中描述供应商的“签字</w:t>
            </w:r>
            <w:r>
              <w:rPr>
                <w:color w:val="auto"/>
                <w:spacing w:val="-58"/>
                <w:highlight w:val="none"/>
              </w:rPr>
              <w:t xml:space="preserve"> </w:t>
            </w:r>
            <w:r>
              <w:rPr>
                <w:color w:val="auto"/>
                <w:spacing w:val="12"/>
                <w:highlight w:val="none"/>
              </w:rPr>
              <w:t>”是指供应商的法定代表人或者委托代理人亲</w:t>
            </w:r>
            <w:r>
              <w:rPr>
                <w:color w:val="auto"/>
                <w:spacing w:val="13"/>
                <w:highlight w:val="none"/>
              </w:rPr>
              <w:t>自在文件规定签署处亲笔写上个人的名字的行为，私章、签字章、印鉴、影印等其</w:t>
            </w:r>
            <w:r>
              <w:rPr>
                <w:color w:val="auto"/>
                <w:spacing w:val="8"/>
                <w:highlight w:val="none"/>
              </w:rPr>
              <w:t>他形式均不能代替亲笔签字。</w:t>
            </w:r>
          </w:p>
          <w:p w14:paraId="53B7F932">
            <w:pPr>
              <w:pStyle w:val="12"/>
              <w:keepNext/>
              <w:keepLines/>
              <w:spacing w:before="1" w:line="359" w:lineRule="auto"/>
              <w:ind w:left="111" w:right="108" w:firstLine="4"/>
              <w:rPr>
                <w:color w:val="auto"/>
                <w:highlight w:val="none"/>
              </w:rPr>
            </w:pPr>
            <w:r>
              <w:rPr>
                <w:color w:val="auto"/>
                <w:spacing w:val="6"/>
                <w:highlight w:val="none"/>
              </w:rPr>
              <w:t>5.本谈判文件所称的“</w:t>
            </w:r>
            <w:r>
              <w:rPr>
                <w:color w:val="auto"/>
                <w:spacing w:val="-48"/>
                <w:highlight w:val="none"/>
              </w:rPr>
              <w:t xml:space="preserve"> </w:t>
            </w:r>
            <w:r>
              <w:rPr>
                <w:color w:val="auto"/>
                <w:spacing w:val="6"/>
                <w:highlight w:val="none"/>
              </w:rPr>
              <w:t>以上</w:t>
            </w:r>
            <w:r>
              <w:rPr>
                <w:color w:val="auto"/>
                <w:spacing w:val="-68"/>
                <w:highlight w:val="none"/>
              </w:rPr>
              <w:t xml:space="preserve"> </w:t>
            </w:r>
            <w:r>
              <w:rPr>
                <w:color w:val="auto"/>
                <w:spacing w:val="6"/>
                <w:highlight w:val="none"/>
              </w:rPr>
              <w:t>”“</w:t>
            </w:r>
            <w:r>
              <w:rPr>
                <w:color w:val="auto"/>
                <w:spacing w:val="-61"/>
                <w:highlight w:val="none"/>
              </w:rPr>
              <w:t xml:space="preserve"> </w:t>
            </w:r>
            <w:r>
              <w:rPr>
                <w:color w:val="auto"/>
                <w:spacing w:val="6"/>
                <w:highlight w:val="none"/>
              </w:rPr>
              <w:t>以下</w:t>
            </w:r>
            <w:r>
              <w:rPr>
                <w:color w:val="auto"/>
                <w:spacing w:val="-68"/>
                <w:highlight w:val="none"/>
              </w:rPr>
              <w:t xml:space="preserve"> </w:t>
            </w:r>
            <w:r>
              <w:rPr>
                <w:color w:val="auto"/>
                <w:spacing w:val="6"/>
                <w:highlight w:val="none"/>
              </w:rPr>
              <w:t>”“</w:t>
            </w:r>
            <w:r>
              <w:rPr>
                <w:color w:val="auto"/>
                <w:spacing w:val="-63"/>
                <w:highlight w:val="none"/>
              </w:rPr>
              <w:t xml:space="preserve"> </w:t>
            </w:r>
            <w:r>
              <w:rPr>
                <w:color w:val="auto"/>
                <w:spacing w:val="6"/>
                <w:highlight w:val="none"/>
              </w:rPr>
              <w:t>以内</w:t>
            </w:r>
            <w:r>
              <w:rPr>
                <w:color w:val="auto"/>
                <w:spacing w:val="-68"/>
                <w:highlight w:val="none"/>
              </w:rPr>
              <w:t xml:space="preserve"> </w:t>
            </w:r>
            <w:r>
              <w:rPr>
                <w:color w:val="auto"/>
                <w:spacing w:val="6"/>
                <w:highlight w:val="none"/>
              </w:rPr>
              <w:t>”“届满</w:t>
            </w:r>
            <w:r>
              <w:rPr>
                <w:color w:val="auto"/>
                <w:spacing w:val="-65"/>
                <w:highlight w:val="none"/>
              </w:rPr>
              <w:t xml:space="preserve"> </w:t>
            </w:r>
            <w:r>
              <w:rPr>
                <w:color w:val="auto"/>
                <w:spacing w:val="6"/>
                <w:highlight w:val="none"/>
              </w:rPr>
              <w:t>”，包括本数；所称的“不</w:t>
            </w:r>
            <w:r>
              <w:rPr>
                <w:color w:val="auto"/>
                <w:spacing w:val="1"/>
                <w:highlight w:val="none"/>
              </w:rPr>
              <w:t>满</w:t>
            </w:r>
            <w:r>
              <w:rPr>
                <w:color w:val="auto"/>
                <w:spacing w:val="-63"/>
                <w:highlight w:val="none"/>
              </w:rPr>
              <w:t xml:space="preserve"> </w:t>
            </w:r>
            <w:r>
              <w:rPr>
                <w:color w:val="auto"/>
                <w:spacing w:val="1"/>
                <w:highlight w:val="none"/>
              </w:rPr>
              <w:t>”“超过</w:t>
            </w:r>
            <w:r>
              <w:rPr>
                <w:color w:val="auto"/>
                <w:spacing w:val="-70"/>
                <w:highlight w:val="none"/>
              </w:rPr>
              <w:t xml:space="preserve"> </w:t>
            </w:r>
            <w:r>
              <w:rPr>
                <w:color w:val="auto"/>
                <w:spacing w:val="1"/>
                <w:highlight w:val="none"/>
              </w:rPr>
              <w:t>”“</w:t>
            </w:r>
            <w:r>
              <w:rPr>
                <w:color w:val="auto"/>
                <w:spacing w:val="-66"/>
                <w:highlight w:val="none"/>
              </w:rPr>
              <w:t xml:space="preserve"> </w:t>
            </w:r>
            <w:r>
              <w:rPr>
                <w:color w:val="auto"/>
                <w:spacing w:val="1"/>
                <w:highlight w:val="none"/>
              </w:rPr>
              <w:t>以外</w:t>
            </w:r>
            <w:r>
              <w:rPr>
                <w:color w:val="auto"/>
                <w:spacing w:val="-70"/>
                <w:highlight w:val="none"/>
              </w:rPr>
              <w:t xml:space="preserve"> </w:t>
            </w:r>
            <w:r>
              <w:rPr>
                <w:color w:val="auto"/>
                <w:spacing w:val="1"/>
                <w:highlight w:val="none"/>
              </w:rPr>
              <w:t>”，不包括本数。</w:t>
            </w:r>
          </w:p>
        </w:tc>
      </w:tr>
      <w:tr w14:paraId="61A90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0" w:hRule="atLeast"/>
        </w:trPr>
        <w:tc>
          <w:tcPr>
            <w:tcW w:w="996" w:type="dxa"/>
            <w:vAlign w:val="top"/>
          </w:tcPr>
          <w:p w14:paraId="41080704">
            <w:pPr>
              <w:keepNext/>
              <w:keepLines/>
              <w:rPr>
                <w:rFonts w:ascii="Arial"/>
                <w:color w:val="auto"/>
                <w:sz w:val="21"/>
                <w:highlight w:val="none"/>
              </w:rPr>
            </w:pPr>
          </w:p>
        </w:tc>
        <w:tc>
          <w:tcPr>
            <w:tcW w:w="7912" w:type="dxa"/>
            <w:vAlign w:val="top"/>
          </w:tcPr>
          <w:p w14:paraId="2658B4BD">
            <w:pPr>
              <w:pStyle w:val="4"/>
              <w:wordWrap w:val="0"/>
              <w:snapToGrid w:val="0"/>
              <w:spacing w:line="400" w:lineRule="exact"/>
              <w:rPr>
                <w:rFonts w:hint="eastAsia" w:hAnsi="宋体" w:cs="宋体"/>
                <w:b/>
                <w:bCs w:val="0"/>
                <w:color w:val="auto"/>
                <w:sz w:val="21"/>
                <w:highlight w:val="none"/>
              </w:rPr>
            </w:pPr>
            <w:r>
              <w:rPr>
                <w:rFonts w:hint="eastAsia" w:hAnsi="宋体" w:cs="宋体"/>
                <w:b/>
                <w:bCs w:val="0"/>
                <w:color w:val="auto"/>
                <w:sz w:val="21"/>
                <w:highlight w:val="none"/>
              </w:rPr>
              <w:t>特别说明：因项目存档需要，须按以下要求提供纸质投标响应文件：</w:t>
            </w:r>
          </w:p>
          <w:p w14:paraId="1B612CDD">
            <w:pPr>
              <w:pStyle w:val="12"/>
              <w:keepNext/>
              <w:keepLines/>
              <w:spacing w:before="1" w:line="359" w:lineRule="auto"/>
              <w:ind w:left="111" w:right="108" w:firstLine="4"/>
              <w:rPr>
                <w:color w:val="auto"/>
                <w:spacing w:val="6"/>
                <w:highlight w:val="none"/>
              </w:rPr>
            </w:pPr>
            <w:r>
              <w:rPr>
                <w:rFonts w:hint="eastAsia" w:hAnsi="宋体" w:cs="宋体"/>
                <w:b/>
                <w:bCs w:val="0"/>
                <w:color w:val="auto"/>
                <w:sz w:val="21"/>
                <w:highlight w:val="none"/>
              </w:rPr>
              <w:t>中标（成交）供应商在中标（成交）通知书发出后5天内须提交3套纸质版投标响应文件（含报价文件、资格证明文件、商务文件、技术文件。按要求加盖公章）给招标代理机构，一正二副。提交的纸质版响应文件文本必须与其上传系统的电子响应文件内容一致，不允许有篡改。如项目验收时因所提供的纸质响应文件与评标的响应文件不一致造成纠纷时，所有责任由中标（成交）人承担。</w:t>
            </w:r>
          </w:p>
        </w:tc>
      </w:tr>
    </w:tbl>
    <w:p w14:paraId="7B36E35C">
      <w:pPr>
        <w:keepNext/>
        <w:keepLines/>
        <w:rPr>
          <w:rFonts w:ascii="Arial"/>
          <w:color w:val="auto"/>
          <w:sz w:val="21"/>
          <w:highlight w:val="none"/>
        </w:rPr>
      </w:pPr>
    </w:p>
    <w:p w14:paraId="55766AD2">
      <w:pPr>
        <w:rPr>
          <w:rFonts w:ascii="Arial" w:hAnsi="Arial" w:eastAsia="Arial" w:cs="Arial"/>
          <w:color w:val="auto"/>
          <w:sz w:val="21"/>
          <w:szCs w:val="21"/>
          <w:highlight w:val="none"/>
        </w:rPr>
        <w:sectPr>
          <w:footerReference r:id="rId15" w:type="default"/>
          <w:pgSz w:w="11910" w:h="16840"/>
          <w:pgMar w:top="1340" w:right="1408" w:bottom="1091" w:left="1588" w:header="0" w:footer="929" w:gutter="0"/>
          <w:pgNumType w:fmt="decimal"/>
          <w:cols w:space="720" w:num="1"/>
        </w:sectPr>
      </w:pPr>
    </w:p>
    <w:p w14:paraId="24B3B361">
      <w:pPr>
        <w:spacing w:before="63" w:line="224" w:lineRule="auto"/>
        <w:ind w:left="3245"/>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供应商须知正文</w:t>
      </w:r>
    </w:p>
    <w:p w14:paraId="0956D22A">
      <w:pPr>
        <w:spacing w:line="321" w:lineRule="auto"/>
        <w:rPr>
          <w:rFonts w:ascii="Arial"/>
          <w:color w:val="auto"/>
          <w:sz w:val="21"/>
          <w:highlight w:val="none"/>
        </w:rPr>
      </w:pPr>
    </w:p>
    <w:p w14:paraId="50738002">
      <w:pPr>
        <w:spacing w:before="100" w:line="225" w:lineRule="auto"/>
        <w:ind w:left="3732"/>
        <w:rPr>
          <w:rFonts w:ascii="宋体" w:hAnsi="宋体" w:eastAsia="宋体" w:cs="宋体"/>
          <w:color w:val="auto"/>
          <w:sz w:val="31"/>
          <w:szCs w:val="31"/>
          <w:highlight w:val="none"/>
        </w:rPr>
      </w:pPr>
      <w:r>
        <w:rPr>
          <w:rFonts w:ascii="宋体" w:hAnsi="宋体" w:eastAsia="宋体" w:cs="宋体"/>
          <w:b/>
          <w:bCs/>
          <w:color w:val="auto"/>
          <w:spacing w:val="3"/>
          <w:sz w:val="31"/>
          <w:szCs w:val="31"/>
          <w:highlight w:val="none"/>
        </w:rPr>
        <w:t>一、总则</w:t>
      </w:r>
    </w:p>
    <w:p w14:paraId="06F8E32A">
      <w:pPr>
        <w:spacing w:line="329" w:lineRule="auto"/>
        <w:rPr>
          <w:rFonts w:ascii="Arial"/>
          <w:color w:val="auto"/>
          <w:sz w:val="21"/>
          <w:highlight w:val="none"/>
        </w:rPr>
      </w:pPr>
    </w:p>
    <w:p w14:paraId="16845B03">
      <w:pPr>
        <w:spacing w:before="78" w:line="223" w:lineRule="auto"/>
        <w:ind w:left="496"/>
        <w:rPr>
          <w:rFonts w:ascii="黑体" w:hAnsi="黑体" w:eastAsia="黑体" w:cs="黑体"/>
          <w:color w:val="auto"/>
          <w:sz w:val="24"/>
          <w:szCs w:val="24"/>
          <w:highlight w:val="none"/>
        </w:rPr>
      </w:pPr>
      <w:r>
        <w:rPr>
          <w:rFonts w:ascii="黑体" w:hAnsi="黑体" w:eastAsia="黑体" w:cs="黑体"/>
          <w:b/>
          <w:bCs/>
          <w:color w:val="auto"/>
          <w:spacing w:val="-8"/>
          <w:sz w:val="24"/>
          <w:szCs w:val="24"/>
          <w:highlight w:val="none"/>
        </w:rPr>
        <w:t>1.</w:t>
      </w:r>
      <w:r>
        <w:rPr>
          <w:rFonts w:ascii="黑体" w:hAnsi="黑体" w:eastAsia="黑体" w:cs="黑体"/>
          <w:color w:val="auto"/>
          <w:spacing w:val="15"/>
          <w:sz w:val="24"/>
          <w:szCs w:val="24"/>
          <w:highlight w:val="none"/>
        </w:rPr>
        <w:t xml:space="preserve"> </w:t>
      </w:r>
      <w:r>
        <w:rPr>
          <w:rFonts w:ascii="黑体" w:hAnsi="黑体" w:eastAsia="黑体" w:cs="黑体"/>
          <w:b/>
          <w:bCs/>
          <w:color w:val="auto"/>
          <w:spacing w:val="-8"/>
          <w:sz w:val="24"/>
          <w:szCs w:val="24"/>
          <w:highlight w:val="none"/>
        </w:rPr>
        <w:t>适用范围</w:t>
      </w:r>
    </w:p>
    <w:p w14:paraId="06298759">
      <w:pPr>
        <w:spacing w:before="172" w:line="377" w:lineRule="auto"/>
        <w:ind w:left="2" w:right="53" w:firstLine="433"/>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1.1</w:t>
      </w:r>
      <w:r>
        <w:rPr>
          <w:rFonts w:ascii="宋体" w:hAnsi="宋体" w:eastAsia="宋体" w:cs="宋体"/>
          <w:color w:val="auto"/>
          <w:spacing w:val="-36"/>
          <w:sz w:val="20"/>
          <w:szCs w:val="20"/>
          <w:highlight w:val="none"/>
        </w:rPr>
        <w:t xml:space="preserve"> </w:t>
      </w:r>
      <w:r>
        <w:rPr>
          <w:rFonts w:ascii="宋体" w:hAnsi="宋体" w:eastAsia="宋体" w:cs="宋体"/>
          <w:color w:val="auto"/>
          <w:spacing w:val="13"/>
          <w:sz w:val="20"/>
          <w:szCs w:val="20"/>
          <w:highlight w:val="none"/>
        </w:rPr>
        <w:t>适用法律：本项目采购人、采购代理机构、供应商、谈判小组的相关行为均受《中华</w:t>
      </w:r>
      <w:r>
        <w:rPr>
          <w:rFonts w:ascii="宋体" w:hAnsi="宋体" w:eastAsia="宋体" w:cs="宋体"/>
          <w:color w:val="auto"/>
          <w:spacing w:val="12"/>
          <w:sz w:val="20"/>
          <w:szCs w:val="20"/>
          <w:highlight w:val="none"/>
        </w:rPr>
        <w:t>人民共和国政府采购法》</w:t>
      </w:r>
      <w:r>
        <w:rPr>
          <w:rFonts w:ascii="宋体" w:hAnsi="宋体" w:eastAsia="宋体" w:cs="宋体"/>
          <w:color w:val="auto"/>
          <w:spacing w:val="-80"/>
          <w:sz w:val="20"/>
          <w:szCs w:val="20"/>
          <w:highlight w:val="none"/>
        </w:rPr>
        <w:t xml:space="preserve"> </w:t>
      </w:r>
      <w:r>
        <w:rPr>
          <w:rFonts w:ascii="宋体" w:hAnsi="宋体" w:eastAsia="宋体" w:cs="宋体"/>
          <w:color w:val="auto"/>
          <w:spacing w:val="12"/>
          <w:sz w:val="20"/>
          <w:szCs w:val="20"/>
          <w:highlight w:val="none"/>
        </w:rPr>
        <w:t>《中华人民共和国政府采购</w:t>
      </w:r>
      <w:r>
        <w:rPr>
          <w:rFonts w:ascii="宋体" w:hAnsi="宋体" w:eastAsia="宋体" w:cs="宋体"/>
          <w:color w:val="auto"/>
          <w:spacing w:val="11"/>
          <w:sz w:val="20"/>
          <w:szCs w:val="20"/>
          <w:highlight w:val="none"/>
        </w:rPr>
        <w:t>法实施条例》</w:t>
      </w:r>
      <w:r>
        <w:rPr>
          <w:rFonts w:ascii="宋体" w:hAnsi="宋体" w:eastAsia="宋体" w:cs="宋体"/>
          <w:color w:val="auto"/>
          <w:spacing w:val="-77"/>
          <w:sz w:val="20"/>
          <w:szCs w:val="20"/>
          <w:highlight w:val="none"/>
        </w:rPr>
        <w:t xml:space="preserve"> </w:t>
      </w:r>
      <w:r>
        <w:rPr>
          <w:rFonts w:ascii="宋体" w:hAnsi="宋体" w:eastAsia="宋体" w:cs="宋体"/>
          <w:color w:val="auto"/>
          <w:spacing w:val="11"/>
          <w:sz w:val="20"/>
          <w:szCs w:val="20"/>
          <w:highlight w:val="none"/>
        </w:rPr>
        <w:t>《政府采购非招标采购方式</w:t>
      </w:r>
      <w:r>
        <w:rPr>
          <w:rFonts w:ascii="宋体" w:hAnsi="宋体" w:eastAsia="宋体" w:cs="宋体"/>
          <w:color w:val="auto"/>
          <w:spacing w:val="9"/>
          <w:sz w:val="20"/>
          <w:szCs w:val="20"/>
          <w:highlight w:val="none"/>
        </w:rPr>
        <w:t>管理办法》及本项目本级和上级财政部门政府采购有关规定的约束和保护。</w:t>
      </w:r>
    </w:p>
    <w:p w14:paraId="00803CAA">
      <w:pPr>
        <w:spacing w:line="378" w:lineRule="auto"/>
        <w:ind w:left="5" w:right="44" w:firstLine="43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1.2</w:t>
      </w:r>
      <w:r>
        <w:rPr>
          <w:rFonts w:ascii="宋体" w:hAnsi="宋体" w:eastAsia="宋体" w:cs="宋体"/>
          <w:color w:val="auto"/>
          <w:spacing w:val="-40"/>
          <w:sz w:val="20"/>
          <w:szCs w:val="20"/>
          <w:highlight w:val="none"/>
        </w:rPr>
        <w:t xml:space="preserve"> </w:t>
      </w:r>
      <w:r>
        <w:rPr>
          <w:rFonts w:ascii="宋体" w:hAnsi="宋体" w:eastAsia="宋体" w:cs="宋体"/>
          <w:color w:val="auto"/>
          <w:spacing w:val="-1"/>
          <w:sz w:val="20"/>
          <w:szCs w:val="20"/>
          <w:highlight w:val="none"/>
        </w:rPr>
        <w:t>本竞争性谈判文件（以下简称谈判文</w:t>
      </w:r>
      <w:r>
        <w:rPr>
          <w:rFonts w:ascii="宋体" w:hAnsi="宋体" w:eastAsia="宋体" w:cs="宋体"/>
          <w:color w:val="auto"/>
          <w:spacing w:val="-2"/>
          <w:sz w:val="20"/>
          <w:szCs w:val="20"/>
          <w:highlight w:val="none"/>
        </w:rPr>
        <w:t>件）适用于本项目的所有采购程序和环节（法律、法规</w:t>
      </w:r>
      <w:r>
        <w:rPr>
          <w:rFonts w:ascii="宋体" w:hAnsi="宋体" w:eastAsia="宋体" w:cs="宋体"/>
          <w:color w:val="auto"/>
          <w:spacing w:val="-3"/>
          <w:sz w:val="20"/>
          <w:szCs w:val="20"/>
          <w:highlight w:val="none"/>
        </w:rPr>
        <w:t>另有规定的，从其规定）。</w:t>
      </w:r>
    </w:p>
    <w:p w14:paraId="30620570">
      <w:pPr>
        <w:spacing w:before="4" w:line="223" w:lineRule="auto"/>
        <w:ind w:left="482"/>
        <w:rPr>
          <w:rFonts w:ascii="黑体" w:hAnsi="黑体" w:eastAsia="黑体" w:cs="黑体"/>
          <w:color w:val="auto"/>
          <w:sz w:val="24"/>
          <w:szCs w:val="24"/>
          <w:highlight w:val="none"/>
        </w:rPr>
      </w:pPr>
      <w:r>
        <w:rPr>
          <w:rFonts w:ascii="黑体" w:hAnsi="黑体" w:eastAsia="黑体" w:cs="黑体"/>
          <w:b/>
          <w:bCs/>
          <w:color w:val="auto"/>
          <w:spacing w:val="-6"/>
          <w:sz w:val="24"/>
          <w:szCs w:val="24"/>
          <w:highlight w:val="none"/>
        </w:rPr>
        <w:t>2.</w:t>
      </w:r>
      <w:r>
        <w:rPr>
          <w:rFonts w:ascii="黑体" w:hAnsi="黑体" w:eastAsia="黑体" w:cs="黑体"/>
          <w:color w:val="auto"/>
          <w:spacing w:val="7"/>
          <w:sz w:val="24"/>
          <w:szCs w:val="24"/>
          <w:highlight w:val="none"/>
        </w:rPr>
        <w:t xml:space="preserve"> </w:t>
      </w:r>
      <w:r>
        <w:rPr>
          <w:rFonts w:ascii="黑体" w:hAnsi="黑体" w:eastAsia="黑体" w:cs="黑体"/>
          <w:b/>
          <w:bCs/>
          <w:color w:val="auto"/>
          <w:spacing w:val="-6"/>
          <w:sz w:val="24"/>
          <w:szCs w:val="24"/>
          <w:highlight w:val="none"/>
        </w:rPr>
        <w:t>定义</w:t>
      </w:r>
    </w:p>
    <w:p w14:paraId="084198D2">
      <w:pPr>
        <w:spacing w:before="171" w:line="227"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2.1“采购人</w:t>
      </w:r>
      <w:r>
        <w:rPr>
          <w:rFonts w:ascii="宋体" w:hAnsi="宋体" w:eastAsia="宋体" w:cs="宋体"/>
          <w:color w:val="auto"/>
          <w:spacing w:val="-73"/>
          <w:sz w:val="20"/>
          <w:szCs w:val="20"/>
          <w:highlight w:val="none"/>
        </w:rPr>
        <w:t xml:space="preserve"> </w:t>
      </w:r>
      <w:r>
        <w:rPr>
          <w:rFonts w:ascii="宋体" w:hAnsi="宋体" w:eastAsia="宋体" w:cs="宋体"/>
          <w:color w:val="auto"/>
          <w:spacing w:val="8"/>
          <w:sz w:val="20"/>
          <w:szCs w:val="20"/>
          <w:highlight w:val="none"/>
        </w:rPr>
        <w:t>”是指依法进行采购的国家机关、事业单位、团体组织。</w:t>
      </w:r>
    </w:p>
    <w:p w14:paraId="06F4AD98">
      <w:pPr>
        <w:spacing w:before="162" w:line="227"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2.2“采购代理机构</w:t>
      </w:r>
      <w:r>
        <w:rPr>
          <w:rFonts w:ascii="宋体" w:hAnsi="宋体" w:eastAsia="宋体" w:cs="宋体"/>
          <w:color w:val="auto"/>
          <w:spacing w:val="-60"/>
          <w:sz w:val="20"/>
          <w:szCs w:val="20"/>
          <w:highlight w:val="none"/>
        </w:rPr>
        <w:t xml:space="preserve"> </w:t>
      </w:r>
      <w:r>
        <w:rPr>
          <w:rFonts w:ascii="宋体" w:hAnsi="宋体" w:eastAsia="宋体" w:cs="宋体"/>
          <w:color w:val="auto"/>
          <w:spacing w:val="8"/>
          <w:sz w:val="20"/>
          <w:szCs w:val="20"/>
          <w:highlight w:val="none"/>
        </w:rPr>
        <w:t>”是指政府采购集中采购机构和集中采购机构以外的采购代理机构。</w:t>
      </w:r>
    </w:p>
    <w:p w14:paraId="74162181">
      <w:pPr>
        <w:spacing w:before="164" w:line="227"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2.3“供应商</w:t>
      </w:r>
      <w:r>
        <w:rPr>
          <w:rFonts w:ascii="宋体" w:hAnsi="宋体" w:eastAsia="宋体" w:cs="宋体"/>
          <w:color w:val="auto"/>
          <w:spacing w:val="-61"/>
          <w:sz w:val="20"/>
          <w:szCs w:val="20"/>
          <w:highlight w:val="none"/>
        </w:rPr>
        <w:t xml:space="preserve"> </w:t>
      </w:r>
      <w:r>
        <w:rPr>
          <w:rFonts w:ascii="宋体" w:hAnsi="宋体" w:eastAsia="宋体" w:cs="宋体"/>
          <w:color w:val="auto"/>
          <w:spacing w:val="8"/>
          <w:sz w:val="20"/>
          <w:szCs w:val="20"/>
          <w:highlight w:val="none"/>
        </w:rPr>
        <w:t>”是指向采购人提供货物、工程或者服务的法人、其他组织或者自然人。</w:t>
      </w:r>
    </w:p>
    <w:p w14:paraId="62A96DA6">
      <w:pPr>
        <w:spacing w:before="162" w:line="227"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2.4“货物</w:t>
      </w:r>
      <w:r>
        <w:rPr>
          <w:rFonts w:ascii="宋体" w:hAnsi="宋体" w:eastAsia="宋体" w:cs="宋体"/>
          <w:color w:val="auto"/>
          <w:spacing w:val="-68"/>
          <w:sz w:val="20"/>
          <w:szCs w:val="20"/>
          <w:highlight w:val="none"/>
        </w:rPr>
        <w:t xml:space="preserve"> </w:t>
      </w:r>
      <w:r>
        <w:rPr>
          <w:rFonts w:ascii="宋体" w:hAnsi="宋体" w:eastAsia="宋体" w:cs="宋体"/>
          <w:color w:val="auto"/>
          <w:spacing w:val="8"/>
          <w:sz w:val="20"/>
          <w:szCs w:val="20"/>
          <w:highlight w:val="none"/>
        </w:rPr>
        <w:t>”是指各种形态和种类的物品，包括原材料、燃料、设备、产品等。</w:t>
      </w:r>
    </w:p>
    <w:p w14:paraId="16C471A1">
      <w:pPr>
        <w:spacing w:before="162" w:line="378" w:lineRule="auto"/>
        <w:ind w:right="54" w:firstLine="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2.5“竞标</w:t>
      </w:r>
      <w:r>
        <w:rPr>
          <w:rFonts w:ascii="宋体" w:hAnsi="宋体" w:eastAsia="宋体" w:cs="宋体"/>
          <w:color w:val="auto"/>
          <w:spacing w:val="-72"/>
          <w:sz w:val="20"/>
          <w:szCs w:val="20"/>
          <w:highlight w:val="none"/>
        </w:rPr>
        <w:t xml:space="preserve"> </w:t>
      </w:r>
      <w:r>
        <w:rPr>
          <w:rFonts w:ascii="宋体" w:hAnsi="宋体" w:eastAsia="宋体" w:cs="宋体"/>
          <w:color w:val="auto"/>
          <w:spacing w:val="9"/>
          <w:sz w:val="20"/>
          <w:szCs w:val="20"/>
          <w:highlight w:val="none"/>
        </w:rPr>
        <w:t>”是指按照本项目竞争性谈判公告规定的方式供应商获取谈判文件、提交响应文</w:t>
      </w:r>
      <w:r>
        <w:rPr>
          <w:rFonts w:ascii="宋体" w:hAnsi="宋体" w:eastAsia="宋体" w:cs="宋体"/>
          <w:color w:val="auto"/>
          <w:spacing w:val="8"/>
          <w:sz w:val="20"/>
          <w:szCs w:val="20"/>
          <w:highlight w:val="none"/>
        </w:rPr>
        <w:t>件并希望获得标的的行为。</w:t>
      </w:r>
    </w:p>
    <w:p w14:paraId="4048E299">
      <w:pPr>
        <w:spacing w:before="1" w:line="376" w:lineRule="auto"/>
        <w:ind w:left="5" w:firstLine="41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2.6“售后服务</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 是指包含但不限于供应商须承担的备品</w:t>
      </w:r>
      <w:r>
        <w:rPr>
          <w:rFonts w:ascii="宋体" w:hAnsi="宋体" w:eastAsia="宋体" w:cs="宋体"/>
          <w:color w:val="auto"/>
          <w:spacing w:val="7"/>
          <w:sz w:val="20"/>
          <w:szCs w:val="20"/>
          <w:highlight w:val="none"/>
        </w:rPr>
        <w:t>备件、包装、运输、装卸、保险、</w:t>
      </w:r>
      <w:r>
        <w:rPr>
          <w:rFonts w:ascii="宋体" w:hAnsi="宋体" w:eastAsia="宋体" w:cs="宋体"/>
          <w:color w:val="auto"/>
          <w:spacing w:val="9"/>
          <w:sz w:val="20"/>
          <w:szCs w:val="20"/>
          <w:highlight w:val="none"/>
        </w:rPr>
        <w:t>货到就位以及安装、调试、培训、保修和其他类似的义务。</w:t>
      </w:r>
    </w:p>
    <w:p w14:paraId="15016620">
      <w:pPr>
        <w:spacing w:before="2" w:line="377" w:lineRule="auto"/>
        <w:ind w:left="25" w:right="54" w:firstLine="398"/>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2.7“书面形式</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”是指合同书、信件和数据电文（包括电报、</w:t>
      </w:r>
      <w:r>
        <w:rPr>
          <w:rFonts w:ascii="宋体" w:hAnsi="宋体" w:eastAsia="宋体" w:cs="宋体"/>
          <w:color w:val="auto"/>
          <w:spacing w:val="-59"/>
          <w:sz w:val="20"/>
          <w:szCs w:val="20"/>
          <w:highlight w:val="none"/>
        </w:rPr>
        <w:t xml:space="preserve"> </w:t>
      </w:r>
      <w:r>
        <w:rPr>
          <w:rFonts w:ascii="宋体" w:hAnsi="宋体" w:eastAsia="宋体" w:cs="宋体"/>
          <w:color w:val="auto"/>
          <w:spacing w:val="7"/>
          <w:sz w:val="20"/>
          <w:szCs w:val="20"/>
          <w:highlight w:val="none"/>
        </w:rPr>
        <w:t>电传、传真、</w:t>
      </w:r>
      <w:r>
        <w:rPr>
          <w:rFonts w:ascii="宋体" w:hAnsi="宋体" w:eastAsia="宋体" w:cs="宋体"/>
          <w:color w:val="auto"/>
          <w:spacing w:val="-59"/>
          <w:sz w:val="20"/>
          <w:szCs w:val="20"/>
          <w:highlight w:val="none"/>
        </w:rPr>
        <w:t xml:space="preserve"> </w:t>
      </w:r>
      <w:r>
        <w:rPr>
          <w:rFonts w:ascii="宋体" w:hAnsi="宋体" w:eastAsia="宋体" w:cs="宋体"/>
          <w:color w:val="auto"/>
          <w:spacing w:val="7"/>
          <w:sz w:val="20"/>
          <w:szCs w:val="20"/>
          <w:highlight w:val="none"/>
        </w:rPr>
        <w:t>电子数据交</w:t>
      </w:r>
      <w:r>
        <w:rPr>
          <w:rFonts w:ascii="宋体" w:hAnsi="宋体" w:eastAsia="宋体" w:cs="宋体"/>
          <w:color w:val="auto"/>
          <w:spacing w:val="6"/>
          <w:sz w:val="20"/>
          <w:szCs w:val="20"/>
          <w:highlight w:val="none"/>
        </w:rPr>
        <w:t>换和</w:t>
      </w:r>
      <w:r>
        <w:rPr>
          <w:rFonts w:ascii="宋体" w:hAnsi="宋体" w:eastAsia="宋体" w:cs="宋体"/>
          <w:color w:val="auto"/>
          <w:spacing w:val="7"/>
          <w:sz w:val="20"/>
          <w:szCs w:val="20"/>
          <w:highlight w:val="none"/>
        </w:rPr>
        <w:t>电子邮件）等可以有形地表现所载内容的形式。</w:t>
      </w:r>
    </w:p>
    <w:p w14:paraId="16F9139F">
      <w:pPr>
        <w:spacing w:before="1" w:line="376" w:lineRule="auto"/>
        <w:ind w:left="1" w:right="42" w:firstLine="421"/>
        <w:rPr>
          <w:rFonts w:ascii="宋体" w:hAnsi="宋体" w:eastAsia="宋体" w:cs="宋体"/>
          <w:color w:val="auto"/>
          <w:sz w:val="20"/>
          <w:szCs w:val="20"/>
          <w:highlight w:val="none"/>
        </w:rPr>
      </w:pPr>
      <w:r>
        <w:rPr>
          <w:rFonts w:ascii="宋体" w:hAnsi="宋体" w:eastAsia="宋体" w:cs="宋体"/>
          <w:color w:val="auto"/>
          <w:sz w:val="20"/>
          <w:szCs w:val="20"/>
          <w:highlight w:val="none"/>
        </w:rPr>
        <w:t>2.8“响应文件</w:t>
      </w:r>
      <w:r>
        <w:rPr>
          <w:rFonts w:ascii="宋体" w:hAnsi="宋体" w:eastAsia="宋体" w:cs="宋体"/>
          <w:color w:val="auto"/>
          <w:spacing w:val="-72"/>
          <w:sz w:val="20"/>
          <w:szCs w:val="20"/>
          <w:highlight w:val="none"/>
        </w:rPr>
        <w:t xml:space="preserve"> </w:t>
      </w:r>
      <w:r>
        <w:rPr>
          <w:rFonts w:ascii="宋体" w:hAnsi="宋体" w:eastAsia="宋体" w:cs="宋体"/>
          <w:color w:val="auto"/>
          <w:sz w:val="20"/>
          <w:szCs w:val="20"/>
          <w:highlight w:val="none"/>
        </w:rPr>
        <w:t>”是指：供应商根据本谈判文件要求</w:t>
      </w:r>
      <w:r>
        <w:rPr>
          <w:rFonts w:ascii="宋体" w:hAnsi="宋体" w:eastAsia="宋体" w:cs="宋体"/>
          <w:color w:val="auto"/>
          <w:spacing w:val="-1"/>
          <w:sz w:val="20"/>
          <w:szCs w:val="20"/>
          <w:highlight w:val="none"/>
        </w:rPr>
        <w:t>，编制包含资格证明、报价、商务技术等所</w:t>
      </w:r>
      <w:r>
        <w:rPr>
          <w:rFonts w:ascii="宋体" w:hAnsi="宋体" w:eastAsia="宋体" w:cs="宋体"/>
          <w:color w:val="auto"/>
          <w:spacing w:val="-2"/>
          <w:sz w:val="20"/>
          <w:szCs w:val="20"/>
          <w:highlight w:val="none"/>
        </w:rPr>
        <w:t>有内容的文件。</w:t>
      </w:r>
    </w:p>
    <w:p w14:paraId="29735DB7">
      <w:pPr>
        <w:spacing w:before="1" w:line="376" w:lineRule="auto"/>
        <w:ind w:left="4" w:right="56" w:firstLine="419"/>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 “实质性要求</w:t>
      </w:r>
      <w:r>
        <w:rPr>
          <w:rFonts w:ascii="宋体" w:hAnsi="宋体" w:eastAsia="宋体" w:cs="宋体"/>
          <w:color w:val="auto"/>
          <w:spacing w:val="-67"/>
          <w:sz w:val="20"/>
          <w:szCs w:val="20"/>
          <w:highlight w:val="none"/>
        </w:rPr>
        <w:t xml:space="preserve"> </w:t>
      </w:r>
      <w:r>
        <w:rPr>
          <w:rFonts w:ascii="宋体" w:hAnsi="宋体" w:eastAsia="宋体" w:cs="宋体"/>
          <w:color w:val="auto"/>
          <w:spacing w:val="11"/>
          <w:sz w:val="20"/>
          <w:szCs w:val="20"/>
          <w:highlight w:val="none"/>
        </w:rPr>
        <w:t>”是指采购需求中带</w:t>
      </w:r>
      <w:r>
        <w:rPr>
          <w:rFonts w:ascii="宋体" w:hAnsi="宋体" w:eastAsia="宋体" w:cs="宋体"/>
          <w:color w:val="auto"/>
          <w:spacing w:val="10"/>
          <w:sz w:val="20"/>
          <w:szCs w:val="20"/>
          <w:highlight w:val="none"/>
        </w:rPr>
        <w:t>“▲</w:t>
      </w:r>
      <w:r>
        <w:rPr>
          <w:rFonts w:ascii="宋体" w:hAnsi="宋体" w:eastAsia="宋体" w:cs="宋体"/>
          <w:color w:val="auto"/>
          <w:spacing w:val="-68"/>
          <w:sz w:val="20"/>
          <w:szCs w:val="20"/>
          <w:highlight w:val="none"/>
        </w:rPr>
        <w:t xml:space="preserve"> </w:t>
      </w:r>
      <w:r>
        <w:rPr>
          <w:rFonts w:ascii="宋体" w:hAnsi="宋体" w:eastAsia="宋体" w:cs="宋体"/>
          <w:color w:val="auto"/>
          <w:spacing w:val="10"/>
          <w:sz w:val="20"/>
          <w:szCs w:val="20"/>
          <w:highlight w:val="none"/>
        </w:rPr>
        <w:t>”的条款或者不能负偏离的条款或者已经指明</w:t>
      </w:r>
      <w:r>
        <w:rPr>
          <w:rFonts w:ascii="宋体" w:hAnsi="宋体" w:eastAsia="宋体" w:cs="宋体"/>
          <w:color w:val="auto"/>
          <w:spacing w:val="8"/>
          <w:sz w:val="20"/>
          <w:szCs w:val="20"/>
          <w:highlight w:val="none"/>
        </w:rPr>
        <w:t>不满足按响应文件无效处理的条款。</w:t>
      </w:r>
    </w:p>
    <w:p w14:paraId="3650DD67">
      <w:pPr>
        <w:spacing w:before="2" w:line="377" w:lineRule="auto"/>
        <w:ind w:left="1" w:right="53" w:firstLine="42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2.10“正偏离</w:t>
      </w:r>
      <w:r>
        <w:rPr>
          <w:rFonts w:ascii="宋体" w:hAnsi="宋体" w:eastAsia="宋体" w:cs="宋体"/>
          <w:color w:val="auto"/>
          <w:spacing w:val="-68"/>
          <w:sz w:val="20"/>
          <w:szCs w:val="20"/>
          <w:highlight w:val="none"/>
        </w:rPr>
        <w:t xml:space="preserve"> </w:t>
      </w:r>
      <w:r>
        <w:rPr>
          <w:rFonts w:ascii="宋体" w:hAnsi="宋体" w:eastAsia="宋体" w:cs="宋体"/>
          <w:color w:val="auto"/>
          <w:spacing w:val="11"/>
          <w:sz w:val="20"/>
          <w:szCs w:val="20"/>
          <w:highlight w:val="none"/>
        </w:rPr>
        <w:t>”，是指响应文件对谈判文件“</w:t>
      </w:r>
      <w:r>
        <w:rPr>
          <w:rFonts w:ascii="宋体" w:hAnsi="宋体" w:eastAsia="宋体" w:cs="宋体"/>
          <w:color w:val="auto"/>
          <w:spacing w:val="10"/>
          <w:sz w:val="20"/>
          <w:szCs w:val="20"/>
          <w:highlight w:val="none"/>
        </w:rPr>
        <w:t>采购需求</w:t>
      </w:r>
      <w:r>
        <w:rPr>
          <w:rFonts w:ascii="宋体" w:hAnsi="宋体" w:eastAsia="宋体" w:cs="宋体"/>
          <w:color w:val="auto"/>
          <w:spacing w:val="-67"/>
          <w:sz w:val="20"/>
          <w:szCs w:val="20"/>
          <w:highlight w:val="none"/>
        </w:rPr>
        <w:t xml:space="preserve"> </w:t>
      </w:r>
      <w:r>
        <w:rPr>
          <w:rFonts w:ascii="宋体" w:hAnsi="宋体" w:eastAsia="宋体" w:cs="宋体"/>
          <w:color w:val="auto"/>
          <w:spacing w:val="10"/>
          <w:sz w:val="20"/>
          <w:szCs w:val="20"/>
          <w:highlight w:val="none"/>
        </w:rPr>
        <w:t>”中有关条款作出优于条款要求并</w:t>
      </w:r>
      <w:r>
        <w:rPr>
          <w:rFonts w:ascii="宋体" w:hAnsi="宋体" w:eastAsia="宋体" w:cs="宋体"/>
          <w:color w:val="auto"/>
          <w:spacing w:val="8"/>
          <w:sz w:val="20"/>
          <w:szCs w:val="20"/>
          <w:highlight w:val="none"/>
        </w:rPr>
        <w:t>有利于采购人的响应情形；</w:t>
      </w:r>
    </w:p>
    <w:p w14:paraId="604E8248">
      <w:pPr>
        <w:spacing w:before="1" w:line="376" w:lineRule="auto"/>
        <w:ind w:left="1" w:right="53" w:firstLine="42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2.11“负偏离</w:t>
      </w:r>
      <w:r>
        <w:rPr>
          <w:rFonts w:ascii="宋体" w:hAnsi="宋体" w:eastAsia="宋体" w:cs="宋体"/>
          <w:color w:val="auto"/>
          <w:spacing w:val="-68"/>
          <w:sz w:val="20"/>
          <w:szCs w:val="20"/>
          <w:highlight w:val="none"/>
        </w:rPr>
        <w:t xml:space="preserve"> </w:t>
      </w:r>
      <w:r>
        <w:rPr>
          <w:rFonts w:ascii="宋体" w:hAnsi="宋体" w:eastAsia="宋体" w:cs="宋体"/>
          <w:color w:val="auto"/>
          <w:spacing w:val="11"/>
          <w:sz w:val="20"/>
          <w:szCs w:val="20"/>
          <w:highlight w:val="none"/>
        </w:rPr>
        <w:t>”，是指响应文件对谈判文件“</w:t>
      </w:r>
      <w:r>
        <w:rPr>
          <w:rFonts w:ascii="宋体" w:hAnsi="宋体" w:eastAsia="宋体" w:cs="宋体"/>
          <w:color w:val="auto"/>
          <w:spacing w:val="10"/>
          <w:sz w:val="20"/>
          <w:szCs w:val="20"/>
          <w:highlight w:val="none"/>
        </w:rPr>
        <w:t>采购需求</w:t>
      </w:r>
      <w:r>
        <w:rPr>
          <w:rFonts w:ascii="宋体" w:hAnsi="宋体" w:eastAsia="宋体" w:cs="宋体"/>
          <w:color w:val="auto"/>
          <w:spacing w:val="-67"/>
          <w:sz w:val="20"/>
          <w:szCs w:val="20"/>
          <w:highlight w:val="none"/>
        </w:rPr>
        <w:t xml:space="preserve"> </w:t>
      </w:r>
      <w:r>
        <w:rPr>
          <w:rFonts w:ascii="宋体" w:hAnsi="宋体" w:eastAsia="宋体" w:cs="宋体"/>
          <w:color w:val="auto"/>
          <w:spacing w:val="10"/>
          <w:sz w:val="20"/>
          <w:szCs w:val="20"/>
          <w:highlight w:val="none"/>
        </w:rPr>
        <w:t>”中有关条款作出的响应不满足条</w:t>
      </w:r>
      <w:r>
        <w:rPr>
          <w:rFonts w:ascii="宋体" w:hAnsi="宋体" w:eastAsia="宋体" w:cs="宋体"/>
          <w:color w:val="auto"/>
          <w:spacing w:val="9"/>
          <w:sz w:val="20"/>
          <w:szCs w:val="20"/>
          <w:highlight w:val="none"/>
        </w:rPr>
        <w:t>款要求，导致采购人要求不能得到满足的情</w:t>
      </w:r>
      <w:r>
        <w:rPr>
          <w:rFonts w:ascii="宋体" w:hAnsi="宋体" w:eastAsia="宋体" w:cs="宋体"/>
          <w:color w:val="auto"/>
          <w:spacing w:val="8"/>
          <w:sz w:val="20"/>
          <w:szCs w:val="20"/>
          <w:highlight w:val="none"/>
        </w:rPr>
        <w:t>形。</w:t>
      </w:r>
    </w:p>
    <w:p w14:paraId="7DE5E952">
      <w:pPr>
        <w:spacing w:before="1" w:line="226"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2.12“允许负偏离的条款</w:t>
      </w:r>
      <w:r>
        <w:rPr>
          <w:rFonts w:ascii="宋体" w:hAnsi="宋体" w:eastAsia="宋体" w:cs="宋体"/>
          <w:color w:val="auto"/>
          <w:spacing w:val="-63"/>
          <w:sz w:val="20"/>
          <w:szCs w:val="20"/>
          <w:highlight w:val="none"/>
        </w:rPr>
        <w:t xml:space="preserve"> </w:t>
      </w:r>
      <w:r>
        <w:rPr>
          <w:rFonts w:ascii="宋体" w:hAnsi="宋体" w:eastAsia="宋体" w:cs="宋体"/>
          <w:color w:val="auto"/>
          <w:spacing w:val="7"/>
          <w:sz w:val="20"/>
          <w:szCs w:val="20"/>
          <w:highlight w:val="none"/>
        </w:rPr>
        <w:t>”是指采购需求中的不属于“实质性要求</w:t>
      </w:r>
      <w:r>
        <w:rPr>
          <w:rFonts w:ascii="宋体" w:hAnsi="宋体" w:eastAsia="宋体" w:cs="宋体"/>
          <w:color w:val="auto"/>
          <w:spacing w:val="-72"/>
          <w:sz w:val="20"/>
          <w:szCs w:val="20"/>
          <w:highlight w:val="none"/>
        </w:rPr>
        <w:t xml:space="preserve"> </w:t>
      </w:r>
      <w:r>
        <w:rPr>
          <w:rFonts w:ascii="宋体" w:hAnsi="宋体" w:eastAsia="宋体" w:cs="宋体"/>
          <w:color w:val="auto"/>
          <w:spacing w:val="7"/>
          <w:sz w:val="20"/>
          <w:szCs w:val="20"/>
          <w:highlight w:val="none"/>
        </w:rPr>
        <w:t>”的条款。</w:t>
      </w:r>
    </w:p>
    <w:p w14:paraId="697D3A61">
      <w:pPr>
        <w:spacing w:before="165" w:line="226"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2.13“首次报价</w:t>
      </w:r>
      <w:r>
        <w:rPr>
          <w:rFonts w:ascii="宋体" w:hAnsi="宋体" w:eastAsia="宋体" w:cs="宋体"/>
          <w:color w:val="auto"/>
          <w:spacing w:val="-51"/>
          <w:sz w:val="20"/>
          <w:szCs w:val="20"/>
          <w:highlight w:val="none"/>
        </w:rPr>
        <w:t xml:space="preserve"> </w:t>
      </w:r>
      <w:r>
        <w:rPr>
          <w:rFonts w:ascii="宋体" w:hAnsi="宋体" w:eastAsia="宋体" w:cs="宋体"/>
          <w:color w:val="auto"/>
          <w:spacing w:val="7"/>
          <w:sz w:val="20"/>
          <w:szCs w:val="20"/>
          <w:highlight w:val="none"/>
        </w:rPr>
        <w:t>”是指供应商提交的首次响应文件中的竞标报价。</w:t>
      </w:r>
    </w:p>
    <w:p w14:paraId="3F3C771A">
      <w:pPr>
        <w:spacing w:before="167" w:line="222" w:lineRule="auto"/>
        <w:ind w:left="484"/>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3.</w:t>
      </w:r>
      <w:r>
        <w:rPr>
          <w:rFonts w:ascii="黑体" w:hAnsi="黑体" w:eastAsia="黑体" w:cs="黑体"/>
          <w:color w:val="auto"/>
          <w:spacing w:val="-3"/>
          <w:sz w:val="24"/>
          <w:szCs w:val="24"/>
          <w:highlight w:val="none"/>
        </w:rPr>
        <w:t xml:space="preserve"> </w:t>
      </w:r>
      <w:r>
        <w:rPr>
          <w:rFonts w:ascii="黑体" w:hAnsi="黑体" w:eastAsia="黑体" w:cs="黑体"/>
          <w:b/>
          <w:bCs/>
          <w:color w:val="auto"/>
          <w:spacing w:val="-3"/>
          <w:sz w:val="24"/>
          <w:szCs w:val="24"/>
          <w:highlight w:val="none"/>
        </w:rPr>
        <w:t>供应商的资格条件</w:t>
      </w:r>
    </w:p>
    <w:p w14:paraId="3F43ABD7">
      <w:pPr>
        <w:spacing w:before="173" w:line="227"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供应商的资格条件详见“供应商须知前附表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w:t>
      </w:r>
    </w:p>
    <w:p w14:paraId="476EBC9D">
      <w:pPr>
        <w:spacing w:before="169" w:line="222" w:lineRule="auto"/>
        <w:ind w:left="477"/>
        <w:rPr>
          <w:rFonts w:ascii="黑体" w:hAnsi="黑体" w:eastAsia="黑体" w:cs="黑体"/>
          <w:color w:val="auto"/>
          <w:sz w:val="24"/>
          <w:szCs w:val="24"/>
          <w:highlight w:val="none"/>
        </w:rPr>
      </w:pPr>
      <w:r>
        <w:rPr>
          <w:rFonts w:ascii="黑体" w:hAnsi="黑体" w:eastAsia="黑体" w:cs="黑体"/>
          <w:b/>
          <w:bCs/>
          <w:color w:val="auto"/>
          <w:spacing w:val="-2"/>
          <w:sz w:val="24"/>
          <w:szCs w:val="24"/>
          <w:highlight w:val="none"/>
        </w:rPr>
        <w:t>4.</w:t>
      </w:r>
      <w:r>
        <w:rPr>
          <w:rFonts w:ascii="黑体" w:hAnsi="黑体" w:eastAsia="黑体" w:cs="黑体"/>
          <w:color w:val="auto"/>
          <w:spacing w:val="-2"/>
          <w:sz w:val="24"/>
          <w:szCs w:val="24"/>
          <w:highlight w:val="none"/>
        </w:rPr>
        <w:t xml:space="preserve"> </w:t>
      </w:r>
      <w:r>
        <w:rPr>
          <w:rFonts w:ascii="黑体" w:hAnsi="黑体" w:eastAsia="黑体" w:cs="黑体"/>
          <w:b/>
          <w:bCs/>
          <w:color w:val="auto"/>
          <w:spacing w:val="-2"/>
          <w:sz w:val="24"/>
          <w:szCs w:val="24"/>
          <w:highlight w:val="none"/>
        </w:rPr>
        <w:t>竞标费用</w:t>
      </w:r>
    </w:p>
    <w:p w14:paraId="6B41D0A4">
      <w:pPr>
        <w:spacing w:before="172" w:line="227" w:lineRule="auto"/>
        <w:jc w:val="right"/>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竞标费用：供应商应承担参与本次采购活动有关的所有费用，包括但不</w:t>
      </w:r>
      <w:r>
        <w:rPr>
          <w:rFonts w:ascii="宋体" w:hAnsi="宋体" w:eastAsia="宋体" w:cs="宋体"/>
          <w:color w:val="auto"/>
          <w:spacing w:val="8"/>
          <w:sz w:val="20"/>
          <w:szCs w:val="20"/>
          <w:highlight w:val="none"/>
        </w:rPr>
        <w:t>限于获取谈判文件、</w:t>
      </w:r>
    </w:p>
    <w:p w14:paraId="5F8D3AC6">
      <w:pPr>
        <w:spacing w:line="227" w:lineRule="auto"/>
        <w:rPr>
          <w:rFonts w:ascii="宋体" w:hAnsi="宋体" w:eastAsia="宋体" w:cs="宋体"/>
          <w:color w:val="auto"/>
          <w:sz w:val="20"/>
          <w:szCs w:val="20"/>
          <w:highlight w:val="none"/>
        </w:rPr>
        <w:sectPr>
          <w:footerReference r:id="rId16" w:type="default"/>
          <w:pgSz w:w="11910" w:h="16840"/>
          <w:pgMar w:top="1324" w:right="1447" w:bottom="1091" w:left="1687" w:header="0" w:footer="928" w:gutter="0"/>
          <w:pgNumType w:fmt="decimal"/>
          <w:cols w:space="720" w:num="1"/>
        </w:sectPr>
      </w:pPr>
    </w:p>
    <w:p w14:paraId="611253EB">
      <w:pPr>
        <w:spacing w:before="41" w:line="378" w:lineRule="auto"/>
        <w:ind w:left="4" w:right="37" w:hanging="4"/>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勘查现场、编制和提交响应文件、参加谈判与应答、签订合同等</w:t>
      </w:r>
      <w:r>
        <w:rPr>
          <w:rFonts w:ascii="宋体" w:hAnsi="宋体" w:eastAsia="宋体" w:cs="宋体"/>
          <w:color w:val="auto"/>
          <w:spacing w:val="12"/>
          <w:sz w:val="20"/>
          <w:szCs w:val="20"/>
          <w:highlight w:val="none"/>
        </w:rPr>
        <w:t>，不论竞标结果如何，均应自</w:t>
      </w:r>
      <w:r>
        <w:rPr>
          <w:rFonts w:ascii="宋体" w:hAnsi="宋体" w:eastAsia="宋体" w:cs="宋体"/>
          <w:color w:val="auto"/>
          <w:spacing w:val="4"/>
          <w:sz w:val="20"/>
          <w:szCs w:val="20"/>
          <w:highlight w:val="none"/>
        </w:rPr>
        <w:t>行承担。</w:t>
      </w:r>
    </w:p>
    <w:p w14:paraId="05BB570B">
      <w:pPr>
        <w:spacing w:line="222" w:lineRule="auto"/>
        <w:ind w:left="478"/>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5.联合体竞标</w:t>
      </w:r>
    </w:p>
    <w:p w14:paraId="466CA5F8">
      <w:pPr>
        <w:spacing w:before="172"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5.1</w:t>
      </w:r>
      <w:r>
        <w:rPr>
          <w:rFonts w:ascii="宋体" w:hAnsi="宋体" w:eastAsia="宋体" w:cs="宋体"/>
          <w:color w:val="auto"/>
          <w:spacing w:val="-31"/>
          <w:sz w:val="20"/>
          <w:szCs w:val="20"/>
          <w:highlight w:val="none"/>
        </w:rPr>
        <w:t xml:space="preserve"> </w:t>
      </w:r>
      <w:r>
        <w:rPr>
          <w:rFonts w:ascii="宋体" w:hAnsi="宋体" w:eastAsia="宋体" w:cs="宋体"/>
          <w:color w:val="auto"/>
          <w:spacing w:val="8"/>
          <w:sz w:val="20"/>
          <w:szCs w:val="20"/>
          <w:highlight w:val="none"/>
        </w:rPr>
        <w:t>本项目是否接受联合体竞标，详见“供应商须知前附表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w:t>
      </w:r>
    </w:p>
    <w:p w14:paraId="6C334210">
      <w:pPr>
        <w:spacing w:before="165"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5.2</w:t>
      </w:r>
      <w:r>
        <w:rPr>
          <w:rFonts w:ascii="宋体" w:hAnsi="宋体" w:eastAsia="宋体" w:cs="宋体"/>
          <w:color w:val="auto"/>
          <w:spacing w:val="-24"/>
          <w:sz w:val="20"/>
          <w:szCs w:val="20"/>
          <w:highlight w:val="none"/>
        </w:rPr>
        <w:t xml:space="preserve"> </w:t>
      </w:r>
      <w:r>
        <w:rPr>
          <w:rFonts w:ascii="宋体" w:hAnsi="宋体" w:eastAsia="宋体" w:cs="宋体"/>
          <w:color w:val="auto"/>
          <w:spacing w:val="8"/>
          <w:sz w:val="20"/>
          <w:szCs w:val="20"/>
          <w:highlight w:val="none"/>
        </w:rPr>
        <w:t>如接受联合体竞标，联合体竞标要求详见“供应商须知前附表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w:t>
      </w:r>
    </w:p>
    <w:p w14:paraId="5D3619C1">
      <w:pPr>
        <w:spacing w:before="164" w:line="377" w:lineRule="auto"/>
        <w:ind w:left="3" w:right="37" w:firstLine="421"/>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5.3</w:t>
      </w:r>
      <w:r>
        <w:rPr>
          <w:rFonts w:ascii="宋体" w:hAnsi="宋体" w:eastAsia="宋体" w:cs="宋体"/>
          <w:color w:val="auto"/>
          <w:spacing w:val="-28"/>
          <w:sz w:val="20"/>
          <w:szCs w:val="20"/>
          <w:highlight w:val="none"/>
        </w:rPr>
        <w:t xml:space="preserve"> </w:t>
      </w:r>
      <w:r>
        <w:rPr>
          <w:rFonts w:ascii="宋体" w:hAnsi="宋体" w:eastAsia="宋体" w:cs="宋体"/>
          <w:color w:val="auto"/>
          <w:spacing w:val="10"/>
          <w:sz w:val="20"/>
          <w:szCs w:val="20"/>
          <w:highlight w:val="none"/>
        </w:rPr>
        <w:t>根据《政府采购促进中小企业发展管理办法》</w:t>
      </w:r>
      <w:r>
        <w:rPr>
          <w:rFonts w:ascii="宋体" w:hAnsi="宋体" w:eastAsia="宋体" w:cs="宋体"/>
          <w:color w:val="auto"/>
          <w:spacing w:val="-76"/>
          <w:sz w:val="20"/>
          <w:szCs w:val="20"/>
          <w:highlight w:val="none"/>
        </w:rPr>
        <w:t xml:space="preserve"> </w:t>
      </w:r>
      <w:r>
        <w:rPr>
          <w:rFonts w:ascii="宋体" w:hAnsi="宋体" w:eastAsia="宋体" w:cs="宋体"/>
          <w:color w:val="auto"/>
          <w:spacing w:val="10"/>
          <w:sz w:val="20"/>
          <w:szCs w:val="20"/>
          <w:highlight w:val="none"/>
        </w:rPr>
        <w:t>（财库〔2020〕46</w:t>
      </w:r>
      <w:r>
        <w:rPr>
          <w:rFonts w:ascii="宋体" w:hAnsi="宋体" w:eastAsia="宋体" w:cs="宋体"/>
          <w:color w:val="auto"/>
          <w:spacing w:val="-31"/>
          <w:sz w:val="20"/>
          <w:szCs w:val="20"/>
          <w:highlight w:val="none"/>
        </w:rPr>
        <w:t xml:space="preserve"> </w:t>
      </w:r>
      <w:r>
        <w:rPr>
          <w:rFonts w:ascii="宋体" w:hAnsi="宋体" w:eastAsia="宋体" w:cs="宋体"/>
          <w:color w:val="auto"/>
          <w:spacing w:val="10"/>
          <w:sz w:val="20"/>
          <w:szCs w:val="20"/>
          <w:highlight w:val="none"/>
        </w:rPr>
        <w:t>号）及《广西壮族自治区财政厅关于持续优化政府采购营商环境推动高质量发展的通知》（桂财</w:t>
      </w:r>
      <w:r>
        <w:rPr>
          <w:rFonts w:ascii="宋体" w:hAnsi="宋体" w:eastAsia="宋体" w:cs="宋体"/>
          <w:color w:val="auto"/>
          <w:spacing w:val="9"/>
          <w:sz w:val="20"/>
          <w:szCs w:val="20"/>
          <w:highlight w:val="none"/>
        </w:rPr>
        <w:t>采〔2024〕55</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号）</w:t>
      </w:r>
      <w:r>
        <w:rPr>
          <w:rFonts w:ascii="宋体" w:hAnsi="宋体" w:eastAsia="宋体" w:cs="宋体"/>
          <w:color w:val="auto"/>
          <w:spacing w:val="13"/>
          <w:sz w:val="20"/>
          <w:szCs w:val="20"/>
          <w:highlight w:val="none"/>
        </w:rPr>
        <w:t>的规定，接受大中型企业与小微企业组成联合体或者允许</w:t>
      </w:r>
      <w:r>
        <w:rPr>
          <w:rFonts w:ascii="宋体" w:hAnsi="宋体" w:eastAsia="宋体" w:cs="宋体"/>
          <w:color w:val="auto"/>
          <w:spacing w:val="12"/>
          <w:sz w:val="20"/>
          <w:szCs w:val="20"/>
          <w:highlight w:val="none"/>
        </w:rPr>
        <w:t>大中型企业向一家或者多家小微企业</w:t>
      </w:r>
      <w:r>
        <w:rPr>
          <w:rFonts w:ascii="宋体" w:hAnsi="宋体" w:eastAsia="宋体" w:cs="宋体"/>
          <w:color w:val="auto"/>
          <w:spacing w:val="18"/>
          <w:sz w:val="20"/>
          <w:szCs w:val="20"/>
          <w:highlight w:val="none"/>
        </w:rPr>
        <w:t>分包的采购项目，对于联合协议或者分包意向协议约定小微企业的合同份额占到合同</w:t>
      </w:r>
      <w:r>
        <w:rPr>
          <w:rFonts w:ascii="宋体" w:hAnsi="宋体" w:eastAsia="宋体" w:cs="宋体"/>
          <w:color w:val="auto"/>
          <w:spacing w:val="17"/>
          <w:sz w:val="20"/>
          <w:szCs w:val="20"/>
          <w:highlight w:val="none"/>
        </w:rPr>
        <w:t>总金额</w:t>
      </w:r>
      <w:r>
        <w:rPr>
          <w:rFonts w:ascii="宋体" w:hAnsi="宋体" w:eastAsia="宋体" w:cs="宋体"/>
          <w:color w:val="auto"/>
          <w:spacing w:val="10"/>
          <w:sz w:val="20"/>
          <w:szCs w:val="20"/>
          <w:highlight w:val="none"/>
        </w:rPr>
        <w:t>30%以上的，采购人、采购代理机构应当对联合体或者大中型企业的报价给予</w:t>
      </w:r>
      <w:r>
        <w:rPr>
          <w:rFonts w:ascii="宋体" w:hAnsi="宋体" w:eastAsia="宋体" w:cs="宋体"/>
          <w:color w:val="auto"/>
          <w:spacing w:val="-33"/>
          <w:sz w:val="20"/>
          <w:szCs w:val="20"/>
          <w:highlight w:val="none"/>
        </w:rPr>
        <w:t xml:space="preserve"> </w:t>
      </w:r>
      <w:r>
        <w:rPr>
          <w:rFonts w:ascii="宋体" w:hAnsi="宋体" w:eastAsia="宋体" w:cs="宋体"/>
          <w:color w:val="auto"/>
          <w:spacing w:val="10"/>
          <w:sz w:val="20"/>
          <w:szCs w:val="20"/>
          <w:highlight w:val="none"/>
        </w:rPr>
        <w:t>4%-6%的扣除，用</w:t>
      </w:r>
      <w:r>
        <w:rPr>
          <w:rFonts w:ascii="宋体" w:hAnsi="宋体" w:eastAsia="宋体" w:cs="宋体"/>
          <w:color w:val="auto"/>
          <w:spacing w:val="7"/>
          <w:sz w:val="20"/>
          <w:szCs w:val="20"/>
          <w:highlight w:val="none"/>
        </w:rPr>
        <w:t>扣除后的价格参加评审。</w:t>
      </w:r>
    </w:p>
    <w:p w14:paraId="27496A91">
      <w:pPr>
        <w:spacing w:before="2" w:line="222" w:lineRule="auto"/>
        <w:ind w:left="483"/>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6.转包与分包</w:t>
      </w:r>
    </w:p>
    <w:p w14:paraId="515D5305">
      <w:pPr>
        <w:spacing w:before="175" w:line="227" w:lineRule="auto"/>
        <w:ind w:left="422"/>
        <w:outlineLvl w:val="1"/>
        <w:rPr>
          <w:rFonts w:ascii="宋体" w:hAnsi="宋体" w:eastAsia="宋体" w:cs="宋体"/>
          <w:color w:val="auto"/>
          <w:sz w:val="20"/>
          <w:szCs w:val="20"/>
          <w:highlight w:val="none"/>
        </w:rPr>
      </w:pPr>
      <w:bookmarkStart w:id="3" w:name="_Toc6155"/>
      <w:r>
        <w:rPr>
          <w:rFonts w:ascii="宋体" w:hAnsi="宋体" w:eastAsia="宋体" w:cs="宋体"/>
          <w:color w:val="auto"/>
          <w:spacing w:val="6"/>
          <w:sz w:val="20"/>
          <w:szCs w:val="20"/>
          <w:highlight w:val="none"/>
        </w:rPr>
        <w:t>6.1</w:t>
      </w:r>
      <w:r>
        <w:rPr>
          <w:rFonts w:ascii="宋体" w:hAnsi="宋体" w:eastAsia="宋体" w:cs="宋体"/>
          <w:color w:val="auto"/>
          <w:spacing w:val="-38"/>
          <w:sz w:val="20"/>
          <w:szCs w:val="20"/>
          <w:highlight w:val="none"/>
        </w:rPr>
        <w:t xml:space="preserve"> </w:t>
      </w:r>
      <w:r>
        <w:rPr>
          <w:rFonts w:ascii="宋体" w:hAnsi="宋体" w:eastAsia="宋体" w:cs="宋体"/>
          <w:color w:val="auto"/>
          <w:spacing w:val="6"/>
          <w:sz w:val="20"/>
          <w:szCs w:val="20"/>
          <w:highlight w:val="none"/>
        </w:rPr>
        <w:t>本项目不允许转包。</w:t>
      </w:r>
      <w:bookmarkEnd w:id="3"/>
    </w:p>
    <w:p w14:paraId="40A9E746">
      <w:pPr>
        <w:spacing w:before="162" w:line="227" w:lineRule="auto"/>
        <w:ind w:left="422"/>
        <w:outlineLvl w:val="1"/>
        <w:rPr>
          <w:rFonts w:ascii="宋体" w:hAnsi="宋体" w:eastAsia="宋体" w:cs="宋体"/>
          <w:color w:val="auto"/>
          <w:sz w:val="20"/>
          <w:szCs w:val="20"/>
          <w:highlight w:val="none"/>
        </w:rPr>
      </w:pPr>
      <w:bookmarkStart w:id="4" w:name="_Toc22409"/>
      <w:r>
        <w:rPr>
          <w:rFonts w:ascii="宋体" w:hAnsi="宋体" w:eastAsia="宋体" w:cs="宋体"/>
          <w:color w:val="auto"/>
          <w:spacing w:val="12"/>
          <w:sz w:val="20"/>
          <w:szCs w:val="20"/>
          <w:highlight w:val="none"/>
        </w:rPr>
        <w:t>6.2</w:t>
      </w:r>
      <w:r>
        <w:rPr>
          <w:rFonts w:ascii="宋体" w:hAnsi="宋体" w:eastAsia="宋体" w:cs="宋体"/>
          <w:color w:val="auto"/>
          <w:spacing w:val="-17"/>
          <w:sz w:val="20"/>
          <w:szCs w:val="20"/>
          <w:highlight w:val="none"/>
        </w:rPr>
        <w:t xml:space="preserve"> </w:t>
      </w:r>
      <w:r>
        <w:rPr>
          <w:rFonts w:ascii="宋体" w:hAnsi="宋体" w:eastAsia="宋体" w:cs="宋体"/>
          <w:color w:val="auto"/>
          <w:spacing w:val="12"/>
          <w:sz w:val="20"/>
          <w:szCs w:val="20"/>
          <w:highlight w:val="none"/>
        </w:rPr>
        <w:t>本项目是否允许分包详见“供应商须知前附表</w:t>
      </w:r>
      <w:r>
        <w:rPr>
          <w:rFonts w:ascii="宋体" w:hAnsi="宋体" w:eastAsia="宋体" w:cs="宋体"/>
          <w:color w:val="auto"/>
          <w:spacing w:val="-65"/>
          <w:sz w:val="20"/>
          <w:szCs w:val="20"/>
          <w:highlight w:val="none"/>
        </w:rPr>
        <w:t xml:space="preserve"> </w:t>
      </w:r>
      <w:r>
        <w:rPr>
          <w:rFonts w:ascii="宋体" w:hAnsi="宋体" w:eastAsia="宋体" w:cs="宋体"/>
          <w:color w:val="auto"/>
          <w:spacing w:val="12"/>
          <w:sz w:val="20"/>
          <w:szCs w:val="20"/>
          <w:highlight w:val="none"/>
        </w:rPr>
        <w:t>”，本项目不允许违法分包。允许分包</w:t>
      </w:r>
      <w:bookmarkEnd w:id="4"/>
    </w:p>
    <w:p w14:paraId="7C40FE65">
      <w:pPr>
        <w:spacing w:before="163" w:line="377" w:lineRule="auto"/>
        <w:ind w:left="5" w:right="37" w:firstLine="12"/>
        <w:jc w:val="both"/>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的非主体、非关键性工作，根据法律法规规定承担该工作需要行政许可的，如该工作由供应商</w:t>
      </w:r>
      <w:r>
        <w:rPr>
          <w:rFonts w:ascii="宋体" w:hAnsi="宋体" w:eastAsia="宋体" w:cs="宋体"/>
          <w:color w:val="auto"/>
          <w:spacing w:val="13"/>
          <w:sz w:val="20"/>
          <w:szCs w:val="20"/>
          <w:highlight w:val="none"/>
        </w:rPr>
        <w:t>自行承担，供应商应具备相应的行政许可，如供应商</w:t>
      </w:r>
      <w:r>
        <w:rPr>
          <w:rFonts w:ascii="宋体" w:hAnsi="宋体" w:eastAsia="宋体" w:cs="宋体"/>
          <w:color w:val="auto"/>
          <w:spacing w:val="12"/>
          <w:sz w:val="20"/>
          <w:szCs w:val="20"/>
          <w:highlight w:val="none"/>
        </w:rPr>
        <w:t>不具备相应的行政许可必须采用分包的方</w:t>
      </w:r>
      <w:r>
        <w:rPr>
          <w:rFonts w:ascii="宋体" w:hAnsi="宋体" w:eastAsia="宋体" w:cs="宋体"/>
          <w:color w:val="auto"/>
          <w:spacing w:val="8"/>
          <w:sz w:val="20"/>
          <w:szCs w:val="20"/>
          <w:highlight w:val="none"/>
        </w:rPr>
        <w:t>式，但分包供应商应具备相应行政许可。</w:t>
      </w:r>
    </w:p>
    <w:p w14:paraId="3057B2E2">
      <w:pPr>
        <w:spacing w:line="227" w:lineRule="auto"/>
        <w:ind w:right="10"/>
        <w:jc w:val="right"/>
        <w:outlineLvl w:val="1"/>
        <w:rPr>
          <w:rFonts w:ascii="宋体" w:hAnsi="宋体" w:eastAsia="宋体" w:cs="宋体"/>
          <w:color w:val="auto"/>
          <w:sz w:val="20"/>
          <w:szCs w:val="20"/>
          <w:highlight w:val="none"/>
        </w:rPr>
      </w:pPr>
      <w:bookmarkStart w:id="5" w:name="_Toc8811"/>
      <w:r>
        <w:rPr>
          <w:rFonts w:ascii="宋体" w:hAnsi="宋体" w:eastAsia="宋体" w:cs="宋体"/>
          <w:color w:val="auto"/>
          <w:spacing w:val="9"/>
          <w:sz w:val="20"/>
          <w:szCs w:val="20"/>
          <w:highlight w:val="none"/>
        </w:rPr>
        <w:t>6.3</w:t>
      </w:r>
      <w:r>
        <w:rPr>
          <w:rFonts w:ascii="宋体" w:hAnsi="宋体" w:eastAsia="宋体" w:cs="宋体"/>
          <w:color w:val="auto"/>
          <w:spacing w:val="-40"/>
          <w:sz w:val="20"/>
          <w:szCs w:val="20"/>
          <w:highlight w:val="none"/>
        </w:rPr>
        <w:t xml:space="preserve"> </w:t>
      </w:r>
      <w:r>
        <w:rPr>
          <w:rFonts w:ascii="宋体" w:hAnsi="宋体" w:eastAsia="宋体" w:cs="宋体"/>
          <w:color w:val="auto"/>
          <w:spacing w:val="9"/>
          <w:sz w:val="20"/>
          <w:szCs w:val="20"/>
          <w:highlight w:val="none"/>
        </w:rPr>
        <w:t>供应商根据谈判文件的规定和采购项目的实际情况，拟在成交后将成交项目的</w:t>
      </w:r>
      <w:r>
        <w:rPr>
          <w:rFonts w:ascii="宋体" w:hAnsi="宋体" w:eastAsia="宋体" w:cs="宋体"/>
          <w:color w:val="auto"/>
          <w:spacing w:val="8"/>
          <w:sz w:val="20"/>
          <w:szCs w:val="20"/>
          <w:highlight w:val="none"/>
        </w:rPr>
        <w:t>非主体、</w:t>
      </w:r>
      <w:bookmarkEnd w:id="5"/>
    </w:p>
    <w:p w14:paraId="3F4642B8">
      <w:pPr>
        <w:spacing w:before="163" w:line="378" w:lineRule="auto"/>
        <w:ind w:left="2" w:right="37" w:firstLine="1"/>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非关键性工作分包的，应当在响应文件中载明分包承担</w:t>
      </w:r>
      <w:r>
        <w:rPr>
          <w:rFonts w:ascii="宋体" w:hAnsi="宋体" w:eastAsia="宋体" w:cs="宋体"/>
          <w:color w:val="auto"/>
          <w:spacing w:val="12"/>
          <w:sz w:val="20"/>
          <w:szCs w:val="20"/>
          <w:highlight w:val="none"/>
        </w:rPr>
        <w:t>主体，分包承担主体应当具备相应资质</w:t>
      </w:r>
      <w:r>
        <w:rPr>
          <w:rFonts w:ascii="宋体" w:hAnsi="宋体" w:eastAsia="宋体" w:cs="宋体"/>
          <w:color w:val="auto"/>
          <w:spacing w:val="7"/>
          <w:sz w:val="20"/>
          <w:szCs w:val="20"/>
          <w:highlight w:val="none"/>
        </w:rPr>
        <w:t>条件且不得再次分包。</w:t>
      </w:r>
    </w:p>
    <w:p w14:paraId="6FAFAD5D">
      <w:pPr>
        <w:spacing w:before="3" w:line="221" w:lineRule="auto"/>
        <w:ind w:left="485"/>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7.特别说明</w:t>
      </w:r>
    </w:p>
    <w:p w14:paraId="3446BB7B">
      <w:pPr>
        <w:spacing w:before="175" w:line="377" w:lineRule="auto"/>
        <w:ind w:right="37" w:firstLine="425"/>
        <w:jc w:val="both"/>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7.1</w:t>
      </w:r>
      <w:r>
        <w:rPr>
          <w:rFonts w:ascii="宋体" w:hAnsi="宋体" w:eastAsia="宋体" w:cs="宋体"/>
          <w:color w:val="auto"/>
          <w:spacing w:val="-29"/>
          <w:sz w:val="20"/>
          <w:szCs w:val="20"/>
          <w:highlight w:val="none"/>
        </w:rPr>
        <w:t xml:space="preserve"> </w:t>
      </w:r>
      <w:r>
        <w:rPr>
          <w:rFonts w:ascii="宋体" w:hAnsi="宋体" w:eastAsia="宋体" w:cs="宋体"/>
          <w:color w:val="auto"/>
          <w:spacing w:val="12"/>
          <w:sz w:val="20"/>
          <w:szCs w:val="20"/>
          <w:highlight w:val="none"/>
        </w:rPr>
        <w:t>提供相同品牌产品的不同供应商参加同一合同项下竞标的，</w:t>
      </w:r>
      <w:r>
        <w:rPr>
          <w:rFonts w:ascii="宋体" w:hAnsi="宋体" w:eastAsia="宋体" w:cs="宋体"/>
          <w:color w:val="auto"/>
          <w:spacing w:val="-57"/>
          <w:sz w:val="20"/>
          <w:szCs w:val="20"/>
          <w:highlight w:val="none"/>
        </w:rPr>
        <w:t xml:space="preserve"> </w:t>
      </w:r>
      <w:r>
        <w:rPr>
          <w:rFonts w:ascii="宋体" w:hAnsi="宋体" w:eastAsia="宋体" w:cs="宋体"/>
          <w:color w:val="auto"/>
          <w:spacing w:val="12"/>
          <w:sz w:val="20"/>
          <w:szCs w:val="20"/>
          <w:highlight w:val="none"/>
        </w:rPr>
        <w:t>以其中通过资格审查、符合性审查、谈判且最后报价最低的参加报价评审；最后报价相</w:t>
      </w:r>
      <w:r>
        <w:rPr>
          <w:rFonts w:ascii="宋体" w:hAnsi="宋体" w:eastAsia="宋体" w:cs="宋体"/>
          <w:color w:val="auto"/>
          <w:spacing w:val="11"/>
          <w:sz w:val="20"/>
          <w:szCs w:val="20"/>
          <w:highlight w:val="none"/>
        </w:rPr>
        <w:t>同的，</w:t>
      </w:r>
      <w:r>
        <w:rPr>
          <w:rFonts w:ascii="宋体" w:hAnsi="宋体" w:eastAsia="宋体" w:cs="宋体"/>
          <w:color w:val="auto"/>
          <w:spacing w:val="-58"/>
          <w:sz w:val="20"/>
          <w:szCs w:val="20"/>
          <w:highlight w:val="none"/>
        </w:rPr>
        <w:t xml:space="preserve"> </w:t>
      </w:r>
      <w:r>
        <w:rPr>
          <w:rFonts w:ascii="宋体" w:hAnsi="宋体" w:eastAsia="宋体" w:cs="宋体"/>
          <w:color w:val="auto"/>
          <w:spacing w:val="11"/>
          <w:sz w:val="20"/>
          <w:szCs w:val="20"/>
          <w:highlight w:val="none"/>
        </w:rPr>
        <w:t>由采购人或者采购人委托</w:t>
      </w:r>
      <w:r>
        <w:rPr>
          <w:rFonts w:ascii="宋体" w:hAnsi="宋体" w:eastAsia="宋体" w:cs="宋体"/>
          <w:color w:val="auto"/>
          <w:spacing w:val="12"/>
          <w:sz w:val="20"/>
          <w:szCs w:val="20"/>
          <w:highlight w:val="none"/>
        </w:rPr>
        <w:t>谈判小组按照“供应商须知前附表</w:t>
      </w:r>
      <w:r>
        <w:rPr>
          <w:rFonts w:ascii="宋体" w:hAnsi="宋体" w:eastAsia="宋体" w:cs="宋体"/>
          <w:color w:val="auto"/>
          <w:spacing w:val="-68"/>
          <w:sz w:val="20"/>
          <w:szCs w:val="20"/>
          <w:highlight w:val="none"/>
        </w:rPr>
        <w:t xml:space="preserve"> </w:t>
      </w:r>
      <w:r>
        <w:rPr>
          <w:rFonts w:ascii="宋体" w:hAnsi="宋体" w:eastAsia="宋体" w:cs="宋体"/>
          <w:color w:val="auto"/>
          <w:spacing w:val="12"/>
          <w:sz w:val="20"/>
          <w:szCs w:val="20"/>
          <w:highlight w:val="none"/>
        </w:rPr>
        <w:t>”规定的方式确定一个供应商获得成交人推荐资格</w:t>
      </w:r>
      <w:r>
        <w:rPr>
          <w:rFonts w:ascii="宋体" w:hAnsi="宋体" w:eastAsia="宋体" w:cs="宋体"/>
          <w:color w:val="auto"/>
          <w:spacing w:val="11"/>
          <w:sz w:val="20"/>
          <w:szCs w:val="20"/>
          <w:highlight w:val="none"/>
        </w:rPr>
        <w:t>，其他响</w:t>
      </w:r>
      <w:r>
        <w:rPr>
          <w:rFonts w:ascii="宋体" w:hAnsi="宋体" w:eastAsia="宋体" w:cs="宋体"/>
          <w:color w:val="auto"/>
          <w:spacing w:val="7"/>
          <w:sz w:val="20"/>
          <w:szCs w:val="20"/>
          <w:highlight w:val="none"/>
        </w:rPr>
        <w:t>应文件按无效处理。</w:t>
      </w:r>
    </w:p>
    <w:p w14:paraId="4A0AEE15">
      <w:pPr>
        <w:spacing w:before="1" w:line="226" w:lineRule="auto"/>
        <w:ind w:left="42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非单一产品采购项目，多家供应商提供的核心产品品牌相同的，按前款规定处理。</w:t>
      </w:r>
    </w:p>
    <w:p w14:paraId="647005A4">
      <w:pPr>
        <w:spacing w:before="162" w:line="378" w:lineRule="auto"/>
        <w:ind w:right="37" w:firstLine="425"/>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7.2</w:t>
      </w:r>
      <w:r>
        <w:rPr>
          <w:rFonts w:ascii="宋体" w:hAnsi="宋体" w:eastAsia="宋体" w:cs="宋体"/>
          <w:color w:val="auto"/>
          <w:spacing w:val="-26"/>
          <w:sz w:val="20"/>
          <w:szCs w:val="20"/>
          <w:highlight w:val="none"/>
        </w:rPr>
        <w:t xml:space="preserve"> </w:t>
      </w:r>
      <w:r>
        <w:rPr>
          <w:rFonts w:ascii="宋体" w:hAnsi="宋体" w:eastAsia="宋体" w:cs="宋体"/>
          <w:color w:val="auto"/>
          <w:spacing w:val="13"/>
          <w:sz w:val="20"/>
          <w:szCs w:val="20"/>
          <w:highlight w:val="none"/>
        </w:rPr>
        <w:t>如果本谈判文件要求提供供应商或制造商的资格、信誉、荣誉、业绩与企业认证等材</w:t>
      </w:r>
      <w:r>
        <w:rPr>
          <w:rFonts w:ascii="宋体" w:hAnsi="宋体" w:eastAsia="宋体" w:cs="宋体"/>
          <w:color w:val="auto"/>
          <w:spacing w:val="9"/>
          <w:sz w:val="20"/>
          <w:szCs w:val="20"/>
          <w:highlight w:val="none"/>
        </w:rPr>
        <w:t>料的，资格、信誉、荣誉、业绩与企业认证等必须为供应商或者制造商所拥有或自身获得 。</w:t>
      </w:r>
    </w:p>
    <w:p w14:paraId="484BEB45">
      <w:pPr>
        <w:spacing w:before="1" w:line="376" w:lineRule="auto"/>
        <w:ind w:left="1" w:right="37" w:firstLine="424"/>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7.3</w:t>
      </w:r>
      <w:r>
        <w:rPr>
          <w:rFonts w:ascii="宋体" w:hAnsi="宋体" w:eastAsia="宋体" w:cs="宋体"/>
          <w:color w:val="auto"/>
          <w:spacing w:val="-26"/>
          <w:sz w:val="20"/>
          <w:szCs w:val="20"/>
          <w:highlight w:val="none"/>
        </w:rPr>
        <w:t xml:space="preserve"> </w:t>
      </w:r>
      <w:r>
        <w:rPr>
          <w:rFonts w:ascii="宋体" w:hAnsi="宋体" w:eastAsia="宋体" w:cs="宋体"/>
          <w:color w:val="auto"/>
          <w:spacing w:val="13"/>
          <w:sz w:val="20"/>
          <w:szCs w:val="20"/>
          <w:highlight w:val="none"/>
        </w:rPr>
        <w:t>供应商应仔细阅读谈判文件的所有内容，按照谈判文件的要求提交响应文件，并对所</w:t>
      </w:r>
      <w:r>
        <w:rPr>
          <w:rFonts w:ascii="宋体" w:hAnsi="宋体" w:eastAsia="宋体" w:cs="宋体"/>
          <w:color w:val="auto"/>
          <w:spacing w:val="8"/>
          <w:sz w:val="20"/>
          <w:szCs w:val="20"/>
          <w:highlight w:val="none"/>
        </w:rPr>
        <w:t>提供的全部资料的真实性承担法律责任。</w:t>
      </w:r>
    </w:p>
    <w:p w14:paraId="5D629CDA">
      <w:pPr>
        <w:spacing w:before="1" w:line="377" w:lineRule="auto"/>
        <w:ind w:firstLine="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7.4</w:t>
      </w:r>
      <w:r>
        <w:rPr>
          <w:rFonts w:ascii="宋体" w:hAnsi="宋体" w:eastAsia="宋体" w:cs="宋体"/>
          <w:color w:val="auto"/>
          <w:spacing w:val="-40"/>
          <w:sz w:val="20"/>
          <w:szCs w:val="20"/>
          <w:highlight w:val="none"/>
        </w:rPr>
        <w:t xml:space="preserve"> </w:t>
      </w:r>
      <w:r>
        <w:rPr>
          <w:rFonts w:ascii="宋体" w:hAnsi="宋体" w:eastAsia="宋体" w:cs="宋体"/>
          <w:b/>
          <w:bCs/>
          <w:color w:val="auto"/>
          <w:spacing w:val="8"/>
          <w:sz w:val="20"/>
          <w:szCs w:val="20"/>
          <w:highlight w:val="none"/>
        </w:rPr>
        <w:t>供应商在竞标活动中提供任何虚假材料，其响应</w:t>
      </w:r>
      <w:r>
        <w:rPr>
          <w:rFonts w:ascii="宋体" w:hAnsi="宋体" w:eastAsia="宋体" w:cs="宋体"/>
          <w:b/>
          <w:bCs/>
          <w:color w:val="auto"/>
          <w:spacing w:val="7"/>
          <w:sz w:val="20"/>
          <w:szCs w:val="20"/>
          <w:highlight w:val="none"/>
        </w:rPr>
        <w:t>文件按无效处理，</w:t>
      </w:r>
      <w:r>
        <w:rPr>
          <w:rFonts w:ascii="宋体" w:hAnsi="宋体" w:eastAsia="宋体" w:cs="宋体"/>
          <w:color w:val="auto"/>
          <w:spacing w:val="7"/>
          <w:sz w:val="20"/>
          <w:szCs w:val="20"/>
          <w:highlight w:val="none"/>
        </w:rPr>
        <w:t>并报监管部门查处；</w:t>
      </w:r>
      <w:r>
        <w:rPr>
          <w:rFonts w:ascii="宋体" w:hAnsi="宋体" w:eastAsia="宋体" w:cs="宋体"/>
          <w:color w:val="auto"/>
          <w:spacing w:val="9"/>
          <w:sz w:val="20"/>
          <w:szCs w:val="20"/>
          <w:highlight w:val="none"/>
        </w:rPr>
        <w:t>签订合同后发现的，成交供应商须依照《中华人</w:t>
      </w:r>
      <w:r>
        <w:rPr>
          <w:rFonts w:ascii="宋体" w:hAnsi="宋体" w:eastAsia="宋体" w:cs="宋体"/>
          <w:color w:val="auto"/>
          <w:spacing w:val="8"/>
          <w:sz w:val="20"/>
          <w:szCs w:val="20"/>
          <w:highlight w:val="none"/>
        </w:rPr>
        <w:t>民共和国消费者权益保护法》规定赔偿采购人，</w:t>
      </w:r>
      <w:r>
        <w:rPr>
          <w:rFonts w:ascii="宋体" w:hAnsi="宋体" w:eastAsia="宋体" w:cs="宋体"/>
          <w:color w:val="auto"/>
          <w:spacing w:val="9"/>
          <w:sz w:val="20"/>
          <w:szCs w:val="20"/>
          <w:highlight w:val="none"/>
        </w:rPr>
        <w:t>且民事赔偿并不免除违法供应商的行政与刑事责任。</w:t>
      </w:r>
    </w:p>
    <w:p w14:paraId="16CC1934">
      <w:pPr>
        <w:spacing w:line="227" w:lineRule="auto"/>
        <w:jc w:val="right"/>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7.5</w:t>
      </w:r>
      <w:r>
        <w:rPr>
          <w:rFonts w:ascii="宋体" w:hAnsi="宋体" w:eastAsia="宋体" w:cs="宋体"/>
          <w:color w:val="auto"/>
          <w:spacing w:val="-41"/>
          <w:sz w:val="20"/>
          <w:szCs w:val="20"/>
          <w:highlight w:val="none"/>
        </w:rPr>
        <w:t xml:space="preserve"> </w:t>
      </w:r>
      <w:r>
        <w:rPr>
          <w:rFonts w:ascii="宋体" w:hAnsi="宋体" w:eastAsia="宋体" w:cs="宋体"/>
          <w:b/>
          <w:bCs/>
          <w:color w:val="auto"/>
          <w:spacing w:val="7"/>
          <w:sz w:val="20"/>
          <w:szCs w:val="20"/>
          <w:highlight w:val="none"/>
        </w:rPr>
        <w:t>在政府采购活动中，采购人员及相关人</w:t>
      </w:r>
      <w:r>
        <w:rPr>
          <w:rFonts w:ascii="宋体" w:hAnsi="宋体" w:eastAsia="宋体" w:cs="宋体"/>
          <w:b/>
          <w:bCs/>
          <w:color w:val="auto"/>
          <w:spacing w:val="6"/>
          <w:sz w:val="20"/>
          <w:szCs w:val="20"/>
          <w:highlight w:val="none"/>
        </w:rPr>
        <w:t>员与供应商有下列利害关系之一的，应当回避：</w:t>
      </w:r>
    </w:p>
    <w:p w14:paraId="2654F8E3">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（1）参加采购活动前</w:t>
      </w:r>
      <w:r>
        <w:rPr>
          <w:rFonts w:ascii="宋体" w:hAnsi="宋体" w:eastAsia="宋体" w:cs="宋体"/>
          <w:color w:val="auto"/>
          <w:spacing w:val="-27"/>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年内与供应商存在劳动关系；</w:t>
      </w:r>
    </w:p>
    <w:p w14:paraId="23805686">
      <w:pPr>
        <w:spacing w:line="227" w:lineRule="auto"/>
        <w:rPr>
          <w:rFonts w:ascii="宋体" w:hAnsi="宋体" w:eastAsia="宋体" w:cs="宋体"/>
          <w:color w:val="auto"/>
          <w:sz w:val="20"/>
          <w:szCs w:val="20"/>
          <w:highlight w:val="none"/>
        </w:rPr>
        <w:sectPr>
          <w:footerReference r:id="rId17" w:type="default"/>
          <w:pgSz w:w="11910" w:h="16840"/>
          <w:pgMar w:top="1330" w:right="1463" w:bottom="1091" w:left="1687" w:header="0" w:footer="929" w:gutter="0"/>
          <w:pgNumType w:fmt="decimal"/>
          <w:cols w:space="720" w:num="1"/>
        </w:sectPr>
      </w:pPr>
    </w:p>
    <w:p w14:paraId="72075C52">
      <w:pPr>
        <w:spacing w:before="41" w:line="227"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（2）参加采购活动前</w:t>
      </w:r>
      <w:r>
        <w:rPr>
          <w:rFonts w:ascii="宋体" w:hAnsi="宋体" w:eastAsia="宋体" w:cs="宋体"/>
          <w:color w:val="auto"/>
          <w:spacing w:val="-23"/>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年内担任供应商的董事、监事；</w:t>
      </w:r>
    </w:p>
    <w:p w14:paraId="7A348ACA">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（3）参加采购活动前</w:t>
      </w:r>
      <w:r>
        <w:rPr>
          <w:rFonts w:ascii="宋体" w:hAnsi="宋体" w:eastAsia="宋体" w:cs="宋体"/>
          <w:color w:val="auto"/>
          <w:spacing w:val="-32"/>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年内是供应商的控股股东或</w:t>
      </w:r>
      <w:r>
        <w:rPr>
          <w:rFonts w:ascii="宋体" w:hAnsi="宋体" w:eastAsia="宋体" w:cs="宋体"/>
          <w:color w:val="auto"/>
          <w:spacing w:val="7"/>
          <w:sz w:val="20"/>
          <w:szCs w:val="20"/>
          <w:highlight w:val="none"/>
        </w:rPr>
        <w:t>者实际控制人；</w:t>
      </w:r>
    </w:p>
    <w:p w14:paraId="5A96DAF2">
      <w:pPr>
        <w:spacing w:before="161" w:line="378" w:lineRule="auto"/>
        <w:ind w:left="4" w:right="40" w:firstLine="426"/>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（4）与供应商的法定代表人或者负责人有夫妻、直系血亲</w:t>
      </w:r>
      <w:r>
        <w:rPr>
          <w:rFonts w:ascii="宋体" w:hAnsi="宋体" w:eastAsia="宋体" w:cs="宋体"/>
          <w:color w:val="auto"/>
          <w:spacing w:val="9"/>
          <w:sz w:val="20"/>
          <w:szCs w:val="20"/>
          <w:highlight w:val="none"/>
        </w:rPr>
        <w:t>、三代以内旁系血亲或者近姻亲</w:t>
      </w:r>
      <w:r>
        <w:rPr>
          <w:rFonts w:ascii="宋体" w:hAnsi="宋体" w:eastAsia="宋体" w:cs="宋体"/>
          <w:color w:val="auto"/>
          <w:spacing w:val="2"/>
          <w:sz w:val="20"/>
          <w:szCs w:val="20"/>
          <w:highlight w:val="none"/>
        </w:rPr>
        <w:t>关系；</w:t>
      </w:r>
    </w:p>
    <w:p w14:paraId="4796BE04">
      <w:pPr>
        <w:spacing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（5）与供应商有其他可能影响政府采购活动公平、公</w:t>
      </w:r>
      <w:r>
        <w:rPr>
          <w:rFonts w:ascii="宋体" w:hAnsi="宋体" w:eastAsia="宋体" w:cs="宋体"/>
          <w:color w:val="auto"/>
          <w:spacing w:val="8"/>
          <w:sz w:val="20"/>
          <w:szCs w:val="20"/>
          <w:highlight w:val="none"/>
        </w:rPr>
        <w:t>正进行的关系。</w:t>
      </w:r>
    </w:p>
    <w:p w14:paraId="6B21C21B">
      <w:pPr>
        <w:spacing w:before="161" w:line="377" w:lineRule="auto"/>
        <w:ind w:firstLine="420"/>
        <w:jc w:val="both"/>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供应商认为采购人员及相关人员与其他供应商有利害关系的，可以向采</w:t>
      </w:r>
      <w:r>
        <w:rPr>
          <w:rFonts w:ascii="宋体" w:hAnsi="宋体" w:eastAsia="宋体" w:cs="宋体"/>
          <w:color w:val="auto"/>
          <w:spacing w:val="12"/>
          <w:sz w:val="20"/>
          <w:szCs w:val="20"/>
          <w:highlight w:val="none"/>
        </w:rPr>
        <w:t>购人或者采购代理</w:t>
      </w:r>
      <w:r>
        <w:rPr>
          <w:rFonts w:ascii="宋体" w:hAnsi="宋体" w:eastAsia="宋体" w:cs="宋体"/>
          <w:color w:val="auto"/>
          <w:spacing w:val="9"/>
          <w:sz w:val="20"/>
          <w:szCs w:val="20"/>
          <w:highlight w:val="none"/>
        </w:rPr>
        <w:t>机构书面提出回避申请，并说明理由。采购人或者</w:t>
      </w:r>
      <w:r>
        <w:rPr>
          <w:rFonts w:ascii="宋体" w:hAnsi="宋体" w:eastAsia="宋体" w:cs="宋体"/>
          <w:color w:val="auto"/>
          <w:spacing w:val="8"/>
          <w:sz w:val="20"/>
          <w:szCs w:val="20"/>
          <w:highlight w:val="none"/>
        </w:rPr>
        <w:t>采购代理机构应当及时询问被申请回避人员，有利害关系的被申请回避人员应当回避。</w:t>
      </w:r>
    </w:p>
    <w:p w14:paraId="04599169">
      <w:pPr>
        <w:spacing w:before="1" w:line="226" w:lineRule="auto"/>
        <w:ind w:left="428"/>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7.6</w:t>
      </w:r>
      <w:r>
        <w:rPr>
          <w:rFonts w:ascii="宋体" w:hAnsi="宋体" w:eastAsia="宋体" w:cs="宋体"/>
          <w:color w:val="auto"/>
          <w:spacing w:val="-33"/>
          <w:sz w:val="20"/>
          <w:szCs w:val="20"/>
          <w:highlight w:val="none"/>
        </w:rPr>
        <w:t xml:space="preserve"> </w:t>
      </w:r>
      <w:r>
        <w:rPr>
          <w:rFonts w:ascii="宋体" w:hAnsi="宋体" w:eastAsia="宋体" w:cs="宋体"/>
          <w:b/>
          <w:bCs/>
          <w:color w:val="auto"/>
          <w:spacing w:val="7"/>
          <w:sz w:val="20"/>
          <w:szCs w:val="20"/>
          <w:highlight w:val="none"/>
        </w:rPr>
        <w:t>有下列情形之一的视为供应商相互串通竞标，响应文件将被视为无效：</w:t>
      </w:r>
    </w:p>
    <w:p w14:paraId="258390B9">
      <w:pPr>
        <w:spacing w:before="161" w:line="378" w:lineRule="auto"/>
        <w:ind w:left="17" w:right="39" w:firstLine="413"/>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（1）不同供应商的响应文件由同一单位或者个人编制；或不同供</w:t>
      </w:r>
      <w:r>
        <w:rPr>
          <w:rFonts w:ascii="宋体" w:hAnsi="宋体" w:eastAsia="宋体" w:cs="宋体"/>
          <w:color w:val="auto"/>
          <w:spacing w:val="11"/>
          <w:sz w:val="20"/>
          <w:szCs w:val="20"/>
          <w:highlight w:val="none"/>
        </w:rPr>
        <w:t>应商报名的</w:t>
      </w:r>
      <w:r>
        <w:rPr>
          <w:rFonts w:ascii="宋体" w:hAnsi="宋体" w:eastAsia="宋体" w:cs="宋体"/>
          <w:color w:val="auto"/>
          <w:spacing w:val="-25"/>
          <w:sz w:val="20"/>
          <w:szCs w:val="20"/>
          <w:highlight w:val="none"/>
        </w:rPr>
        <w:t xml:space="preserve"> </w:t>
      </w:r>
      <w:r>
        <w:rPr>
          <w:rFonts w:ascii="宋体" w:hAnsi="宋体" w:eastAsia="宋体" w:cs="宋体"/>
          <w:color w:val="auto"/>
          <w:sz w:val="20"/>
          <w:szCs w:val="20"/>
          <w:highlight w:val="none"/>
        </w:rPr>
        <w:t>IP</w:t>
      </w:r>
      <w:r>
        <w:rPr>
          <w:rFonts w:ascii="宋体" w:hAnsi="宋体" w:eastAsia="宋体" w:cs="宋体"/>
          <w:color w:val="auto"/>
          <w:spacing w:val="-35"/>
          <w:sz w:val="20"/>
          <w:szCs w:val="20"/>
          <w:highlight w:val="none"/>
        </w:rPr>
        <w:t xml:space="preserve"> </w:t>
      </w:r>
      <w:r>
        <w:rPr>
          <w:rFonts w:ascii="宋体" w:hAnsi="宋体" w:eastAsia="宋体" w:cs="宋体"/>
          <w:color w:val="auto"/>
          <w:spacing w:val="11"/>
          <w:sz w:val="20"/>
          <w:szCs w:val="20"/>
          <w:highlight w:val="none"/>
        </w:rPr>
        <w:t>地址一致</w:t>
      </w:r>
      <w:r>
        <w:rPr>
          <w:rFonts w:ascii="宋体" w:hAnsi="宋体" w:eastAsia="宋体" w:cs="宋体"/>
          <w:color w:val="auto"/>
          <w:spacing w:val="-9"/>
          <w:sz w:val="20"/>
          <w:szCs w:val="20"/>
          <w:highlight w:val="none"/>
        </w:rPr>
        <w:t>的；</w:t>
      </w:r>
    </w:p>
    <w:p w14:paraId="7B3D33DF">
      <w:pPr>
        <w:spacing w:before="1" w:line="226"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（2）不同供应商委托同一单位或者个人办理竞标事宜；</w:t>
      </w:r>
    </w:p>
    <w:p w14:paraId="47CDA156">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（3）不同的供应商的响应文件载明的项目</w:t>
      </w:r>
      <w:r>
        <w:rPr>
          <w:rFonts w:ascii="宋体" w:hAnsi="宋体" w:eastAsia="宋体" w:cs="宋体"/>
          <w:color w:val="auto"/>
          <w:spacing w:val="8"/>
          <w:sz w:val="20"/>
          <w:szCs w:val="20"/>
          <w:highlight w:val="none"/>
        </w:rPr>
        <w:t>管理员为同一个人；</w:t>
      </w:r>
    </w:p>
    <w:p w14:paraId="6DE47E7B">
      <w:pPr>
        <w:spacing w:before="163"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（4）不同供应商的响应文件异常一致或者</w:t>
      </w:r>
      <w:r>
        <w:rPr>
          <w:rFonts w:ascii="宋体" w:hAnsi="宋体" w:eastAsia="宋体" w:cs="宋体"/>
          <w:color w:val="auto"/>
          <w:spacing w:val="8"/>
          <w:sz w:val="20"/>
          <w:szCs w:val="20"/>
          <w:highlight w:val="none"/>
        </w:rPr>
        <w:t>报价呈规律性差异；</w:t>
      </w:r>
    </w:p>
    <w:p w14:paraId="5621D662">
      <w:pPr>
        <w:spacing w:before="165"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（5）不同供应商的响应文件相互混装；</w:t>
      </w:r>
    </w:p>
    <w:p w14:paraId="4EA009D9">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（6）不同供应商的竞标保证金从同一单位</w:t>
      </w:r>
      <w:r>
        <w:rPr>
          <w:rFonts w:ascii="宋体" w:hAnsi="宋体" w:eastAsia="宋体" w:cs="宋体"/>
          <w:color w:val="auto"/>
          <w:spacing w:val="8"/>
          <w:sz w:val="20"/>
          <w:szCs w:val="20"/>
          <w:highlight w:val="none"/>
        </w:rPr>
        <w:t>或者个人账户转出。</w:t>
      </w:r>
    </w:p>
    <w:p w14:paraId="48ACDE85">
      <w:pPr>
        <w:spacing w:before="162" w:line="227" w:lineRule="auto"/>
        <w:ind w:left="428"/>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7.7</w:t>
      </w:r>
      <w:r>
        <w:rPr>
          <w:rFonts w:ascii="宋体" w:hAnsi="宋体" w:eastAsia="宋体" w:cs="宋体"/>
          <w:color w:val="auto"/>
          <w:spacing w:val="-31"/>
          <w:sz w:val="20"/>
          <w:szCs w:val="20"/>
          <w:highlight w:val="none"/>
        </w:rPr>
        <w:t xml:space="preserve"> </w:t>
      </w:r>
      <w:r>
        <w:rPr>
          <w:rFonts w:ascii="宋体" w:hAnsi="宋体" w:eastAsia="宋体" w:cs="宋体"/>
          <w:b/>
          <w:bCs/>
          <w:color w:val="auto"/>
          <w:spacing w:val="7"/>
          <w:sz w:val="20"/>
          <w:szCs w:val="20"/>
          <w:highlight w:val="none"/>
        </w:rPr>
        <w:t>供应商有下列情形之一的，属于恶意串通行为，将报同级监督管理部门：</w:t>
      </w:r>
    </w:p>
    <w:p w14:paraId="1EAD072E">
      <w:pPr>
        <w:spacing w:before="162" w:line="378" w:lineRule="auto"/>
        <w:ind w:left="1" w:right="40" w:firstLine="429"/>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（1）供应商直接或者间接从采购人或者采购代理机构处获</w:t>
      </w:r>
      <w:r>
        <w:rPr>
          <w:rFonts w:ascii="宋体" w:hAnsi="宋体" w:eastAsia="宋体" w:cs="宋体"/>
          <w:color w:val="auto"/>
          <w:spacing w:val="9"/>
          <w:sz w:val="20"/>
          <w:szCs w:val="20"/>
          <w:highlight w:val="none"/>
        </w:rPr>
        <w:t>得其他供应商的相关信息并修改</w:t>
      </w:r>
      <w:r>
        <w:rPr>
          <w:rFonts w:ascii="宋体" w:hAnsi="宋体" w:eastAsia="宋体" w:cs="宋体"/>
          <w:color w:val="auto"/>
          <w:spacing w:val="6"/>
          <w:sz w:val="20"/>
          <w:szCs w:val="20"/>
          <w:highlight w:val="none"/>
        </w:rPr>
        <w:t>其响应文件；</w:t>
      </w:r>
    </w:p>
    <w:p w14:paraId="76DBE8A4">
      <w:pPr>
        <w:spacing w:before="1"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（2）供应商按照采购人或者采购代理机构的授意撤换、修改</w:t>
      </w:r>
      <w:r>
        <w:rPr>
          <w:rFonts w:ascii="宋体" w:hAnsi="宋体" w:eastAsia="宋体" w:cs="宋体"/>
          <w:color w:val="auto"/>
          <w:spacing w:val="8"/>
          <w:sz w:val="20"/>
          <w:szCs w:val="20"/>
          <w:highlight w:val="none"/>
        </w:rPr>
        <w:t>响应文件；</w:t>
      </w:r>
    </w:p>
    <w:p w14:paraId="3A586ECC">
      <w:pPr>
        <w:spacing w:before="162"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（3）供应商之间协商报价、技术方案等响应文件或者响应文件的实质性</w:t>
      </w:r>
      <w:r>
        <w:rPr>
          <w:rFonts w:ascii="宋体" w:hAnsi="宋体" w:eastAsia="宋体" w:cs="宋体"/>
          <w:color w:val="auto"/>
          <w:spacing w:val="8"/>
          <w:sz w:val="20"/>
          <w:szCs w:val="20"/>
          <w:highlight w:val="none"/>
        </w:rPr>
        <w:t>内容；</w:t>
      </w:r>
    </w:p>
    <w:p w14:paraId="0B64DBB0">
      <w:pPr>
        <w:spacing w:before="162" w:line="377" w:lineRule="auto"/>
        <w:ind w:left="1" w:right="40" w:firstLine="429"/>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（4）属于同一集团、协会、商会等组织成员的供应商按照</w:t>
      </w:r>
      <w:r>
        <w:rPr>
          <w:rFonts w:ascii="宋体" w:hAnsi="宋体" w:eastAsia="宋体" w:cs="宋体"/>
          <w:color w:val="auto"/>
          <w:spacing w:val="9"/>
          <w:sz w:val="20"/>
          <w:szCs w:val="20"/>
          <w:highlight w:val="none"/>
        </w:rPr>
        <w:t>该组织要求协同参加政府采购活</w:t>
      </w:r>
      <w:r>
        <w:rPr>
          <w:rFonts w:ascii="宋体" w:hAnsi="宋体" w:eastAsia="宋体" w:cs="宋体"/>
          <w:color w:val="auto"/>
          <w:sz w:val="20"/>
          <w:szCs w:val="20"/>
          <w:highlight w:val="none"/>
        </w:rPr>
        <w:t>动；</w:t>
      </w:r>
    </w:p>
    <w:p w14:paraId="793E4F4C">
      <w:pPr>
        <w:spacing w:before="2" w:line="377" w:lineRule="auto"/>
        <w:ind w:left="6" w:right="40" w:firstLine="42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（5）供应商之间事先约定一致抬高或者压低报价，或者在</w:t>
      </w:r>
      <w:r>
        <w:rPr>
          <w:rFonts w:ascii="宋体" w:hAnsi="宋体" w:eastAsia="宋体" w:cs="宋体"/>
          <w:color w:val="auto"/>
          <w:spacing w:val="9"/>
          <w:sz w:val="20"/>
          <w:szCs w:val="20"/>
          <w:highlight w:val="none"/>
        </w:rPr>
        <w:t>政府采购活动中事先约定轮流以高价位或者低价位成交，或者事先约定由某一特定供应商成交，然后再参加竞标；</w:t>
      </w:r>
    </w:p>
    <w:p w14:paraId="2CED6543">
      <w:pPr>
        <w:spacing w:before="1"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（6）供应商之间商定部分供应商放弃参加政府采购活动或者</w:t>
      </w:r>
      <w:r>
        <w:rPr>
          <w:rFonts w:ascii="宋体" w:hAnsi="宋体" w:eastAsia="宋体" w:cs="宋体"/>
          <w:color w:val="auto"/>
          <w:spacing w:val="8"/>
          <w:sz w:val="20"/>
          <w:szCs w:val="20"/>
          <w:highlight w:val="none"/>
        </w:rPr>
        <w:t>放弃成交；</w:t>
      </w:r>
    </w:p>
    <w:p w14:paraId="03E70D9E">
      <w:pPr>
        <w:spacing w:before="161" w:line="378" w:lineRule="auto"/>
        <w:ind w:left="2" w:right="40" w:firstLine="428"/>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（7）供应商与采购人或者采购代理机构之间、供应商相互</w:t>
      </w:r>
      <w:r>
        <w:rPr>
          <w:rFonts w:ascii="宋体" w:hAnsi="宋体" w:eastAsia="宋体" w:cs="宋体"/>
          <w:color w:val="auto"/>
          <w:spacing w:val="9"/>
          <w:sz w:val="20"/>
          <w:szCs w:val="20"/>
          <w:highlight w:val="none"/>
        </w:rPr>
        <w:t>之间，为谋求特定供应商成交或</w:t>
      </w:r>
      <w:r>
        <w:rPr>
          <w:rFonts w:ascii="宋体" w:hAnsi="宋体" w:eastAsia="宋体" w:cs="宋体"/>
          <w:color w:val="auto"/>
          <w:spacing w:val="8"/>
          <w:sz w:val="20"/>
          <w:szCs w:val="20"/>
          <w:highlight w:val="none"/>
        </w:rPr>
        <w:t>者排斥其他供应商的其他串通行为。</w:t>
      </w:r>
    </w:p>
    <w:p w14:paraId="5DD1EBC9">
      <w:pPr>
        <w:spacing w:before="2" w:line="376" w:lineRule="auto"/>
        <w:ind w:left="1" w:right="37" w:firstLine="424"/>
        <w:jc w:val="both"/>
        <w:rPr>
          <w:rFonts w:ascii="宋体" w:hAnsi="宋体" w:eastAsia="宋体" w:cs="宋体"/>
          <w:color w:val="auto"/>
          <w:sz w:val="20"/>
          <w:szCs w:val="20"/>
          <w:highlight w:val="none"/>
        </w:rPr>
      </w:pPr>
      <w:r>
        <w:rPr>
          <w:rFonts w:ascii="宋体" w:hAnsi="宋体" w:eastAsia="宋体" w:cs="宋体"/>
          <w:b/>
          <w:bCs/>
          <w:color w:val="auto"/>
          <w:spacing w:val="16"/>
          <w:sz w:val="20"/>
          <w:szCs w:val="20"/>
          <w:highlight w:val="none"/>
        </w:rPr>
        <w:t>7.8</w:t>
      </w:r>
      <w:r>
        <w:rPr>
          <w:rFonts w:ascii="宋体" w:hAnsi="宋体" w:eastAsia="宋体" w:cs="宋体"/>
          <w:color w:val="auto"/>
          <w:spacing w:val="-30"/>
          <w:sz w:val="20"/>
          <w:szCs w:val="20"/>
          <w:highlight w:val="none"/>
        </w:rPr>
        <w:t xml:space="preserve"> </w:t>
      </w:r>
      <w:r>
        <w:rPr>
          <w:rFonts w:ascii="宋体" w:hAnsi="宋体" w:eastAsia="宋体" w:cs="宋体"/>
          <w:b/>
          <w:bCs/>
          <w:color w:val="auto"/>
          <w:spacing w:val="16"/>
          <w:sz w:val="20"/>
          <w:szCs w:val="20"/>
          <w:highlight w:val="none"/>
        </w:rPr>
        <w:t>根据《北海市财政局关于进一步规范政</w:t>
      </w:r>
      <w:r>
        <w:rPr>
          <w:rFonts w:ascii="宋体" w:hAnsi="宋体" w:eastAsia="宋体" w:cs="宋体"/>
          <w:b/>
          <w:bCs/>
          <w:color w:val="auto"/>
          <w:spacing w:val="15"/>
          <w:sz w:val="20"/>
          <w:szCs w:val="20"/>
          <w:highlight w:val="none"/>
        </w:rPr>
        <w:t>府采购秩序促进公平竞争的通知》</w:t>
      </w:r>
      <w:r>
        <w:rPr>
          <w:rFonts w:ascii="宋体" w:hAnsi="宋体" w:eastAsia="宋体" w:cs="宋体"/>
          <w:color w:val="auto"/>
          <w:spacing w:val="-63"/>
          <w:sz w:val="20"/>
          <w:szCs w:val="20"/>
          <w:highlight w:val="none"/>
        </w:rPr>
        <w:t xml:space="preserve"> </w:t>
      </w:r>
      <w:r>
        <w:rPr>
          <w:rFonts w:ascii="宋体" w:hAnsi="宋体" w:eastAsia="宋体" w:cs="宋体"/>
          <w:b/>
          <w:bCs/>
          <w:color w:val="auto"/>
          <w:spacing w:val="15"/>
          <w:sz w:val="20"/>
          <w:szCs w:val="20"/>
          <w:highlight w:val="none"/>
        </w:rPr>
        <w:t>（北财采</w:t>
      </w:r>
      <w:r>
        <w:rPr>
          <w:rFonts w:ascii="宋体" w:hAnsi="宋体" w:eastAsia="宋体" w:cs="宋体"/>
          <w:b/>
          <w:bCs/>
          <w:color w:val="auto"/>
          <w:spacing w:val="7"/>
          <w:sz w:val="20"/>
          <w:szCs w:val="20"/>
          <w:highlight w:val="none"/>
        </w:rPr>
        <w:t>〔2025〕24</w:t>
      </w:r>
      <w:r>
        <w:rPr>
          <w:rFonts w:ascii="宋体" w:hAnsi="宋体" w:eastAsia="宋体" w:cs="宋体"/>
          <w:color w:val="auto"/>
          <w:spacing w:val="-35"/>
          <w:sz w:val="20"/>
          <w:szCs w:val="20"/>
          <w:highlight w:val="none"/>
        </w:rPr>
        <w:t xml:space="preserve"> </w:t>
      </w:r>
      <w:r>
        <w:rPr>
          <w:rFonts w:ascii="宋体" w:hAnsi="宋体" w:eastAsia="宋体" w:cs="宋体"/>
          <w:b/>
          <w:bCs/>
          <w:color w:val="auto"/>
          <w:spacing w:val="7"/>
          <w:sz w:val="20"/>
          <w:szCs w:val="20"/>
          <w:highlight w:val="none"/>
        </w:rPr>
        <w:t>号</w:t>
      </w:r>
      <w:r>
        <w:rPr>
          <w:rFonts w:ascii="宋体" w:hAnsi="宋体" w:eastAsia="宋体" w:cs="宋体"/>
          <w:b/>
          <w:bCs/>
          <w:color w:val="auto"/>
          <w:spacing w:val="16"/>
          <w:sz w:val="20"/>
          <w:szCs w:val="20"/>
          <w:highlight w:val="none"/>
        </w:rPr>
        <w:t>），</w:t>
      </w:r>
      <w:r>
        <w:rPr>
          <w:rFonts w:ascii="宋体" w:hAnsi="宋体" w:eastAsia="宋体" w:cs="宋体"/>
          <w:b/>
          <w:bCs/>
          <w:color w:val="auto"/>
          <w:spacing w:val="7"/>
          <w:sz w:val="20"/>
          <w:szCs w:val="20"/>
          <w:highlight w:val="none"/>
        </w:rPr>
        <w:t>参与同一个采购包（标项）</w:t>
      </w:r>
      <w:r>
        <w:rPr>
          <w:rFonts w:ascii="宋体" w:hAnsi="宋体" w:eastAsia="宋体" w:cs="宋体"/>
          <w:color w:val="auto"/>
          <w:spacing w:val="-59"/>
          <w:sz w:val="20"/>
          <w:szCs w:val="20"/>
          <w:highlight w:val="none"/>
        </w:rPr>
        <w:t xml:space="preserve"> </w:t>
      </w:r>
      <w:r>
        <w:rPr>
          <w:rFonts w:ascii="宋体" w:hAnsi="宋体" w:eastAsia="宋体" w:cs="宋体"/>
          <w:b/>
          <w:bCs/>
          <w:color w:val="auto"/>
          <w:spacing w:val="7"/>
          <w:sz w:val="20"/>
          <w:szCs w:val="20"/>
          <w:highlight w:val="none"/>
        </w:rPr>
        <w:t>的供应商存在下列情形之一且无法</w:t>
      </w:r>
      <w:r>
        <w:rPr>
          <w:rFonts w:ascii="宋体" w:hAnsi="宋体" w:eastAsia="宋体" w:cs="宋体"/>
          <w:b/>
          <w:bCs/>
          <w:color w:val="auto"/>
          <w:spacing w:val="6"/>
          <w:sz w:val="20"/>
          <w:szCs w:val="20"/>
          <w:highlight w:val="none"/>
        </w:rPr>
        <w:t>合理解释的，其响应文件按无效处理：</w:t>
      </w:r>
    </w:p>
    <w:p w14:paraId="09B3FC5C">
      <w:pPr>
        <w:spacing w:before="2" w:line="377" w:lineRule="auto"/>
        <w:ind w:left="17" w:right="39" w:firstLine="413"/>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（1）不同供应商的电子响应文件上传计算机的网卡</w:t>
      </w:r>
      <w:r>
        <w:rPr>
          <w:rFonts w:ascii="宋体" w:hAnsi="宋体" w:eastAsia="宋体" w:cs="宋体"/>
          <w:color w:val="auto"/>
          <w:spacing w:val="-46"/>
          <w:sz w:val="20"/>
          <w:szCs w:val="20"/>
          <w:highlight w:val="none"/>
        </w:rPr>
        <w:t xml:space="preserve"> </w:t>
      </w:r>
      <w:r>
        <w:rPr>
          <w:rFonts w:ascii="宋体" w:hAnsi="宋体" w:eastAsia="宋体" w:cs="宋体"/>
          <w:color w:val="auto"/>
          <w:sz w:val="20"/>
          <w:szCs w:val="20"/>
          <w:highlight w:val="none"/>
        </w:rPr>
        <w:t>MAC</w:t>
      </w:r>
      <w:r>
        <w:rPr>
          <w:rFonts w:ascii="宋体" w:hAnsi="宋体" w:eastAsia="宋体" w:cs="宋体"/>
          <w:color w:val="auto"/>
          <w:spacing w:val="-40"/>
          <w:sz w:val="20"/>
          <w:szCs w:val="20"/>
          <w:highlight w:val="none"/>
        </w:rPr>
        <w:t xml:space="preserve"> </w:t>
      </w:r>
      <w:r>
        <w:rPr>
          <w:rFonts w:ascii="宋体" w:hAnsi="宋体" w:eastAsia="宋体" w:cs="宋体"/>
          <w:color w:val="auto"/>
          <w:spacing w:val="10"/>
          <w:sz w:val="20"/>
          <w:szCs w:val="20"/>
          <w:highlight w:val="none"/>
        </w:rPr>
        <w:t>地址或硬盘序列号</w:t>
      </w:r>
      <w:r>
        <w:rPr>
          <w:rFonts w:ascii="宋体" w:hAnsi="宋体" w:eastAsia="宋体" w:cs="宋体"/>
          <w:color w:val="auto"/>
          <w:spacing w:val="9"/>
          <w:sz w:val="20"/>
          <w:szCs w:val="20"/>
          <w:highlight w:val="none"/>
        </w:rPr>
        <w:t>等硬件信息相同</w:t>
      </w:r>
      <w:r>
        <w:rPr>
          <w:rFonts w:ascii="宋体" w:hAnsi="宋体" w:eastAsia="宋体" w:cs="宋体"/>
          <w:color w:val="auto"/>
          <w:spacing w:val="-9"/>
          <w:sz w:val="20"/>
          <w:szCs w:val="20"/>
          <w:highlight w:val="none"/>
        </w:rPr>
        <w:t>的；</w:t>
      </w:r>
    </w:p>
    <w:p w14:paraId="627A281B">
      <w:pPr>
        <w:spacing w:before="1" w:line="377" w:lineRule="auto"/>
        <w:ind w:left="1" w:right="37" w:firstLine="429"/>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（2）上传的电子响应文件若出现使用本项目其他响应供应商的数</w:t>
      </w:r>
      <w:r>
        <w:rPr>
          <w:rFonts w:ascii="宋体" w:hAnsi="宋体" w:eastAsia="宋体" w:cs="宋体"/>
          <w:color w:val="auto"/>
          <w:spacing w:val="9"/>
          <w:sz w:val="20"/>
          <w:szCs w:val="20"/>
          <w:highlight w:val="none"/>
        </w:rPr>
        <w:t>字证书加密的，或者加盖</w:t>
      </w:r>
      <w:r>
        <w:rPr>
          <w:rFonts w:ascii="宋体" w:hAnsi="宋体" w:eastAsia="宋体" w:cs="宋体"/>
          <w:color w:val="auto"/>
          <w:spacing w:val="8"/>
          <w:sz w:val="20"/>
          <w:szCs w:val="20"/>
          <w:highlight w:val="none"/>
        </w:rPr>
        <w:t>本项目其他响应供应商的电子印章的；</w:t>
      </w:r>
    </w:p>
    <w:p w14:paraId="5EDC89D2">
      <w:pPr>
        <w:spacing w:line="377" w:lineRule="auto"/>
        <w:rPr>
          <w:rFonts w:ascii="宋体" w:hAnsi="宋体" w:eastAsia="宋体" w:cs="宋体"/>
          <w:color w:val="auto"/>
          <w:sz w:val="20"/>
          <w:szCs w:val="20"/>
          <w:highlight w:val="none"/>
        </w:rPr>
        <w:sectPr>
          <w:footerReference r:id="rId18" w:type="default"/>
          <w:pgSz w:w="11910" w:h="16840"/>
          <w:pgMar w:top="1330" w:right="1463" w:bottom="1091" w:left="1687" w:header="0" w:footer="929" w:gutter="0"/>
          <w:pgNumType w:fmt="decimal"/>
          <w:cols w:space="720" w:num="1"/>
        </w:sectPr>
      </w:pPr>
    </w:p>
    <w:p w14:paraId="4C27380A">
      <w:pPr>
        <w:spacing w:before="41" w:line="227"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（3）不同供应商的响应文件的内容存在</w:t>
      </w:r>
      <w:r>
        <w:rPr>
          <w:rFonts w:ascii="宋体" w:hAnsi="宋体" w:eastAsia="宋体" w:cs="宋体"/>
          <w:color w:val="auto"/>
          <w:spacing w:val="-20"/>
          <w:sz w:val="20"/>
          <w:szCs w:val="20"/>
          <w:highlight w:val="none"/>
        </w:rPr>
        <w:t xml:space="preserve"> </w:t>
      </w:r>
      <w:r>
        <w:rPr>
          <w:rFonts w:ascii="宋体" w:hAnsi="宋体" w:eastAsia="宋体" w:cs="宋体"/>
          <w:color w:val="auto"/>
          <w:spacing w:val="6"/>
          <w:sz w:val="20"/>
          <w:szCs w:val="20"/>
          <w:highlight w:val="none"/>
        </w:rPr>
        <w:t>3</w:t>
      </w:r>
      <w:r>
        <w:rPr>
          <w:rFonts w:ascii="宋体" w:hAnsi="宋体" w:eastAsia="宋体" w:cs="宋体"/>
          <w:color w:val="auto"/>
          <w:spacing w:val="-34"/>
          <w:sz w:val="20"/>
          <w:szCs w:val="20"/>
          <w:highlight w:val="none"/>
        </w:rPr>
        <w:t xml:space="preserve"> </w:t>
      </w:r>
      <w:r>
        <w:rPr>
          <w:rFonts w:ascii="宋体" w:hAnsi="宋体" w:eastAsia="宋体" w:cs="宋体"/>
          <w:color w:val="auto"/>
          <w:spacing w:val="6"/>
          <w:sz w:val="20"/>
          <w:szCs w:val="20"/>
          <w:highlight w:val="none"/>
        </w:rPr>
        <w:t>处（含）</w:t>
      </w:r>
      <w:r>
        <w:rPr>
          <w:rFonts w:ascii="宋体" w:hAnsi="宋体" w:eastAsia="宋体" w:cs="宋体"/>
          <w:color w:val="auto"/>
          <w:spacing w:val="-57"/>
          <w:sz w:val="20"/>
          <w:szCs w:val="20"/>
          <w:highlight w:val="none"/>
        </w:rPr>
        <w:t xml:space="preserve"> </w:t>
      </w:r>
      <w:r>
        <w:rPr>
          <w:rFonts w:ascii="宋体" w:hAnsi="宋体" w:eastAsia="宋体" w:cs="宋体"/>
          <w:color w:val="auto"/>
          <w:spacing w:val="6"/>
          <w:sz w:val="20"/>
          <w:szCs w:val="20"/>
          <w:highlight w:val="none"/>
        </w:rPr>
        <w:t>以上错误一致的；</w:t>
      </w:r>
    </w:p>
    <w:p w14:paraId="4E34C157">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（4）不同供应商联系人为同一人或不同联系人的联</w:t>
      </w:r>
      <w:r>
        <w:rPr>
          <w:rFonts w:ascii="宋体" w:hAnsi="宋体" w:eastAsia="宋体" w:cs="宋体"/>
          <w:color w:val="auto"/>
          <w:spacing w:val="8"/>
          <w:sz w:val="20"/>
          <w:szCs w:val="20"/>
          <w:highlight w:val="none"/>
        </w:rPr>
        <w:t>系电话一致的。</w:t>
      </w:r>
    </w:p>
    <w:p w14:paraId="567980E8">
      <w:pPr>
        <w:spacing w:before="162" w:line="377" w:lineRule="auto"/>
        <w:ind w:right="1" w:firstLine="425"/>
        <w:jc w:val="both"/>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7.9</w:t>
      </w:r>
      <w:r>
        <w:rPr>
          <w:rFonts w:ascii="宋体" w:hAnsi="宋体" w:eastAsia="宋体" w:cs="宋体"/>
          <w:color w:val="auto"/>
          <w:spacing w:val="-35"/>
          <w:sz w:val="20"/>
          <w:szCs w:val="20"/>
          <w:highlight w:val="none"/>
        </w:rPr>
        <w:t xml:space="preserve"> </w:t>
      </w:r>
      <w:r>
        <w:rPr>
          <w:rFonts w:ascii="宋体" w:hAnsi="宋体" w:eastAsia="宋体" w:cs="宋体"/>
          <w:color w:val="auto"/>
          <w:spacing w:val="13"/>
          <w:sz w:val="20"/>
          <w:szCs w:val="20"/>
          <w:highlight w:val="none"/>
        </w:rPr>
        <w:t>根据《国务院办公厅关于在政府采购中实施本国</w:t>
      </w:r>
      <w:r>
        <w:rPr>
          <w:rFonts w:ascii="宋体" w:hAnsi="宋体" w:eastAsia="宋体" w:cs="宋体"/>
          <w:color w:val="auto"/>
          <w:spacing w:val="12"/>
          <w:sz w:val="20"/>
          <w:szCs w:val="20"/>
          <w:highlight w:val="none"/>
        </w:rPr>
        <w:t>产品标准及相关政策的通知》</w:t>
      </w:r>
      <w:r>
        <w:rPr>
          <w:rFonts w:ascii="宋体" w:hAnsi="宋体" w:eastAsia="宋体" w:cs="宋体"/>
          <w:color w:val="auto"/>
          <w:spacing w:val="-75"/>
          <w:sz w:val="20"/>
          <w:szCs w:val="20"/>
          <w:highlight w:val="none"/>
        </w:rPr>
        <w:t xml:space="preserve"> </w:t>
      </w:r>
      <w:r>
        <w:rPr>
          <w:rFonts w:ascii="宋体" w:hAnsi="宋体" w:eastAsia="宋体" w:cs="宋体"/>
          <w:color w:val="auto"/>
          <w:spacing w:val="12"/>
          <w:sz w:val="20"/>
          <w:szCs w:val="20"/>
          <w:highlight w:val="none"/>
        </w:rPr>
        <w:t>（国办</w:t>
      </w:r>
      <w:r>
        <w:rPr>
          <w:rFonts w:ascii="宋体" w:hAnsi="宋体" w:eastAsia="宋体" w:cs="宋体"/>
          <w:color w:val="auto"/>
          <w:spacing w:val="10"/>
          <w:sz w:val="20"/>
          <w:szCs w:val="20"/>
          <w:highlight w:val="none"/>
        </w:rPr>
        <w:t>发〔2025〕34</w:t>
      </w:r>
      <w:r>
        <w:rPr>
          <w:rFonts w:ascii="宋体" w:hAnsi="宋体" w:eastAsia="宋体" w:cs="宋体"/>
          <w:color w:val="auto"/>
          <w:spacing w:val="-23"/>
          <w:sz w:val="20"/>
          <w:szCs w:val="20"/>
          <w:highlight w:val="none"/>
        </w:rPr>
        <w:t xml:space="preserve"> </w:t>
      </w:r>
      <w:r>
        <w:rPr>
          <w:rFonts w:ascii="宋体" w:hAnsi="宋体" w:eastAsia="宋体" w:cs="宋体"/>
          <w:color w:val="auto"/>
          <w:spacing w:val="10"/>
          <w:sz w:val="20"/>
          <w:szCs w:val="20"/>
          <w:highlight w:val="none"/>
        </w:rPr>
        <w:t>号）的规定，本国产品标准适用于货物，包括政府采购货物项目和服务项目中涉</w:t>
      </w:r>
      <w:r>
        <w:rPr>
          <w:rFonts w:ascii="宋体" w:hAnsi="宋体" w:eastAsia="宋体" w:cs="宋体"/>
          <w:color w:val="auto"/>
          <w:spacing w:val="12"/>
          <w:sz w:val="20"/>
          <w:szCs w:val="20"/>
          <w:highlight w:val="none"/>
        </w:rPr>
        <w:t>及的货物。适用本国产品标准的货物具体是指《政府</w:t>
      </w:r>
      <w:r>
        <w:rPr>
          <w:rFonts w:ascii="宋体" w:hAnsi="宋体" w:eastAsia="宋体" w:cs="宋体"/>
          <w:color w:val="auto"/>
          <w:spacing w:val="11"/>
          <w:sz w:val="20"/>
          <w:szCs w:val="20"/>
          <w:highlight w:val="none"/>
        </w:rPr>
        <w:t>采购品目分类目录》</w:t>
      </w:r>
      <w:r>
        <w:rPr>
          <w:rFonts w:ascii="宋体" w:hAnsi="宋体" w:eastAsia="宋体" w:cs="宋体"/>
          <w:color w:val="auto"/>
          <w:spacing w:val="-54"/>
          <w:sz w:val="20"/>
          <w:szCs w:val="20"/>
          <w:highlight w:val="none"/>
        </w:rPr>
        <w:t xml:space="preserve"> </w:t>
      </w:r>
      <w:r>
        <w:rPr>
          <w:rFonts w:ascii="宋体" w:hAnsi="宋体" w:eastAsia="宋体" w:cs="宋体"/>
          <w:color w:val="auto"/>
          <w:spacing w:val="11"/>
          <w:sz w:val="20"/>
          <w:szCs w:val="20"/>
          <w:highlight w:val="none"/>
        </w:rPr>
        <w:t>中的货物类产品，但</w:t>
      </w:r>
      <w:r>
        <w:rPr>
          <w:rFonts w:ascii="宋体" w:hAnsi="宋体" w:eastAsia="宋体" w:cs="宋体"/>
          <w:color w:val="auto"/>
          <w:spacing w:val="13"/>
          <w:sz w:val="20"/>
          <w:szCs w:val="20"/>
          <w:highlight w:val="none"/>
        </w:rPr>
        <w:t>不包括其中的房屋和构筑物，文物和陈列品，图书和档案，特种</w:t>
      </w:r>
      <w:r>
        <w:rPr>
          <w:rFonts w:ascii="宋体" w:hAnsi="宋体" w:eastAsia="宋体" w:cs="宋体"/>
          <w:color w:val="auto"/>
          <w:spacing w:val="12"/>
          <w:sz w:val="20"/>
          <w:szCs w:val="20"/>
          <w:highlight w:val="none"/>
        </w:rPr>
        <w:t>动植物，农林牧渔业产品，矿</w:t>
      </w:r>
      <w:r>
        <w:rPr>
          <w:rFonts w:ascii="宋体" w:hAnsi="宋体" w:eastAsia="宋体" w:cs="宋体"/>
          <w:color w:val="auto"/>
          <w:spacing w:val="8"/>
          <w:sz w:val="20"/>
          <w:szCs w:val="20"/>
          <w:highlight w:val="none"/>
        </w:rPr>
        <w:t>与矿物，</w:t>
      </w:r>
      <w:r>
        <w:rPr>
          <w:rFonts w:ascii="宋体" w:hAnsi="宋体" w:eastAsia="宋体" w:cs="宋体"/>
          <w:color w:val="auto"/>
          <w:spacing w:val="-48"/>
          <w:sz w:val="20"/>
          <w:szCs w:val="20"/>
          <w:highlight w:val="none"/>
        </w:rPr>
        <w:t xml:space="preserve"> </w:t>
      </w:r>
      <w:r>
        <w:rPr>
          <w:rFonts w:ascii="宋体" w:hAnsi="宋体" w:eastAsia="宋体" w:cs="宋体"/>
          <w:color w:val="auto"/>
          <w:spacing w:val="8"/>
          <w:sz w:val="20"/>
          <w:szCs w:val="20"/>
          <w:highlight w:val="none"/>
        </w:rPr>
        <w:t>电力、城市燃气、蒸汽和热水、水，食品、饮料和烟草原料，无形资产。</w:t>
      </w:r>
    </w:p>
    <w:p w14:paraId="3166E932">
      <w:pPr>
        <w:spacing w:line="226"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产品在中国境内生产的组件成本占比应当达到规定比例，计算公式为：</w:t>
      </w:r>
    </w:p>
    <w:p w14:paraId="7D1D912F">
      <w:pPr>
        <w:spacing w:before="163" w:line="1200" w:lineRule="exact"/>
        <w:ind w:firstLine="556"/>
        <w:rPr>
          <w:color w:val="auto"/>
          <w:highlight w:val="none"/>
        </w:rPr>
      </w:pPr>
      <w:r>
        <w:rPr>
          <w:color w:val="auto"/>
          <w:position w:val="-24"/>
          <w:highlight w:val="none"/>
        </w:rPr>
        <w:drawing>
          <wp:inline distT="0" distB="0" distL="0" distR="0">
            <wp:extent cx="4827905" cy="7620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7"/>
                    <a:stretch>
                      <a:fillRect/>
                    </a:stretch>
                  </pic:blipFill>
                  <pic:spPr>
                    <a:xfrm>
                      <a:off x="0" y="0"/>
                      <a:ext cx="4828031" cy="762000"/>
                    </a:xfrm>
                    <a:prstGeom prst="rect">
                      <a:avLst/>
                    </a:prstGeom>
                  </pic:spPr>
                </pic:pic>
              </a:graphicData>
            </a:graphic>
          </wp:inline>
        </w:drawing>
      </w:r>
    </w:p>
    <w:p w14:paraId="5CA37FB7">
      <w:pPr>
        <w:spacing w:before="216" w:line="377" w:lineRule="auto"/>
        <w:ind w:right="1" w:firstLine="421"/>
        <w:jc w:val="both"/>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财政部会同有关行业主管部门，分产品确定在中国境内生产的组件成</w:t>
      </w:r>
      <w:r>
        <w:rPr>
          <w:rFonts w:ascii="宋体" w:hAnsi="宋体" w:eastAsia="宋体" w:cs="宋体"/>
          <w:color w:val="auto"/>
          <w:spacing w:val="12"/>
          <w:sz w:val="20"/>
          <w:szCs w:val="20"/>
          <w:highlight w:val="none"/>
        </w:rPr>
        <w:t>本占比应当达到的规</w:t>
      </w:r>
      <w:r>
        <w:rPr>
          <w:rFonts w:ascii="宋体" w:hAnsi="宋体" w:eastAsia="宋体" w:cs="宋体"/>
          <w:color w:val="auto"/>
          <w:spacing w:val="13"/>
          <w:sz w:val="20"/>
          <w:szCs w:val="20"/>
          <w:highlight w:val="none"/>
        </w:rPr>
        <w:t>定比例。在分产品的中国境内生产的组件成本占比相关要求实施</w:t>
      </w:r>
      <w:r>
        <w:rPr>
          <w:rFonts w:ascii="宋体" w:hAnsi="宋体" w:eastAsia="宋体" w:cs="宋体"/>
          <w:color w:val="auto"/>
          <w:spacing w:val="12"/>
          <w:sz w:val="20"/>
          <w:szCs w:val="20"/>
          <w:highlight w:val="none"/>
        </w:rPr>
        <w:t>前，符合《国务院办公厅关于</w:t>
      </w:r>
      <w:r>
        <w:rPr>
          <w:rFonts w:ascii="宋体" w:hAnsi="宋体" w:eastAsia="宋体" w:cs="宋体"/>
          <w:color w:val="auto"/>
          <w:spacing w:val="13"/>
          <w:sz w:val="20"/>
          <w:szCs w:val="20"/>
          <w:highlight w:val="none"/>
        </w:rPr>
        <w:t>在政府采购中实施本国产品标准及相关政策的通知》第一条第（</w:t>
      </w:r>
      <w:r>
        <w:rPr>
          <w:rFonts w:ascii="宋体" w:hAnsi="宋体" w:eastAsia="宋体" w:cs="宋体"/>
          <w:color w:val="auto"/>
          <w:spacing w:val="12"/>
          <w:sz w:val="20"/>
          <w:szCs w:val="20"/>
          <w:highlight w:val="none"/>
        </w:rPr>
        <w:t>一）项条件的产品在政府采购</w:t>
      </w:r>
      <w:r>
        <w:rPr>
          <w:rFonts w:ascii="宋体" w:hAnsi="宋体" w:eastAsia="宋体" w:cs="宋体"/>
          <w:color w:val="auto"/>
          <w:spacing w:val="8"/>
          <w:sz w:val="20"/>
          <w:szCs w:val="20"/>
          <w:highlight w:val="none"/>
        </w:rPr>
        <w:t>活动中视同本国产品。</w:t>
      </w:r>
    </w:p>
    <w:p w14:paraId="6E8B61BC">
      <w:pPr>
        <w:spacing w:before="1" w:line="377" w:lineRule="auto"/>
        <w:ind w:right="1" w:firstLine="420"/>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政府采购活动中既有本国产品又有非本国产品参与竞争的，依法对本国产</w:t>
      </w:r>
      <w:r>
        <w:rPr>
          <w:rFonts w:ascii="宋体" w:hAnsi="宋体" w:eastAsia="宋体" w:cs="宋体"/>
          <w:color w:val="auto"/>
          <w:spacing w:val="12"/>
          <w:sz w:val="20"/>
          <w:szCs w:val="20"/>
          <w:highlight w:val="none"/>
        </w:rPr>
        <w:t>品给予价格评审</w:t>
      </w:r>
      <w:r>
        <w:rPr>
          <w:rFonts w:ascii="宋体" w:hAnsi="宋体" w:eastAsia="宋体" w:cs="宋体"/>
          <w:color w:val="auto"/>
          <w:spacing w:val="9"/>
          <w:sz w:val="20"/>
          <w:szCs w:val="20"/>
          <w:highlight w:val="none"/>
        </w:rPr>
        <w:t>优惠，对本国产品的报价给予</w:t>
      </w:r>
      <w:r>
        <w:rPr>
          <w:rFonts w:ascii="宋体" w:hAnsi="宋体" w:eastAsia="宋体" w:cs="宋体"/>
          <w:color w:val="auto"/>
          <w:spacing w:val="-37"/>
          <w:sz w:val="20"/>
          <w:szCs w:val="20"/>
          <w:highlight w:val="none"/>
        </w:rPr>
        <w:t xml:space="preserve"> </w:t>
      </w:r>
      <w:r>
        <w:rPr>
          <w:rFonts w:ascii="宋体" w:hAnsi="宋体" w:eastAsia="宋体" w:cs="宋体"/>
          <w:color w:val="auto"/>
          <w:spacing w:val="9"/>
          <w:sz w:val="20"/>
          <w:szCs w:val="20"/>
          <w:highlight w:val="none"/>
        </w:rPr>
        <w:t>20%的价格扣除</w:t>
      </w:r>
      <w:r>
        <w:rPr>
          <w:rFonts w:ascii="宋体" w:hAnsi="宋体" w:eastAsia="宋体" w:cs="宋体"/>
          <w:color w:val="auto"/>
          <w:spacing w:val="8"/>
          <w:sz w:val="20"/>
          <w:szCs w:val="20"/>
          <w:highlight w:val="none"/>
        </w:rPr>
        <w:t>，用扣除后的价格参与评审。</w:t>
      </w:r>
    </w:p>
    <w:p w14:paraId="58F3451D">
      <w:pPr>
        <w:spacing w:before="3" w:line="377" w:lineRule="auto"/>
        <w:ind w:firstLine="433"/>
        <w:jc w:val="both"/>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当采购项目或者采购包中含有多种产品，供应商为该采购项目或者采购包提供的符合本国</w:t>
      </w:r>
      <w:r>
        <w:rPr>
          <w:rFonts w:ascii="宋体" w:hAnsi="宋体" w:eastAsia="宋体" w:cs="宋体"/>
          <w:color w:val="auto"/>
          <w:spacing w:val="13"/>
          <w:sz w:val="20"/>
          <w:szCs w:val="20"/>
          <w:highlight w:val="none"/>
        </w:rPr>
        <w:t>产品标准的产品成本之和占该供应商提供的全部产品成本之和的比例达到</w:t>
      </w:r>
      <w:r>
        <w:rPr>
          <w:rFonts w:ascii="宋体" w:hAnsi="宋体" w:eastAsia="宋体" w:cs="宋体"/>
          <w:color w:val="auto"/>
          <w:spacing w:val="-27"/>
          <w:sz w:val="20"/>
          <w:szCs w:val="20"/>
          <w:highlight w:val="none"/>
        </w:rPr>
        <w:t xml:space="preserve"> </w:t>
      </w:r>
      <w:r>
        <w:rPr>
          <w:rFonts w:ascii="宋体" w:hAnsi="宋体" w:eastAsia="宋体" w:cs="宋体"/>
          <w:color w:val="auto"/>
          <w:spacing w:val="13"/>
          <w:sz w:val="20"/>
          <w:szCs w:val="20"/>
          <w:highlight w:val="none"/>
        </w:rPr>
        <w:t>80%以上时，依法对该供应商提供的全部产品给予价格评审优惠，即对该供应商提供的全部产品的总报价给予</w:t>
      </w:r>
      <w:r>
        <w:rPr>
          <w:rFonts w:ascii="宋体" w:hAnsi="宋体" w:eastAsia="宋体" w:cs="宋体"/>
          <w:color w:val="auto"/>
          <w:spacing w:val="-26"/>
          <w:sz w:val="20"/>
          <w:szCs w:val="20"/>
          <w:highlight w:val="none"/>
        </w:rPr>
        <w:t xml:space="preserve"> </w:t>
      </w:r>
      <w:r>
        <w:rPr>
          <w:rFonts w:ascii="宋体" w:hAnsi="宋体" w:eastAsia="宋体" w:cs="宋体"/>
          <w:color w:val="auto"/>
          <w:spacing w:val="13"/>
          <w:sz w:val="20"/>
          <w:szCs w:val="20"/>
          <w:highlight w:val="none"/>
        </w:rPr>
        <w:t>20%</w:t>
      </w:r>
      <w:r>
        <w:rPr>
          <w:rFonts w:ascii="宋体" w:hAnsi="宋体" w:eastAsia="宋体" w:cs="宋体"/>
          <w:color w:val="auto"/>
          <w:spacing w:val="8"/>
          <w:sz w:val="20"/>
          <w:szCs w:val="20"/>
          <w:highlight w:val="none"/>
        </w:rPr>
        <w:t>的价格扣除，用扣除后的价格参与评审。</w:t>
      </w:r>
    </w:p>
    <w:p w14:paraId="3823E983">
      <w:pPr>
        <w:spacing w:line="282" w:lineRule="auto"/>
        <w:rPr>
          <w:rFonts w:ascii="Arial"/>
          <w:color w:val="auto"/>
          <w:sz w:val="21"/>
          <w:highlight w:val="none"/>
        </w:rPr>
      </w:pPr>
    </w:p>
    <w:p w14:paraId="0CB94F2A">
      <w:pPr>
        <w:spacing w:line="283" w:lineRule="auto"/>
        <w:rPr>
          <w:rFonts w:ascii="Arial"/>
          <w:color w:val="auto"/>
          <w:sz w:val="21"/>
          <w:highlight w:val="none"/>
        </w:rPr>
      </w:pPr>
    </w:p>
    <w:p w14:paraId="3717FFC8">
      <w:pPr>
        <w:spacing w:line="283" w:lineRule="auto"/>
        <w:rPr>
          <w:rFonts w:ascii="Arial"/>
          <w:color w:val="auto"/>
          <w:sz w:val="21"/>
          <w:highlight w:val="none"/>
        </w:rPr>
      </w:pPr>
    </w:p>
    <w:p w14:paraId="11ACE17D">
      <w:pPr>
        <w:spacing w:line="283" w:lineRule="auto"/>
        <w:rPr>
          <w:rFonts w:ascii="Arial"/>
          <w:color w:val="auto"/>
          <w:sz w:val="21"/>
          <w:highlight w:val="none"/>
        </w:rPr>
      </w:pPr>
    </w:p>
    <w:p w14:paraId="44679ED3">
      <w:pPr>
        <w:spacing w:before="102" w:line="225" w:lineRule="auto"/>
        <w:ind w:left="3411"/>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二、谈判文件</w:t>
      </w:r>
    </w:p>
    <w:p w14:paraId="03857044">
      <w:pPr>
        <w:spacing w:line="279" w:lineRule="auto"/>
        <w:rPr>
          <w:rFonts w:ascii="Arial"/>
          <w:color w:val="auto"/>
          <w:sz w:val="21"/>
          <w:highlight w:val="none"/>
        </w:rPr>
      </w:pPr>
    </w:p>
    <w:p w14:paraId="0020DA8B">
      <w:pPr>
        <w:spacing w:line="280" w:lineRule="auto"/>
        <w:rPr>
          <w:rFonts w:ascii="Arial"/>
          <w:color w:val="auto"/>
          <w:sz w:val="21"/>
          <w:highlight w:val="none"/>
        </w:rPr>
      </w:pPr>
    </w:p>
    <w:p w14:paraId="3A8DAA51">
      <w:pPr>
        <w:spacing w:before="78" w:line="220" w:lineRule="auto"/>
        <w:ind w:left="481"/>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8.谈判文件的构成</w:t>
      </w:r>
    </w:p>
    <w:p w14:paraId="160FFBCD">
      <w:pPr>
        <w:spacing w:before="178" w:line="226"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（1）竞争性谈判公告；</w:t>
      </w:r>
    </w:p>
    <w:p w14:paraId="53B6A375">
      <w:pPr>
        <w:spacing w:before="163" w:line="227" w:lineRule="auto"/>
        <w:ind w:left="43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（2）供应商须知；</w:t>
      </w:r>
    </w:p>
    <w:p w14:paraId="57A59F9B">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（3）采购需求；</w:t>
      </w:r>
    </w:p>
    <w:p w14:paraId="1C39964C">
      <w:pPr>
        <w:spacing w:before="162"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（4）响应文件格式</w:t>
      </w:r>
    </w:p>
    <w:p w14:paraId="4255B5F7">
      <w:pPr>
        <w:spacing w:before="161" w:line="227" w:lineRule="auto"/>
        <w:ind w:left="43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（5）合同文本；</w:t>
      </w:r>
    </w:p>
    <w:p w14:paraId="4FD978F5">
      <w:pPr>
        <w:spacing w:before="163"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（6）评审程序和评定成交的标准；</w:t>
      </w:r>
    </w:p>
    <w:p w14:paraId="4D992696">
      <w:pPr>
        <w:spacing w:before="167" w:line="222" w:lineRule="auto"/>
        <w:ind w:left="477"/>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9.供应商的询问</w:t>
      </w:r>
    </w:p>
    <w:p w14:paraId="0FC95A2C">
      <w:pPr>
        <w:spacing w:line="222" w:lineRule="auto"/>
        <w:rPr>
          <w:rFonts w:ascii="黑体" w:hAnsi="黑体" w:eastAsia="黑体" w:cs="黑体"/>
          <w:color w:val="auto"/>
          <w:sz w:val="24"/>
          <w:szCs w:val="24"/>
          <w:highlight w:val="none"/>
        </w:rPr>
        <w:sectPr>
          <w:footerReference r:id="rId19" w:type="default"/>
          <w:pgSz w:w="11910" w:h="16840"/>
          <w:pgMar w:top="1330" w:right="1499" w:bottom="1091" w:left="1687" w:header="0" w:footer="929" w:gutter="0"/>
          <w:pgNumType w:fmt="decimal"/>
          <w:cols w:space="720" w:num="1"/>
        </w:sectPr>
      </w:pPr>
    </w:p>
    <w:p w14:paraId="6F792F4F">
      <w:pPr>
        <w:spacing w:before="42" w:line="377" w:lineRule="auto"/>
        <w:ind w:right="143" w:firstLine="421"/>
        <w:jc w:val="both"/>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供应商应认真阅读谈判文件的采购需求，如供应商对谈判文件有疑问的</w:t>
      </w:r>
      <w:r>
        <w:rPr>
          <w:rFonts w:ascii="宋体" w:hAnsi="宋体" w:eastAsia="宋体" w:cs="宋体"/>
          <w:color w:val="auto"/>
          <w:spacing w:val="12"/>
          <w:sz w:val="20"/>
          <w:szCs w:val="20"/>
          <w:highlight w:val="none"/>
        </w:rPr>
        <w:t>，如要求采购人作出澄清或者修改的，供应商尽可能在提交首次响应文件截止之日前</w:t>
      </w:r>
      <w:r>
        <w:rPr>
          <w:rFonts w:ascii="宋体" w:hAnsi="宋体" w:eastAsia="宋体" w:cs="宋体"/>
          <w:color w:val="auto"/>
          <w:spacing w:val="11"/>
          <w:sz w:val="20"/>
          <w:szCs w:val="20"/>
          <w:highlight w:val="none"/>
        </w:rPr>
        <w:t>，</w:t>
      </w:r>
      <w:r>
        <w:rPr>
          <w:rFonts w:ascii="宋体" w:hAnsi="宋体" w:eastAsia="宋体" w:cs="宋体"/>
          <w:color w:val="auto"/>
          <w:spacing w:val="-59"/>
          <w:sz w:val="20"/>
          <w:szCs w:val="20"/>
          <w:highlight w:val="none"/>
        </w:rPr>
        <w:t xml:space="preserve"> </w:t>
      </w:r>
      <w:r>
        <w:rPr>
          <w:rFonts w:ascii="宋体" w:hAnsi="宋体" w:eastAsia="宋体" w:cs="宋体"/>
          <w:color w:val="auto"/>
          <w:spacing w:val="11"/>
          <w:sz w:val="20"/>
          <w:szCs w:val="20"/>
          <w:highlight w:val="none"/>
        </w:rPr>
        <w:t>以书面形式向采购人、采</w:t>
      </w:r>
      <w:r>
        <w:rPr>
          <w:rFonts w:ascii="宋体" w:hAnsi="宋体" w:eastAsia="宋体" w:cs="宋体"/>
          <w:color w:val="auto"/>
          <w:spacing w:val="7"/>
          <w:sz w:val="20"/>
          <w:szCs w:val="20"/>
          <w:highlight w:val="none"/>
        </w:rPr>
        <w:t>购代理机构提出。</w:t>
      </w:r>
    </w:p>
    <w:p w14:paraId="5D00380F">
      <w:pPr>
        <w:spacing w:before="2" w:line="220" w:lineRule="auto"/>
        <w:ind w:left="497"/>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10.谈判文件的澄清和修改</w:t>
      </w:r>
    </w:p>
    <w:p w14:paraId="02AC844F">
      <w:pPr>
        <w:spacing w:before="175" w:line="378" w:lineRule="auto"/>
        <w:ind w:right="143" w:firstLine="421"/>
        <w:jc w:val="both"/>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提交首次响应文件截止之日前，采购人、采购代理机构或者谈判小组</w:t>
      </w:r>
      <w:r>
        <w:rPr>
          <w:rFonts w:ascii="宋体" w:hAnsi="宋体" w:eastAsia="宋体" w:cs="宋体"/>
          <w:color w:val="auto"/>
          <w:spacing w:val="12"/>
          <w:sz w:val="20"/>
          <w:szCs w:val="20"/>
          <w:highlight w:val="none"/>
        </w:rPr>
        <w:t>可以对已发出的谈判</w:t>
      </w:r>
      <w:r>
        <w:rPr>
          <w:rFonts w:ascii="宋体" w:hAnsi="宋体" w:eastAsia="宋体" w:cs="宋体"/>
          <w:color w:val="auto"/>
          <w:spacing w:val="13"/>
          <w:sz w:val="20"/>
          <w:szCs w:val="20"/>
          <w:highlight w:val="none"/>
        </w:rPr>
        <w:t>文件进行必要的澄清或者修改，澄清或者修改的内容作为谈判文</w:t>
      </w:r>
      <w:r>
        <w:rPr>
          <w:rFonts w:ascii="宋体" w:hAnsi="宋体" w:eastAsia="宋体" w:cs="宋体"/>
          <w:color w:val="auto"/>
          <w:spacing w:val="12"/>
          <w:sz w:val="20"/>
          <w:szCs w:val="20"/>
          <w:highlight w:val="none"/>
        </w:rPr>
        <w:t>件的组成部分。澄清或者修改</w:t>
      </w:r>
      <w:r>
        <w:rPr>
          <w:rFonts w:ascii="宋体" w:hAnsi="宋体" w:eastAsia="宋体" w:cs="宋体"/>
          <w:color w:val="auto"/>
          <w:spacing w:val="13"/>
          <w:sz w:val="20"/>
          <w:szCs w:val="20"/>
          <w:highlight w:val="none"/>
        </w:rPr>
        <w:t>的内容可能影响响应文件编制的，采购人、采购代理机构或者谈</w:t>
      </w:r>
      <w:r>
        <w:rPr>
          <w:rFonts w:ascii="宋体" w:hAnsi="宋体" w:eastAsia="宋体" w:cs="宋体"/>
          <w:color w:val="auto"/>
          <w:spacing w:val="12"/>
          <w:sz w:val="20"/>
          <w:szCs w:val="20"/>
          <w:highlight w:val="none"/>
        </w:rPr>
        <w:t>判小组应当在提交首次响应文</w:t>
      </w:r>
      <w:r>
        <w:rPr>
          <w:rFonts w:ascii="宋体" w:hAnsi="宋体" w:eastAsia="宋体" w:cs="宋体"/>
          <w:color w:val="auto"/>
          <w:spacing w:val="10"/>
          <w:sz w:val="20"/>
          <w:szCs w:val="20"/>
          <w:highlight w:val="none"/>
        </w:rPr>
        <w:t>件截止之日</w:t>
      </w:r>
      <w:r>
        <w:rPr>
          <w:rFonts w:ascii="宋体" w:hAnsi="宋体" w:eastAsia="宋体" w:cs="宋体"/>
          <w:color w:val="auto"/>
          <w:spacing w:val="-29"/>
          <w:sz w:val="20"/>
          <w:szCs w:val="20"/>
          <w:highlight w:val="none"/>
        </w:rPr>
        <w:t xml:space="preserve"> </w:t>
      </w:r>
      <w:r>
        <w:rPr>
          <w:rFonts w:ascii="宋体" w:hAnsi="宋体" w:eastAsia="宋体" w:cs="宋体"/>
          <w:color w:val="auto"/>
          <w:spacing w:val="10"/>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个工作日前，</w:t>
      </w:r>
      <w:r>
        <w:rPr>
          <w:rFonts w:ascii="宋体" w:hAnsi="宋体" w:eastAsia="宋体" w:cs="宋体"/>
          <w:color w:val="auto"/>
          <w:spacing w:val="-59"/>
          <w:sz w:val="20"/>
          <w:szCs w:val="20"/>
          <w:highlight w:val="none"/>
        </w:rPr>
        <w:t xml:space="preserve"> </w:t>
      </w:r>
      <w:r>
        <w:rPr>
          <w:rFonts w:ascii="宋体" w:hAnsi="宋体" w:eastAsia="宋体" w:cs="宋体"/>
          <w:color w:val="auto"/>
          <w:spacing w:val="10"/>
          <w:sz w:val="20"/>
          <w:szCs w:val="20"/>
          <w:highlight w:val="none"/>
        </w:rPr>
        <w:t>以书面形式通知所有接收谈判文件的供应商，不足</w:t>
      </w:r>
      <w:r>
        <w:rPr>
          <w:rFonts w:ascii="宋体" w:hAnsi="宋体" w:eastAsia="宋体" w:cs="宋体"/>
          <w:color w:val="auto"/>
          <w:spacing w:val="-31"/>
          <w:sz w:val="20"/>
          <w:szCs w:val="20"/>
          <w:highlight w:val="none"/>
        </w:rPr>
        <w:t xml:space="preserve"> </w:t>
      </w:r>
      <w:r>
        <w:rPr>
          <w:rFonts w:ascii="宋体" w:hAnsi="宋体" w:eastAsia="宋体" w:cs="宋体"/>
          <w:color w:val="auto"/>
          <w:spacing w:val="10"/>
          <w:sz w:val="20"/>
          <w:szCs w:val="20"/>
          <w:highlight w:val="none"/>
        </w:rPr>
        <w:t>3</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个工作日的，</w:t>
      </w:r>
      <w:r>
        <w:rPr>
          <w:rFonts w:ascii="宋体" w:hAnsi="宋体" w:eastAsia="宋体" w:cs="宋体"/>
          <w:color w:val="auto"/>
          <w:spacing w:val="8"/>
          <w:sz w:val="20"/>
          <w:szCs w:val="20"/>
          <w:highlight w:val="none"/>
        </w:rPr>
        <w:t>应当顺延提交首次响应文件截止之日。</w:t>
      </w:r>
    </w:p>
    <w:p w14:paraId="5792D8AF">
      <w:pPr>
        <w:spacing w:line="319" w:lineRule="auto"/>
        <w:rPr>
          <w:rFonts w:ascii="Arial"/>
          <w:color w:val="auto"/>
          <w:sz w:val="21"/>
          <w:highlight w:val="none"/>
        </w:rPr>
      </w:pPr>
    </w:p>
    <w:p w14:paraId="5152503C">
      <w:pPr>
        <w:spacing w:before="101" w:line="225" w:lineRule="auto"/>
        <w:ind w:left="2924"/>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三、响应文件的编制</w:t>
      </w:r>
    </w:p>
    <w:p w14:paraId="232FD11B">
      <w:pPr>
        <w:spacing w:line="279" w:lineRule="auto"/>
        <w:rPr>
          <w:rFonts w:ascii="Arial"/>
          <w:color w:val="auto"/>
          <w:sz w:val="21"/>
          <w:highlight w:val="none"/>
        </w:rPr>
      </w:pPr>
    </w:p>
    <w:p w14:paraId="6DF0DC0C">
      <w:pPr>
        <w:spacing w:line="280" w:lineRule="auto"/>
        <w:rPr>
          <w:rFonts w:ascii="Arial"/>
          <w:color w:val="auto"/>
          <w:sz w:val="21"/>
          <w:highlight w:val="none"/>
        </w:rPr>
      </w:pPr>
    </w:p>
    <w:p w14:paraId="749109CF">
      <w:pPr>
        <w:spacing w:before="78" w:line="221" w:lineRule="auto"/>
        <w:ind w:left="497"/>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11.响应文件的编制原则</w:t>
      </w:r>
    </w:p>
    <w:p w14:paraId="644C8D25">
      <w:pPr>
        <w:spacing w:before="174" w:line="378" w:lineRule="auto"/>
        <w:ind w:left="1" w:right="143" w:firstLine="420"/>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供应商必须按照谈判文件的要求编制响应文件，并对其提交的响应文件</w:t>
      </w:r>
      <w:r>
        <w:rPr>
          <w:rFonts w:ascii="宋体" w:hAnsi="宋体" w:eastAsia="宋体" w:cs="宋体"/>
          <w:color w:val="auto"/>
          <w:spacing w:val="12"/>
          <w:sz w:val="20"/>
          <w:szCs w:val="20"/>
          <w:highlight w:val="none"/>
        </w:rPr>
        <w:t>的真实性、合法性</w:t>
      </w:r>
      <w:r>
        <w:rPr>
          <w:rFonts w:ascii="宋体" w:hAnsi="宋体" w:eastAsia="宋体" w:cs="宋体"/>
          <w:color w:val="auto"/>
          <w:spacing w:val="9"/>
          <w:sz w:val="20"/>
          <w:szCs w:val="20"/>
          <w:highlight w:val="none"/>
        </w:rPr>
        <w:t>承担法律责任。响应文件必须对谈判文件作出实质性响应。</w:t>
      </w:r>
    </w:p>
    <w:p w14:paraId="05228613">
      <w:pPr>
        <w:spacing w:before="3" w:line="222" w:lineRule="auto"/>
        <w:ind w:left="497"/>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12.响应文件的组成</w:t>
      </w:r>
    </w:p>
    <w:p w14:paraId="0E7B544F">
      <w:pPr>
        <w:spacing w:before="174" w:line="226"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12.1</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响应文件由资格证明文件、报价文件、商务技</w:t>
      </w:r>
      <w:r>
        <w:rPr>
          <w:rFonts w:ascii="宋体" w:hAnsi="宋体" w:eastAsia="宋体" w:cs="宋体"/>
          <w:color w:val="auto"/>
          <w:spacing w:val="7"/>
          <w:sz w:val="20"/>
          <w:szCs w:val="20"/>
          <w:highlight w:val="none"/>
        </w:rPr>
        <w:t>术文件三部分组成。</w:t>
      </w:r>
    </w:p>
    <w:p w14:paraId="4D907540">
      <w:pPr>
        <w:spacing w:before="162" w:line="227" w:lineRule="auto"/>
        <w:ind w:left="437"/>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12.1.1</w:t>
      </w:r>
      <w:r>
        <w:rPr>
          <w:rFonts w:ascii="宋体" w:hAnsi="宋体" w:eastAsia="宋体" w:cs="宋体"/>
          <w:color w:val="auto"/>
          <w:spacing w:val="-32"/>
          <w:sz w:val="20"/>
          <w:szCs w:val="20"/>
          <w:highlight w:val="none"/>
        </w:rPr>
        <w:t xml:space="preserve"> </w:t>
      </w:r>
      <w:r>
        <w:rPr>
          <w:rFonts w:ascii="宋体" w:hAnsi="宋体" w:eastAsia="宋体" w:cs="宋体"/>
          <w:color w:val="auto"/>
          <w:spacing w:val="10"/>
          <w:sz w:val="20"/>
          <w:szCs w:val="20"/>
          <w:highlight w:val="none"/>
        </w:rPr>
        <w:t>资格证明文件：详见“供应商须知前</w:t>
      </w:r>
      <w:r>
        <w:rPr>
          <w:rFonts w:ascii="宋体" w:hAnsi="宋体" w:eastAsia="宋体" w:cs="宋体"/>
          <w:color w:val="auto"/>
          <w:spacing w:val="9"/>
          <w:sz w:val="20"/>
          <w:szCs w:val="20"/>
          <w:highlight w:val="none"/>
        </w:rPr>
        <w:t>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w:t>
      </w:r>
    </w:p>
    <w:p w14:paraId="3361D49F">
      <w:pPr>
        <w:spacing w:before="165" w:line="226" w:lineRule="auto"/>
        <w:ind w:left="437"/>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12.1.2</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报价文件：详见“供应商须知前附表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10"/>
          <w:sz w:val="20"/>
          <w:szCs w:val="20"/>
          <w:highlight w:val="none"/>
        </w:rPr>
        <w:t>”</w:t>
      </w:r>
    </w:p>
    <w:p w14:paraId="5ABB3B2C">
      <w:pPr>
        <w:spacing w:before="163" w:line="227" w:lineRule="auto"/>
        <w:ind w:left="437"/>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12.1.3</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商务技术文件：详见“供应商须知前附表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10"/>
          <w:sz w:val="20"/>
          <w:szCs w:val="20"/>
          <w:highlight w:val="none"/>
        </w:rPr>
        <w:t>”</w:t>
      </w:r>
    </w:p>
    <w:p w14:paraId="29A07C20">
      <w:pPr>
        <w:spacing w:before="167" w:line="222" w:lineRule="auto"/>
        <w:ind w:left="497"/>
        <w:rPr>
          <w:rFonts w:ascii="黑体" w:hAnsi="黑体" w:eastAsia="黑体" w:cs="黑体"/>
          <w:color w:val="auto"/>
          <w:sz w:val="24"/>
          <w:szCs w:val="24"/>
          <w:highlight w:val="none"/>
        </w:rPr>
      </w:pPr>
      <w:r>
        <w:rPr>
          <w:rFonts w:ascii="黑体" w:hAnsi="黑体" w:eastAsia="黑体" w:cs="黑体"/>
          <w:b/>
          <w:bCs/>
          <w:color w:val="auto"/>
          <w:spacing w:val="-5"/>
          <w:sz w:val="24"/>
          <w:szCs w:val="24"/>
          <w:highlight w:val="none"/>
        </w:rPr>
        <w:t>13.计量单位</w:t>
      </w:r>
    </w:p>
    <w:p w14:paraId="43C02CCD">
      <w:pPr>
        <w:spacing w:before="174" w:line="378" w:lineRule="auto"/>
        <w:ind w:left="21" w:right="143" w:firstLine="399"/>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谈判文件已有明确规定的，使用谈判文件规定的计量单位；谈判文件没有</w:t>
      </w:r>
      <w:r>
        <w:rPr>
          <w:rFonts w:ascii="宋体" w:hAnsi="宋体" w:eastAsia="宋体" w:cs="宋体"/>
          <w:color w:val="auto"/>
          <w:spacing w:val="12"/>
          <w:sz w:val="20"/>
          <w:szCs w:val="20"/>
          <w:highlight w:val="none"/>
        </w:rPr>
        <w:t>规定的，应采用</w:t>
      </w:r>
      <w:r>
        <w:rPr>
          <w:rFonts w:ascii="宋体" w:hAnsi="宋体" w:eastAsia="宋体" w:cs="宋体"/>
          <w:color w:val="auto"/>
          <w:spacing w:val="9"/>
          <w:sz w:val="20"/>
          <w:szCs w:val="20"/>
          <w:highlight w:val="none"/>
        </w:rPr>
        <w:t>中华人民共和国法定计量单位，货币种类为人</w:t>
      </w:r>
      <w:r>
        <w:rPr>
          <w:rFonts w:ascii="宋体" w:hAnsi="宋体" w:eastAsia="宋体" w:cs="宋体"/>
          <w:color w:val="auto"/>
          <w:spacing w:val="8"/>
          <w:sz w:val="20"/>
          <w:szCs w:val="20"/>
          <w:highlight w:val="none"/>
        </w:rPr>
        <w:t>民币，否则视同未响应。</w:t>
      </w:r>
    </w:p>
    <w:p w14:paraId="50C0DC14">
      <w:pPr>
        <w:spacing w:before="2" w:line="222" w:lineRule="auto"/>
        <w:ind w:left="497"/>
        <w:rPr>
          <w:rFonts w:ascii="黑体" w:hAnsi="黑体" w:eastAsia="黑体" w:cs="黑体"/>
          <w:color w:val="auto"/>
          <w:sz w:val="24"/>
          <w:szCs w:val="24"/>
          <w:highlight w:val="none"/>
        </w:rPr>
      </w:pPr>
      <w:r>
        <w:rPr>
          <w:rFonts w:ascii="黑体" w:hAnsi="黑体" w:eastAsia="黑体" w:cs="黑体"/>
          <w:b/>
          <w:bCs/>
          <w:color w:val="auto"/>
          <w:spacing w:val="-5"/>
          <w:sz w:val="24"/>
          <w:szCs w:val="24"/>
          <w:highlight w:val="none"/>
        </w:rPr>
        <w:t>14.竞标的风险</w:t>
      </w:r>
    </w:p>
    <w:p w14:paraId="44BAF71F">
      <w:pPr>
        <w:spacing w:before="174" w:line="378" w:lineRule="auto"/>
        <w:ind w:left="2" w:right="143" w:firstLine="419"/>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供应商没有按照谈判文件要求提供全部资料，或者供应商没有对谈判文</w:t>
      </w:r>
      <w:r>
        <w:rPr>
          <w:rFonts w:ascii="宋体" w:hAnsi="宋体" w:eastAsia="宋体" w:cs="宋体"/>
          <w:color w:val="auto"/>
          <w:spacing w:val="12"/>
          <w:sz w:val="20"/>
          <w:szCs w:val="20"/>
          <w:highlight w:val="none"/>
        </w:rPr>
        <w:t>件在各方面作出实</w:t>
      </w:r>
      <w:r>
        <w:rPr>
          <w:rFonts w:ascii="宋体" w:hAnsi="宋体" w:eastAsia="宋体" w:cs="宋体"/>
          <w:color w:val="auto"/>
          <w:spacing w:val="9"/>
          <w:sz w:val="20"/>
          <w:szCs w:val="20"/>
          <w:highlight w:val="none"/>
        </w:rPr>
        <w:t>质性响应可能导致其响应文件按无效处理，是供应商应当考虑的风险。</w:t>
      </w:r>
    </w:p>
    <w:p w14:paraId="0FD1DC66">
      <w:pPr>
        <w:spacing w:before="2" w:line="222" w:lineRule="auto"/>
        <w:ind w:left="497"/>
        <w:rPr>
          <w:rFonts w:ascii="黑体" w:hAnsi="黑体" w:eastAsia="黑体" w:cs="黑体"/>
          <w:color w:val="auto"/>
          <w:sz w:val="24"/>
          <w:szCs w:val="24"/>
          <w:highlight w:val="none"/>
        </w:rPr>
      </w:pPr>
      <w:r>
        <w:rPr>
          <w:rFonts w:ascii="黑体" w:hAnsi="黑体" w:eastAsia="黑体" w:cs="黑体"/>
          <w:b/>
          <w:bCs/>
          <w:color w:val="auto"/>
          <w:spacing w:val="-5"/>
          <w:sz w:val="24"/>
          <w:szCs w:val="24"/>
          <w:highlight w:val="none"/>
        </w:rPr>
        <w:t>15.竞标报价</w:t>
      </w:r>
    </w:p>
    <w:p w14:paraId="2943B1D8">
      <w:pPr>
        <w:spacing w:before="176" w:line="226" w:lineRule="auto"/>
        <w:ind w:left="43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15.1</w:t>
      </w:r>
      <w:r>
        <w:rPr>
          <w:rFonts w:ascii="宋体" w:hAnsi="宋体" w:eastAsia="宋体" w:cs="宋体"/>
          <w:color w:val="auto"/>
          <w:spacing w:val="-24"/>
          <w:sz w:val="20"/>
          <w:szCs w:val="20"/>
          <w:highlight w:val="none"/>
        </w:rPr>
        <w:t xml:space="preserve"> </w:t>
      </w:r>
      <w:r>
        <w:rPr>
          <w:rFonts w:ascii="宋体" w:hAnsi="宋体" w:eastAsia="宋体" w:cs="宋体"/>
          <w:color w:val="auto"/>
          <w:spacing w:val="6"/>
          <w:sz w:val="20"/>
          <w:szCs w:val="20"/>
          <w:highlight w:val="none"/>
        </w:rPr>
        <w:t>竞标报价应按谈判文件中“竞标报价表</w:t>
      </w:r>
      <w:r>
        <w:rPr>
          <w:rFonts w:ascii="宋体" w:hAnsi="宋体" w:eastAsia="宋体" w:cs="宋体"/>
          <w:color w:val="auto"/>
          <w:spacing w:val="-73"/>
          <w:sz w:val="20"/>
          <w:szCs w:val="20"/>
          <w:highlight w:val="none"/>
        </w:rPr>
        <w:t xml:space="preserve"> </w:t>
      </w:r>
      <w:r>
        <w:rPr>
          <w:rFonts w:ascii="宋体" w:hAnsi="宋体" w:eastAsia="宋体" w:cs="宋体"/>
          <w:color w:val="auto"/>
          <w:spacing w:val="6"/>
          <w:sz w:val="20"/>
          <w:szCs w:val="20"/>
          <w:highlight w:val="none"/>
        </w:rPr>
        <w:t>”格式填写。</w:t>
      </w:r>
    </w:p>
    <w:p w14:paraId="3BD2D2FB">
      <w:pPr>
        <w:spacing w:before="163" w:line="226"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15.2</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竞标报价的内容详见“供应商须知前附表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p>
    <w:p w14:paraId="4C5128BB">
      <w:pPr>
        <w:spacing w:before="163" w:line="226" w:lineRule="auto"/>
        <w:ind w:left="441"/>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15.3</w:t>
      </w:r>
      <w:r>
        <w:rPr>
          <w:rFonts w:ascii="宋体" w:hAnsi="宋体" w:eastAsia="宋体" w:cs="宋体"/>
          <w:color w:val="auto"/>
          <w:spacing w:val="-35"/>
          <w:sz w:val="20"/>
          <w:szCs w:val="20"/>
          <w:highlight w:val="none"/>
        </w:rPr>
        <w:t xml:space="preserve"> </w:t>
      </w:r>
      <w:r>
        <w:rPr>
          <w:rFonts w:ascii="宋体" w:hAnsi="宋体" w:eastAsia="宋体" w:cs="宋体"/>
          <w:color w:val="auto"/>
          <w:spacing w:val="4"/>
          <w:sz w:val="20"/>
          <w:szCs w:val="20"/>
          <w:highlight w:val="none"/>
        </w:rPr>
        <w:t>竞标报价要求</w:t>
      </w:r>
    </w:p>
    <w:p w14:paraId="7500ABCE">
      <w:pPr>
        <w:spacing w:before="163" w:line="226"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15.3.1</w:t>
      </w:r>
      <w:r>
        <w:rPr>
          <w:rFonts w:ascii="宋体" w:hAnsi="宋体" w:eastAsia="宋体" w:cs="宋体"/>
          <w:color w:val="auto"/>
          <w:spacing w:val="-26"/>
          <w:sz w:val="20"/>
          <w:szCs w:val="20"/>
          <w:highlight w:val="none"/>
        </w:rPr>
        <w:t xml:space="preserve"> </w:t>
      </w:r>
      <w:r>
        <w:rPr>
          <w:rFonts w:ascii="宋体" w:hAnsi="宋体" w:eastAsia="宋体" w:cs="宋体"/>
          <w:color w:val="auto"/>
          <w:spacing w:val="7"/>
          <w:sz w:val="20"/>
          <w:szCs w:val="20"/>
          <w:highlight w:val="none"/>
        </w:rPr>
        <w:t>供应商的竞标报价应符合以下要求</w:t>
      </w:r>
      <w:r>
        <w:rPr>
          <w:rFonts w:ascii="宋体" w:hAnsi="宋体" w:eastAsia="宋体" w:cs="宋体"/>
          <w:b/>
          <w:bCs/>
          <w:color w:val="auto"/>
          <w:spacing w:val="7"/>
          <w:sz w:val="20"/>
          <w:szCs w:val="20"/>
          <w:highlight w:val="none"/>
        </w:rPr>
        <w:t>，否则响应文件按无效响应处理：</w:t>
      </w:r>
    </w:p>
    <w:p w14:paraId="477B0109">
      <w:pPr>
        <w:spacing w:before="164" w:line="377" w:lineRule="auto"/>
        <w:ind w:left="5" w:firstLine="42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（1）供应商必须就“采购需求</w:t>
      </w:r>
      <w:r>
        <w:rPr>
          <w:rFonts w:ascii="宋体" w:hAnsi="宋体" w:eastAsia="宋体" w:cs="宋体"/>
          <w:color w:val="auto"/>
          <w:spacing w:val="-55"/>
          <w:sz w:val="20"/>
          <w:szCs w:val="20"/>
          <w:highlight w:val="none"/>
        </w:rPr>
        <w:t xml:space="preserve"> </w:t>
      </w:r>
      <w:r>
        <w:rPr>
          <w:rFonts w:ascii="宋体" w:hAnsi="宋体" w:eastAsia="宋体" w:cs="宋体"/>
          <w:color w:val="auto"/>
          <w:spacing w:val="7"/>
          <w:sz w:val="20"/>
          <w:szCs w:val="20"/>
          <w:highlight w:val="none"/>
        </w:rPr>
        <w:t>”中所竞标的每个分标的全部内容分别作完整唯一总价报价，不得存在漏项报价；</w:t>
      </w:r>
    </w:p>
    <w:p w14:paraId="3DEDAA33">
      <w:pPr>
        <w:spacing w:before="1" w:line="226"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（2）供应商必须就所竞标的分标的单项内容作唯一报价。</w:t>
      </w:r>
    </w:p>
    <w:p w14:paraId="4F750986">
      <w:pPr>
        <w:spacing w:line="226" w:lineRule="auto"/>
        <w:rPr>
          <w:rFonts w:ascii="宋体" w:hAnsi="宋体" w:eastAsia="宋体" w:cs="宋体"/>
          <w:color w:val="auto"/>
          <w:sz w:val="20"/>
          <w:szCs w:val="20"/>
          <w:highlight w:val="none"/>
        </w:rPr>
        <w:sectPr>
          <w:footerReference r:id="rId20" w:type="default"/>
          <w:pgSz w:w="11910" w:h="16840"/>
          <w:pgMar w:top="1330" w:right="1357" w:bottom="1091" w:left="1686" w:header="0" w:footer="929" w:gutter="0"/>
          <w:pgNumType w:fmt="decimal"/>
          <w:cols w:space="720" w:num="1"/>
        </w:sectPr>
      </w:pPr>
    </w:p>
    <w:p w14:paraId="372661FD">
      <w:pPr>
        <w:spacing w:before="42" w:line="377" w:lineRule="auto"/>
        <w:ind w:left="2" w:firstLine="43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15.3.2</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竞标报价（包含首次报价、最后报价）超过所竞分标规定的采购预算金额或者单价</w:t>
      </w:r>
      <w:r>
        <w:rPr>
          <w:rFonts w:ascii="宋体" w:hAnsi="宋体" w:eastAsia="宋体" w:cs="宋体"/>
          <w:color w:val="auto"/>
          <w:spacing w:val="7"/>
          <w:sz w:val="20"/>
          <w:szCs w:val="20"/>
          <w:highlight w:val="none"/>
        </w:rPr>
        <w:t>最高限价的，</w:t>
      </w:r>
      <w:r>
        <w:rPr>
          <w:rFonts w:ascii="宋体" w:hAnsi="宋体" w:eastAsia="宋体" w:cs="宋体"/>
          <w:b/>
          <w:bCs/>
          <w:color w:val="auto"/>
          <w:spacing w:val="7"/>
          <w:sz w:val="20"/>
          <w:szCs w:val="20"/>
          <w:highlight w:val="none"/>
        </w:rPr>
        <w:t>其响应文件将按无效处理。</w:t>
      </w:r>
    </w:p>
    <w:p w14:paraId="4097BB0C">
      <w:pPr>
        <w:spacing w:before="2" w:line="221" w:lineRule="auto"/>
        <w:ind w:left="495"/>
        <w:rPr>
          <w:rFonts w:ascii="黑体" w:hAnsi="黑体" w:eastAsia="黑体" w:cs="黑体"/>
          <w:color w:val="auto"/>
          <w:sz w:val="24"/>
          <w:szCs w:val="24"/>
          <w:highlight w:val="none"/>
        </w:rPr>
      </w:pPr>
      <w:r>
        <w:rPr>
          <w:rFonts w:ascii="黑体" w:hAnsi="黑体" w:eastAsia="黑体" w:cs="黑体"/>
          <w:b/>
          <w:bCs/>
          <w:color w:val="auto"/>
          <w:spacing w:val="-5"/>
          <w:sz w:val="24"/>
          <w:szCs w:val="24"/>
          <w:highlight w:val="none"/>
        </w:rPr>
        <w:t>16.竞标有效期</w:t>
      </w:r>
    </w:p>
    <w:p w14:paraId="66739BB4">
      <w:pPr>
        <w:spacing w:before="173" w:line="378" w:lineRule="auto"/>
        <w:ind w:right="2" w:firstLine="43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16.1</w:t>
      </w:r>
      <w:r>
        <w:rPr>
          <w:rFonts w:ascii="宋体" w:hAnsi="宋体" w:eastAsia="宋体" w:cs="宋体"/>
          <w:color w:val="auto"/>
          <w:spacing w:val="-29"/>
          <w:sz w:val="20"/>
          <w:szCs w:val="20"/>
          <w:highlight w:val="none"/>
        </w:rPr>
        <w:t xml:space="preserve"> </w:t>
      </w:r>
      <w:r>
        <w:rPr>
          <w:rFonts w:ascii="宋体" w:hAnsi="宋体" w:eastAsia="宋体" w:cs="宋体"/>
          <w:color w:val="auto"/>
          <w:spacing w:val="10"/>
          <w:sz w:val="20"/>
          <w:szCs w:val="20"/>
          <w:highlight w:val="none"/>
        </w:rPr>
        <w:t>竞标有效期是指为保证采购人有足够的时间在提交响应文件后完成评审、确定成交供</w:t>
      </w:r>
      <w:r>
        <w:rPr>
          <w:rFonts w:ascii="宋体" w:hAnsi="宋体" w:eastAsia="宋体" w:cs="宋体"/>
          <w:color w:val="auto"/>
          <w:spacing w:val="9"/>
          <w:sz w:val="20"/>
          <w:szCs w:val="20"/>
          <w:highlight w:val="none"/>
        </w:rPr>
        <w:t>应商、合同签订等工作而要求供应商提交的响应文件在一定时间内保持有效的期限。</w:t>
      </w:r>
    </w:p>
    <w:p w14:paraId="5F0228BF">
      <w:pPr>
        <w:spacing w:before="1" w:line="376" w:lineRule="auto"/>
        <w:ind w:left="5" w:firstLine="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16.2 竞标有效期应由供应商按“供应商须知前附表</w:t>
      </w:r>
      <w:r>
        <w:rPr>
          <w:rFonts w:ascii="宋体" w:hAnsi="宋体" w:eastAsia="宋体" w:cs="宋体"/>
          <w:color w:val="auto"/>
          <w:spacing w:val="-65"/>
          <w:sz w:val="20"/>
          <w:szCs w:val="20"/>
          <w:highlight w:val="none"/>
        </w:rPr>
        <w:t xml:space="preserve"> </w:t>
      </w:r>
      <w:r>
        <w:rPr>
          <w:rFonts w:ascii="宋体" w:hAnsi="宋体" w:eastAsia="宋体" w:cs="宋体"/>
          <w:color w:val="auto"/>
          <w:spacing w:val="8"/>
          <w:sz w:val="20"/>
          <w:szCs w:val="20"/>
          <w:highlight w:val="none"/>
        </w:rPr>
        <w:t>”规定的期限作出响应。</w:t>
      </w:r>
      <w:r>
        <w:rPr>
          <w:rFonts w:ascii="宋体" w:hAnsi="宋体" w:eastAsia="宋体" w:cs="宋体"/>
          <w:b/>
          <w:bCs/>
          <w:color w:val="auto"/>
          <w:spacing w:val="8"/>
          <w:sz w:val="20"/>
          <w:szCs w:val="20"/>
          <w:highlight w:val="none"/>
        </w:rPr>
        <w:t>承诺的竞标有效期低于采购文件规定期限的，供应商的响应文</w:t>
      </w:r>
      <w:r>
        <w:rPr>
          <w:rFonts w:ascii="宋体" w:hAnsi="宋体" w:eastAsia="宋体" w:cs="宋体"/>
          <w:b/>
          <w:bCs/>
          <w:color w:val="auto"/>
          <w:spacing w:val="7"/>
          <w:sz w:val="20"/>
          <w:szCs w:val="20"/>
          <w:highlight w:val="none"/>
        </w:rPr>
        <w:t>件作无效处理。</w:t>
      </w:r>
    </w:p>
    <w:p w14:paraId="4096999B">
      <w:pPr>
        <w:spacing w:line="226" w:lineRule="auto"/>
        <w:ind w:left="43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16.3</w:t>
      </w:r>
      <w:r>
        <w:rPr>
          <w:rFonts w:ascii="宋体" w:hAnsi="宋体" w:eastAsia="宋体" w:cs="宋体"/>
          <w:color w:val="auto"/>
          <w:spacing w:val="-30"/>
          <w:sz w:val="20"/>
          <w:szCs w:val="20"/>
          <w:highlight w:val="none"/>
        </w:rPr>
        <w:t xml:space="preserve"> </w:t>
      </w:r>
      <w:r>
        <w:rPr>
          <w:rFonts w:ascii="宋体" w:hAnsi="宋体" w:eastAsia="宋体" w:cs="宋体"/>
          <w:color w:val="auto"/>
          <w:spacing w:val="7"/>
          <w:sz w:val="20"/>
          <w:szCs w:val="20"/>
          <w:highlight w:val="none"/>
        </w:rPr>
        <w:t>供应商的响应文件在竞标有效期内均保持有效。</w:t>
      </w:r>
    </w:p>
    <w:p w14:paraId="1C520BE7">
      <w:pPr>
        <w:spacing w:before="169" w:line="222" w:lineRule="auto"/>
        <w:ind w:left="495"/>
        <w:rPr>
          <w:rFonts w:ascii="黑体" w:hAnsi="黑体" w:eastAsia="黑体" w:cs="黑体"/>
          <w:color w:val="auto"/>
          <w:sz w:val="24"/>
          <w:szCs w:val="24"/>
          <w:highlight w:val="none"/>
        </w:rPr>
      </w:pPr>
      <w:r>
        <w:rPr>
          <w:rFonts w:ascii="黑体" w:hAnsi="黑体" w:eastAsia="黑体" w:cs="黑体"/>
          <w:b/>
          <w:bCs/>
          <w:color w:val="auto"/>
          <w:spacing w:val="-5"/>
          <w:sz w:val="24"/>
          <w:szCs w:val="24"/>
          <w:highlight w:val="none"/>
        </w:rPr>
        <w:t>17.竞标保证金</w:t>
      </w:r>
    </w:p>
    <w:p w14:paraId="37A223E0">
      <w:pPr>
        <w:spacing w:before="173" w:line="227" w:lineRule="auto"/>
        <w:ind w:left="43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17.1</w:t>
      </w:r>
      <w:r>
        <w:rPr>
          <w:rFonts w:ascii="宋体" w:hAnsi="宋体" w:eastAsia="宋体" w:cs="宋体"/>
          <w:color w:val="auto"/>
          <w:spacing w:val="-41"/>
          <w:sz w:val="20"/>
          <w:szCs w:val="20"/>
          <w:highlight w:val="none"/>
        </w:rPr>
        <w:t xml:space="preserve"> </w:t>
      </w:r>
      <w:r>
        <w:rPr>
          <w:rFonts w:ascii="宋体" w:hAnsi="宋体" w:eastAsia="宋体" w:cs="宋体"/>
          <w:color w:val="auto"/>
          <w:spacing w:val="7"/>
          <w:sz w:val="20"/>
          <w:szCs w:val="20"/>
          <w:highlight w:val="none"/>
        </w:rPr>
        <w:t>供应商须按“供应商须知前附表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”的规定提交竞</w:t>
      </w:r>
      <w:r>
        <w:rPr>
          <w:rFonts w:ascii="宋体" w:hAnsi="宋体" w:eastAsia="宋体" w:cs="宋体"/>
          <w:color w:val="auto"/>
          <w:spacing w:val="6"/>
          <w:sz w:val="20"/>
          <w:szCs w:val="20"/>
          <w:highlight w:val="none"/>
        </w:rPr>
        <w:t>标保证金。</w:t>
      </w:r>
    </w:p>
    <w:p w14:paraId="7D9C9D19">
      <w:pPr>
        <w:spacing w:before="162" w:line="228" w:lineRule="auto"/>
        <w:ind w:left="43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17.2</w:t>
      </w:r>
      <w:r>
        <w:rPr>
          <w:rFonts w:ascii="宋体" w:hAnsi="宋体" w:eastAsia="宋体" w:cs="宋体"/>
          <w:color w:val="auto"/>
          <w:spacing w:val="-35"/>
          <w:sz w:val="20"/>
          <w:szCs w:val="20"/>
          <w:highlight w:val="none"/>
        </w:rPr>
        <w:t xml:space="preserve"> </w:t>
      </w:r>
      <w:r>
        <w:rPr>
          <w:rFonts w:ascii="宋体" w:hAnsi="宋体" w:eastAsia="宋体" w:cs="宋体"/>
          <w:color w:val="auto"/>
          <w:spacing w:val="5"/>
          <w:sz w:val="20"/>
          <w:szCs w:val="20"/>
          <w:highlight w:val="none"/>
        </w:rPr>
        <w:t>竞标保证金的退还</w:t>
      </w:r>
    </w:p>
    <w:p w14:paraId="5F4275C0">
      <w:pPr>
        <w:spacing w:before="163" w:line="377" w:lineRule="auto"/>
        <w:ind w:firstLine="423"/>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未成交供应商的竞标保证金自成交通知书发出之日起</w:t>
      </w:r>
      <w:r>
        <w:rPr>
          <w:rFonts w:ascii="宋体" w:hAnsi="宋体" w:eastAsia="宋体" w:cs="宋体"/>
          <w:color w:val="auto"/>
          <w:spacing w:val="-41"/>
          <w:sz w:val="20"/>
          <w:szCs w:val="20"/>
          <w:highlight w:val="none"/>
        </w:rPr>
        <w:t xml:space="preserve"> </w:t>
      </w:r>
      <w:r>
        <w:rPr>
          <w:rFonts w:ascii="宋体" w:hAnsi="宋体" w:eastAsia="宋体" w:cs="宋体"/>
          <w:color w:val="auto"/>
          <w:spacing w:val="2"/>
          <w:sz w:val="20"/>
          <w:szCs w:val="20"/>
          <w:highlight w:val="none"/>
        </w:rPr>
        <w:t>4</w:t>
      </w:r>
      <w:r>
        <w:rPr>
          <w:rFonts w:ascii="宋体" w:hAnsi="宋体" w:eastAsia="宋体" w:cs="宋体"/>
          <w:color w:val="auto"/>
          <w:spacing w:val="-45"/>
          <w:sz w:val="20"/>
          <w:szCs w:val="20"/>
          <w:highlight w:val="none"/>
        </w:rPr>
        <w:t xml:space="preserve"> </w:t>
      </w:r>
      <w:r>
        <w:rPr>
          <w:rFonts w:ascii="宋体" w:hAnsi="宋体" w:eastAsia="宋体" w:cs="宋体"/>
          <w:color w:val="auto"/>
          <w:spacing w:val="2"/>
          <w:sz w:val="20"/>
          <w:szCs w:val="20"/>
          <w:highlight w:val="none"/>
        </w:rPr>
        <w:t>个工作日内退还；成交供应商的竞标保</w:t>
      </w:r>
      <w:r>
        <w:rPr>
          <w:rFonts w:ascii="宋体" w:hAnsi="宋体" w:eastAsia="宋体" w:cs="宋体"/>
          <w:color w:val="auto"/>
          <w:spacing w:val="7"/>
          <w:sz w:val="20"/>
          <w:szCs w:val="20"/>
          <w:highlight w:val="none"/>
        </w:rPr>
        <w:t>证金自签订合同之日起</w:t>
      </w:r>
      <w:r>
        <w:rPr>
          <w:rFonts w:ascii="宋体" w:hAnsi="宋体" w:eastAsia="宋体" w:cs="宋体"/>
          <w:color w:val="auto"/>
          <w:spacing w:val="-25"/>
          <w:sz w:val="20"/>
          <w:szCs w:val="20"/>
          <w:highlight w:val="none"/>
        </w:rPr>
        <w:t xml:space="preserve"> </w:t>
      </w:r>
      <w:r>
        <w:rPr>
          <w:rFonts w:ascii="宋体" w:hAnsi="宋体" w:eastAsia="宋体" w:cs="宋体"/>
          <w:color w:val="auto"/>
          <w:spacing w:val="7"/>
          <w:sz w:val="20"/>
          <w:szCs w:val="20"/>
          <w:highlight w:val="none"/>
        </w:rPr>
        <w:t>4</w:t>
      </w:r>
      <w:r>
        <w:rPr>
          <w:rFonts w:ascii="宋体" w:hAnsi="宋体" w:eastAsia="宋体" w:cs="宋体"/>
          <w:color w:val="auto"/>
          <w:spacing w:val="-40"/>
          <w:sz w:val="20"/>
          <w:szCs w:val="20"/>
          <w:highlight w:val="none"/>
        </w:rPr>
        <w:t xml:space="preserve"> </w:t>
      </w:r>
      <w:r>
        <w:rPr>
          <w:rFonts w:ascii="宋体" w:hAnsi="宋体" w:eastAsia="宋体" w:cs="宋体"/>
          <w:color w:val="auto"/>
          <w:spacing w:val="7"/>
          <w:sz w:val="20"/>
          <w:szCs w:val="20"/>
          <w:highlight w:val="none"/>
        </w:rPr>
        <w:t>个工作日内退还。</w:t>
      </w:r>
    </w:p>
    <w:p w14:paraId="0B66ADE2">
      <w:pPr>
        <w:spacing w:line="228" w:lineRule="auto"/>
        <w:ind w:left="435"/>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17.3</w:t>
      </w:r>
      <w:r>
        <w:rPr>
          <w:rFonts w:ascii="宋体" w:hAnsi="宋体" w:eastAsia="宋体" w:cs="宋体"/>
          <w:color w:val="auto"/>
          <w:spacing w:val="-27"/>
          <w:sz w:val="20"/>
          <w:szCs w:val="20"/>
          <w:highlight w:val="none"/>
        </w:rPr>
        <w:t xml:space="preserve"> </w:t>
      </w:r>
      <w:r>
        <w:rPr>
          <w:rFonts w:ascii="宋体" w:hAnsi="宋体" w:eastAsia="宋体" w:cs="宋体"/>
          <w:color w:val="auto"/>
          <w:spacing w:val="4"/>
          <w:sz w:val="20"/>
          <w:szCs w:val="20"/>
          <w:highlight w:val="none"/>
        </w:rPr>
        <w:t>竞标保证金不计息。</w:t>
      </w:r>
    </w:p>
    <w:p w14:paraId="48EFFCC5">
      <w:pPr>
        <w:spacing w:before="161" w:line="227" w:lineRule="auto"/>
        <w:ind w:left="43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17.4</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供应商有下列情形之一的，竞标保证金将不予退还：</w:t>
      </w:r>
    </w:p>
    <w:p w14:paraId="7AB515EE">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（1）供应商在提交响应文件截止时间后撤回响应文件的；</w:t>
      </w:r>
    </w:p>
    <w:p w14:paraId="2AAF073E">
      <w:pPr>
        <w:spacing w:before="161"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（2）未按规定提交履约保证金的；</w:t>
      </w:r>
    </w:p>
    <w:p w14:paraId="5E3935BD">
      <w:pPr>
        <w:spacing w:before="164"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（3）供应商在响应文件中提供虚假材料的；</w:t>
      </w:r>
    </w:p>
    <w:p w14:paraId="3DCF0B69">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（4）除因不可抗力或者谈判文件认可的情形以外，成交供应商不与采购人签订合同的；</w:t>
      </w:r>
    </w:p>
    <w:p w14:paraId="26B87771">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（5）供应商与采购人、其他供应商或者采购代理机</w:t>
      </w:r>
      <w:r>
        <w:rPr>
          <w:rFonts w:ascii="宋体" w:hAnsi="宋体" w:eastAsia="宋体" w:cs="宋体"/>
          <w:color w:val="auto"/>
          <w:spacing w:val="8"/>
          <w:sz w:val="20"/>
          <w:szCs w:val="20"/>
          <w:highlight w:val="none"/>
        </w:rPr>
        <w:t>构恶意串通的；</w:t>
      </w:r>
    </w:p>
    <w:p w14:paraId="44AC0F75">
      <w:pPr>
        <w:spacing w:before="164"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（6）法律法规规定的其他情形。</w:t>
      </w:r>
    </w:p>
    <w:p w14:paraId="141B1CE7">
      <w:pPr>
        <w:spacing w:before="166" w:line="221" w:lineRule="auto"/>
        <w:ind w:left="495"/>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18.</w:t>
      </w:r>
      <w:r>
        <w:rPr>
          <w:rFonts w:ascii="黑体" w:hAnsi="黑体" w:eastAsia="黑体" w:cs="黑体"/>
          <w:color w:val="auto"/>
          <w:spacing w:val="-4"/>
          <w:sz w:val="24"/>
          <w:szCs w:val="24"/>
          <w:highlight w:val="none"/>
        </w:rPr>
        <w:t xml:space="preserve"> </w:t>
      </w:r>
      <w:r>
        <w:rPr>
          <w:rFonts w:ascii="黑体" w:hAnsi="黑体" w:eastAsia="黑体" w:cs="黑体"/>
          <w:b/>
          <w:bCs/>
          <w:color w:val="auto"/>
          <w:spacing w:val="-4"/>
          <w:sz w:val="24"/>
          <w:szCs w:val="24"/>
          <w:highlight w:val="none"/>
        </w:rPr>
        <w:t>响应文件编制的要求</w:t>
      </w:r>
    </w:p>
    <w:p w14:paraId="20B931E8">
      <w:pPr>
        <w:spacing w:before="175" w:line="377" w:lineRule="auto"/>
        <w:ind w:right="2" w:firstLine="43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18.1</w:t>
      </w:r>
      <w:r>
        <w:rPr>
          <w:rFonts w:ascii="宋体" w:hAnsi="宋体" w:eastAsia="宋体" w:cs="宋体"/>
          <w:color w:val="auto"/>
          <w:spacing w:val="-29"/>
          <w:sz w:val="20"/>
          <w:szCs w:val="20"/>
          <w:highlight w:val="none"/>
        </w:rPr>
        <w:t xml:space="preserve"> </w:t>
      </w:r>
      <w:r>
        <w:rPr>
          <w:rFonts w:ascii="宋体" w:hAnsi="宋体" w:eastAsia="宋体" w:cs="宋体"/>
          <w:color w:val="auto"/>
          <w:spacing w:val="10"/>
          <w:sz w:val="20"/>
          <w:szCs w:val="20"/>
          <w:highlight w:val="none"/>
        </w:rPr>
        <w:t>供应商应按照本项目谈判文件规定的格式和顺序和广西政府采购云平台的要求编制并</w:t>
      </w:r>
      <w:r>
        <w:rPr>
          <w:rFonts w:ascii="宋体" w:hAnsi="宋体" w:eastAsia="宋体" w:cs="宋体"/>
          <w:color w:val="auto"/>
          <w:spacing w:val="13"/>
          <w:sz w:val="20"/>
          <w:szCs w:val="20"/>
          <w:highlight w:val="none"/>
        </w:rPr>
        <w:t>加密。响应文件内容不完整、编排混乱导致响应文件被误</w:t>
      </w:r>
      <w:r>
        <w:rPr>
          <w:rFonts w:ascii="宋体" w:hAnsi="宋体" w:eastAsia="宋体" w:cs="宋体"/>
          <w:color w:val="auto"/>
          <w:spacing w:val="12"/>
          <w:sz w:val="20"/>
          <w:szCs w:val="20"/>
          <w:highlight w:val="none"/>
        </w:rPr>
        <w:t>读、漏读或者查找不到相关内容的，</w:t>
      </w:r>
      <w:r>
        <w:rPr>
          <w:rFonts w:ascii="宋体" w:hAnsi="宋体" w:eastAsia="宋体" w:cs="宋体"/>
          <w:color w:val="auto"/>
          <w:spacing w:val="8"/>
          <w:sz w:val="20"/>
          <w:szCs w:val="20"/>
          <w:highlight w:val="none"/>
        </w:rPr>
        <w:t>由此引发的后果由供应商承担。</w:t>
      </w:r>
    </w:p>
    <w:p w14:paraId="24A81AF0">
      <w:pPr>
        <w:spacing w:before="1" w:line="377" w:lineRule="auto"/>
        <w:ind w:firstLine="43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18.2</w:t>
      </w:r>
      <w:r>
        <w:rPr>
          <w:rFonts w:ascii="宋体" w:hAnsi="宋体" w:eastAsia="宋体" w:cs="宋体"/>
          <w:color w:val="auto"/>
          <w:spacing w:val="-29"/>
          <w:sz w:val="20"/>
          <w:szCs w:val="20"/>
          <w:highlight w:val="none"/>
        </w:rPr>
        <w:t xml:space="preserve"> </w:t>
      </w:r>
      <w:r>
        <w:rPr>
          <w:rFonts w:ascii="宋体" w:hAnsi="宋体" w:eastAsia="宋体" w:cs="宋体"/>
          <w:color w:val="auto"/>
          <w:spacing w:val="10"/>
          <w:sz w:val="20"/>
          <w:szCs w:val="20"/>
          <w:highlight w:val="none"/>
        </w:rPr>
        <w:t>为确保网上操作合法、有效和安全，供应商应当在提交响应文件截止时间前完成在广</w:t>
      </w:r>
      <w:r>
        <w:rPr>
          <w:rFonts w:ascii="宋体" w:hAnsi="宋体" w:eastAsia="宋体" w:cs="宋体"/>
          <w:color w:val="auto"/>
          <w:spacing w:val="13"/>
          <w:sz w:val="20"/>
          <w:szCs w:val="20"/>
          <w:highlight w:val="none"/>
        </w:rPr>
        <w:t>西政府采购云平台的身份认证，确保在电子竞标过程中能够</w:t>
      </w:r>
      <w:r>
        <w:rPr>
          <w:rFonts w:ascii="宋体" w:hAnsi="宋体" w:eastAsia="宋体" w:cs="宋体"/>
          <w:color w:val="auto"/>
          <w:spacing w:val="12"/>
          <w:sz w:val="20"/>
          <w:szCs w:val="20"/>
          <w:highlight w:val="none"/>
        </w:rPr>
        <w:t>对相关数据电文进行加密和使用电</w:t>
      </w:r>
      <w:r>
        <w:rPr>
          <w:rFonts w:ascii="宋体" w:hAnsi="宋体" w:eastAsia="宋体" w:cs="宋体"/>
          <w:color w:val="auto"/>
          <w:spacing w:val="4"/>
          <w:sz w:val="20"/>
          <w:szCs w:val="20"/>
          <w:highlight w:val="none"/>
        </w:rPr>
        <w:t>子签章。</w:t>
      </w:r>
    </w:p>
    <w:p w14:paraId="2686EF48">
      <w:pPr>
        <w:spacing w:before="2" w:line="376" w:lineRule="auto"/>
        <w:ind w:left="4" w:right="2" w:firstLine="433"/>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18.3</w:t>
      </w:r>
      <w:r>
        <w:rPr>
          <w:rFonts w:ascii="宋体" w:hAnsi="宋体" w:eastAsia="宋体" w:cs="宋体"/>
          <w:color w:val="auto"/>
          <w:spacing w:val="-29"/>
          <w:sz w:val="20"/>
          <w:szCs w:val="20"/>
          <w:highlight w:val="none"/>
        </w:rPr>
        <w:t xml:space="preserve"> </w:t>
      </w:r>
      <w:r>
        <w:rPr>
          <w:rFonts w:ascii="宋体" w:hAnsi="宋体" w:eastAsia="宋体" w:cs="宋体"/>
          <w:b/>
          <w:bCs/>
          <w:color w:val="auto"/>
          <w:spacing w:val="8"/>
          <w:sz w:val="20"/>
          <w:szCs w:val="20"/>
          <w:highlight w:val="none"/>
        </w:rPr>
        <w:t>响应文件须由供应商在规定位置签字、盖章（具体以供应商须知前附表</w:t>
      </w:r>
      <w:r>
        <w:rPr>
          <w:rFonts w:ascii="宋体" w:hAnsi="宋体" w:eastAsia="宋体" w:cs="宋体"/>
          <w:b/>
          <w:bCs/>
          <w:color w:val="auto"/>
          <w:spacing w:val="7"/>
          <w:sz w:val="20"/>
          <w:szCs w:val="20"/>
          <w:highlight w:val="none"/>
        </w:rPr>
        <w:t>或响应文件格</w:t>
      </w:r>
      <w:r>
        <w:rPr>
          <w:rFonts w:ascii="宋体" w:hAnsi="宋体" w:eastAsia="宋体" w:cs="宋体"/>
          <w:b/>
          <w:bCs/>
          <w:color w:val="auto"/>
          <w:spacing w:val="5"/>
          <w:sz w:val="20"/>
          <w:szCs w:val="20"/>
          <w:highlight w:val="none"/>
        </w:rPr>
        <w:t>式规定为准</w:t>
      </w:r>
      <w:r>
        <w:rPr>
          <w:rFonts w:ascii="宋体" w:hAnsi="宋体" w:eastAsia="宋体" w:cs="宋体"/>
          <w:b/>
          <w:bCs/>
          <w:color w:val="auto"/>
          <w:spacing w:val="24"/>
          <w:sz w:val="20"/>
          <w:szCs w:val="20"/>
          <w:highlight w:val="none"/>
        </w:rPr>
        <w:t>），</w:t>
      </w:r>
      <w:r>
        <w:rPr>
          <w:rFonts w:ascii="宋体" w:hAnsi="宋体" w:eastAsia="宋体" w:cs="宋体"/>
          <w:b/>
          <w:bCs/>
          <w:color w:val="auto"/>
          <w:spacing w:val="5"/>
          <w:sz w:val="20"/>
          <w:szCs w:val="20"/>
          <w:highlight w:val="none"/>
        </w:rPr>
        <w:t>否则按无效响应处理。</w:t>
      </w:r>
    </w:p>
    <w:p w14:paraId="231EE4B1">
      <w:pPr>
        <w:spacing w:before="1" w:line="377" w:lineRule="auto"/>
        <w:ind w:firstLine="43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18.4</w:t>
      </w:r>
      <w:r>
        <w:rPr>
          <w:rFonts w:ascii="宋体" w:hAnsi="宋体" w:eastAsia="宋体" w:cs="宋体"/>
          <w:color w:val="auto"/>
          <w:spacing w:val="-29"/>
          <w:sz w:val="20"/>
          <w:szCs w:val="20"/>
          <w:highlight w:val="none"/>
        </w:rPr>
        <w:t xml:space="preserve"> </w:t>
      </w:r>
      <w:r>
        <w:rPr>
          <w:rFonts w:ascii="宋体" w:hAnsi="宋体" w:eastAsia="宋体" w:cs="宋体"/>
          <w:color w:val="auto"/>
          <w:spacing w:val="10"/>
          <w:sz w:val="20"/>
          <w:szCs w:val="20"/>
          <w:highlight w:val="none"/>
        </w:rPr>
        <w:t>响应文件中标注的供应商名称应与主体资格证明（如营业执照或者事业单位法人证书</w:t>
      </w:r>
      <w:r>
        <w:rPr>
          <w:rFonts w:ascii="宋体" w:hAnsi="宋体" w:eastAsia="宋体" w:cs="宋体"/>
          <w:color w:val="auto"/>
          <w:spacing w:val="13"/>
          <w:sz w:val="20"/>
          <w:szCs w:val="20"/>
          <w:highlight w:val="none"/>
        </w:rPr>
        <w:t>或者执业许可证或者登记证书等）及公章一致，供应商为自然</w:t>
      </w:r>
      <w:r>
        <w:rPr>
          <w:rFonts w:ascii="宋体" w:hAnsi="宋体" w:eastAsia="宋体" w:cs="宋体"/>
          <w:color w:val="auto"/>
          <w:spacing w:val="12"/>
          <w:sz w:val="20"/>
          <w:szCs w:val="20"/>
          <w:highlight w:val="none"/>
        </w:rPr>
        <w:t>人的，标注的供应商名称应与身</w:t>
      </w:r>
      <w:r>
        <w:rPr>
          <w:rFonts w:ascii="宋体" w:hAnsi="宋体" w:eastAsia="宋体" w:cs="宋体"/>
          <w:color w:val="auto"/>
          <w:spacing w:val="9"/>
          <w:sz w:val="20"/>
          <w:szCs w:val="20"/>
          <w:highlight w:val="none"/>
        </w:rPr>
        <w:t>份证姓名及签名一致，否则其响应文件按无效响应处理。</w:t>
      </w:r>
    </w:p>
    <w:p w14:paraId="4AB12AA4">
      <w:pPr>
        <w:spacing w:line="328" w:lineRule="auto"/>
        <w:ind w:right="2" w:firstLine="43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18.5</w:t>
      </w:r>
      <w:r>
        <w:rPr>
          <w:rFonts w:ascii="宋体" w:hAnsi="宋体" w:eastAsia="宋体" w:cs="宋体"/>
          <w:color w:val="auto"/>
          <w:spacing w:val="-29"/>
          <w:sz w:val="20"/>
          <w:szCs w:val="20"/>
          <w:highlight w:val="none"/>
        </w:rPr>
        <w:t xml:space="preserve"> </w:t>
      </w:r>
      <w:r>
        <w:rPr>
          <w:rFonts w:ascii="宋体" w:hAnsi="宋体" w:eastAsia="宋体" w:cs="宋体"/>
          <w:color w:val="auto"/>
          <w:spacing w:val="10"/>
          <w:sz w:val="20"/>
          <w:szCs w:val="20"/>
          <w:highlight w:val="none"/>
        </w:rPr>
        <w:t>响应文件应尽量避免涂改、行间插字或者删除。如果出现上述情况，改动之处应由供</w:t>
      </w:r>
      <w:r>
        <w:rPr>
          <w:rFonts w:ascii="宋体" w:hAnsi="宋体" w:eastAsia="宋体" w:cs="宋体"/>
          <w:color w:val="auto"/>
          <w:spacing w:val="12"/>
          <w:sz w:val="20"/>
          <w:szCs w:val="20"/>
          <w:highlight w:val="none"/>
        </w:rPr>
        <w:t>应商的法定代表人或者其委托代理人签字（或者电子签名）或者加盖公章或者加盖电子签章。</w:t>
      </w:r>
    </w:p>
    <w:p w14:paraId="605D1E71">
      <w:pPr>
        <w:spacing w:line="328" w:lineRule="auto"/>
        <w:rPr>
          <w:rFonts w:ascii="宋体" w:hAnsi="宋体" w:eastAsia="宋体" w:cs="宋体"/>
          <w:color w:val="auto"/>
          <w:sz w:val="20"/>
          <w:szCs w:val="20"/>
          <w:highlight w:val="none"/>
        </w:rPr>
        <w:sectPr>
          <w:footerReference r:id="rId21" w:type="default"/>
          <w:pgSz w:w="11910" w:h="16840"/>
          <w:pgMar w:top="1330" w:right="1501" w:bottom="1091" w:left="1688" w:header="0" w:footer="929" w:gutter="0"/>
          <w:pgNumType w:fmt="decimal"/>
          <w:cols w:space="720" w:num="1"/>
        </w:sectPr>
      </w:pPr>
    </w:p>
    <w:p w14:paraId="1EE2D466">
      <w:pPr>
        <w:spacing w:before="41" w:line="227" w:lineRule="auto"/>
        <w:ind w:left="1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响应文件因涂改、行间插字或者删除导致字迹潦草或者表达不清所引起的后果由供应商承担。</w:t>
      </w:r>
    </w:p>
    <w:p w14:paraId="1D78429B">
      <w:pPr>
        <w:spacing w:before="166" w:line="222" w:lineRule="auto"/>
        <w:ind w:left="497"/>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19.电子备份响应文件</w:t>
      </w:r>
    </w:p>
    <w:p w14:paraId="3D62134C">
      <w:pPr>
        <w:spacing w:before="172" w:line="378" w:lineRule="auto"/>
        <w:ind w:left="12" w:right="188" w:firstLine="433"/>
        <w:rPr>
          <w:rFonts w:ascii="宋体" w:hAnsi="宋体" w:eastAsia="宋体" w:cs="宋体"/>
          <w:color w:val="auto"/>
          <w:sz w:val="20"/>
          <w:szCs w:val="20"/>
          <w:highlight w:val="none"/>
        </w:rPr>
      </w:pPr>
      <w:r>
        <w:rPr>
          <w:rFonts w:ascii="宋体" w:hAnsi="宋体" w:eastAsia="宋体" w:cs="宋体"/>
          <w:color w:val="auto"/>
          <w:spacing w:val="14"/>
          <w:sz w:val="20"/>
          <w:szCs w:val="20"/>
          <w:highlight w:val="none"/>
        </w:rPr>
        <w:t>电子备份响应文件是指通过在线编制生成且</w:t>
      </w:r>
      <w:r>
        <w:rPr>
          <w:rFonts w:ascii="宋体" w:hAnsi="宋体" w:eastAsia="宋体" w:cs="宋体"/>
          <w:color w:val="auto"/>
          <w:spacing w:val="13"/>
          <w:sz w:val="20"/>
          <w:szCs w:val="20"/>
          <w:highlight w:val="none"/>
        </w:rPr>
        <w:t>后缀名为“</w:t>
      </w:r>
      <w:r>
        <w:rPr>
          <w:rFonts w:ascii="Times New Roman" w:hAnsi="Times New Roman" w:eastAsia="Times New Roman" w:cs="Times New Roman"/>
          <w:color w:val="auto"/>
          <w:sz w:val="20"/>
          <w:szCs w:val="20"/>
          <w:highlight w:val="none"/>
        </w:rPr>
        <w:t>bfbs</w:t>
      </w:r>
      <w:r>
        <w:rPr>
          <w:rFonts w:ascii="Times New Roman" w:hAnsi="Times New Roman" w:eastAsia="Times New Roman" w:cs="Times New Roman"/>
          <w:color w:val="auto"/>
          <w:spacing w:val="-20"/>
          <w:sz w:val="20"/>
          <w:szCs w:val="20"/>
          <w:highlight w:val="none"/>
        </w:rPr>
        <w:t xml:space="preserve"> </w:t>
      </w:r>
      <w:r>
        <w:rPr>
          <w:rFonts w:ascii="宋体" w:hAnsi="宋体" w:eastAsia="宋体" w:cs="宋体"/>
          <w:color w:val="auto"/>
          <w:spacing w:val="13"/>
          <w:sz w:val="20"/>
          <w:szCs w:val="20"/>
          <w:highlight w:val="none"/>
        </w:rPr>
        <w:t>”的文件，是否接受电子备份</w:t>
      </w:r>
      <w:r>
        <w:rPr>
          <w:rFonts w:ascii="宋体" w:hAnsi="宋体" w:eastAsia="宋体" w:cs="宋体"/>
          <w:color w:val="auto"/>
          <w:spacing w:val="8"/>
          <w:sz w:val="20"/>
          <w:szCs w:val="20"/>
          <w:highlight w:val="none"/>
        </w:rPr>
        <w:t>响应文件详见“供应商须知前附表</w:t>
      </w:r>
      <w:r>
        <w:rPr>
          <w:rFonts w:ascii="宋体" w:hAnsi="宋体" w:eastAsia="宋体" w:cs="宋体"/>
          <w:color w:val="auto"/>
          <w:spacing w:val="-68"/>
          <w:sz w:val="20"/>
          <w:szCs w:val="20"/>
          <w:highlight w:val="none"/>
        </w:rPr>
        <w:t xml:space="preserve"> </w:t>
      </w:r>
      <w:r>
        <w:rPr>
          <w:rFonts w:ascii="宋体" w:hAnsi="宋体" w:eastAsia="宋体" w:cs="宋体"/>
          <w:color w:val="auto"/>
          <w:spacing w:val="8"/>
          <w:sz w:val="20"/>
          <w:szCs w:val="20"/>
          <w:highlight w:val="none"/>
        </w:rPr>
        <w:t>”。</w:t>
      </w:r>
    </w:p>
    <w:p w14:paraId="07475B52">
      <w:pPr>
        <w:spacing w:before="4" w:line="222" w:lineRule="auto"/>
        <w:ind w:left="483"/>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20.响应文件的提交</w:t>
      </w:r>
    </w:p>
    <w:p w14:paraId="777202C2">
      <w:pPr>
        <w:spacing w:before="174" w:line="377" w:lineRule="auto"/>
        <w:ind w:left="1" w:right="188" w:firstLine="416"/>
        <w:rPr>
          <w:rFonts w:ascii="宋体" w:hAnsi="宋体" w:eastAsia="宋体" w:cs="宋体"/>
          <w:color w:val="auto"/>
          <w:sz w:val="20"/>
          <w:szCs w:val="20"/>
          <w:highlight w:val="none"/>
        </w:rPr>
      </w:pPr>
      <w:r>
        <w:rPr>
          <w:rFonts w:ascii="Times New Roman" w:hAnsi="Times New Roman" w:eastAsia="Times New Roman" w:cs="Times New Roman"/>
          <w:color w:val="auto"/>
          <w:spacing w:val="10"/>
          <w:sz w:val="20"/>
          <w:szCs w:val="20"/>
          <w:highlight w:val="none"/>
        </w:rPr>
        <w:t>20.</w:t>
      </w:r>
      <w:r>
        <w:rPr>
          <w:rFonts w:ascii="Times New Roman" w:hAnsi="Times New Roman" w:eastAsia="Times New Roman" w:cs="Times New Roman"/>
          <w:color w:val="auto"/>
          <w:spacing w:val="-25"/>
          <w:sz w:val="20"/>
          <w:szCs w:val="20"/>
          <w:highlight w:val="none"/>
        </w:rPr>
        <w:t xml:space="preserve"> </w:t>
      </w:r>
      <w:r>
        <w:rPr>
          <w:rFonts w:ascii="Times New Roman" w:hAnsi="Times New Roman" w:eastAsia="Times New Roman" w:cs="Times New Roman"/>
          <w:color w:val="auto"/>
          <w:spacing w:val="10"/>
          <w:sz w:val="20"/>
          <w:szCs w:val="20"/>
          <w:highlight w:val="none"/>
        </w:rPr>
        <w:t xml:space="preserve">1 </w:t>
      </w:r>
      <w:r>
        <w:rPr>
          <w:rFonts w:ascii="宋体" w:hAnsi="宋体" w:eastAsia="宋体" w:cs="宋体"/>
          <w:color w:val="auto"/>
          <w:spacing w:val="10"/>
          <w:sz w:val="20"/>
          <w:szCs w:val="20"/>
          <w:highlight w:val="none"/>
        </w:rPr>
        <w:t>供应商必须按“供应商须知前附表</w:t>
      </w:r>
      <w:r>
        <w:rPr>
          <w:rFonts w:ascii="宋体" w:hAnsi="宋体" w:eastAsia="宋体" w:cs="宋体"/>
          <w:color w:val="auto"/>
          <w:spacing w:val="-67"/>
          <w:sz w:val="20"/>
          <w:szCs w:val="20"/>
          <w:highlight w:val="none"/>
        </w:rPr>
        <w:t xml:space="preserve"> </w:t>
      </w:r>
      <w:r>
        <w:rPr>
          <w:rFonts w:ascii="宋体" w:hAnsi="宋体" w:eastAsia="宋体" w:cs="宋体"/>
          <w:color w:val="auto"/>
          <w:spacing w:val="10"/>
          <w:sz w:val="20"/>
          <w:szCs w:val="20"/>
          <w:highlight w:val="none"/>
        </w:rPr>
        <w:t>”规定的</w:t>
      </w:r>
      <w:r>
        <w:rPr>
          <w:rFonts w:ascii="宋体" w:hAnsi="宋体" w:eastAsia="宋体" w:cs="宋体"/>
          <w:color w:val="auto"/>
          <w:spacing w:val="9"/>
          <w:sz w:val="20"/>
          <w:szCs w:val="20"/>
          <w:highlight w:val="none"/>
        </w:rPr>
        <w:t>时间及地点提交响应文件。</w:t>
      </w:r>
      <w:r>
        <w:rPr>
          <w:rFonts w:ascii="宋体" w:hAnsi="宋体" w:eastAsia="宋体" w:cs="宋体"/>
          <w:color w:val="auto"/>
          <w:spacing w:val="-57"/>
          <w:sz w:val="20"/>
          <w:szCs w:val="20"/>
          <w:highlight w:val="none"/>
        </w:rPr>
        <w:t xml:space="preserve"> </w:t>
      </w:r>
      <w:r>
        <w:rPr>
          <w:rFonts w:ascii="宋体" w:hAnsi="宋体" w:eastAsia="宋体" w:cs="宋体"/>
          <w:color w:val="auto"/>
          <w:spacing w:val="9"/>
          <w:sz w:val="20"/>
          <w:szCs w:val="20"/>
          <w:highlight w:val="none"/>
        </w:rPr>
        <w:t>电子响应文件</w:t>
      </w:r>
      <w:r>
        <w:rPr>
          <w:rFonts w:ascii="宋体" w:hAnsi="宋体" w:eastAsia="宋体" w:cs="宋体"/>
          <w:color w:val="auto"/>
          <w:spacing w:val="10"/>
          <w:sz w:val="20"/>
          <w:szCs w:val="20"/>
          <w:highlight w:val="none"/>
        </w:rPr>
        <w:t>应在制作完成后，在提交响应文件截止时间前通过</w:t>
      </w:r>
      <w:r>
        <w:rPr>
          <w:rFonts w:ascii="宋体" w:hAnsi="宋体" w:eastAsia="宋体" w:cs="宋体"/>
          <w:color w:val="auto"/>
          <w:spacing w:val="9"/>
          <w:sz w:val="20"/>
          <w:szCs w:val="20"/>
          <w:highlight w:val="none"/>
        </w:rPr>
        <w:t>有效数字证书（</w:t>
      </w:r>
      <w:r>
        <w:rPr>
          <w:rFonts w:ascii="Times New Roman" w:hAnsi="Times New Roman" w:eastAsia="Times New Roman" w:cs="Times New Roman"/>
          <w:color w:val="auto"/>
          <w:sz w:val="20"/>
          <w:szCs w:val="20"/>
          <w:highlight w:val="none"/>
        </w:rPr>
        <w:t>CA</w:t>
      </w:r>
      <w:r>
        <w:rPr>
          <w:rFonts w:ascii="Times New Roman" w:hAnsi="Times New Roman" w:eastAsia="Times New Roman" w:cs="Times New Roman"/>
          <w:color w:val="auto"/>
          <w:spacing w:val="9"/>
          <w:sz w:val="20"/>
          <w:szCs w:val="20"/>
          <w:highlight w:val="none"/>
        </w:rPr>
        <w:t xml:space="preserve"> </w:t>
      </w:r>
      <w:r>
        <w:rPr>
          <w:rFonts w:ascii="宋体" w:hAnsi="宋体" w:eastAsia="宋体" w:cs="宋体"/>
          <w:color w:val="auto"/>
          <w:spacing w:val="9"/>
          <w:sz w:val="20"/>
          <w:szCs w:val="20"/>
          <w:highlight w:val="none"/>
        </w:rPr>
        <w:t>认证锁）进行电子签章、加密，然后通过网络将加密的电子响应文件提交至广西政府采购云平台。</w:t>
      </w:r>
    </w:p>
    <w:p w14:paraId="4835B518">
      <w:pPr>
        <w:spacing w:before="2" w:line="377" w:lineRule="auto"/>
        <w:ind w:right="191" w:firstLine="425"/>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20.2</w:t>
      </w:r>
      <w:r>
        <w:rPr>
          <w:rFonts w:ascii="宋体" w:hAnsi="宋体" w:eastAsia="宋体" w:cs="宋体"/>
          <w:color w:val="auto"/>
          <w:spacing w:val="-22"/>
          <w:sz w:val="20"/>
          <w:szCs w:val="20"/>
          <w:highlight w:val="none"/>
        </w:rPr>
        <w:t xml:space="preserve"> </w:t>
      </w:r>
      <w:r>
        <w:rPr>
          <w:rFonts w:ascii="宋体" w:hAnsi="宋体" w:eastAsia="宋体" w:cs="宋体"/>
          <w:b/>
          <w:bCs/>
          <w:color w:val="auto"/>
          <w:spacing w:val="8"/>
          <w:sz w:val="20"/>
          <w:szCs w:val="20"/>
          <w:highlight w:val="none"/>
        </w:rPr>
        <w:t>未在规定时间内提交或者未按照谈判文件要求加密的电子响应文件，广西政府采购云</w:t>
      </w:r>
      <w:r>
        <w:rPr>
          <w:rFonts w:ascii="宋体" w:hAnsi="宋体" w:eastAsia="宋体" w:cs="宋体"/>
          <w:b/>
          <w:bCs/>
          <w:color w:val="auto"/>
          <w:spacing w:val="5"/>
          <w:sz w:val="20"/>
          <w:szCs w:val="20"/>
          <w:highlight w:val="none"/>
        </w:rPr>
        <w:t>平台将拒收。</w:t>
      </w:r>
    </w:p>
    <w:p w14:paraId="305D0446">
      <w:pPr>
        <w:spacing w:before="1" w:line="222" w:lineRule="auto"/>
        <w:ind w:left="483"/>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21.首次响应文件的补充、修改与撤回</w:t>
      </w:r>
    </w:p>
    <w:p w14:paraId="5A8AF28D">
      <w:pPr>
        <w:spacing w:before="174" w:line="377" w:lineRule="auto"/>
        <w:ind w:left="3" w:right="258"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21.1</w:t>
      </w:r>
      <w:r>
        <w:rPr>
          <w:rFonts w:ascii="宋体" w:hAnsi="宋体" w:eastAsia="宋体" w:cs="宋体"/>
          <w:color w:val="auto"/>
          <w:spacing w:val="-40"/>
          <w:sz w:val="20"/>
          <w:szCs w:val="20"/>
          <w:highlight w:val="none"/>
        </w:rPr>
        <w:t xml:space="preserve"> </w:t>
      </w:r>
      <w:r>
        <w:rPr>
          <w:rFonts w:ascii="宋体" w:hAnsi="宋体" w:eastAsia="宋体" w:cs="宋体"/>
          <w:color w:val="auto"/>
          <w:spacing w:val="9"/>
          <w:sz w:val="20"/>
          <w:szCs w:val="20"/>
          <w:highlight w:val="none"/>
        </w:rPr>
        <w:t>供应商应当在提交响应文件截止时间前完成电子响应</w:t>
      </w:r>
      <w:r>
        <w:rPr>
          <w:rFonts w:ascii="宋体" w:hAnsi="宋体" w:eastAsia="宋体" w:cs="宋体"/>
          <w:color w:val="auto"/>
          <w:spacing w:val="8"/>
          <w:sz w:val="20"/>
          <w:szCs w:val="20"/>
          <w:highlight w:val="none"/>
        </w:rPr>
        <w:t>文件的提交（上传</w:t>
      </w:r>
      <w:r>
        <w:rPr>
          <w:rFonts w:ascii="宋体" w:hAnsi="宋体" w:eastAsia="宋体" w:cs="宋体"/>
          <w:color w:val="auto"/>
          <w:spacing w:val="14"/>
          <w:sz w:val="20"/>
          <w:szCs w:val="20"/>
          <w:highlight w:val="none"/>
        </w:rPr>
        <w:t>），</w:t>
      </w:r>
      <w:r>
        <w:rPr>
          <w:rFonts w:ascii="宋体" w:hAnsi="宋体" w:eastAsia="宋体" w:cs="宋体"/>
          <w:color w:val="auto"/>
          <w:spacing w:val="8"/>
          <w:sz w:val="20"/>
          <w:szCs w:val="20"/>
          <w:highlight w:val="none"/>
        </w:rPr>
        <w:t>提交响应</w:t>
      </w:r>
      <w:r>
        <w:rPr>
          <w:rFonts w:ascii="宋体" w:hAnsi="宋体" w:eastAsia="宋体" w:cs="宋体"/>
          <w:color w:val="auto"/>
          <w:spacing w:val="10"/>
          <w:sz w:val="20"/>
          <w:szCs w:val="20"/>
          <w:highlight w:val="none"/>
        </w:rPr>
        <w:t>文件截止时间前可以补充、修改或者撤回响应文件。补充或</w:t>
      </w:r>
      <w:r>
        <w:rPr>
          <w:rFonts w:ascii="宋体" w:hAnsi="宋体" w:eastAsia="宋体" w:cs="宋体"/>
          <w:color w:val="auto"/>
          <w:spacing w:val="9"/>
          <w:sz w:val="20"/>
          <w:szCs w:val="20"/>
          <w:highlight w:val="none"/>
        </w:rPr>
        <w:t>者修改响应文件的，应当先行撤回</w:t>
      </w:r>
    </w:p>
    <w:p w14:paraId="427F13B1">
      <w:pPr>
        <w:spacing w:before="1" w:line="226" w:lineRule="auto"/>
        <w:ind w:left="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原响应文件，补充、修改后重新提交（上传</w:t>
      </w:r>
      <w:r>
        <w:rPr>
          <w:rFonts w:ascii="宋体" w:hAnsi="宋体" w:eastAsia="宋体" w:cs="宋体"/>
          <w:color w:val="auto"/>
          <w:spacing w:val="16"/>
          <w:sz w:val="20"/>
          <w:szCs w:val="20"/>
          <w:highlight w:val="none"/>
        </w:rPr>
        <w:t>），</w:t>
      </w:r>
      <w:r>
        <w:rPr>
          <w:rFonts w:ascii="宋体" w:hAnsi="宋体" w:eastAsia="宋体" w:cs="宋体"/>
          <w:color w:val="auto"/>
          <w:spacing w:val="9"/>
          <w:sz w:val="20"/>
          <w:szCs w:val="20"/>
          <w:highlight w:val="none"/>
        </w:rPr>
        <w:t>提交响应文件截止时间前未完成提交（上传）</w:t>
      </w:r>
    </w:p>
    <w:p w14:paraId="1B809B03">
      <w:pPr>
        <w:spacing w:before="164" w:line="227" w:lineRule="auto"/>
        <w:ind w:left="1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的，视为撤回响应文件。提交响应文件截止时间以后提交（上传）的响应文件，广西政府采购</w:t>
      </w:r>
    </w:p>
    <w:p w14:paraId="74D39086">
      <w:pPr>
        <w:spacing w:before="161" w:line="377" w:lineRule="auto"/>
        <w:ind w:left="21" w:hanging="14"/>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云平台将予以拒收。（补充、修改或者撤回方式可登录广西政府采购云平台，进入“服务中心</w:t>
      </w:r>
      <w:r>
        <w:rPr>
          <w:rFonts w:ascii="宋体" w:hAnsi="宋体" w:eastAsia="宋体" w:cs="宋体"/>
          <w:color w:val="auto"/>
          <w:spacing w:val="-59"/>
          <w:sz w:val="20"/>
          <w:szCs w:val="20"/>
          <w:highlight w:val="none"/>
        </w:rPr>
        <w:t xml:space="preserve"> </w:t>
      </w:r>
      <w:r>
        <w:rPr>
          <w:rFonts w:ascii="宋体" w:hAnsi="宋体" w:eastAsia="宋体" w:cs="宋体"/>
          <w:color w:val="auto"/>
          <w:spacing w:val="11"/>
          <w:sz w:val="20"/>
          <w:szCs w:val="20"/>
          <w:highlight w:val="none"/>
        </w:rPr>
        <w:t>”</w:t>
      </w:r>
      <w:r>
        <w:rPr>
          <w:rFonts w:ascii="宋体" w:hAnsi="宋体" w:eastAsia="宋体" w:cs="宋体"/>
          <w:color w:val="auto"/>
          <w:spacing w:val="6"/>
          <w:sz w:val="20"/>
          <w:szCs w:val="20"/>
          <w:highlight w:val="none"/>
        </w:rPr>
        <w:t>中查看 “</w:t>
      </w:r>
      <w:r>
        <w:rPr>
          <w:rFonts w:ascii="宋体" w:hAnsi="宋体" w:eastAsia="宋体" w:cs="宋体"/>
          <w:color w:val="auto"/>
          <w:spacing w:val="-61"/>
          <w:sz w:val="20"/>
          <w:szCs w:val="20"/>
          <w:highlight w:val="none"/>
        </w:rPr>
        <w:t xml:space="preserve"> </w:t>
      </w:r>
      <w:r>
        <w:rPr>
          <w:rFonts w:ascii="宋体" w:hAnsi="宋体" w:eastAsia="宋体" w:cs="宋体"/>
          <w:color w:val="auto"/>
          <w:spacing w:val="6"/>
          <w:sz w:val="20"/>
          <w:szCs w:val="20"/>
          <w:highlight w:val="none"/>
        </w:rPr>
        <w:t>电子投标文件制作与投送教程</w:t>
      </w:r>
      <w:r>
        <w:rPr>
          <w:rFonts w:ascii="宋体" w:hAnsi="宋体" w:eastAsia="宋体" w:cs="宋体"/>
          <w:color w:val="auto"/>
          <w:spacing w:val="-72"/>
          <w:sz w:val="20"/>
          <w:szCs w:val="20"/>
          <w:highlight w:val="none"/>
        </w:rPr>
        <w:t xml:space="preserve"> </w:t>
      </w:r>
      <w:r>
        <w:rPr>
          <w:rFonts w:ascii="宋体" w:hAnsi="宋体" w:eastAsia="宋体" w:cs="宋体"/>
          <w:color w:val="auto"/>
          <w:spacing w:val="6"/>
          <w:sz w:val="20"/>
          <w:szCs w:val="20"/>
          <w:highlight w:val="none"/>
        </w:rPr>
        <w:t>”）</w:t>
      </w:r>
    </w:p>
    <w:p w14:paraId="1769B445">
      <w:pPr>
        <w:spacing w:line="378" w:lineRule="auto"/>
        <w:ind w:left="1" w:right="191" w:firstLine="422"/>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21.2</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在提交响应文件截止时间前，除供应商补充</w:t>
      </w:r>
      <w:r>
        <w:rPr>
          <w:rFonts w:ascii="宋体" w:hAnsi="宋体" w:eastAsia="宋体" w:cs="宋体"/>
          <w:color w:val="auto"/>
          <w:spacing w:val="10"/>
          <w:sz w:val="20"/>
          <w:szCs w:val="20"/>
          <w:highlight w:val="none"/>
        </w:rPr>
        <w:t>、修改或者撤回响应文件外，任何单位和</w:t>
      </w:r>
      <w:r>
        <w:rPr>
          <w:rFonts w:ascii="宋体" w:hAnsi="宋体" w:eastAsia="宋体" w:cs="宋体"/>
          <w:color w:val="auto"/>
          <w:spacing w:val="8"/>
          <w:sz w:val="20"/>
          <w:szCs w:val="20"/>
          <w:highlight w:val="none"/>
        </w:rPr>
        <w:t>个人不得解密或提取响应文件。</w:t>
      </w:r>
    </w:p>
    <w:p w14:paraId="1F4B4221">
      <w:pPr>
        <w:spacing w:before="1" w:line="222" w:lineRule="auto"/>
        <w:ind w:left="483"/>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22.响应文件的退回</w:t>
      </w:r>
    </w:p>
    <w:p w14:paraId="34E17CB2">
      <w:pPr>
        <w:spacing w:before="176" w:line="227"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采购人和采购代理机构对已提交的响应文件概不退回。</w:t>
      </w:r>
    </w:p>
    <w:p w14:paraId="15F68884">
      <w:pPr>
        <w:spacing w:before="167" w:line="220" w:lineRule="auto"/>
        <w:ind w:left="483"/>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23.截止时间后的撤回</w:t>
      </w:r>
    </w:p>
    <w:p w14:paraId="57B306A3">
      <w:pPr>
        <w:spacing w:before="176" w:line="378" w:lineRule="auto"/>
        <w:ind w:left="1" w:right="189" w:firstLine="420"/>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供应商在响应文件提交截止时间后向采购人、采购代理机构书面申请撤</w:t>
      </w:r>
      <w:r>
        <w:rPr>
          <w:rFonts w:ascii="宋体" w:hAnsi="宋体" w:eastAsia="宋体" w:cs="宋体"/>
          <w:color w:val="auto"/>
          <w:spacing w:val="12"/>
          <w:sz w:val="20"/>
          <w:szCs w:val="20"/>
          <w:highlight w:val="none"/>
        </w:rPr>
        <w:t>回响应文件的，将</w:t>
      </w:r>
      <w:r>
        <w:rPr>
          <w:rFonts w:ascii="宋体" w:hAnsi="宋体" w:eastAsia="宋体" w:cs="宋体"/>
          <w:color w:val="auto"/>
          <w:spacing w:val="7"/>
          <w:sz w:val="20"/>
          <w:szCs w:val="20"/>
          <w:highlight w:val="none"/>
        </w:rPr>
        <w:t>根据本须知正文第</w:t>
      </w:r>
      <w:r>
        <w:rPr>
          <w:rFonts w:ascii="宋体" w:hAnsi="宋体" w:eastAsia="宋体" w:cs="宋体"/>
          <w:color w:val="auto"/>
          <w:spacing w:val="-19"/>
          <w:sz w:val="20"/>
          <w:szCs w:val="20"/>
          <w:highlight w:val="none"/>
        </w:rPr>
        <w:t xml:space="preserve"> </w:t>
      </w:r>
      <w:r>
        <w:rPr>
          <w:rFonts w:ascii="宋体" w:hAnsi="宋体" w:eastAsia="宋体" w:cs="宋体"/>
          <w:color w:val="auto"/>
          <w:spacing w:val="7"/>
          <w:sz w:val="20"/>
          <w:szCs w:val="20"/>
          <w:highlight w:val="none"/>
        </w:rPr>
        <w:t>17.4</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条的规定不予退还其竞标保证金。</w:t>
      </w:r>
    </w:p>
    <w:p w14:paraId="2F644726">
      <w:pPr>
        <w:spacing w:before="17" w:line="225" w:lineRule="auto"/>
        <w:ind w:left="3275"/>
        <w:rPr>
          <w:rFonts w:ascii="宋体" w:hAnsi="宋体" w:eastAsia="宋体" w:cs="宋体"/>
          <w:color w:val="auto"/>
          <w:sz w:val="31"/>
          <w:szCs w:val="31"/>
          <w:highlight w:val="none"/>
        </w:rPr>
      </w:pPr>
      <w:r>
        <w:rPr>
          <w:rFonts w:ascii="宋体" w:hAnsi="宋体" w:eastAsia="宋体" w:cs="宋体"/>
          <w:b/>
          <w:bCs/>
          <w:color w:val="auto"/>
          <w:spacing w:val="1"/>
          <w:sz w:val="31"/>
          <w:szCs w:val="31"/>
          <w:highlight w:val="none"/>
        </w:rPr>
        <w:t>四、评审及谈判</w:t>
      </w:r>
    </w:p>
    <w:p w14:paraId="218FF375">
      <w:pPr>
        <w:spacing w:line="279" w:lineRule="auto"/>
        <w:rPr>
          <w:rFonts w:ascii="Arial"/>
          <w:color w:val="auto"/>
          <w:sz w:val="21"/>
          <w:highlight w:val="none"/>
        </w:rPr>
      </w:pPr>
    </w:p>
    <w:p w14:paraId="6B8329E8">
      <w:pPr>
        <w:spacing w:line="279" w:lineRule="auto"/>
        <w:rPr>
          <w:rFonts w:ascii="Arial"/>
          <w:color w:val="auto"/>
          <w:sz w:val="21"/>
          <w:highlight w:val="none"/>
        </w:rPr>
      </w:pPr>
    </w:p>
    <w:p w14:paraId="40F95A9C">
      <w:pPr>
        <w:spacing w:before="78" w:line="220" w:lineRule="auto"/>
        <w:ind w:left="483"/>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24.谈判小组成立</w:t>
      </w:r>
    </w:p>
    <w:p w14:paraId="39AA9C56">
      <w:pPr>
        <w:spacing w:before="176" w:line="377" w:lineRule="auto"/>
        <w:ind w:right="188" w:firstLine="42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24.1</w:t>
      </w:r>
      <w:r>
        <w:rPr>
          <w:rFonts w:ascii="宋体" w:hAnsi="宋体" w:eastAsia="宋体" w:cs="宋体"/>
          <w:color w:val="auto"/>
          <w:spacing w:val="-41"/>
          <w:sz w:val="20"/>
          <w:szCs w:val="20"/>
          <w:highlight w:val="none"/>
        </w:rPr>
        <w:t xml:space="preserve"> </w:t>
      </w:r>
      <w:r>
        <w:rPr>
          <w:rFonts w:ascii="宋体" w:hAnsi="宋体" w:eastAsia="宋体" w:cs="宋体"/>
          <w:color w:val="auto"/>
          <w:spacing w:val="10"/>
          <w:sz w:val="20"/>
          <w:szCs w:val="20"/>
          <w:highlight w:val="none"/>
        </w:rPr>
        <w:t>谈判小组由采购人代表和评审专家共</w:t>
      </w:r>
      <w:r>
        <w:rPr>
          <w:rFonts w:ascii="宋体" w:hAnsi="宋体" w:eastAsia="宋体" w:cs="宋体"/>
          <w:color w:val="auto"/>
          <w:spacing w:val="-32"/>
          <w:sz w:val="20"/>
          <w:szCs w:val="20"/>
          <w:highlight w:val="none"/>
        </w:rPr>
        <w:t xml:space="preserve"> </w:t>
      </w:r>
      <w:r>
        <w:rPr>
          <w:rFonts w:ascii="宋体" w:hAnsi="宋体" w:eastAsia="宋体" w:cs="宋体"/>
          <w:color w:val="auto"/>
          <w:spacing w:val="10"/>
          <w:sz w:val="20"/>
          <w:szCs w:val="20"/>
          <w:highlight w:val="none"/>
        </w:rPr>
        <w:t>3</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人及以上单数组成，具体人数详</w:t>
      </w:r>
      <w:r>
        <w:rPr>
          <w:rFonts w:ascii="宋体" w:hAnsi="宋体" w:eastAsia="宋体" w:cs="宋体"/>
          <w:color w:val="auto"/>
          <w:spacing w:val="9"/>
          <w:sz w:val="20"/>
          <w:szCs w:val="20"/>
          <w:highlight w:val="none"/>
        </w:rPr>
        <w:t>见“供应商须</w:t>
      </w:r>
      <w:r>
        <w:rPr>
          <w:rFonts w:ascii="宋体" w:hAnsi="宋体" w:eastAsia="宋体" w:cs="宋体"/>
          <w:color w:val="auto"/>
          <w:spacing w:val="12"/>
          <w:sz w:val="20"/>
          <w:szCs w:val="20"/>
          <w:highlight w:val="none"/>
        </w:rPr>
        <w:t>知前附表</w:t>
      </w:r>
      <w:r>
        <w:rPr>
          <w:rFonts w:ascii="宋体" w:hAnsi="宋体" w:eastAsia="宋体" w:cs="宋体"/>
          <w:color w:val="auto"/>
          <w:spacing w:val="-51"/>
          <w:sz w:val="20"/>
          <w:szCs w:val="20"/>
          <w:highlight w:val="none"/>
        </w:rPr>
        <w:t xml:space="preserve"> </w:t>
      </w:r>
      <w:r>
        <w:rPr>
          <w:rFonts w:ascii="宋体" w:hAnsi="宋体" w:eastAsia="宋体" w:cs="宋体"/>
          <w:color w:val="auto"/>
          <w:spacing w:val="12"/>
          <w:sz w:val="20"/>
          <w:szCs w:val="20"/>
          <w:highlight w:val="none"/>
        </w:rPr>
        <w:t>”，其中评审专家人数不得少于竞争性谈判小组成员总数的</w:t>
      </w:r>
      <w:r>
        <w:rPr>
          <w:rFonts w:ascii="宋体" w:hAnsi="宋体" w:eastAsia="宋体" w:cs="宋体"/>
          <w:color w:val="auto"/>
          <w:spacing w:val="-32"/>
          <w:sz w:val="20"/>
          <w:szCs w:val="20"/>
          <w:highlight w:val="none"/>
        </w:rPr>
        <w:t xml:space="preserve"> </w:t>
      </w:r>
      <w:r>
        <w:rPr>
          <w:rFonts w:ascii="宋体" w:hAnsi="宋体" w:eastAsia="宋体" w:cs="宋体"/>
          <w:color w:val="auto"/>
          <w:spacing w:val="12"/>
          <w:sz w:val="20"/>
          <w:szCs w:val="20"/>
          <w:highlight w:val="none"/>
        </w:rPr>
        <w:t>2/3。采购人不得以评审</w:t>
      </w:r>
      <w:r>
        <w:rPr>
          <w:rFonts w:ascii="宋体" w:hAnsi="宋体" w:eastAsia="宋体" w:cs="宋体"/>
          <w:color w:val="auto"/>
          <w:spacing w:val="13"/>
          <w:sz w:val="20"/>
          <w:szCs w:val="20"/>
          <w:highlight w:val="none"/>
        </w:rPr>
        <w:t>专家身份参加本部门或者本单位采购项目的评审。采购代理机构人</w:t>
      </w:r>
      <w:r>
        <w:rPr>
          <w:rFonts w:ascii="宋体" w:hAnsi="宋体" w:eastAsia="宋体" w:cs="宋体"/>
          <w:color w:val="auto"/>
          <w:spacing w:val="12"/>
          <w:sz w:val="20"/>
          <w:szCs w:val="20"/>
          <w:highlight w:val="none"/>
        </w:rPr>
        <w:t>员不得参加本机构代理的采</w:t>
      </w:r>
      <w:r>
        <w:rPr>
          <w:rFonts w:ascii="宋体" w:hAnsi="宋体" w:eastAsia="宋体" w:cs="宋体"/>
          <w:color w:val="auto"/>
          <w:spacing w:val="13"/>
          <w:sz w:val="20"/>
          <w:szCs w:val="20"/>
          <w:highlight w:val="none"/>
        </w:rPr>
        <w:t>购项目的评审。达到公开招标数额标准的货物或者服务采购项目，</w:t>
      </w:r>
      <w:r>
        <w:rPr>
          <w:rFonts w:ascii="宋体" w:hAnsi="宋体" w:eastAsia="宋体" w:cs="宋体"/>
          <w:color w:val="auto"/>
          <w:spacing w:val="12"/>
          <w:sz w:val="20"/>
          <w:szCs w:val="20"/>
          <w:highlight w:val="none"/>
        </w:rPr>
        <w:t>或者达到招标规模标准的政</w:t>
      </w:r>
      <w:r>
        <w:rPr>
          <w:rFonts w:ascii="宋体" w:hAnsi="宋体" w:eastAsia="宋体" w:cs="宋体"/>
          <w:color w:val="auto"/>
          <w:spacing w:val="8"/>
          <w:sz w:val="20"/>
          <w:szCs w:val="20"/>
          <w:highlight w:val="none"/>
        </w:rPr>
        <w:t>府采购工程，竞争性谈判小组应当由</w:t>
      </w:r>
      <w:r>
        <w:rPr>
          <w:rFonts w:ascii="宋体" w:hAnsi="宋体" w:eastAsia="宋体" w:cs="宋体"/>
          <w:color w:val="auto"/>
          <w:spacing w:val="-31"/>
          <w:sz w:val="20"/>
          <w:szCs w:val="20"/>
          <w:highlight w:val="none"/>
        </w:rPr>
        <w:t xml:space="preserve"> </w:t>
      </w:r>
      <w:r>
        <w:rPr>
          <w:rFonts w:ascii="宋体" w:hAnsi="宋体" w:eastAsia="宋体" w:cs="宋体"/>
          <w:color w:val="auto"/>
          <w:spacing w:val="8"/>
          <w:sz w:val="20"/>
          <w:szCs w:val="20"/>
          <w:highlight w:val="none"/>
        </w:rPr>
        <w:t>5</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人及以上单数组成。</w:t>
      </w:r>
    </w:p>
    <w:p w14:paraId="4EE05671">
      <w:pPr>
        <w:spacing w:line="338" w:lineRule="auto"/>
        <w:ind w:left="2" w:right="189" w:firstLine="42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24.2</w:t>
      </w:r>
      <w:r>
        <w:rPr>
          <w:rFonts w:ascii="宋体" w:hAnsi="宋体" w:eastAsia="宋体" w:cs="宋体"/>
          <w:color w:val="auto"/>
          <w:spacing w:val="-41"/>
          <w:sz w:val="20"/>
          <w:szCs w:val="20"/>
          <w:highlight w:val="none"/>
        </w:rPr>
        <w:t xml:space="preserve"> </w:t>
      </w:r>
      <w:r>
        <w:rPr>
          <w:rFonts w:ascii="宋体" w:hAnsi="宋体" w:eastAsia="宋体" w:cs="宋体"/>
          <w:color w:val="auto"/>
          <w:spacing w:val="11"/>
          <w:sz w:val="20"/>
          <w:szCs w:val="20"/>
          <w:highlight w:val="none"/>
        </w:rPr>
        <w:t>评审专家应当从政府采购评审专家库内相关专业的专家</w:t>
      </w:r>
      <w:r>
        <w:rPr>
          <w:rFonts w:ascii="宋体" w:hAnsi="宋体" w:eastAsia="宋体" w:cs="宋体"/>
          <w:color w:val="auto"/>
          <w:spacing w:val="10"/>
          <w:sz w:val="20"/>
          <w:szCs w:val="20"/>
          <w:highlight w:val="none"/>
        </w:rPr>
        <w:t>名单中随机抽取。技术复杂、</w:t>
      </w:r>
      <w:r>
        <w:rPr>
          <w:rFonts w:ascii="宋体" w:hAnsi="宋体" w:eastAsia="宋体" w:cs="宋体"/>
          <w:color w:val="auto"/>
          <w:spacing w:val="13"/>
          <w:sz w:val="20"/>
          <w:szCs w:val="20"/>
          <w:highlight w:val="none"/>
        </w:rPr>
        <w:t>专业性强的竞争性谈判采购项目，通过随机方式难以确定合</w:t>
      </w:r>
      <w:r>
        <w:rPr>
          <w:rFonts w:ascii="宋体" w:hAnsi="宋体" w:eastAsia="宋体" w:cs="宋体"/>
          <w:color w:val="auto"/>
          <w:spacing w:val="12"/>
          <w:sz w:val="20"/>
          <w:szCs w:val="20"/>
          <w:highlight w:val="none"/>
        </w:rPr>
        <w:t>适的评审专家的，经主管预算单位</w:t>
      </w:r>
    </w:p>
    <w:p w14:paraId="48770016">
      <w:pPr>
        <w:spacing w:line="338" w:lineRule="auto"/>
        <w:rPr>
          <w:rFonts w:ascii="宋体" w:hAnsi="宋体" w:eastAsia="宋体" w:cs="宋体"/>
          <w:color w:val="auto"/>
          <w:sz w:val="20"/>
          <w:szCs w:val="20"/>
          <w:highlight w:val="none"/>
        </w:rPr>
        <w:sectPr>
          <w:footerReference r:id="rId22" w:type="default"/>
          <w:pgSz w:w="11910" w:h="16840"/>
          <w:pgMar w:top="1330" w:right="1312" w:bottom="1091" w:left="1686" w:header="0" w:footer="929" w:gutter="0"/>
          <w:pgNumType w:fmt="decimal"/>
          <w:cols w:space="720" w:num="1"/>
        </w:sectPr>
      </w:pPr>
    </w:p>
    <w:p w14:paraId="63BED907">
      <w:pPr>
        <w:spacing w:before="40" w:line="377" w:lineRule="auto"/>
        <w:ind w:right="37" w:firstLine="20"/>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同意，可以自行选定评审专家。技术复杂、专业性强的竞争性谈判采购项目，评审专家中应当</w:t>
      </w:r>
      <w:r>
        <w:rPr>
          <w:rFonts w:ascii="宋体" w:hAnsi="宋体" w:eastAsia="宋体" w:cs="宋体"/>
          <w:color w:val="auto"/>
          <w:spacing w:val="3"/>
          <w:sz w:val="20"/>
          <w:szCs w:val="20"/>
          <w:highlight w:val="none"/>
        </w:rPr>
        <w:t>包含</w:t>
      </w:r>
      <w:r>
        <w:rPr>
          <w:rFonts w:ascii="宋体" w:hAnsi="宋体" w:eastAsia="宋体" w:cs="宋体"/>
          <w:color w:val="auto"/>
          <w:spacing w:val="-21"/>
          <w:sz w:val="20"/>
          <w:szCs w:val="20"/>
          <w:highlight w:val="none"/>
        </w:rPr>
        <w:t xml:space="preserve"> </w:t>
      </w:r>
      <w:r>
        <w:rPr>
          <w:rFonts w:ascii="宋体" w:hAnsi="宋体" w:eastAsia="宋体" w:cs="宋体"/>
          <w:color w:val="auto"/>
          <w:spacing w:val="3"/>
          <w:sz w:val="20"/>
          <w:szCs w:val="20"/>
          <w:highlight w:val="none"/>
        </w:rPr>
        <w:t>1</w:t>
      </w:r>
      <w:r>
        <w:rPr>
          <w:rFonts w:ascii="宋体" w:hAnsi="宋体" w:eastAsia="宋体" w:cs="宋体"/>
          <w:color w:val="auto"/>
          <w:spacing w:val="-38"/>
          <w:sz w:val="20"/>
          <w:szCs w:val="20"/>
          <w:highlight w:val="none"/>
        </w:rPr>
        <w:t xml:space="preserve"> </w:t>
      </w:r>
      <w:r>
        <w:rPr>
          <w:rFonts w:ascii="宋体" w:hAnsi="宋体" w:eastAsia="宋体" w:cs="宋体"/>
          <w:color w:val="auto"/>
          <w:spacing w:val="3"/>
          <w:sz w:val="20"/>
          <w:szCs w:val="20"/>
          <w:highlight w:val="none"/>
        </w:rPr>
        <w:t>名法律专家。</w:t>
      </w:r>
    </w:p>
    <w:p w14:paraId="38569008">
      <w:pPr>
        <w:spacing w:line="226"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24.3</w:t>
      </w:r>
      <w:r>
        <w:rPr>
          <w:rFonts w:ascii="宋体" w:hAnsi="宋体" w:eastAsia="宋体" w:cs="宋体"/>
          <w:color w:val="auto"/>
          <w:spacing w:val="-26"/>
          <w:sz w:val="20"/>
          <w:szCs w:val="20"/>
          <w:highlight w:val="none"/>
        </w:rPr>
        <w:t xml:space="preserve"> </w:t>
      </w:r>
      <w:r>
        <w:rPr>
          <w:rFonts w:ascii="宋体" w:hAnsi="宋体" w:eastAsia="宋体" w:cs="宋体"/>
          <w:color w:val="auto"/>
          <w:spacing w:val="8"/>
          <w:sz w:val="20"/>
          <w:szCs w:val="20"/>
          <w:highlight w:val="none"/>
        </w:rPr>
        <w:t>采购代理机构应当基于广西政府采购云平台抽（选）取评审专家。</w:t>
      </w:r>
    </w:p>
    <w:p w14:paraId="76F1DC33">
      <w:pPr>
        <w:spacing w:before="162" w:line="227" w:lineRule="auto"/>
        <w:ind w:left="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24.4</w:t>
      </w:r>
      <w:r>
        <w:rPr>
          <w:rFonts w:ascii="宋体" w:hAnsi="宋体" w:eastAsia="宋体" w:cs="宋体"/>
          <w:color w:val="auto"/>
          <w:spacing w:val="-39"/>
          <w:sz w:val="20"/>
          <w:szCs w:val="20"/>
          <w:highlight w:val="none"/>
        </w:rPr>
        <w:t xml:space="preserve"> </w:t>
      </w:r>
      <w:r>
        <w:rPr>
          <w:rFonts w:ascii="宋体" w:hAnsi="宋体" w:eastAsia="宋体" w:cs="宋体"/>
          <w:color w:val="auto"/>
          <w:spacing w:val="9"/>
          <w:sz w:val="20"/>
          <w:szCs w:val="20"/>
          <w:highlight w:val="none"/>
        </w:rPr>
        <w:t>参加过采购项目前期咨询论证的专家</w:t>
      </w:r>
      <w:r>
        <w:rPr>
          <w:rFonts w:ascii="宋体" w:hAnsi="宋体" w:eastAsia="宋体" w:cs="宋体"/>
          <w:color w:val="auto"/>
          <w:spacing w:val="8"/>
          <w:sz w:val="20"/>
          <w:szCs w:val="20"/>
          <w:highlight w:val="none"/>
        </w:rPr>
        <w:t>，不得参加该采购项目的评审活动。</w:t>
      </w:r>
    </w:p>
    <w:p w14:paraId="7066B24B">
      <w:pPr>
        <w:spacing w:before="168" w:line="221" w:lineRule="auto"/>
        <w:ind w:left="482"/>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25.</w:t>
      </w:r>
      <w:r>
        <w:rPr>
          <w:rFonts w:ascii="黑体" w:hAnsi="黑体" w:eastAsia="黑体" w:cs="黑体"/>
          <w:color w:val="auto"/>
          <w:spacing w:val="-3"/>
          <w:sz w:val="24"/>
          <w:szCs w:val="24"/>
          <w:highlight w:val="none"/>
        </w:rPr>
        <w:t xml:space="preserve"> </w:t>
      </w:r>
      <w:r>
        <w:rPr>
          <w:rFonts w:ascii="黑体" w:hAnsi="黑体" w:eastAsia="黑体" w:cs="黑体"/>
          <w:b/>
          <w:bCs/>
          <w:color w:val="auto"/>
          <w:spacing w:val="-3"/>
          <w:sz w:val="24"/>
          <w:szCs w:val="24"/>
          <w:highlight w:val="none"/>
        </w:rPr>
        <w:t>首次响应文件的开启和解密</w:t>
      </w:r>
    </w:p>
    <w:p w14:paraId="7D7966BA">
      <w:pPr>
        <w:spacing w:before="171" w:line="378" w:lineRule="auto"/>
        <w:ind w:firstLine="419"/>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采购代理机构将在“供应商须知前附表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”规定的时间通过电子交</w:t>
      </w:r>
      <w:r>
        <w:rPr>
          <w:rFonts w:ascii="宋体" w:hAnsi="宋体" w:eastAsia="宋体" w:cs="宋体"/>
          <w:color w:val="auto"/>
          <w:spacing w:val="7"/>
          <w:sz w:val="20"/>
          <w:szCs w:val="20"/>
          <w:highlight w:val="none"/>
        </w:rPr>
        <w:t>易平台组织响应文件开启，</w:t>
      </w:r>
      <w:r>
        <w:rPr>
          <w:rFonts w:ascii="宋体" w:hAnsi="宋体" w:eastAsia="宋体" w:cs="宋体"/>
          <w:color w:val="auto"/>
          <w:spacing w:val="13"/>
          <w:sz w:val="20"/>
          <w:szCs w:val="20"/>
          <w:highlight w:val="none"/>
        </w:rPr>
        <w:t>供应商的法定代表人或其委托代理人须携带加密时所用的</w:t>
      </w:r>
      <w:r>
        <w:rPr>
          <w:rFonts w:ascii="宋体" w:hAnsi="宋体" w:eastAsia="宋体" w:cs="宋体"/>
          <w:color w:val="auto"/>
          <w:spacing w:val="-31"/>
          <w:sz w:val="20"/>
          <w:szCs w:val="20"/>
          <w:highlight w:val="none"/>
        </w:rPr>
        <w:t xml:space="preserve"> </w:t>
      </w:r>
      <w:r>
        <w:rPr>
          <w:rFonts w:ascii="Times New Roman" w:hAnsi="Times New Roman" w:eastAsia="Times New Roman" w:cs="Times New Roman"/>
          <w:color w:val="auto"/>
          <w:sz w:val="20"/>
          <w:szCs w:val="20"/>
          <w:highlight w:val="none"/>
        </w:rPr>
        <w:t>CA</w:t>
      </w:r>
      <w:r>
        <w:rPr>
          <w:rFonts w:ascii="Times New Roman" w:hAnsi="Times New Roman" w:eastAsia="Times New Roman" w:cs="Times New Roman"/>
          <w:color w:val="auto"/>
          <w:spacing w:val="13"/>
          <w:sz w:val="20"/>
          <w:szCs w:val="20"/>
          <w:highlight w:val="none"/>
        </w:rPr>
        <w:t xml:space="preserve"> </w:t>
      </w:r>
      <w:r>
        <w:rPr>
          <w:rFonts w:ascii="宋体" w:hAnsi="宋体" w:eastAsia="宋体" w:cs="宋体"/>
          <w:color w:val="auto"/>
          <w:spacing w:val="13"/>
          <w:sz w:val="20"/>
          <w:szCs w:val="20"/>
          <w:highlight w:val="none"/>
        </w:rPr>
        <w:t>锁，按平台提示和谈判文件的规定登录到广西政府采购云平台电子开标大厅签到，采购代</w:t>
      </w:r>
      <w:r>
        <w:rPr>
          <w:rFonts w:ascii="宋体" w:hAnsi="宋体" w:eastAsia="宋体" w:cs="宋体"/>
          <w:color w:val="auto"/>
          <w:spacing w:val="12"/>
          <w:sz w:val="20"/>
          <w:szCs w:val="20"/>
          <w:highlight w:val="none"/>
        </w:rPr>
        <w:t>理机构依托广西政府采购云平台向各</w:t>
      </w:r>
      <w:r>
        <w:rPr>
          <w:rFonts w:ascii="宋体" w:hAnsi="宋体" w:eastAsia="宋体" w:cs="宋体"/>
          <w:color w:val="auto"/>
          <w:spacing w:val="11"/>
          <w:sz w:val="20"/>
          <w:szCs w:val="20"/>
          <w:highlight w:val="none"/>
        </w:rPr>
        <w:t>供应商发出电子加密响应文件【开始解密】通知，</w:t>
      </w:r>
      <w:r>
        <w:rPr>
          <w:rFonts w:ascii="宋体" w:hAnsi="宋体" w:eastAsia="宋体" w:cs="宋体"/>
          <w:color w:val="auto"/>
          <w:spacing w:val="-58"/>
          <w:sz w:val="20"/>
          <w:szCs w:val="20"/>
          <w:highlight w:val="none"/>
        </w:rPr>
        <w:t xml:space="preserve"> </w:t>
      </w:r>
      <w:r>
        <w:rPr>
          <w:rFonts w:ascii="宋体" w:hAnsi="宋体" w:eastAsia="宋体" w:cs="宋体"/>
          <w:color w:val="auto"/>
          <w:spacing w:val="11"/>
          <w:sz w:val="20"/>
          <w:szCs w:val="20"/>
          <w:highlight w:val="none"/>
        </w:rPr>
        <w:t>由供应商按“供应商须知前附</w:t>
      </w:r>
      <w:r>
        <w:rPr>
          <w:rFonts w:ascii="宋体" w:hAnsi="宋体" w:eastAsia="宋体" w:cs="宋体"/>
          <w:color w:val="auto"/>
          <w:spacing w:val="10"/>
          <w:sz w:val="20"/>
          <w:szCs w:val="20"/>
          <w:highlight w:val="none"/>
        </w:rPr>
        <w:t>表</w:t>
      </w:r>
      <w:r>
        <w:rPr>
          <w:rFonts w:ascii="宋体" w:hAnsi="宋体" w:eastAsia="宋体" w:cs="宋体"/>
          <w:color w:val="auto"/>
          <w:spacing w:val="-68"/>
          <w:sz w:val="20"/>
          <w:szCs w:val="20"/>
          <w:highlight w:val="none"/>
        </w:rPr>
        <w:t xml:space="preserve"> </w:t>
      </w:r>
      <w:r>
        <w:rPr>
          <w:rFonts w:ascii="宋体" w:hAnsi="宋体" w:eastAsia="宋体" w:cs="宋体"/>
          <w:color w:val="auto"/>
          <w:spacing w:val="10"/>
          <w:sz w:val="20"/>
          <w:szCs w:val="20"/>
          <w:highlight w:val="none"/>
        </w:rPr>
        <w:t>”规定的时</w:t>
      </w:r>
      <w:r>
        <w:rPr>
          <w:rFonts w:ascii="宋体" w:hAnsi="宋体" w:eastAsia="宋体" w:cs="宋体"/>
          <w:color w:val="auto"/>
          <w:spacing w:val="11"/>
          <w:sz w:val="20"/>
          <w:szCs w:val="20"/>
          <w:highlight w:val="none"/>
        </w:rPr>
        <w:t>间内自行进行响应文件解密。</w:t>
      </w:r>
      <w:r>
        <w:rPr>
          <w:rFonts w:ascii="宋体" w:hAnsi="宋体" w:eastAsia="宋体" w:cs="宋体"/>
          <w:b/>
          <w:bCs/>
          <w:color w:val="auto"/>
          <w:spacing w:val="11"/>
          <w:sz w:val="20"/>
          <w:szCs w:val="20"/>
          <w:highlight w:val="none"/>
        </w:rPr>
        <w:t>供应商未在规定的时间内解密响应文件或者解密失败的，供应商</w:t>
      </w:r>
      <w:r>
        <w:rPr>
          <w:rFonts w:ascii="宋体" w:hAnsi="宋体" w:eastAsia="宋体" w:cs="宋体"/>
          <w:b/>
          <w:bCs/>
          <w:color w:val="auto"/>
          <w:spacing w:val="6"/>
          <w:sz w:val="20"/>
          <w:szCs w:val="20"/>
          <w:highlight w:val="none"/>
        </w:rPr>
        <w:t>的响应文件作无效处理。</w:t>
      </w:r>
    </w:p>
    <w:p w14:paraId="6437A84C">
      <w:pPr>
        <w:spacing w:before="1" w:line="222" w:lineRule="auto"/>
        <w:ind w:left="482"/>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26.</w:t>
      </w:r>
      <w:r>
        <w:rPr>
          <w:rFonts w:ascii="黑体" w:hAnsi="黑体" w:eastAsia="黑体" w:cs="黑体"/>
          <w:color w:val="auto"/>
          <w:spacing w:val="-3"/>
          <w:sz w:val="24"/>
          <w:szCs w:val="24"/>
          <w:highlight w:val="none"/>
        </w:rPr>
        <w:t xml:space="preserve"> </w:t>
      </w:r>
      <w:r>
        <w:rPr>
          <w:rFonts w:ascii="黑体" w:hAnsi="黑体" w:eastAsia="黑体" w:cs="黑体"/>
          <w:b/>
          <w:bCs/>
          <w:color w:val="auto"/>
          <w:spacing w:val="-3"/>
          <w:sz w:val="24"/>
          <w:szCs w:val="24"/>
          <w:highlight w:val="none"/>
        </w:rPr>
        <w:t>评审程序和评定成交的标准</w:t>
      </w:r>
    </w:p>
    <w:p w14:paraId="1A0225FB">
      <w:pPr>
        <w:spacing w:before="174" w:line="377" w:lineRule="auto"/>
        <w:ind w:right="37" w:firstLine="417"/>
        <w:rPr>
          <w:rFonts w:ascii="宋体" w:hAnsi="宋体" w:eastAsia="宋体" w:cs="宋体"/>
          <w:color w:val="auto"/>
          <w:sz w:val="20"/>
          <w:szCs w:val="20"/>
          <w:highlight w:val="none"/>
        </w:rPr>
      </w:pPr>
      <w:r>
        <w:rPr>
          <w:rFonts w:ascii="Times New Roman" w:hAnsi="Times New Roman" w:eastAsia="Times New Roman" w:cs="Times New Roman"/>
          <w:color w:val="auto"/>
          <w:spacing w:val="10"/>
          <w:sz w:val="20"/>
          <w:szCs w:val="20"/>
          <w:highlight w:val="none"/>
        </w:rPr>
        <w:t>26.</w:t>
      </w:r>
      <w:r>
        <w:rPr>
          <w:rFonts w:ascii="Times New Roman" w:hAnsi="Times New Roman" w:eastAsia="Times New Roman" w:cs="Times New Roman"/>
          <w:color w:val="auto"/>
          <w:spacing w:val="-7"/>
          <w:sz w:val="20"/>
          <w:szCs w:val="20"/>
          <w:highlight w:val="none"/>
        </w:rPr>
        <w:t xml:space="preserve"> </w:t>
      </w:r>
      <w:r>
        <w:rPr>
          <w:rFonts w:ascii="Times New Roman" w:hAnsi="Times New Roman" w:eastAsia="Times New Roman" w:cs="Times New Roman"/>
          <w:color w:val="auto"/>
          <w:spacing w:val="10"/>
          <w:sz w:val="20"/>
          <w:szCs w:val="20"/>
          <w:highlight w:val="none"/>
        </w:rPr>
        <w:t xml:space="preserve">1 </w:t>
      </w:r>
      <w:r>
        <w:rPr>
          <w:rFonts w:ascii="宋体" w:hAnsi="宋体" w:eastAsia="宋体" w:cs="宋体"/>
          <w:color w:val="auto"/>
          <w:spacing w:val="10"/>
          <w:sz w:val="20"/>
          <w:szCs w:val="20"/>
          <w:highlight w:val="none"/>
        </w:rPr>
        <w:t>谈判小组按照“第四章  评审程序和评定成交的标准</w:t>
      </w:r>
      <w:r>
        <w:rPr>
          <w:rFonts w:ascii="宋体" w:hAnsi="宋体" w:eastAsia="宋体" w:cs="宋体"/>
          <w:color w:val="auto"/>
          <w:spacing w:val="-70"/>
          <w:sz w:val="20"/>
          <w:szCs w:val="20"/>
          <w:highlight w:val="none"/>
        </w:rPr>
        <w:t xml:space="preserve"> </w:t>
      </w:r>
      <w:r>
        <w:rPr>
          <w:rFonts w:ascii="宋体" w:hAnsi="宋体" w:eastAsia="宋体" w:cs="宋体"/>
          <w:color w:val="auto"/>
          <w:spacing w:val="10"/>
          <w:sz w:val="20"/>
          <w:szCs w:val="20"/>
          <w:highlight w:val="none"/>
        </w:rPr>
        <w:t>”规定的评审程序对响应文件进</w:t>
      </w:r>
      <w:r>
        <w:rPr>
          <w:rFonts w:ascii="宋体" w:hAnsi="宋体" w:eastAsia="宋体" w:cs="宋体"/>
          <w:color w:val="auto"/>
          <w:spacing w:val="13"/>
          <w:sz w:val="20"/>
          <w:szCs w:val="20"/>
          <w:highlight w:val="none"/>
        </w:rPr>
        <w:t>行评审，并按照评定成交的标准推荐成交候选供应商。评审价相</w:t>
      </w:r>
      <w:r>
        <w:rPr>
          <w:rFonts w:ascii="宋体" w:hAnsi="宋体" w:eastAsia="宋体" w:cs="宋体"/>
          <w:color w:val="auto"/>
          <w:spacing w:val="12"/>
          <w:sz w:val="20"/>
          <w:szCs w:val="20"/>
          <w:highlight w:val="none"/>
        </w:rPr>
        <w:t>同时，成交候选供应商推荐顺</w:t>
      </w:r>
      <w:r>
        <w:rPr>
          <w:rFonts w:ascii="宋体" w:hAnsi="宋体" w:eastAsia="宋体" w:cs="宋体"/>
          <w:color w:val="auto"/>
          <w:spacing w:val="8"/>
          <w:sz w:val="20"/>
          <w:szCs w:val="20"/>
          <w:highlight w:val="none"/>
        </w:rPr>
        <w:t>序见“供应商须知前附表</w:t>
      </w:r>
      <w:r>
        <w:rPr>
          <w:rFonts w:ascii="宋体" w:hAnsi="宋体" w:eastAsia="宋体" w:cs="宋体"/>
          <w:color w:val="auto"/>
          <w:spacing w:val="-64"/>
          <w:sz w:val="20"/>
          <w:szCs w:val="20"/>
          <w:highlight w:val="none"/>
        </w:rPr>
        <w:t xml:space="preserve"> </w:t>
      </w:r>
      <w:r>
        <w:rPr>
          <w:rFonts w:ascii="宋体" w:hAnsi="宋体" w:eastAsia="宋体" w:cs="宋体"/>
          <w:color w:val="auto"/>
          <w:spacing w:val="8"/>
          <w:sz w:val="20"/>
          <w:szCs w:val="20"/>
          <w:highlight w:val="none"/>
        </w:rPr>
        <w:t>”。</w:t>
      </w:r>
    </w:p>
    <w:p w14:paraId="2A31A6BC">
      <w:pPr>
        <w:spacing w:before="1" w:line="226"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26.2 商务/技术要求允许负偏离的条款数详见“供应商须知前附表</w:t>
      </w:r>
      <w:r>
        <w:rPr>
          <w:rFonts w:ascii="宋体" w:hAnsi="宋体" w:eastAsia="宋体" w:cs="宋体"/>
          <w:color w:val="auto"/>
          <w:spacing w:val="-56"/>
          <w:sz w:val="20"/>
          <w:szCs w:val="20"/>
          <w:highlight w:val="none"/>
        </w:rPr>
        <w:t xml:space="preserve"> </w:t>
      </w:r>
      <w:r>
        <w:rPr>
          <w:rFonts w:ascii="宋体" w:hAnsi="宋体" w:eastAsia="宋体" w:cs="宋体"/>
          <w:color w:val="auto"/>
          <w:spacing w:val="8"/>
          <w:sz w:val="20"/>
          <w:szCs w:val="20"/>
          <w:highlight w:val="none"/>
        </w:rPr>
        <w:t>”。</w:t>
      </w:r>
    </w:p>
    <w:p w14:paraId="051EC592">
      <w:pPr>
        <w:spacing w:before="163" w:line="377" w:lineRule="auto"/>
        <w:ind w:left="14" w:right="37" w:firstLine="409"/>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26.3</w:t>
      </w:r>
      <w:r>
        <w:rPr>
          <w:rFonts w:ascii="宋体" w:hAnsi="宋体" w:eastAsia="宋体" w:cs="宋体"/>
          <w:color w:val="auto"/>
          <w:spacing w:val="-41"/>
          <w:sz w:val="20"/>
          <w:szCs w:val="20"/>
          <w:highlight w:val="none"/>
        </w:rPr>
        <w:t xml:space="preserve"> </w:t>
      </w:r>
      <w:r>
        <w:rPr>
          <w:rFonts w:ascii="宋体" w:hAnsi="宋体" w:eastAsia="宋体" w:cs="宋体"/>
          <w:color w:val="auto"/>
          <w:spacing w:val="11"/>
          <w:sz w:val="20"/>
          <w:szCs w:val="20"/>
          <w:highlight w:val="none"/>
        </w:rPr>
        <w:t>谈判小组成员要依法独立评审，并对评审意见承</w:t>
      </w:r>
      <w:r>
        <w:rPr>
          <w:rFonts w:ascii="宋体" w:hAnsi="宋体" w:eastAsia="宋体" w:cs="宋体"/>
          <w:color w:val="auto"/>
          <w:spacing w:val="10"/>
          <w:sz w:val="20"/>
          <w:szCs w:val="20"/>
          <w:highlight w:val="none"/>
        </w:rPr>
        <w:t>担个人责任。谈判小组成员对需要共</w:t>
      </w:r>
      <w:r>
        <w:rPr>
          <w:rFonts w:ascii="宋体" w:hAnsi="宋体" w:eastAsia="宋体" w:cs="宋体"/>
          <w:color w:val="auto"/>
          <w:spacing w:val="12"/>
          <w:sz w:val="20"/>
          <w:szCs w:val="20"/>
          <w:highlight w:val="none"/>
        </w:rPr>
        <w:t>同认定的事项存在争议的，按照少数服从多数的原则做出结论。持不同意见的谈判小组成员应</w:t>
      </w:r>
      <w:r>
        <w:rPr>
          <w:rFonts w:ascii="宋体" w:hAnsi="宋体" w:eastAsia="宋体" w:cs="宋体"/>
          <w:color w:val="auto"/>
          <w:spacing w:val="8"/>
          <w:sz w:val="20"/>
          <w:szCs w:val="20"/>
          <w:highlight w:val="none"/>
        </w:rPr>
        <w:t>当在评审报告上签署不同意见并说明理由，否则视为同意。</w:t>
      </w:r>
    </w:p>
    <w:p w14:paraId="265F9B3C">
      <w:pPr>
        <w:spacing w:before="2" w:line="377" w:lineRule="auto"/>
        <w:ind w:left="3" w:right="91"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26.4</w:t>
      </w:r>
      <w:r>
        <w:rPr>
          <w:rFonts w:ascii="宋体" w:hAnsi="宋体" w:eastAsia="宋体" w:cs="宋体"/>
          <w:color w:val="auto"/>
          <w:spacing w:val="-16"/>
          <w:sz w:val="20"/>
          <w:szCs w:val="20"/>
          <w:highlight w:val="none"/>
        </w:rPr>
        <w:t xml:space="preserve"> </w:t>
      </w:r>
      <w:r>
        <w:rPr>
          <w:rFonts w:ascii="宋体" w:hAnsi="宋体" w:eastAsia="宋体" w:cs="宋体"/>
          <w:color w:val="auto"/>
          <w:spacing w:val="9"/>
          <w:sz w:val="20"/>
          <w:szCs w:val="20"/>
          <w:highlight w:val="none"/>
        </w:rPr>
        <w:t>电子交易活动的中止。采购过程中出现以下情形，导致电子交</w:t>
      </w:r>
      <w:r>
        <w:rPr>
          <w:rFonts w:ascii="宋体" w:hAnsi="宋体" w:eastAsia="宋体" w:cs="宋体"/>
          <w:color w:val="auto"/>
          <w:spacing w:val="8"/>
          <w:sz w:val="20"/>
          <w:szCs w:val="20"/>
          <w:highlight w:val="none"/>
        </w:rPr>
        <w:t>易平台无法正常运行，</w:t>
      </w:r>
      <w:r>
        <w:rPr>
          <w:rFonts w:ascii="宋体" w:hAnsi="宋体" w:eastAsia="宋体" w:cs="宋体"/>
          <w:color w:val="auto"/>
          <w:spacing w:val="9"/>
          <w:sz w:val="20"/>
          <w:szCs w:val="20"/>
          <w:highlight w:val="none"/>
        </w:rPr>
        <w:t>或者无法保证电子交易的公平、公正和安全时，采购机构可中止电子交易活动：</w:t>
      </w:r>
    </w:p>
    <w:p w14:paraId="184E1B63">
      <w:pPr>
        <w:spacing w:line="227"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w:t>
      </w:r>
      <w:r>
        <w:rPr>
          <w:rFonts w:ascii="Times New Roman" w:hAnsi="Times New Roman" w:eastAsia="Times New Roman" w:cs="Times New Roman"/>
          <w:color w:val="auto"/>
          <w:spacing w:val="6"/>
          <w:sz w:val="20"/>
          <w:szCs w:val="20"/>
          <w:highlight w:val="none"/>
        </w:rPr>
        <w:t>1</w:t>
      </w:r>
      <w:r>
        <w:rPr>
          <w:rFonts w:ascii="宋体" w:hAnsi="宋体" w:eastAsia="宋体" w:cs="宋体"/>
          <w:color w:val="auto"/>
          <w:spacing w:val="6"/>
          <w:sz w:val="20"/>
          <w:szCs w:val="20"/>
          <w:highlight w:val="none"/>
        </w:rPr>
        <w:t>）</w:t>
      </w:r>
      <w:r>
        <w:rPr>
          <w:rFonts w:ascii="宋体" w:hAnsi="宋体" w:eastAsia="宋体" w:cs="宋体"/>
          <w:color w:val="auto"/>
          <w:spacing w:val="-49"/>
          <w:sz w:val="20"/>
          <w:szCs w:val="20"/>
          <w:highlight w:val="none"/>
        </w:rPr>
        <w:t xml:space="preserve"> </w:t>
      </w:r>
      <w:r>
        <w:rPr>
          <w:rFonts w:ascii="宋体" w:hAnsi="宋体" w:eastAsia="宋体" w:cs="宋体"/>
          <w:color w:val="auto"/>
          <w:spacing w:val="6"/>
          <w:sz w:val="20"/>
          <w:szCs w:val="20"/>
          <w:highlight w:val="none"/>
        </w:rPr>
        <w:t>电子交易平台发生故障而无法登录访问的；</w:t>
      </w:r>
    </w:p>
    <w:p w14:paraId="34256987">
      <w:pPr>
        <w:spacing w:before="161"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w:t>
      </w:r>
      <w:r>
        <w:rPr>
          <w:rFonts w:ascii="Times New Roman" w:hAnsi="Times New Roman" w:eastAsia="Times New Roman" w:cs="Times New Roman"/>
          <w:color w:val="auto"/>
          <w:spacing w:val="7"/>
          <w:sz w:val="20"/>
          <w:szCs w:val="20"/>
          <w:highlight w:val="none"/>
        </w:rPr>
        <w:t>2</w:t>
      </w:r>
      <w:r>
        <w:rPr>
          <w:rFonts w:ascii="宋体" w:hAnsi="宋体" w:eastAsia="宋体" w:cs="宋体"/>
          <w:color w:val="auto"/>
          <w:spacing w:val="7"/>
          <w:sz w:val="20"/>
          <w:szCs w:val="20"/>
          <w:highlight w:val="none"/>
        </w:rPr>
        <w:t>）</w:t>
      </w:r>
      <w:r>
        <w:rPr>
          <w:rFonts w:ascii="宋体" w:hAnsi="宋体" w:eastAsia="宋体" w:cs="宋体"/>
          <w:color w:val="auto"/>
          <w:spacing w:val="-47"/>
          <w:sz w:val="20"/>
          <w:szCs w:val="20"/>
          <w:highlight w:val="none"/>
        </w:rPr>
        <w:t xml:space="preserve"> </w:t>
      </w:r>
      <w:r>
        <w:rPr>
          <w:rFonts w:ascii="宋体" w:hAnsi="宋体" w:eastAsia="宋体" w:cs="宋体"/>
          <w:color w:val="auto"/>
          <w:spacing w:val="7"/>
          <w:sz w:val="20"/>
          <w:szCs w:val="20"/>
          <w:highlight w:val="none"/>
        </w:rPr>
        <w:t>电子交易平台应用或数据库出现错误，不能进行正常操作的；</w:t>
      </w:r>
    </w:p>
    <w:p w14:paraId="50134365">
      <w:pPr>
        <w:spacing w:before="162"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w:t>
      </w:r>
      <w:r>
        <w:rPr>
          <w:rFonts w:ascii="Times New Roman" w:hAnsi="Times New Roman" w:eastAsia="Times New Roman" w:cs="Times New Roman"/>
          <w:color w:val="auto"/>
          <w:spacing w:val="7"/>
          <w:sz w:val="20"/>
          <w:szCs w:val="20"/>
          <w:highlight w:val="none"/>
        </w:rPr>
        <w:t>3</w:t>
      </w:r>
      <w:r>
        <w:rPr>
          <w:rFonts w:ascii="宋体" w:hAnsi="宋体" w:eastAsia="宋体" w:cs="宋体"/>
          <w:color w:val="auto"/>
          <w:spacing w:val="7"/>
          <w:sz w:val="20"/>
          <w:szCs w:val="20"/>
          <w:highlight w:val="none"/>
        </w:rPr>
        <w:t>）</w:t>
      </w:r>
      <w:r>
        <w:rPr>
          <w:rFonts w:ascii="宋体" w:hAnsi="宋体" w:eastAsia="宋体" w:cs="宋体"/>
          <w:color w:val="auto"/>
          <w:spacing w:val="-57"/>
          <w:sz w:val="20"/>
          <w:szCs w:val="20"/>
          <w:highlight w:val="none"/>
        </w:rPr>
        <w:t xml:space="preserve"> </w:t>
      </w:r>
      <w:r>
        <w:rPr>
          <w:rFonts w:ascii="宋体" w:hAnsi="宋体" w:eastAsia="宋体" w:cs="宋体"/>
          <w:color w:val="auto"/>
          <w:spacing w:val="7"/>
          <w:sz w:val="20"/>
          <w:szCs w:val="20"/>
          <w:highlight w:val="none"/>
        </w:rPr>
        <w:t>电子交易平台发现严重安全漏洞，有潜在泄密危险的；</w:t>
      </w:r>
    </w:p>
    <w:p w14:paraId="70089A7E">
      <w:pPr>
        <w:spacing w:before="163"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w:t>
      </w:r>
      <w:r>
        <w:rPr>
          <w:rFonts w:ascii="Times New Roman" w:hAnsi="Times New Roman" w:eastAsia="Times New Roman" w:cs="Times New Roman"/>
          <w:color w:val="auto"/>
          <w:spacing w:val="8"/>
          <w:sz w:val="20"/>
          <w:szCs w:val="20"/>
          <w:highlight w:val="none"/>
        </w:rPr>
        <w:t>4</w:t>
      </w:r>
      <w:r>
        <w:rPr>
          <w:rFonts w:ascii="宋体" w:hAnsi="宋体" w:eastAsia="宋体" w:cs="宋体"/>
          <w:color w:val="auto"/>
          <w:spacing w:val="8"/>
          <w:sz w:val="20"/>
          <w:szCs w:val="20"/>
          <w:highlight w:val="none"/>
        </w:rPr>
        <w:t>）病毒发作导致不能进行正常操作的；</w:t>
      </w:r>
    </w:p>
    <w:p w14:paraId="3D1D7E06">
      <w:pPr>
        <w:spacing w:before="162"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w:t>
      </w:r>
      <w:r>
        <w:rPr>
          <w:rFonts w:ascii="Times New Roman" w:hAnsi="Times New Roman" w:eastAsia="Times New Roman" w:cs="Times New Roman"/>
          <w:color w:val="auto"/>
          <w:spacing w:val="8"/>
          <w:sz w:val="20"/>
          <w:szCs w:val="20"/>
          <w:highlight w:val="none"/>
        </w:rPr>
        <w:t>5</w:t>
      </w:r>
      <w:r>
        <w:rPr>
          <w:rFonts w:ascii="宋体" w:hAnsi="宋体" w:eastAsia="宋体" w:cs="宋体"/>
          <w:color w:val="auto"/>
          <w:spacing w:val="8"/>
          <w:sz w:val="20"/>
          <w:szCs w:val="20"/>
          <w:highlight w:val="none"/>
        </w:rPr>
        <w:t>）其他无法保证电子交易的公平、公正和安全的情况。</w:t>
      </w:r>
    </w:p>
    <w:p w14:paraId="582D0DAC">
      <w:pPr>
        <w:spacing w:before="162" w:line="377" w:lineRule="auto"/>
        <w:ind w:left="3" w:right="37" w:firstLine="420"/>
        <w:jc w:val="both"/>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26.5</w:t>
      </w:r>
      <w:r>
        <w:rPr>
          <w:rFonts w:ascii="宋体" w:hAnsi="宋体" w:eastAsia="宋体" w:cs="宋体"/>
          <w:color w:val="auto"/>
          <w:spacing w:val="-16"/>
          <w:sz w:val="20"/>
          <w:szCs w:val="20"/>
          <w:highlight w:val="none"/>
        </w:rPr>
        <w:t xml:space="preserve"> </w:t>
      </w:r>
      <w:r>
        <w:rPr>
          <w:rFonts w:ascii="宋体" w:hAnsi="宋体" w:eastAsia="宋体" w:cs="宋体"/>
          <w:color w:val="auto"/>
          <w:spacing w:val="10"/>
          <w:sz w:val="20"/>
          <w:szCs w:val="20"/>
          <w:highlight w:val="none"/>
        </w:rPr>
        <w:t>出现以上情形，不影响采购公平、公正性的，采购组织机构可以待上述情形消除后继</w:t>
      </w:r>
      <w:r>
        <w:rPr>
          <w:rFonts w:ascii="宋体" w:hAnsi="宋体" w:eastAsia="宋体" w:cs="宋体"/>
          <w:color w:val="auto"/>
          <w:spacing w:val="13"/>
          <w:sz w:val="20"/>
          <w:szCs w:val="20"/>
          <w:highlight w:val="none"/>
        </w:rPr>
        <w:t>续组织电子交易活动；影响或可能影响采购公平、公正性</w:t>
      </w:r>
      <w:r>
        <w:rPr>
          <w:rFonts w:ascii="宋体" w:hAnsi="宋体" w:eastAsia="宋体" w:cs="宋体"/>
          <w:color w:val="auto"/>
          <w:spacing w:val="12"/>
          <w:sz w:val="20"/>
          <w:szCs w:val="20"/>
          <w:highlight w:val="none"/>
        </w:rPr>
        <w:t>的，经采购代理机构确认，报采购人</w:t>
      </w:r>
      <w:r>
        <w:rPr>
          <w:rFonts w:ascii="宋体" w:hAnsi="宋体" w:eastAsia="宋体" w:cs="宋体"/>
          <w:color w:val="auto"/>
          <w:spacing w:val="13"/>
          <w:sz w:val="20"/>
          <w:szCs w:val="20"/>
          <w:highlight w:val="none"/>
        </w:rPr>
        <w:t>同意后，应当重新采购。采购代理机构必须对原有的资料</w:t>
      </w:r>
      <w:r>
        <w:rPr>
          <w:rFonts w:ascii="宋体" w:hAnsi="宋体" w:eastAsia="宋体" w:cs="宋体"/>
          <w:color w:val="auto"/>
          <w:spacing w:val="12"/>
          <w:sz w:val="20"/>
          <w:szCs w:val="20"/>
          <w:highlight w:val="none"/>
        </w:rPr>
        <w:t>及信息作出妥善保密处理，并报财政</w:t>
      </w:r>
      <w:r>
        <w:rPr>
          <w:rFonts w:ascii="宋体" w:hAnsi="宋体" w:eastAsia="宋体" w:cs="宋体"/>
          <w:color w:val="auto"/>
          <w:spacing w:val="5"/>
          <w:sz w:val="20"/>
          <w:szCs w:val="20"/>
          <w:highlight w:val="none"/>
        </w:rPr>
        <w:t>部门备案。</w:t>
      </w:r>
    </w:p>
    <w:p w14:paraId="1C79C96A">
      <w:pPr>
        <w:spacing w:before="3" w:line="222" w:lineRule="auto"/>
        <w:ind w:left="482"/>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27.确定成交供应商及结果公告</w:t>
      </w:r>
    </w:p>
    <w:p w14:paraId="39DE1AA2">
      <w:pPr>
        <w:spacing w:before="173" w:line="353" w:lineRule="auto"/>
        <w:ind w:firstLine="423"/>
        <w:jc w:val="both"/>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27.1 采购代理机构应当在评审结束后</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2</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个工作日内将评审报告送采购人确</w:t>
      </w:r>
      <w:r>
        <w:rPr>
          <w:rFonts w:ascii="宋体" w:hAnsi="宋体" w:eastAsia="宋体" w:cs="宋体"/>
          <w:color w:val="auto"/>
          <w:spacing w:val="8"/>
          <w:sz w:val="20"/>
          <w:szCs w:val="20"/>
          <w:highlight w:val="none"/>
        </w:rPr>
        <w:t>认。采购人应当在收到评审报告后</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5</w:t>
      </w:r>
      <w:r>
        <w:rPr>
          <w:rFonts w:ascii="宋体" w:hAnsi="宋体" w:eastAsia="宋体" w:cs="宋体"/>
          <w:color w:val="auto"/>
          <w:spacing w:val="-40"/>
          <w:sz w:val="20"/>
          <w:szCs w:val="20"/>
          <w:highlight w:val="none"/>
        </w:rPr>
        <w:t xml:space="preserve"> </w:t>
      </w:r>
      <w:r>
        <w:rPr>
          <w:rFonts w:ascii="宋体" w:hAnsi="宋体" w:eastAsia="宋体" w:cs="宋体"/>
          <w:color w:val="auto"/>
          <w:spacing w:val="8"/>
          <w:sz w:val="20"/>
          <w:szCs w:val="20"/>
          <w:highlight w:val="none"/>
        </w:rPr>
        <w:t>个工作日内，将评审报告提出的排名第一的成交候选人确定为成</w:t>
      </w:r>
      <w:r>
        <w:rPr>
          <w:rFonts w:ascii="宋体" w:hAnsi="宋体" w:eastAsia="宋体" w:cs="宋体"/>
          <w:color w:val="auto"/>
          <w:spacing w:val="7"/>
          <w:sz w:val="20"/>
          <w:szCs w:val="20"/>
          <w:highlight w:val="none"/>
        </w:rPr>
        <w:t>交供应商，</w:t>
      </w:r>
      <w:r>
        <w:rPr>
          <w:rFonts w:ascii="宋体" w:hAnsi="宋体" w:eastAsia="宋体" w:cs="宋体"/>
          <w:color w:val="auto"/>
          <w:spacing w:val="9"/>
          <w:sz w:val="20"/>
          <w:szCs w:val="20"/>
          <w:highlight w:val="none"/>
        </w:rPr>
        <w:t>也可以书面授权谈判小组直接确定成交供应商。采</w:t>
      </w:r>
      <w:r>
        <w:rPr>
          <w:rFonts w:ascii="宋体" w:hAnsi="宋体" w:eastAsia="宋体" w:cs="宋体"/>
          <w:color w:val="auto"/>
          <w:spacing w:val="8"/>
          <w:sz w:val="20"/>
          <w:szCs w:val="20"/>
          <w:highlight w:val="none"/>
        </w:rPr>
        <w:t>购人逾期未确定成交供应商且不提出异议的，</w:t>
      </w:r>
      <w:r>
        <w:rPr>
          <w:rFonts w:ascii="宋体" w:hAnsi="宋体" w:eastAsia="宋体" w:cs="宋体"/>
          <w:color w:val="auto"/>
          <w:spacing w:val="9"/>
          <w:sz w:val="20"/>
          <w:szCs w:val="20"/>
          <w:highlight w:val="none"/>
        </w:rPr>
        <w:t>视为确定评审报告提出的排名第一的成交候选人为成交供应商。</w:t>
      </w:r>
    </w:p>
    <w:p w14:paraId="0084B4AF">
      <w:pPr>
        <w:spacing w:line="353" w:lineRule="auto"/>
        <w:rPr>
          <w:rFonts w:ascii="宋体" w:hAnsi="宋体" w:eastAsia="宋体" w:cs="宋体"/>
          <w:color w:val="auto"/>
          <w:sz w:val="20"/>
          <w:szCs w:val="20"/>
          <w:highlight w:val="none"/>
        </w:rPr>
        <w:sectPr>
          <w:footerReference r:id="rId23" w:type="default"/>
          <w:pgSz w:w="11910" w:h="16840"/>
          <w:pgMar w:top="1330" w:right="1463" w:bottom="1091" w:left="1687" w:header="0" w:footer="928" w:gutter="0"/>
          <w:pgNumType w:fmt="decimal"/>
          <w:cols w:space="720" w:num="1"/>
        </w:sectPr>
      </w:pPr>
    </w:p>
    <w:p w14:paraId="4F330136">
      <w:pPr>
        <w:spacing w:before="42" w:line="377" w:lineRule="auto"/>
        <w:ind w:right="160" w:firstLine="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27.2</w:t>
      </w:r>
      <w:r>
        <w:rPr>
          <w:rFonts w:ascii="宋体" w:hAnsi="宋体" w:eastAsia="宋体" w:cs="宋体"/>
          <w:color w:val="auto"/>
          <w:spacing w:val="-24"/>
          <w:sz w:val="20"/>
          <w:szCs w:val="20"/>
          <w:highlight w:val="none"/>
        </w:rPr>
        <w:t xml:space="preserve"> </w:t>
      </w:r>
      <w:r>
        <w:rPr>
          <w:rFonts w:ascii="宋体" w:hAnsi="宋体" w:eastAsia="宋体" w:cs="宋体"/>
          <w:color w:val="auto"/>
          <w:spacing w:val="8"/>
          <w:sz w:val="20"/>
          <w:szCs w:val="20"/>
          <w:highlight w:val="none"/>
        </w:rPr>
        <w:t>采购代理机构应当在成交供应商确定后</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个工作日内，在省级以上财政部门指定的媒</w:t>
      </w:r>
      <w:r>
        <w:rPr>
          <w:rFonts w:ascii="宋体" w:hAnsi="宋体" w:eastAsia="宋体" w:cs="宋体"/>
          <w:color w:val="auto"/>
          <w:spacing w:val="10"/>
          <w:sz w:val="20"/>
          <w:szCs w:val="20"/>
          <w:highlight w:val="none"/>
        </w:rPr>
        <w:t>体上公告成交结果，同时向成交供应商发出成交通知书。采购人或者采</w:t>
      </w:r>
      <w:r>
        <w:rPr>
          <w:rFonts w:ascii="宋体" w:hAnsi="宋体" w:eastAsia="宋体" w:cs="宋体"/>
          <w:color w:val="auto"/>
          <w:spacing w:val="9"/>
          <w:sz w:val="20"/>
          <w:szCs w:val="20"/>
          <w:highlight w:val="none"/>
        </w:rPr>
        <w:t>购代理机构发出成交通</w:t>
      </w:r>
      <w:r>
        <w:rPr>
          <w:rFonts w:ascii="宋体" w:hAnsi="宋体" w:eastAsia="宋体" w:cs="宋体"/>
          <w:color w:val="auto"/>
          <w:spacing w:val="10"/>
          <w:sz w:val="20"/>
          <w:szCs w:val="20"/>
          <w:highlight w:val="none"/>
        </w:rPr>
        <w:t>知书前，应当对成交供应商信用进行查询，对列入失信被执行人、重大</w:t>
      </w:r>
      <w:r>
        <w:rPr>
          <w:rFonts w:ascii="宋体" w:hAnsi="宋体" w:eastAsia="宋体" w:cs="宋体"/>
          <w:color w:val="auto"/>
          <w:spacing w:val="9"/>
          <w:sz w:val="20"/>
          <w:szCs w:val="20"/>
          <w:highlight w:val="none"/>
        </w:rPr>
        <w:t>税收违法失信主体、政</w:t>
      </w:r>
      <w:r>
        <w:rPr>
          <w:rFonts w:ascii="宋体" w:hAnsi="宋体" w:eastAsia="宋体" w:cs="宋体"/>
          <w:color w:val="auto"/>
          <w:spacing w:val="10"/>
          <w:sz w:val="20"/>
          <w:szCs w:val="20"/>
          <w:highlight w:val="none"/>
        </w:rPr>
        <w:t>府采购严重违法失信行为记录名单及其他不符合《中华人民共和国政府</w:t>
      </w:r>
      <w:r>
        <w:rPr>
          <w:rFonts w:ascii="宋体" w:hAnsi="宋体" w:eastAsia="宋体" w:cs="宋体"/>
          <w:color w:val="auto"/>
          <w:spacing w:val="9"/>
          <w:sz w:val="20"/>
          <w:szCs w:val="20"/>
          <w:highlight w:val="none"/>
        </w:rPr>
        <w:t>采购法》第二十二条规</w:t>
      </w:r>
      <w:r>
        <w:rPr>
          <w:rFonts w:ascii="宋体" w:hAnsi="宋体" w:eastAsia="宋体" w:cs="宋体"/>
          <w:color w:val="auto"/>
          <w:spacing w:val="10"/>
          <w:sz w:val="20"/>
          <w:szCs w:val="20"/>
          <w:highlight w:val="none"/>
        </w:rPr>
        <w:t>定条件的供应商，取消其成交资格，并确定排名第二的成交候选人为成</w:t>
      </w:r>
      <w:r>
        <w:rPr>
          <w:rFonts w:ascii="宋体" w:hAnsi="宋体" w:eastAsia="宋体" w:cs="宋体"/>
          <w:color w:val="auto"/>
          <w:spacing w:val="9"/>
          <w:sz w:val="20"/>
          <w:szCs w:val="20"/>
          <w:highlight w:val="none"/>
        </w:rPr>
        <w:t>交供应商。排名第二的</w:t>
      </w:r>
      <w:r>
        <w:rPr>
          <w:rFonts w:ascii="宋体" w:hAnsi="宋体" w:eastAsia="宋体" w:cs="宋体"/>
          <w:color w:val="auto"/>
          <w:spacing w:val="10"/>
          <w:sz w:val="20"/>
          <w:szCs w:val="20"/>
          <w:highlight w:val="none"/>
        </w:rPr>
        <w:t>成交候选人因上述规定的同样原因被取消成交资格的，采购人可以确定</w:t>
      </w:r>
      <w:r>
        <w:rPr>
          <w:rFonts w:ascii="宋体" w:hAnsi="宋体" w:eastAsia="宋体" w:cs="宋体"/>
          <w:color w:val="auto"/>
          <w:spacing w:val="9"/>
          <w:sz w:val="20"/>
          <w:szCs w:val="20"/>
          <w:highlight w:val="none"/>
        </w:rPr>
        <w:t>排名第三的成交候选人</w:t>
      </w:r>
      <w:r>
        <w:rPr>
          <w:rFonts w:ascii="宋体" w:hAnsi="宋体" w:eastAsia="宋体" w:cs="宋体"/>
          <w:color w:val="auto"/>
          <w:spacing w:val="10"/>
          <w:sz w:val="20"/>
          <w:szCs w:val="20"/>
          <w:highlight w:val="none"/>
        </w:rPr>
        <w:t>为成交供应商。以上信息查询记录及相关证据与谈判文件一并保存。中</w:t>
      </w:r>
      <w:r>
        <w:rPr>
          <w:rFonts w:ascii="宋体" w:hAnsi="宋体" w:eastAsia="宋体" w:cs="宋体"/>
          <w:color w:val="auto"/>
          <w:spacing w:val="9"/>
          <w:sz w:val="20"/>
          <w:szCs w:val="20"/>
          <w:highlight w:val="none"/>
        </w:rPr>
        <w:t>小企业在政府采购活动</w:t>
      </w:r>
      <w:r>
        <w:rPr>
          <w:rFonts w:ascii="宋体" w:hAnsi="宋体" w:eastAsia="宋体" w:cs="宋体"/>
          <w:color w:val="auto"/>
          <w:spacing w:val="10"/>
          <w:sz w:val="20"/>
          <w:szCs w:val="20"/>
          <w:highlight w:val="none"/>
        </w:rPr>
        <w:t>过程中，请根据企业的真实情况出具《中小企业声明函》。成交供应商</w:t>
      </w:r>
      <w:r>
        <w:rPr>
          <w:rFonts w:ascii="宋体" w:hAnsi="宋体" w:eastAsia="宋体" w:cs="宋体"/>
          <w:color w:val="auto"/>
          <w:spacing w:val="9"/>
          <w:sz w:val="20"/>
          <w:szCs w:val="20"/>
          <w:highlight w:val="none"/>
        </w:rPr>
        <w:t>享受《政府采购促进中小企业发展管理办法》（财库〔2020〕46</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号）规定的中小企业扶持政策</w:t>
      </w:r>
      <w:r>
        <w:rPr>
          <w:rFonts w:ascii="宋体" w:hAnsi="宋体" w:eastAsia="宋体" w:cs="宋体"/>
          <w:color w:val="auto"/>
          <w:spacing w:val="8"/>
          <w:sz w:val="20"/>
          <w:szCs w:val="20"/>
          <w:highlight w:val="none"/>
        </w:rPr>
        <w:t>的，采购人、采购代理</w:t>
      </w:r>
      <w:r>
        <w:rPr>
          <w:rFonts w:ascii="宋体" w:hAnsi="宋体" w:eastAsia="宋体" w:cs="宋体"/>
          <w:color w:val="auto"/>
          <w:spacing w:val="9"/>
          <w:sz w:val="20"/>
          <w:szCs w:val="20"/>
          <w:highlight w:val="none"/>
        </w:rPr>
        <w:t>机构应当随成交结果公开成交供应商的《中小企业声明</w:t>
      </w:r>
      <w:r>
        <w:rPr>
          <w:rFonts w:ascii="宋体" w:hAnsi="宋体" w:eastAsia="宋体" w:cs="宋体"/>
          <w:color w:val="auto"/>
          <w:spacing w:val="8"/>
          <w:sz w:val="20"/>
          <w:szCs w:val="20"/>
          <w:highlight w:val="none"/>
        </w:rPr>
        <w:t>函》。</w:t>
      </w:r>
    </w:p>
    <w:p w14:paraId="1CE73343">
      <w:pPr>
        <w:spacing w:before="1" w:line="376" w:lineRule="auto"/>
        <w:ind w:left="5" w:right="107" w:firstLine="41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27.3 采购人、采购代理机构应当随成交结果公开成交供应商的《关于符合本国产品标准的</w:t>
      </w:r>
      <w:r>
        <w:rPr>
          <w:rFonts w:ascii="宋体" w:hAnsi="宋体" w:eastAsia="宋体" w:cs="宋体"/>
          <w:color w:val="auto"/>
          <w:spacing w:val="8"/>
          <w:sz w:val="20"/>
          <w:szCs w:val="20"/>
          <w:highlight w:val="none"/>
        </w:rPr>
        <w:t>声明函》或有关证明文件。</w:t>
      </w:r>
    </w:p>
    <w:p w14:paraId="26D1B84B">
      <w:pPr>
        <w:spacing w:line="377" w:lineRule="auto"/>
        <w:ind w:left="5" w:right="160" w:firstLine="4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27.4</w:t>
      </w:r>
      <w:r>
        <w:rPr>
          <w:rFonts w:ascii="宋体" w:hAnsi="宋体" w:eastAsia="宋体" w:cs="宋体"/>
          <w:color w:val="auto"/>
          <w:spacing w:val="-20"/>
          <w:sz w:val="20"/>
          <w:szCs w:val="20"/>
          <w:highlight w:val="none"/>
        </w:rPr>
        <w:t xml:space="preserve"> </w:t>
      </w:r>
      <w:r>
        <w:rPr>
          <w:rFonts w:ascii="宋体" w:hAnsi="宋体" w:eastAsia="宋体" w:cs="宋体"/>
          <w:color w:val="auto"/>
          <w:spacing w:val="9"/>
          <w:sz w:val="20"/>
          <w:szCs w:val="20"/>
          <w:highlight w:val="none"/>
        </w:rPr>
        <w:t>出现下列情形之一的，采购人或者采购</w:t>
      </w:r>
      <w:r>
        <w:rPr>
          <w:rFonts w:ascii="宋体" w:hAnsi="宋体" w:eastAsia="宋体" w:cs="宋体"/>
          <w:color w:val="auto"/>
          <w:spacing w:val="8"/>
          <w:sz w:val="20"/>
          <w:szCs w:val="20"/>
          <w:highlight w:val="none"/>
        </w:rPr>
        <w:t>代理机构应当终止竞争性谈判采购活动，发布项目终止公告并说明原因，重新开展采购活动：</w:t>
      </w:r>
    </w:p>
    <w:p w14:paraId="74F32074">
      <w:pPr>
        <w:spacing w:line="227" w:lineRule="auto"/>
        <w:ind w:left="4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（1）因情况变化，不再符合规定的竞争性谈判采购方</w:t>
      </w:r>
      <w:r>
        <w:rPr>
          <w:rFonts w:ascii="宋体" w:hAnsi="宋体" w:eastAsia="宋体" w:cs="宋体"/>
          <w:color w:val="auto"/>
          <w:spacing w:val="8"/>
          <w:sz w:val="20"/>
          <w:szCs w:val="20"/>
          <w:highlight w:val="none"/>
        </w:rPr>
        <w:t>式适用情形的；</w:t>
      </w:r>
    </w:p>
    <w:p w14:paraId="3B91228C">
      <w:pPr>
        <w:spacing w:before="162" w:line="227"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（2）出现影响采购公正的违法、违规行为的；</w:t>
      </w:r>
    </w:p>
    <w:p w14:paraId="73F09CE9">
      <w:pPr>
        <w:spacing w:before="161" w:line="378" w:lineRule="auto"/>
        <w:ind w:right="158" w:firstLine="43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（3）在采购过程中符合竞争要求的供应商或者报价未超过采购预算的供应商不足</w:t>
      </w:r>
      <w:r>
        <w:rPr>
          <w:rFonts w:ascii="宋体" w:hAnsi="宋体" w:eastAsia="宋体" w:cs="宋体"/>
          <w:color w:val="auto"/>
          <w:spacing w:val="-20"/>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家的，但“第四章 评审程序和评定成交的标准</w:t>
      </w:r>
      <w:r>
        <w:rPr>
          <w:rFonts w:ascii="宋体" w:hAnsi="宋体" w:eastAsia="宋体" w:cs="宋体"/>
          <w:color w:val="auto"/>
          <w:spacing w:val="-66"/>
          <w:sz w:val="20"/>
          <w:szCs w:val="20"/>
          <w:highlight w:val="none"/>
        </w:rPr>
        <w:t xml:space="preserve"> </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3.7</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条规定的情形除外。</w:t>
      </w:r>
    </w:p>
    <w:p w14:paraId="1A60FE75">
      <w:pPr>
        <w:spacing w:before="2" w:line="377" w:lineRule="auto"/>
        <w:ind w:left="4" w:right="160" w:firstLine="420"/>
        <w:jc w:val="both"/>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27.5</w:t>
      </w:r>
      <w:r>
        <w:rPr>
          <w:rFonts w:ascii="宋体" w:hAnsi="宋体" w:eastAsia="宋体" w:cs="宋体"/>
          <w:color w:val="auto"/>
          <w:spacing w:val="-39"/>
          <w:sz w:val="20"/>
          <w:szCs w:val="20"/>
          <w:highlight w:val="none"/>
        </w:rPr>
        <w:t xml:space="preserve"> </w:t>
      </w:r>
      <w:r>
        <w:rPr>
          <w:rFonts w:ascii="宋体" w:hAnsi="宋体" w:eastAsia="宋体" w:cs="宋体"/>
          <w:color w:val="auto"/>
          <w:spacing w:val="9"/>
          <w:sz w:val="20"/>
          <w:szCs w:val="20"/>
          <w:highlight w:val="none"/>
        </w:rPr>
        <w:t>在采购活动中因重大变故，采购任务取消的，采购人或者采购代理机构应当终止采购</w:t>
      </w:r>
      <w:r>
        <w:rPr>
          <w:rFonts w:ascii="宋体" w:hAnsi="宋体" w:eastAsia="宋体" w:cs="宋体"/>
          <w:color w:val="auto"/>
          <w:spacing w:val="10"/>
          <w:sz w:val="20"/>
          <w:szCs w:val="20"/>
          <w:highlight w:val="none"/>
        </w:rPr>
        <w:t>活动，通知所有参加采购活动的供应商，并将项目实施情况和采</w:t>
      </w:r>
      <w:r>
        <w:rPr>
          <w:rFonts w:ascii="宋体" w:hAnsi="宋体" w:eastAsia="宋体" w:cs="宋体"/>
          <w:color w:val="auto"/>
          <w:spacing w:val="9"/>
          <w:sz w:val="20"/>
          <w:szCs w:val="20"/>
          <w:highlight w:val="none"/>
        </w:rPr>
        <w:t>购任务取消原因报送本级财政</w:t>
      </w:r>
      <w:r>
        <w:rPr>
          <w:rFonts w:ascii="宋体" w:hAnsi="宋体" w:eastAsia="宋体" w:cs="宋体"/>
          <w:color w:val="auto"/>
          <w:spacing w:val="2"/>
          <w:sz w:val="20"/>
          <w:szCs w:val="20"/>
          <w:highlight w:val="none"/>
        </w:rPr>
        <w:t>部门。</w:t>
      </w:r>
    </w:p>
    <w:p w14:paraId="5C9332EF">
      <w:pPr>
        <w:spacing w:before="1" w:line="222" w:lineRule="auto"/>
        <w:ind w:left="483"/>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28.履约保证金</w:t>
      </w:r>
    </w:p>
    <w:p w14:paraId="07D72FDD">
      <w:pPr>
        <w:spacing w:before="175" w:line="377" w:lineRule="auto"/>
        <w:ind w:left="5" w:right="92" w:firstLine="41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28.1 履约保证金的金额、提交方式、退付的时间和条件详见 “供应商须知前附表</w:t>
      </w:r>
      <w:r>
        <w:rPr>
          <w:rFonts w:ascii="宋体" w:hAnsi="宋体" w:eastAsia="宋体" w:cs="宋体"/>
          <w:color w:val="auto"/>
          <w:spacing w:val="-65"/>
          <w:sz w:val="20"/>
          <w:szCs w:val="20"/>
          <w:highlight w:val="none"/>
        </w:rPr>
        <w:t xml:space="preserve"> </w:t>
      </w:r>
      <w:r>
        <w:rPr>
          <w:rFonts w:ascii="宋体" w:hAnsi="宋体" w:eastAsia="宋体" w:cs="宋体"/>
          <w:color w:val="auto"/>
          <w:spacing w:val="11"/>
          <w:sz w:val="20"/>
          <w:szCs w:val="20"/>
          <w:highlight w:val="none"/>
        </w:rPr>
        <w:t>”。成</w:t>
      </w:r>
      <w:r>
        <w:rPr>
          <w:rFonts w:ascii="宋体" w:hAnsi="宋体" w:eastAsia="宋体" w:cs="宋体"/>
          <w:color w:val="auto"/>
          <w:spacing w:val="9"/>
          <w:sz w:val="20"/>
          <w:szCs w:val="20"/>
          <w:highlight w:val="none"/>
        </w:rPr>
        <w:t>交供应商未按规定提交履约保证金的，视为拒绝与采购人签订合同。</w:t>
      </w:r>
    </w:p>
    <w:p w14:paraId="1BC2F7B3">
      <w:pPr>
        <w:spacing w:before="1" w:line="377" w:lineRule="auto"/>
        <w:ind w:left="25" w:right="95" w:firstLine="39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28.2</w:t>
      </w:r>
      <w:r>
        <w:rPr>
          <w:rFonts w:ascii="宋体" w:hAnsi="宋体" w:eastAsia="宋体" w:cs="宋体"/>
          <w:color w:val="auto"/>
          <w:spacing w:val="-41"/>
          <w:sz w:val="20"/>
          <w:szCs w:val="20"/>
          <w:highlight w:val="none"/>
        </w:rPr>
        <w:t xml:space="preserve"> </w:t>
      </w:r>
      <w:r>
        <w:rPr>
          <w:rFonts w:ascii="宋体" w:hAnsi="宋体" w:eastAsia="宋体" w:cs="宋体"/>
          <w:color w:val="auto"/>
          <w:spacing w:val="11"/>
          <w:sz w:val="20"/>
          <w:szCs w:val="20"/>
          <w:highlight w:val="none"/>
        </w:rPr>
        <w:t>在履约保证金退还日期前，若成交供应商的开户</w:t>
      </w:r>
      <w:r>
        <w:rPr>
          <w:rFonts w:ascii="宋体" w:hAnsi="宋体" w:eastAsia="宋体" w:cs="宋体"/>
          <w:color w:val="auto"/>
          <w:spacing w:val="10"/>
          <w:sz w:val="20"/>
          <w:szCs w:val="20"/>
          <w:highlight w:val="none"/>
        </w:rPr>
        <w:t>名称、开户银行、账号有变动的，请</w:t>
      </w:r>
      <w:r>
        <w:rPr>
          <w:rFonts w:ascii="宋体" w:hAnsi="宋体" w:eastAsia="宋体" w:cs="宋体"/>
          <w:color w:val="auto"/>
          <w:spacing w:val="9"/>
          <w:sz w:val="20"/>
          <w:szCs w:val="20"/>
          <w:highlight w:val="none"/>
        </w:rPr>
        <w:t>以书面形式通知履约保证金收取单位，否则由此产生的</w:t>
      </w:r>
      <w:r>
        <w:rPr>
          <w:rFonts w:ascii="宋体" w:hAnsi="宋体" w:eastAsia="宋体" w:cs="宋体"/>
          <w:color w:val="auto"/>
          <w:spacing w:val="8"/>
          <w:sz w:val="20"/>
          <w:szCs w:val="20"/>
          <w:highlight w:val="none"/>
        </w:rPr>
        <w:t>后果由成交供应商自负。</w:t>
      </w:r>
    </w:p>
    <w:p w14:paraId="5F8F8F34">
      <w:pPr>
        <w:spacing w:before="2" w:line="223" w:lineRule="auto"/>
        <w:ind w:left="483"/>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29.签订合同</w:t>
      </w:r>
    </w:p>
    <w:p w14:paraId="68FF6436">
      <w:pPr>
        <w:spacing w:before="175" w:line="377" w:lineRule="auto"/>
        <w:ind w:left="2" w:firstLine="426"/>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29.1</w:t>
      </w:r>
      <w:r>
        <w:rPr>
          <w:rFonts w:ascii="宋体" w:hAnsi="宋体" w:eastAsia="宋体" w:cs="宋体"/>
          <w:color w:val="auto"/>
          <w:spacing w:val="-40"/>
          <w:sz w:val="20"/>
          <w:szCs w:val="20"/>
          <w:highlight w:val="none"/>
        </w:rPr>
        <w:t xml:space="preserve"> </w:t>
      </w:r>
      <w:r>
        <w:rPr>
          <w:rFonts w:ascii="宋体" w:hAnsi="宋体" w:eastAsia="宋体" w:cs="宋体"/>
          <w:color w:val="auto"/>
          <w:spacing w:val="8"/>
          <w:sz w:val="20"/>
          <w:szCs w:val="20"/>
          <w:highlight w:val="none"/>
        </w:rPr>
        <w:t>签订电子采购合同：成交供应商电子领取成交通知书后，在规</w:t>
      </w:r>
      <w:r>
        <w:rPr>
          <w:rFonts w:ascii="宋体" w:hAnsi="宋体" w:eastAsia="宋体" w:cs="宋体"/>
          <w:color w:val="auto"/>
          <w:spacing w:val="7"/>
          <w:sz w:val="20"/>
          <w:szCs w:val="20"/>
          <w:highlight w:val="none"/>
        </w:rPr>
        <w:t>定的日期、时间、地点，</w:t>
      </w:r>
      <w:r>
        <w:rPr>
          <w:rFonts w:ascii="宋体" w:hAnsi="宋体" w:eastAsia="宋体" w:cs="宋体"/>
          <w:color w:val="auto"/>
          <w:spacing w:val="12"/>
          <w:sz w:val="20"/>
          <w:szCs w:val="20"/>
          <w:highlight w:val="none"/>
        </w:rPr>
        <w:t>由法定代表人或其授权代表与采购人代表签订电子采</w:t>
      </w:r>
      <w:r>
        <w:rPr>
          <w:rFonts w:ascii="宋体" w:hAnsi="宋体" w:eastAsia="宋体" w:cs="宋体"/>
          <w:color w:val="auto"/>
          <w:spacing w:val="11"/>
          <w:sz w:val="20"/>
          <w:szCs w:val="20"/>
          <w:highlight w:val="none"/>
        </w:rPr>
        <w:t>购合同。如成交供应商为联合体的，</w:t>
      </w:r>
      <w:r>
        <w:rPr>
          <w:rFonts w:ascii="宋体" w:hAnsi="宋体" w:eastAsia="宋体" w:cs="宋体"/>
          <w:color w:val="auto"/>
          <w:spacing w:val="-56"/>
          <w:sz w:val="20"/>
          <w:szCs w:val="20"/>
          <w:highlight w:val="none"/>
        </w:rPr>
        <w:t xml:space="preserve"> </w:t>
      </w:r>
      <w:r>
        <w:rPr>
          <w:rFonts w:ascii="宋体" w:hAnsi="宋体" w:eastAsia="宋体" w:cs="宋体"/>
          <w:color w:val="auto"/>
          <w:spacing w:val="11"/>
          <w:sz w:val="20"/>
          <w:szCs w:val="20"/>
          <w:highlight w:val="none"/>
        </w:rPr>
        <w:t>由联</w:t>
      </w:r>
      <w:r>
        <w:rPr>
          <w:rFonts w:ascii="宋体" w:hAnsi="宋体" w:eastAsia="宋体" w:cs="宋体"/>
          <w:color w:val="auto"/>
          <w:spacing w:val="9"/>
          <w:sz w:val="20"/>
          <w:szCs w:val="20"/>
          <w:highlight w:val="none"/>
        </w:rPr>
        <w:t>合体成员各方法定代表人或其授权代表与采购人代表签订合同。</w:t>
      </w:r>
    </w:p>
    <w:p w14:paraId="3F7EB9C7">
      <w:pPr>
        <w:spacing w:before="1" w:line="376" w:lineRule="auto"/>
        <w:ind w:left="2" w:right="92" w:firstLine="426"/>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线下签订纸质合同：供应商领取成交通知书后，按“供应商须知前附表</w:t>
      </w:r>
      <w:r>
        <w:rPr>
          <w:rFonts w:ascii="宋体" w:hAnsi="宋体" w:eastAsia="宋体" w:cs="宋体"/>
          <w:color w:val="auto"/>
          <w:spacing w:val="-68"/>
          <w:sz w:val="20"/>
          <w:szCs w:val="20"/>
          <w:highlight w:val="none"/>
        </w:rPr>
        <w:t xml:space="preserve"> </w:t>
      </w:r>
      <w:r>
        <w:rPr>
          <w:rFonts w:ascii="宋体" w:hAnsi="宋体" w:eastAsia="宋体" w:cs="宋体"/>
          <w:color w:val="auto"/>
          <w:spacing w:val="11"/>
          <w:sz w:val="20"/>
          <w:szCs w:val="20"/>
          <w:highlight w:val="none"/>
        </w:rPr>
        <w:t>”规定向采购人出</w:t>
      </w:r>
      <w:r>
        <w:rPr>
          <w:rFonts w:ascii="宋体" w:hAnsi="宋体" w:eastAsia="宋体" w:cs="宋体"/>
          <w:color w:val="auto"/>
          <w:spacing w:val="9"/>
          <w:sz w:val="20"/>
          <w:szCs w:val="20"/>
          <w:highlight w:val="none"/>
        </w:rPr>
        <w:t>示相关证明材料，经采购人核验合格后方可签订合同。</w:t>
      </w:r>
    </w:p>
    <w:p w14:paraId="13BE8713">
      <w:pPr>
        <w:spacing w:before="1" w:line="226" w:lineRule="auto"/>
        <w:ind w:left="42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29.2</w:t>
      </w:r>
      <w:r>
        <w:rPr>
          <w:rFonts w:ascii="宋体" w:hAnsi="宋体" w:eastAsia="宋体" w:cs="宋体"/>
          <w:color w:val="auto"/>
          <w:spacing w:val="-32"/>
          <w:sz w:val="20"/>
          <w:szCs w:val="20"/>
          <w:highlight w:val="none"/>
        </w:rPr>
        <w:t xml:space="preserve"> </w:t>
      </w:r>
      <w:r>
        <w:rPr>
          <w:rFonts w:ascii="宋体" w:hAnsi="宋体" w:eastAsia="宋体" w:cs="宋体"/>
          <w:color w:val="auto"/>
          <w:spacing w:val="8"/>
          <w:sz w:val="20"/>
          <w:szCs w:val="20"/>
          <w:highlight w:val="none"/>
        </w:rPr>
        <w:t>签订合同时间：按成交通知书规定的时间与采购人签订合同。</w:t>
      </w:r>
    </w:p>
    <w:p w14:paraId="009DD443">
      <w:pPr>
        <w:spacing w:before="162" w:line="356" w:lineRule="auto"/>
        <w:ind w:left="22" w:right="93" w:firstLine="406"/>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29.3</w:t>
      </w:r>
      <w:r>
        <w:rPr>
          <w:rFonts w:ascii="宋体" w:hAnsi="宋体" w:eastAsia="宋体" w:cs="宋体"/>
          <w:color w:val="auto"/>
          <w:spacing w:val="-18"/>
          <w:sz w:val="20"/>
          <w:szCs w:val="20"/>
          <w:highlight w:val="none"/>
        </w:rPr>
        <w:t xml:space="preserve"> </w:t>
      </w:r>
      <w:r>
        <w:rPr>
          <w:rFonts w:ascii="宋体" w:hAnsi="宋体" w:eastAsia="宋体" w:cs="宋体"/>
          <w:color w:val="auto"/>
          <w:spacing w:val="10"/>
          <w:sz w:val="20"/>
          <w:szCs w:val="20"/>
          <w:highlight w:val="none"/>
        </w:rPr>
        <w:t>成交供应商拒绝签订政府采购合同（包括但不限于放弃成交、因不可抗力不能履行合</w:t>
      </w:r>
      <w:r>
        <w:rPr>
          <w:rFonts w:ascii="宋体" w:hAnsi="宋体" w:eastAsia="宋体" w:cs="宋体"/>
          <w:color w:val="auto"/>
          <w:spacing w:val="12"/>
          <w:sz w:val="20"/>
          <w:szCs w:val="20"/>
          <w:highlight w:val="none"/>
        </w:rPr>
        <w:t>同而放弃签订合同</w:t>
      </w:r>
      <w:r>
        <w:rPr>
          <w:rFonts w:ascii="宋体" w:hAnsi="宋体" w:eastAsia="宋体" w:cs="宋体"/>
          <w:color w:val="auto"/>
          <w:spacing w:val="-4"/>
          <w:sz w:val="20"/>
          <w:szCs w:val="20"/>
          <w:highlight w:val="none"/>
        </w:rPr>
        <w:t>）</w:t>
      </w:r>
      <w:r>
        <w:rPr>
          <w:rFonts w:ascii="宋体" w:hAnsi="宋体" w:eastAsia="宋体" w:cs="宋体"/>
          <w:color w:val="auto"/>
          <w:spacing w:val="-55"/>
          <w:sz w:val="20"/>
          <w:szCs w:val="20"/>
          <w:highlight w:val="none"/>
        </w:rPr>
        <w:t xml:space="preserve"> </w:t>
      </w:r>
      <w:r>
        <w:rPr>
          <w:rFonts w:ascii="宋体" w:hAnsi="宋体" w:eastAsia="宋体" w:cs="宋体"/>
          <w:color w:val="auto"/>
          <w:spacing w:val="-4"/>
          <w:sz w:val="20"/>
          <w:szCs w:val="20"/>
          <w:highlight w:val="none"/>
        </w:rPr>
        <w:t>，</w:t>
      </w:r>
      <w:r>
        <w:rPr>
          <w:rFonts w:ascii="宋体" w:hAnsi="宋体" w:eastAsia="宋体" w:cs="宋体"/>
          <w:color w:val="auto"/>
          <w:spacing w:val="12"/>
          <w:sz w:val="20"/>
          <w:szCs w:val="20"/>
          <w:highlight w:val="none"/>
        </w:rPr>
        <w:t>采购人可以按照评审报告推荐的成交候选人名单排序，确</w:t>
      </w:r>
      <w:r>
        <w:rPr>
          <w:rFonts w:ascii="宋体" w:hAnsi="宋体" w:eastAsia="宋体" w:cs="宋体"/>
          <w:color w:val="auto"/>
          <w:spacing w:val="11"/>
          <w:sz w:val="20"/>
          <w:szCs w:val="20"/>
          <w:highlight w:val="none"/>
        </w:rPr>
        <w:t>定下一候选人</w:t>
      </w:r>
    </w:p>
    <w:p w14:paraId="67D31229">
      <w:pPr>
        <w:spacing w:line="356" w:lineRule="auto"/>
        <w:rPr>
          <w:rFonts w:ascii="宋体" w:hAnsi="宋体" w:eastAsia="宋体" w:cs="宋体"/>
          <w:color w:val="auto"/>
          <w:sz w:val="20"/>
          <w:szCs w:val="20"/>
          <w:highlight w:val="none"/>
        </w:rPr>
        <w:sectPr>
          <w:footerReference r:id="rId24" w:type="default"/>
          <w:pgSz w:w="11910" w:h="16840"/>
          <w:pgMar w:top="1330" w:right="1408" w:bottom="1091" w:left="1686" w:header="0" w:footer="928" w:gutter="0"/>
          <w:pgNumType w:fmt="decimal"/>
          <w:cols w:space="720" w:num="1"/>
        </w:sectPr>
      </w:pPr>
    </w:p>
    <w:p w14:paraId="551AC5DF">
      <w:pPr>
        <w:spacing w:before="40" w:line="377" w:lineRule="auto"/>
        <w:ind w:left="5" w:right="54" w:hanging="1"/>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为成交供应商，也可以重新开展政府采购活动。如采购人</w:t>
      </w:r>
      <w:r>
        <w:rPr>
          <w:rFonts w:ascii="宋体" w:hAnsi="宋体" w:eastAsia="宋体" w:cs="宋体"/>
          <w:color w:val="auto"/>
          <w:spacing w:val="12"/>
          <w:sz w:val="20"/>
          <w:szCs w:val="20"/>
          <w:highlight w:val="none"/>
        </w:rPr>
        <w:t>无正当理由拒签合同的，给成交供应</w:t>
      </w:r>
      <w:r>
        <w:rPr>
          <w:rFonts w:ascii="宋体" w:hAnsi="宋体" w:eastAsia="宋体" w:cs="宋体"/>
          <w:color w:val="auto"/>
          <w:spacing w:val="9"/>
          <w:sz w:val="20"/>
          <w:szCs w:val="20"/>
          <w:highlight w:val="none"/>
        </w:rPr>
        <w:t>商造成损失的，成交供应商可追究采购人承担相应的法律责任。</w:t>
      </w:r>
    </w:p>
    <w:p w14:paraId="28F0EDB4">
      <w:pPr>
        <w:spacing w:line="377" w:lineRule="auto"/>
        <w:ind w:right="54" w:firstLine="42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29.4</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政府采购合同是政府采购项目验收的</w:t>
      </w:r>
      <w:r>
        <w:rPr>
          <w:rFonts w:ascii="宋体" w:hAnsi="宋体" w:eastAsia="宋体" w:cs="宋体"/>
          <w:color w:val="auto"/>
          <w:spacing w:val="10"/>
          <w:sz w:val="20"/>
          <w:szCs w:val="20"/>
          <w:highlight w:val="none"/>
        </w:rPr>
        <w:t>依据，成交供应商和采购人应当按照采购合同约</w:t>
      </w:r>
      <w:r>
        <w:rPr>
          <w:rFonts w:ascii="宋体" w:hAnsi="宋体" w:eastAsia="宋体" w:cs="宋体"/>
          <w:color w:val="auto"/>
          <w:spacing w:val="13"/>
          <w:sz w:val="20"/>
          <w:szCs w:val="20"/>
          <w:highlight w:val="none"/>
        </w:rPr>
        <w:t>定的各自的权利和义务全面履行合同。任何一方当事人在履行合</w:t>
      </w:r>
      <w:r>
        <w:rPr>
          <w:rFonts w:ascii="宋体" w:hAnsi="宋体" w:eastAsia="宋体" w:cs="宋体"/>
          <w:color w:val="auto"/>
          <w:spacing w:val="12"/>
          <w:sz w:val="20"/>
          <w:szCs w:val="20"/>
          <w:highlight w:val="none"/>
        </w:rPr>
        <w:t>同过程中均不得擅自变更、中</w:t>
      </w:r>
      <w:r>
        <w:rPr>
          <w:rFonts w:ascii="宋体" w:hAnsi="宋体" w:eastAsia="宋体" w:cs="宋体"/>
          <w:color w:val="auto"/>
          <w:spacing w:val="13"/>
          <w:sz w:val="20"/>
          <w:szCs w:val="20"/>
          <w:highlight w:val="none"/>
        </w:rPr>
        <w:t>止或终止合同。政府采购合同继续履行将损害国家利益和社会公</w:t>
      </w:r>
      <w:r>
        <w:rPr>
          <w:rFonts w:ascii="宋体" w:hAnsi="宋体" w:eastAsia="宋体" w:cs="宋体"/>
          <w:color w:val="auto"/>
          <w:spacing w:val="12"/>
          <w:sz w:val="20"/>
          <w:szCs w:val="20"/>
          <w:highlight w:val="none"/>
        </w:rPr>
        <w:t>共利益的，双方当事人应当变</w:t>
      </w:r>
      <w:r>
        <w:rPr>
          <w:rFonts w:ascii="宋体" w:hAnsi="宋体" w:eastAsia="宋体" w:cs="宋体"/>
          <w:color w:val="auto"/>
          <w:spacing w:val="13"/>
          <w:sz w:val="20"/>
          <w:szCs w:val="20"/>
          <w:highlight w:val="none"/>
        </w:rPr>
        <w:t>更、中止或终止合同。有过错的一方应当承担赔偿责任，双方都</w:t>
      </w:r>
      <w:r>
        <w:rPr>
          <w:rFonts w:ascii="宋体" w:hAnsi="宋体" w:eastAsia="宋体" w:cs="宋体"/>
          <w:color w:val="auto"/>
          <w:spacing w:val="12"/>
          <w:sz w:val="20"/>
          <w:szCs w:val="20"/>
          <w:highlight w:val="none"/>
        </w:rPr>
        <w:t>有过错的，各自承担相应的责</w:t>
      </w:r>
      <w:r>
        <w:rPr>
          <w:rFonts w:ascii="宋体" w:hAnsi="宋体" w:eastAsia="宋体" w:cs="宋体"/>
          <w:color w:val="auto"/>
          <w:sz w:val="20"/>
          <w:szCs w:val="20"/>
          <w:highlight w:val="none"/>
        </w:rPr>
        <w:t>任。</w:t>
      </w:r>
    </w:p>
    <w:p w14:paraId="50D55399">
      <w:pPr>
        <w:spacing w:before="1" w:line="377" w:lineRule="auto"/>
        <w:ind w:left="2" w:right="54" w:firstLine="426"/>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29.5</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采购人或成交供应商不得单方面向合</w:t>
      </w:r>
      <w:r>
        <w:rPr>
          <w:rFonts w:ascii="宋体" w:hAnsi="宋体" w:eastAsia="宋体" w:cs="宋体"/>
          <w:color w:val="auto"/>
          <w:spacing w:val="10"/>
          <w:sz w:val="20"/>
          <w:szCs w:val="20"/>
          <w:highlight w:val="none"/>
        </w:rPr>
        <w:t>同另一方提出任何谈判文件没有约定的条件或不</w:t>
      </w:r>
      <w:r>
        <w:rPr>
          <w:rFonts w:ascii="宋体" w:hAnsi="宋体" w:eastAsia="宋体" w:cs="宋体"/>
          <w:color w:val="auto"/>
          <w:spacing w:val="13"/>
          <w:sz w:val="20"/>
          <w:szCs w:val="20"/>
          <w:highlight w:val="none"/>
        </w:rPr>
        <w:t>合理的要求，作为签订合同的条件；也不得协商另行订立背</w:t>
      </w:r>
      <w:r>
        <w:rPr>
          <w:rFonts w:ascii="宋体" w:hAnsi="宋体" w:eastAsia="宋体" w:cs="宋体"/>
          <w:color w:val="auto"/>
          <w:spacing w:val="12"/>
          <w:sz w:val="20"/>
          <w:szCs w:val="20"/>
          <w:highlight w:val="none"/>
        </w:rPr>
        <w:t>离谈判文件和合同实质性内容的协</w:t>
      </w:r>
      <w:r>
        <w:rPr>
          <w:rFonts w:ascii="宋体" w:hAnsi="宋体" w:eastAsia="宋体" w:cs="宋体"/>
          <w:color w:val="auto"/>
          <w:sz w:val="20"/>
          <w:szCs w:val="20"/>
          <w:highlight w:val="none"/>
        </w:rPr>
        <w:t>议。</w:t>
      </w:r>
    </w:p>
    <w:p w14:paraId="2D7D721F">
      <w:pPr>
        <w:spacing w:before="1" w:line="376" w:lineRule="auto"/>
        <w:ind w:left="18" w:right="54" w:firstLine="41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29.6</w:t>
      </w:r>
      <w:r>
        <w:rPr>
          <w:rFonts w:ascii="宋体" w:hAnsi="宋体" w:eastAsia="宋体" w:cs="宋体"/>
          <w:color w:val="auto"/>
          <w:spacing w:val="-18"/>
          <w:sz w:val="20"/>
          <w:szCs w:val="20"/>
          <w:highlight w:val="none"/>
        </w:rPr>
        <w:t xml:space="preserve"> </w:t>
      </w:r>
      <w:r>
        <w:rPr>
          <w:rFonts w:ascii="宋体" w:hAnsi="宋体" w:eastAsia="宋体" w:cs="宋体"/>
          <w:color w:val="auto"/>
          <w:spacing w:val="10"/>
          <w:sz w:val="20"/>
          <w:szCs w:val="20"/>
          <w:highlight w:val="none"/>
        </w:rPr>
        <w:t>如签订合同并生效后，供应商无故拒绝或延期，除按照合同条款处理外，将承担相应</w:t>
      </w:r>
      <w:r>
        <w:rPr>
          <w:rFonts w:ascii="宋体" w:hAnsi="宋体" w:eastAsia="宋体" w:cs="宋体"/>
          <w:color w:val="auto"/>
          <w:spacing w:val="3"/>
          <w:sz w:val="20"/>
          <w:szCs w:val="20"/>
          <w:highlight w:val="none"/>
        </w:rPr>
        <w:t>的法律责任。</w:t>
      </w:r>
    </w:p>
    <w:p w14:paraId="2FAB6C9C">
      <w:pPr>
        <w:spacing w:before="1" w:line="378" w:lineRule="auto"/>
        <w:ind w:left="2" w:right="54" w:firstLine="426"/>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29.7</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政府采购合同履行中，采购人需追加</w:t>
      </w:r>
      <w:r>
        <w:rPr>
          <w:rFonts w:ascii="宋体" w:hAnsi="宋体" w:eastAsia="宋体" w:cs="宋体"/>
          <w:color w:val="auto"/>
          <w:spacing w:val="10"/>
          <w:sz w:val="20"/>
          <w:szCs w:val="20"/>
          <w:highlight w:val="none"/>
        </w:rPr>
        <w:t>与合同标的相同的货物、工程或者服务的，在不</w:t>
      </w:r>
      <w:r>
        <w:rPr>
          <w:rFonts w:ascii="宋体" w:hAnsi="宋体" w:eastAsia="宋体" w:cs="宋体"/>
          <w:color w:val="auto"/>
          <w:spacing w:val="13"/>
          <w:sz w:val="20"/>
          <w:szCs w:val="20"/>
          <w:highlight w:val="none"/>
        </w:rPr>
        <w:t>改变合同其他条款的前提下，可以与供应商协商签订补充合</w:t>
      </w:r>
      <w:r>
        <w:rPr>
          <w:rFonts w:ascii="宋体" w:hAnsi="宋体" w:eastAsia="宋体" w:cs="宋体"/>
          <w:color w:val="auto"/>
          <w:spacing w:val="12"/>
          <w:sz w:val="20"/>
          <w:szCs w:val="20"/>
          <w:highlight w:val="none"/>
        </w:rPr>
        <w:t>同，但所有补充合同的采购金额不</w:t>
      </w:r>
      <w:r>
        <w:rPr>
          <w:rFonts w:ascii="宋体" w:hAnsi="宋体" w:eastAsia="宋体" w:cs="宋体"/>
          <w:color w:val="auto"/>
          <w:spacing w:val="6"/>
          <w:sz w:val="20"/>
          <w:szCs w:val="20"/>
          <w:highlight w:val="none"/>
        </w:rPr>
        <w:t>得超过原合同采购金额的</w:t>
      </w:r>
      <w:r>
        <w:rPr>
          <w:rFonts w:ascii="宋体" w:hAnsi="宋体" w:eastAsia="宋体" w:cs="宋体"/>
          <w:color w:val="auto"/>
          <w:spacing w:val="-23"/>
          <w:sz w:val="20"/>
          <w:szCs w:val="20"/>
          <w:highlight w:val="none"/>
        </w:rPr>
        <w:t xml:space="preserve"> </w:t>
      </w:r>
      <w:r>
        <w:rPr>
          <w:rFonts w:ascii="宋体" w:hAnsi="宋体" w:eastAsia="宋体" w:cs="宋体"/>
          <w:color w:val="auto"/>
          <w:spacing w:val="6"/>
          <w:sz w:val="20"/>
          <w:szCs w:val="20"/>
          <w:highlight w:val="none"/>
        </w:rPr>
        <w:t>10%。</w:t>
      </w:r>
    </w:p>
    <w:p w14:paraId="5E0A8D11">
      <w:pPr>
        <w:spacing w:before="1" w:line="223" w:lineRule="auto"/>
        <w:ind w:left="485"/>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30.政府采购合同公告</w:t>
      </w:r>
    </w:p>
    <w:p w14:paraId="0B661247">
      <w:pPr>
        <w:spacing w:before="172" w:line="378" w:lineRule="auto"/>
        <w:ind w:right="54" w:firstLine="421"/>
        <w:jc w:val="both"/>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根据《中华人民共和国政府采购法实施条例》第五十条规定，采购人应</w:t>
      </w:r>
      <w:r>
        <w:rPr>
          <w:rFonts w:ascii="宋体" w:hAnsi="宋体" w:eastAsia="宋体" w:cs="宋体"/>
          <w:color w:val="auto"/>
          <w:spacing w:val="12"/>
          <w:sz w:val="20"/>
          <w:szCs w:val="20"/>
          <w:highlight w:val="none"/>
        </w:rPr>
        <w:t>当自政府采购合同签订之日起</w:t>
      </w:r>
      <w:r>
        <w:rPr>
          <w:rFonts w:ascii="宋体" w:hAnsi="宋体" w:eastAsia="宋体" w:cs="宋体"/>
          <w:color w:val="auto"/>
          <w:spacing w:val="-35"/>
          <w:sz w:val="20"/>
          <w:szCs w:val="20"/>
          <w:highlight w:val="none"/>
        </w:rPr>
        <w:t xml:space="preserve"> </w:t>
      </w:r>
      <w:r>
        <w:rPr>
          <w:rFonts w:ascii="宋体" w:hAnsi="宋体" w:eastAsia="宋体" w:cs="宋体"/>
          <w:color w:val="auto"/>
          <w:spacing w:val="12"/>
          <w:sz w:val="20"/>
          <w:szCs w:val="20"/>
          <w:highlight w:val="none"/>
        </w:rPr>
        <w:t>2</w:t>
      </w:r>
      <w:r>
        <w:rPr>
          <w:rFonts w:ascii="宋体" w:hAnsi="宋体" w:eastAsia="宋体" w:cs="宋体"/>
          <w:color w:val="auto"/>
          <w:spacing w:val="-36"/>
          <w:sz w:val="20"/>
          <w:szCs w:val="20"/>
          <w:highlight w:val="none"/>
        </w:rPr>
        <w:t xml:space="preserve"> </w:t>
      </w:r>
      <w:r>
        <w:rPr>
          <w:rFonts w:ascii="宋体" w:hAnsi="宋体" w:eastAsia="宋体" w:cs="宋体"/>
          <w:color w:val="auto"/>
          <w:spacing w:val="12"/>
          <w:sz w:val="20"/>
          <w:szCs w:val="20"/>
          <w:highlight w:val="none"/>
        </w:rPr>
        <w:t>个工作日内，将政府采购合同在省级以上人民政府财政部门指定的媒体上公告，</w:t>
      </w:r>
      <w:r>
        <w:rPr>
          <w:rFonts w:ascii="宋体" w:hAnsi="宋体" w:eastAsia="宋体" w:cs="宋体"/>
          <w:color w:val="auto"/>
          <w:spacing w:val="9"/>
          <w:sz w:val="20"/>
          <w:szCs w:val="20"/>
          <w:highlight w:val="none"/>
        </w:rPr>
        <w:t>但政府采购合同中涉及国家秘密、商业秘密的内容除外。</w:t>
      </w:r>
    </w:p>
    <w:p w14:paraId="06581AF1">
      <w:pPr>
        <w:spacing w:before="1" w:line="220" w:lineRule="auto"/>
        <w:ind w:left="485"/>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31.</w:t>
      </w:r>
      <w:r>
        <w:rPr>
          <w:rFonts w:ascii="黑体" w:hAnsi="黑体" w:eastAsia="黑体" w:cs="黑体"/>
          <w:color w:val="auto"/>
          <w:spacing w:val="-3"/>
          <w:sz w:val="24"/>
          <w:szCs w:val="24"/>
          <w:highlight w:val="none"/>
        </w:rPr>
        <w:t xml:space="preserve"> </w:t>
      </w:r>
      <w:r>
        <w:rPr>
          <w:rFonts w:ascii="黑体" w:hAnsi="黑体" w:eastAsia="黑体" w:cs="黑体"/>
          <w:b/>
          <w:bCs/>
          <w:color w:val="auto"/>
          <w:spacing w:val="-3"/>
          <w:sz w:val="24"/>
          <w:szCs w:val="24"/>
          <w:highlight w:val="none"/>
        </w:rPr>
        <w:t>询问、质疑和投诉</w:t>
      </w:r>
    </w:p>
    <w:p w14:paraId="581745EB">
      <w:pPr>
        <w:spacing w:before="176" w:line="378" w:lineRule="auto"/>
        <w:ind w:left="2" w:right="56"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31.1</w:t>
      </w:r>
      <w:r>
        <w:rPr>
          <w:rFonts w:ascii="宋体" w:hAnsi="宋体" w:eastAsia="宋体" w:cs="宋体"/>
          <w:color w:val="auto"/>
          <w:spacing w:val="-41"/>
          <w:sz w:val="20"/>
          <w:szCs w:val="20"/>
          <w:highlight w:val="none"/>
        </w:rPr>
        <w:t xml:space="preserve"> </w:t>
      </w:r>
      <w:r>
        <w:rPr>
          <w:rFonts w:ascii="宋体" w:hAnsi="宋体" w:eastAsia="宋体" w:cs="宋体"/>
          <w:color w:val="auto"/>
          <w:spacing w:val="11"/>
          <w:sz w:val="20"/>
          <w:szCs w:val="20"/>
          <w:highlight w:val="none"/>
        </w:rPr>
        <w:t>供应商对政府采购活动事项有疑问的，可以</w:t>
      </w:r>
      <w:r>
        <w:rPr>
          <w:rFonts w:ascii="宋体" w:hAnsi="宋体" w:eastAsia="宋体" w:cs="宋体"/>
          <w:color w:val="auto"/>
          <w:spacing w:val="10"/>
          <w:sz w:val="20"/>
          <w:szCs w:val="20"/>
          <w:highlight w:val="none"/>
        </w:rPr>
        <w:t>向采购人、采购代理机构提出询问，采购</w:t>
      </w:r>
      <w:r>
        <w:rPr>
          <w:rFonts w:ascii="宋体" w:hAnsi="宋体" w:eastAsia="宋体" w:cs="宋体"/>
          <w:color w:val="auto"/>
          <w:spacing w:val="12"/>
          <w:sz w:val="20"/>
          <w:szCs w:val="20"/>
          <w:highlight w:val="none"/>
        </w:rPr>
        <w:t>人或者采购代理机构应当在</w:t>
      </w:r>
      <w:r>
        <w:rPr>
          <w:rFonts w:ascii="宋体" w:hAnsi="宋体" w:eastAsia="宋体" w:cs="宋体"/>
          <w:color w:val="auto"/>
          <w:spacing w:val="-30"/>
          <w:sz w:val="20"/>
          <w:szCs w:val="20"/>
          <w:highlight w:val="none"/>
        </w:rPr>
        <w:t xml:space="preserve"> </w:t>
      </w:r>
      <w:r>
        <w:rPr>
          <w:rFonts w:ascii="宋体" w:hAnsi="宋体" w:eastAsia="宋体" w:cs="宋体"/>
          <w:color w:val="auto"/>
          <w:spacing w:val="12"/>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12"/>
          <w:sz w:val="20"/>
          <w:szCs w:val="20"/>
          <w:highlight w:val="none"/>
        </w:rPr>
        <w:t>个工作日内对供应商依法提出的询问作出</w:t>
      </w:r>
      <w:r>
        <w:rPr>
          <w:rFonts w:ascii="宋体" w:hAnsi="宋体" w:eastAsia="宋体" w:cs="宋体"/>
          <w:color w:val="auto"/>
          <w:spacing w:val="11"/>
          <w:sz w:val="20"/>
          <w:szCs w:val="20"/>
          <w:highlight w:val="none"/>
        </w:rPr>
        <w:t>答复，但答复的内容不</w:t>
      </w:r>
      <w:r>
        <w:rPr>
          <w:rFonts w:ascii="宋体" w:hAnsi="宋体" w:eastAsia="宋体" w:cs="宋体"/>
          <w:color w:val="auto"/>
          <w:spacing w:val="7"/>
          <w:sz w:val="20"/>
          <w:szCs w:val="20"/>
          <w:highlight w:val="none"/>
        </w:rPr>
        <w:t>得涉及商业秘密。</w:t>
      </w:r>
    </w:p>
    <w:p w14:paraId="59574E2C">
      <w:pPr>
        <w:spacing w:before="118" w:line="377" w:lineRule="auto"/>
        <w:ind w:left="2"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31.2</w:t>
      </w:r>
      <w:r>
        <w:rPr>
          <w:rFonts w:ascii="宋体" w:hAnsi="宋体" w:eastAsia="宋体" w:cs="宋体"/>
          <w:color w:val="auto"/>
          <w:spacing w:val="-41"/>
          <w:sz w:val="20"/>
          <w:szCs w:val="20"/>
          <w:highlight w:val="none"/>
        </w:rPr>
        <w:t xml:space="preserve"> </w:t>
      </w:r>
      <w:r>
        <w:rPr>
          <w:rFonts w:ascii="宋体" w:hAnsi="宋体" w:eastAsia="宋体" w:cs="宋体"/>
          <w:color w:val="auto"/>
          <w:spacing w:val="11"/>
          <w:sz w:val="20"/>
          <w:szCs w:val="20"/>
          <w:highlight w:val="none"/>
        </w:rPr>
        <w:t>供应商认为谈判文件、采购过程或者成交结</w:t>
      </w:r>
      <w:r>
        <w:rPr>
          <w:rFonts w:ascii="宋体" w:hAnsi="宋体" w:eastAsia="宋体" w:cs="宋体"/>
          <w:color w:val="auto"/>
          <w:spacing w:val="10"/>
          <w:sz w:val="20"/>
          <w:szCs w:val="20"/>
          <w:highlight w:val="none"/>
        </w:rPr>
        <w:t>果使自己的合法权益受到损害的，应当在</w:t>
      </w:r>
      <w:r>
        <w:rPr>
          <w:rFonts w:ascii="宋体" w:hAnsi="宋体" w:eastAsia="宋体" w:cs="宋体"/>
          <w:color w:val="auto"/>
          <w:spacing w:val="11"/>
          <w:sz w:val="20"/>
          <w:szCs w:val="20"/>
          <w:highlight w:val="none"/>
        </w:rPr>
        <w:t>知道或者应知其权益受到损害之日起</w:t>
      </w:r>
      <w:r>
        <w:rPr>
          <w:rFonts w:ascii="宋体" w:hAnsi="宋体" w:eastAsia="宋体" w:cs="宋体"/>
          <w:color w:val="auto"/>
          <w:spacing w:val="-30"/>
          <w:sz w:val="20"/>
          <w:szCs w:val="20"/>
          <w:highlight w:val="none"/>
        </w:rPr>
        <w:t xml:space="preserve"> </w:t>
      </w:r>
      <w:r>
        <w:rPr>
          <w:rFonts w:ascii="宋体" w:hAnsi="宋体" w:eastAsia="宋体" w:cs="宋体"/>
          <w:color w:val="auto"/>
          <w:spacing w:val="11"/>
          <w:sz w:val="20"/>
          <w:szCs w:val="20"/>
          <w:highlight w:val="none"/>
        </w:rPr>
        <w:t>7</w:t>
      </w:r>
      <w:r>
        <w:rPr>
          <w:rFonts w:ascii="宋体" w:hAnsi="宋体" w:eastAsia="宋体" w:cs="宋体"/>
          <w:color w:val="auto"/>
          <w:spacing w:val="-35"/>
          <w:sz w:val="20"/>
          <w:szCs w:val="20"/>
          <w:highlight w:val="none"/>
        </w:rPr>
        <w:t xml:space="preserve"> </w:t>
      </w:r>
      <w:r>
        <w:rPr>
          <w:rFonts w:ascii="宋体" w:hAnsi="宋体" w:eastAsia="宋体" w:cs="宋体"/>
          <w:color w:val="auto"/>
          <w:spacing w:val="11"/>
          <w:sz w:val="20"/>
          <w:szCs w:val="20"/>
          <w:highlight w:val="none"/>
        </w:rPr>
        <w:t>个工作日内，</w:t>
      </w:r>
      <w:r>
        <w:rPr>
          <w:rFonts w:ascii="宋体" w:hAnsi="宋体" w:eastAsia="宋体" w:cs="宋体"/>
          <w:color w:val="auto"/>
          <w:spacing w:val="-60"/>
          <w:sz w:val="20"/>
          <w:szCs w:val="20"/>
          <w:highlight w:val="none"/>
        </w:rPr>
        <w:t xml:space="preserve"> </w:t>
      </w:r>
      <w:r>
        <w:rPr>
          <w:rFonts w:ascii="宋体" w:hAnsi="宋体" w:eastAsia="宋体" w:cs="宋体"/>
          <w:color w:val="auto"/>
          <w:spacing w:val="11"/>
          <w:sz w:val="20"/>
          <w:szCs w:val="20"/>
          <w:highlight w:val="none"/>
        </w:rPr>
        <w:t>以书面形式向采购人、</w:t>
      </w:r>
      <w:r>
        <w:rPr>
          <w:rFonts w:ascii="宋体" w:hAnsi="宋体" w:eastAsia="宋体" w:cs="宋体"/>
          <w:color w:val="auto"/>
          <w:spacing w:val="10"/>
          <w:sz w:val="20"/>
          <w:szCs w:val="20"/>
          <w:highlight w:val="none"/>
        </w:rPr>
        <w:t>采购代理机构提出</w:t>
      </w:r>
      <w:r>
        <w:rPr>
          <w:rFonts w:ascii="宋体" w:hAnsi="宋体" w:eastAsia="宋体" w:cs="宋体"/>
          <w:color w:val="auto"/>
          <w:spacing w:val="8"/>
          <w:sz w:val="20"/>
          <w:szCs w:val="20"/>
          <w:highlight w:val="none"/>
        </w:rPr>
        <w:t>质疑，接收质疑函的方式、联系部门、联系电话和通讯地址等信息详见“供应商须知前附表</w:t>
      </w:r>
      <w:r>
        <w:rPr>
          <w:rFonts w:ascii="宋体" w:hAnsi="宋体" w:eastAsia="宋体" w:cs="宋体"/>
          <w:color w:val="auto"/>
          <w:spacing w:val="-63"/>
          <w:sz w:val="20"/>
          <w:szCs w:val="20"/>
          <w:highlight w:val="none"/>
        </w:rPr>
        <w:t xml:space="preserve"> </w:t>
      </w:r>
      <w:r>
        <w:rPr>
          <w:rFonts w:ascii="宋体" w:hAnsi="宋体" w:eastAsia="宋体" w:cs="宋体"/>
          <w:color w:val="auto"/>
          <w:spacing w:val="8"/>
          <w:sz w:val="20"/>
          <w:szCs w:val="20"/>
          <w:highlight w:val="none"/>
        </w:rPr>
        <w:t>”。具体质疑起算时间如下：</w:t>
      </w:r>
    </w:p>
    <w:p w14:paraId="60B0821C">
      <w:pPr>
        <w:spacing w:before="1" w:line="227" w:lineRule="auto"/>
        <w:ind w:left="4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（1）对可以质疑的谈判文件提出质疑的，为</w:t>
      </w:r>
      <w:r>
        <w:rPr>
          <w:rFonts w:ascii="宋体" w:hAnsi="宋体" w:eastAsia="宋体" w:cs="宋体"/>
          <w:color w:val="auto"/>
          <w:spacing w:val="8"/>
          <w:sz w:val="20"/>
          <w:szCs w:val="20"/>
          <w:highlight w:val="none"/>
        </w:rPr>
        <w:t>获取谈判文件之日；</w:t>
      </w:r>
    </w:p>
    <w:p w14:paraId="24723AF3">
      <w:pPr>
        <w:spacing w:before="161" w:line="227"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（2）对采购过程提出质疑的，为各采购程序环节结束之日；</w:t>
      </w:r>
    </w:p>
    <w:p w14:paraId="584B26A8">
      <w:pPr>
        <w:spacing w:before="162" w:line="226" w:lineRule="auto"/>
        <w:ind w:left="4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（3）对成交结果提出质疑的，为成交结果</w:t>
      </w:r>
      <w:r>
        <w:rPr>
          <w:rFonts w:ascii="宋体" w:hAnsi="宋体" w:eastAsia="宋体" w:cs="宋体"/>
          <w:color w:val="auto"/>
          <w:spacing w:val="8"/>
          <w:sz w:val="20"/>
          <w:szCs w:val="20"/>
          <w:highlight w:val="none"/>
        </w:rPr>
        <w:t>公告期限届满之日。</w:t>
      </w:r>
    </w:p>
    <w:p w14:paraId="5391C17E">
      <w:pPr>
        <w:spacing w:before="164" w:line="377" w:lineRule="auto"/>
        <w:ind w:left="1" w:right="54" w:firstLine="424"/>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31.3</w:t>
      </w:r>
      <w:r>
        <w:rPr>
          <w:rFonts w:ascii="宋体" w:hAnsi="宋体" w:eastAsia="宋体" w:cs="宋体"/>
          <w:color w:val="auto"/>
          <w:spacing w:val="-41"/>
          <w:sz w:val="20"/>
          <w:szCs w:val="20"/>
          <w:highlight w:val="none"/>
        </w:rPr>
        <w:t xml:space="preserve"> </w:t>
      </w:r>
      <w:r>
        <w:rPr>
          <w:rFonts w:ascii="宋体" w:hAnsi="宋体" w:eastAsia="宋体" w:cs="宋体"/>
          <w:color w:val="auto"/>
          <w:spacing w:val="11"/>
          <w:sz w:val="20"/>
          <w:szCs w:val="20"/>
          <w:highlight w:val="none"/>
        </w:rPr>
        <w:t>供应商提出的询问或者质疑超出采购人对采</w:t>
      </w:r>
      <w:r>
        <w:rPr>
          <w:rFonts w:ascii="宋体" w:hAnsi="宋体" w:eastAsia="宋体" w:cs="宋体"/>
          <w:color w:val="auto"/>
          <w:spacing w:val="10"/>
          <w:sz w:val="20"/>
          <w:szCs w:val="20"/>
          <w:highlight w:val="none"/>
        </w:rPr>
        <w:t>购代理机构委托授权范围的，采购代理机</w:t>
      </w:r>
      <w:r>
        <w:rPr>
          <w:rFonts w:ascii="宋体" w:hAnsi="宋体" w:eastAsia="宋体" w:cs="宋体"/>
          <w:color w:val="auto"/>
          <w:spacing w:val="13"/>
          <w:sz w:val="20"/>
          <w:szCs w:val="20"/>
          <w:highlight w:val="none"/>
        </w:rPr>
        <w:t>构应当告知供应商向采购人提出。政府采购评审专家应当配合</w:t>
      </w:r>
      <w:r>
        <w:rPr>
          <w:rFonts w:ascii="宋体" w:hAnsi="宋体" w:eastAsia="宋体" w:cs="宋体"/>
          <w:color w:val="auto"/>
          <w:spacing w:val="12"/>
          <w:sz w:val="20"/>
          <w:szCs w:val="20"/>
          <w:highlight w:val="none"/>
        </w:rPr>
        <w:t>采购人或者采购代理机构答复供</w:t>
      </w:r>
      <w:r>
        <w:rPr>
          <w:rFonts w:ascii="宋体" w:hAnsi="宋体" w:eastAsia="宋体" w:cs="宋体"/>
          <w:color w:val="auto"/>
          <w:spacing w:val="7"/>
          <w:sz w:val="20"/>
          <w:szCs w:val="20"/>
          <w:highlight w:val="none"/>
        </w:rPr>
        <w:t>应商的询问和质疑。</w:t>
      </w:r>
    </w:p>
    <w:p w14:paraId="4D75BEE3">
      <w:pPr>
        <w:spacing w:before="1" w:line="226" w:lineRule="auto"/>
        <w:ind w:left="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31.4</w:t>
      </w:r>
      <w:r>
        <w:rPr>
          <w:rFonts w:ascii="宋体" w:hAnsi="宋体" w:eastAsia="宋体" w:cs="宋体"/>
          <w:color w:val="auto"/>
          <w:spacing w:val="-41"/>
          <w:sz w:val="20"/>
          <w:szCs w:val="20"/>
          <w:highlight w:val="none"/>
        </w:rPr>
        <w:t xml:space="preserve"> </w:t>
      </w:r>
      <w:r>
        <w:rPr>
          <w:rFonts w:ascii="宋体" w:hAnsi="宋体" w:eastAsia="宋体" w:cs="宋体"/>
          <w:color w:val="auto"/>
          <w:spacing w:val="11"/>
          <w:sz w:val="20"/>
          <w:szCs w:val="20"/>
          <w:highlight w:val="none"/>
        </w:rPr>
        <w:t>供应商提出质疑应当提交质疑函和必要的证</w:t>
      </w:r>
      <w:r>
        <w:rPr>
          <w:rFonts w:ascii="宋体" w:hAnsi="宋体" w:eastAsia="宋体" w:cs="宋体"/>
          <w:color w:val="auto"/>
          <w:spacing w:val="10"/>
          <w:sz w:val="20"/>
          <w:szCs w:val="20"/>
          <w:highlight w:val="none"/>
        </w:rPr>
        <w:t>明材料，针对同一采购程序环节的质疑必</w:t>
      </w:r>
    </w:p>
    <w:p w14:paraId="530C22D1">
      <w:pPr>
        <w:spacing w:line="226" w:lineRule="auto"/>
        <w:rPr>
          <w:rFonts w:ascii="宋体" w:hAnsi="宋体" w:eastAsia="宋体" w:cs="宋体"/>
          <w:color w:val="auto"/>
          <w:sz w:val="20"/>
          <w:szCs w:val="20"/>
          <w:highlight w:val="none"/>
        </w:rPr>
        <w:sectPr>
          <w:footerReference r:id="rId25" w:type="default"/>
          <w:pgSz w:w="11910" w:h="16840"/>
          <w:pgMar w:top="1330" w:right="1447" w:bottom="1091" w:left="1686" w:header="0" w:footer="929" w:gutter="0"/>
          <w:pgNumType w:fmt="decimal"/>
          <w:cols w:space="720" w:num="1"/>
        </w:sectPr>
      </w:pPr>
    </w:p>
    <w:p w14:paraId="340C6278">
      <w:pPr>
        <w:spacing w:before="41" w:line="227" w:lineRule="auto"/>
        <w:ind w:left="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须在法定质疑期内一次性提出。质疑函应当包括下列内容（质疑函格式后附</w:t>
      </w:r>
      <w:r>
        <w:rPr>
          <w:rFonts w:ascii="宋体" w:hAnsi="宋体" w:eastAsia="宋体" w:cs="宋体"/>
          <w:color w:val="auto"/>
          <w:spacing w:val="8"/>
          <w:sz w:val="20"/>
          <w:szCs w:val="20"/>
          <w:highlight w:val="none"/>
        </w:rPr>
        <w:t>）：</w:t>
      </w:r>
    </w:p>
    <w:p w14:paraId="7E2AD181">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（1）供应商的姓名或者名称、地址、邮编、</w:t>
      </w:r>
      <w:r>
        <w:rPr>
          <w:rFonts w:ascii="宋体" w:hAnsi="宋体" w:eastAsia="宋体" w:cs="宋体"/>
          <w:color w:val="auto"/>
          <w:spacing w:val="8"/>
          <w:sz w:val="20"/>
          <w:szCs w:val="20"/>
          <w:highlight w:val="none"/>
        </w:rPr>
        <w:t>联系人及联系电话；</w:t>
      </w:r>
    </w:p>
    <w:p w14:paraId="538910B1">
      <w:pPr>
        <w:spacing w:before="161"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（2）质疑项目的名称、编号；</w:t>
      </w:r>
    </w:p>
    <w:p w14:paraId="7F6D952B">
      <w:pPr>
        <w:spacing w:before="161"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（3）具体、明确的质疑事项和与质疑事项相关的请求；</w:t>
      </w:r>
    </w:p>
    <w:p w14:paraId="7487583C">
      <w:pPr>
        <w:spacing w:before="163" w:line="227" w:lineRule="auto"/>
        <w:ind w:left="43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（4）事实依据；</w:t>
      </w:r>
    </w:p>
    <w:p w14:paraId="4982A6A2">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（5）必要的法律依据；</w:t>
      </w:r>
    </w:p>
    <w:p w14:paraId="24777C40">
      <w:pPr>
        <w:spacing w:before="162" w:line="228"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（6）提出质疑的日期。</w:t>
      </w:r>
    </w:p>
    <w:p w14:paraId="45D7DBE2">
      <w:pPr>
        <w:spacing w:before="160" w:line="377" w:lineRule="auto"/>
        <w:ind w:left="2" w:right="36" w:firstLine="41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供应商为自然人的，应当由本人签字；供应商为法人或者其他组织的，应当</w:t>
      </w:r>
      <w:r>
        <w:rPr>
          <w:rFonts w:ascii="宋体" w:hAnsi="宋体" w:eastAsia="宋体" w:cs="宋体"/>
          <w:color w:val="auto"/>
          <w:spacing w:val="8"/>
          <w:sz w:val="20"/>
          <w:szCs w:val="20"/>
          <w:highlight w:val="none"/>
        </w:rPr>
        <w:t>由法定代表人、</w:t>
      </w:r>
      <w:r>
        <w:rPr>
          <w:rFonts w:ascii="宋体" w:hAnsi="宋体" w:eastAsia="宋体" w:cs="宋体"/>
          <w:color w:val="auto"/>
          <w:spacing w:val="9"/>
          <w:sz w:val="20"/>
          <w:szCs w:val="20"/>
          <w:highlight w:val="none"/>
        </w:rPr>
        <w:t>主要负责人，或者其委托代理人签字或者盖章，并加盖公章。</w:t>
      </w:r>
    </w:p>
    <w:p w14:paraId="7EE1B02D">
      <w:pPr>
        <w:spacing w:before="2" w:line="377" w:lineRule="auto"/>
        <w:ind w:left="5"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31.5</w:t>
      </w:r>
      <w:r>
        <w:rPr>
          <w:rFonts w:ascii="宋体" w:hAnsi="宋体" w:eastAsia="宋体" w:cs="宋体"/>
          <w:color w:val="auto"/>
          <w:spacing w:val="-42"/>
          <w:sz w:val="20"/>
          <w:szCs w:val="20"/>
          <w:highlight w:val="none"/>
        </w:rPr>
        <w:t xml:space="preserve"> </w:t>
      </w:r>
      <w:r>
        <w:rPr>
          <w:rFonts w:ascii="宋体" w:hAnsi="宋体" w:eastAsia="宋体" w:cs="宋体"/>
          <w:color w:val="auto"/>
          <w:spacing w:val="8"/>
          <w:sz w:val="20"/>
          <w:szCs w:val="20"/>
          <w:highlight w:val="none"/>
        </w:rPr>
        <w:t>采购人、采购代理机构认为供应商质疑不成立，或者成立但未对成</w:t>
      </w:r>
      <w:r>
        <w:rPr>
          <w:rFonts w:ascii="宋体" w:hAnsi="宋体" w:eastAsia="宋体" w:cs="宋体"/>
          <w:color w:val="auto"/>
          <w:spacing w:val="7"/>
          <w:sz w:val="20"/>
          <w:szCs w:val="20"/>
          <w:highlight w:val="none"/>
        </w:rPr>
        <w:t>交结果构成影响的，</w:t>
      </w:r>
      <w:r>
        <w:rPr>
          <w:rFonts w:ascii="宋体" w:hAnsi="宋体" w:eastAsia="宋体" w:cs="宋体"/>
          <w:color w:val="auto"/>
          <w:spacing w:val="9"/>
          <w:sz w:val="20"/>
          <w:szCs w:val="20"/>
          <w:highlight w:val="none"/>
        </w:rPr>
        <w:t>继续开展采购活动；认为供应商质疑成立且影响或者可能影响成交结果的，按照下列情况处理：</w:t>
      </w:r>
    </w:p>
    <w:p w14:paraId="18C1D51C">
      <w:pPr>
        <w:spacing w:before="1" w:line="376" w:lineRule="auto"/>
        <w:ind w:left="2" w:right="90" w:firstLine="428"/>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（一）对采购文件提出的质疑，依法通过澄清或</w:t>
      </w:r>
      <w:r>
        <w:rPr>
          <w:rFonts w:ascii="宋体" w:hAnsi="宋体" w:eastAsia="宋体" w:cs="宋体"/>
          <w:color w:val="auto"/>
          <w:spacing w:val="12"/>
          <w:sz w:val="20"/>
          <w:szCs w:val="20"/>
          <w:highlight w:val="none"/>
        </w:rPr>
        <w:t>者修改可以继续开展采购活动的，澄清或</w:t>
      </w:r>
      <w:r>
        <w:rPr>
          <w:rFonts w:ascii="宋体" w:hAnsi="宋体" w:eastAsia="宋体" w:cs="宋体"/>
          <w:color w:val="auto"/>
          <w:spacing w:val="9"/>
          <w:sz w:val="20"/>
          <w:szCs w:val="20"/>
          <w:highlight w:val="none"/>
        </w:rPr>
        <w:t>者修改采购文件后继续开展采购活动；否则应当修改采购文件后重新开展采购活动。</w:t>
      </w:r>
    </w:p>
    <w:p w14:paraId="2B58B686">
      <w:pPr>
        <w:spacing w:before="1" w:line="377" w:lineRule="auto"/>
        <w:ind w:left="2" w:right="90" w:firstLine="428"/>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（二）对采购过程或者成交结果提出的质疑，合</w:t>
      </w:r>
      <w:r>
        <w:rPr>
          <w:rFonts w:ascii="宋体" w:hAnsi="宋体" w:eastAsia="宋体" w:cs="宋体"/>
          <w:color w:val="auto"/>
          <w:spacing w:val="12"/>
          <w:sz w:val="20"/>
          <w:szCs w:val="20"/>
          <w:highlight w:val="none"/>
        </w:rPr>
        <w:t>格供应商符合法定数量时，可以从合格的</w:t>
      </w:r>
      <w:r>
        <w:rPr>
          <w:rFonts w:ascii="宋体" w:hAnsi="宋体" w:eastAsia="宋体" w:cs="宋体"/>
          <w:color w:val="auto"/>
          <w:spacing w:val="13"/>
          <w:sz w:val="20"/>
          <w:szCs w:val="20"/>
          <w:highlight w:val="none"/>
        </w:rPr>
        <w:t>成交候选人中另行确定成交供应商的，应当依法另行确定</w:t>
      </w:r>
      <w:r>
        <w:rPr>
          <w:rFonts w:ascii="宋体" w:hAnsi="宋体" w:eastAsia="宋体" w:cs="宋体"/>
          <w:color w:val="auto"/>
          <w:spacing w:val="12"/>
          <w:sz w:val="20"/>
          <w:szCs w:val="20"/>
          <w:highlight w:val="none"/>
        </w:rPr>
        <w:t>成交供应商；否则应当重新开展采购</w:t>
      </w:r>
      <w:r>
        <w:rPr>
          <w:rFonts w:ascii="宋体" w:hAnsi="宋体" w:eastAsia="宋体" w:cs="宋体"/>
          <w:color w:val="auto"/>
          <w:spacing w:val="2"/>
          <w:sz w:val="20"/>
          <w:szCs w:val="20"/>
          <w:highlight w:val="none"/>
        </w:rPr>
        <w:t>活动。</w:t>
      </w:r>
    </w:p>
    <w:p w14:paraId="04CC525F">
      <w:pPr>
        <w:spacing w:before="2" w:line="377" w:lineRule="auto"/>
        <w:ind w:right="90" w:firstLine="421"/>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质疑答复导致成交结果改变的，采购人或者采购代理机构应当将有关</w:t>
      </w:r>
      <w:r>
        <w:rPr>
          <w:rFonts w:ascii="宋体" w:hAnsi="宋体" w:eastAsia="宋体" w:cs="宋体"/>
          <w:color w:val="auto"/>
          <w:spacing w:val="12"/>
          <w:sz w:val="20"/>
          <w:szCs w:val="20"/>
          <w:highlight w:val="none"/>
        </w:rPr>
        <w:t>情况书面报告本级财</w:t>
      </w:r>
      <w:r>
        <w:rPr>
          <w:rFonts w:ascii="宋体" w:hAnsi="宋体" w:eastAsia="宋体" w:cs="宋体"/>
          <w:color w:val="auto"/>
          <w:spacing w:val="5"/>
          <w:sz w:val="20"/>
          <w:szCs w:val="20"/>
          <w:highlight w:val="none"/>
        </w:rPr>
        <w:t>政部门。</w:t>
      </w:r>
    </w:p>
    <w:p w14:paraId="55FE78E5">
      <w:pPr>
        <w:spacing w:before="1" w:line="377" w:lineRule="auto"/>
        <w:ind w:right="90" w:firstLine="425"/>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31.6</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质疑供应商对采购人、采购代理机构</w:t>
      </w:r>
      <w:r>
        <w:rPr>
          <w:rFonts w:ascii="宋体" w:hAnsi="宋体" w:eastAsia="宋体" w:cs="宋体"/>
          <w:color w:val="auto"/>
          <w:spacing w:val="10"/>
          <w:sz w:val="20"/>
          <w:szCs w:val="20"/>
          <w:highlight w:val="none"/>
        </w:rPr>
        <w:t>的答复不满意，或者采购人、采购代理机构未在</w:t>
      </w:r>
      <w:r>
        <w:rPr>
          <w:rFonts w:ascii="宋体" w:hAnsi="宋体" w:eastAsia="宋体" w:cs="宋体"/>
          <w:color w:val="auto"/>
          <w:spacing w:val="9"/>
          <w:sz w:val="20"/>
          <w:szCs w:val="20"/>
          <w:highlight w:val="none"/>
        </w:rPr>
        <w:t>规定时间内作出答复的，可以在答复期满后</w:t>
      </w:r>
      <w:r>
        <w:rPr>
          <w:rFonts w:ascii="宋体" w:hAnsi="宋体" w:eastAsia="宋体" w:cs="宋体"/>
          <w:color w:val="auto"/>
          <w:spacing w:val="-20"/>
          <w:sz w:val="20"/>
          <w:szCs w:val="20"/>
          <w:highlight w:val="none"/>
        </w:rPr>
        <w:t xml:space="preserve"> </w:t>
      </w:r>
      <w:r>
        <w:rPr>
          <w:rFonts w:ascii="宋体" w:hAnsi="宋体" w:eastAsia="宋体" w:cs="宋体"/>
          <w:color w:val="auto"/>
          <w:spacing w:val="9"/>
          <w:sz w:val="20"/>
          <w:szCs w:val="20"/>
          <w:highlight w:val="none"/>
        </w:rPr>
        <w:t>15</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个工作日内向《政府采购质疑和投诉办法》（财</w:t>
      </w:r>
      <w:r>
        <w:rPr>
          <w:rFonts w:ascii="宋体" w:hAnsi="宋体" w:eastAsia="宋体" w:cs="宋体"/>
          <w:color w:val="auto"/>
          <w:spacing w:val="8"/>
          <w:sz w:val="20"/>
          <w:szCs w:val="20"/>
          <w:highlight w:val="none"/>
        </w:rPr>
        <w:t>政部令第</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94</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号）第六条规定的财政部门提起投诉（投诉书格式后附）。</w:t>
      </w:r>
    </w:p>
    <w:p w14:paraId="611E1F1E">
      <w:pPr>
        <w:spacing w:before="2" w:line="222" w:lineRule="auto"/>
        <w:ind w:left="484"/>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32.其他内容</w:t>
      </w:r>
    </w:p>
    <w:p w14:paraId="7B64CD71">
      <w:pPr>
        <w:spacing w:before="174" w:line="363" w:lineRule="auto"/>
        <w:ind w:left="20" w:right="90" w:firstLine="40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32.1</w:t>
      </w:r>
      <w:r>
        <w:rPr>
          <w:rFonts w:ascii="宋体" w:hAnsi="宋体" w:eastAsia="宋体" w:cs="宋体"/>
          <w:color w:val="auto"/>
          <w:spacing w:val="-39"/>
          <w:sz w:val="20"/>
          <w:szCs w:val="20"/>
          <w:highlight w:val="none"/>
        </w:rPr>
        <w:t xml:space="preserve"> </w:t>
      </w:r>
      <w:r>
        <w:rPr>
          <w:rFonts w:ascii="宋体" w:hAnsi="宋体" w:eastAsia="宋体" w:cs="宋体"/>
          <w:color w:val="auto"/>
          <w:spacing w:val="10"/>
          <w:sz w:val="20"/>
          <w:szCs w:val="20"/>
          <w:highlight w:val="none"/>
        </w:rPr>
        <w:t>代理服务费收取标准详见“供应商须知前附表</w:t>
      </w:r>
      <w:r>
        <w:rPr>
          <w:rFonts w:ascii="宋体" w:hAnsi="宋体" w:eastAsia="宋体" w:cs="宋体"/>
          <w:color w:val="auto"/>
          <w:spacing w:val="-72"/>
          <w:sz w:val="20"/>
          <w:szCs w:val="20"/>
          <w:highlight w:val="none"/>
        </w:rPr>
        <w:t xml:space="preserve"> </w:t>
      </w:r>
      <w:r>
        <w:rPr>
          <w:rFonts w:ascii="宋体" w:hAnsi="宋体" w:eastAsia="宋体" w:cs="宋体"/>
          <w:color w:val="auto"/>
          <w:spacing w:val="10"/>
          <w:sz w:val="20"/>
          <w:szCs w:val="20"/>
          <w:highlight w:val="none"/>
        </w:rPr>
        <w:t>”，供应商为联合体的，可以</w:t>
      </w:r>
      <w:r>
        <w:rPr>
          <w:rFonts w:ascii="宋体" w:hAnsi="宋体" w:eastAsia="宋体" w:cs="宋体"/>
          <w:color w:val="auto"/>
          <w:spacing w:val="9"/>
          <w:sz w:val="20"/>
          <w:szCs w:val="20"/>
          <w:highlight w:val="none"/>
        </w:rPr>
        <w:t>由联合体</w:t>
      </w:r>
      <w:r>
        <w:rPr>
          <w:rFonts w:ascii="宋体" w:hAnsi="宋体" w:eastAsia="宋体" w:cs="宋体"/>
          <w:color w:val="auto"/>
          <w:spacing w:val="7"/>
          <w:sz w:val="20"/>
          <w:szCs w:val="20"/>
          <w:highlight w:val="none"/>
        </w:rPr>
        <w:t>中的一方或者多方共同交纳代理服务费：</w:t>
      </w:r>
    </w:p>
    <w:tbl>
      <w:tblPr>
        <w:tblStyle w:val="11"/>
        <w:tblW w:w="8213" w:type="dxa"/>
        <w:tblInd w:w="2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531"/>
        <w:gridCol w:w="1550"/>
      </w:tblGrid>
      <w:tr w14:paraId="02EFA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3474" w:type="dxa"/>
            <w:vAlign w:val="top"/>
          </w:tcPr>
          <w:p w14:paraId="610935D1">
            <w:pPr>
              <w:pStyle w:val="12"/>
              <w:spacing w:before="36" w:line="360" w:lineRule="auto"/>
              <w:ind w:left="116" w:right="1367" w:firstLine="1586"/>
              <w:rPr>
                <w:color w:val="auto"/>
                <w:highlight w:val="none"/>
              </w:rPr>
            </w:pPr>
            <w:r>
              <w:rPr>
                <w:color w:val="auto"/>
                <w:spacing w:val="-1"/>
                <w:highlight w:val="none"/>
              </w:rPr>
              <w:t>费率</w:t>
            </w:r>
            <w:r>
              <w:rPr>
                <w:color w:val="auto"/>
                <w:spacing w:val="3"/>
                <w:highlight w:val="none"/>
              </w:rPr>
              <w:t>金额</w:t>
            </w:r>
          </w:p>
        </w:tc>
        <w:tc>
          <w:tcPr>
            <w:tcW w:w="1658" w:type="dxa"/>
            <w:vAlign w:val="top"/>
          </w:tcPr>
          <w:p w14:paraId="76266911">
            <w:pPr>
              <w:pStyle w:val="12"/>
              <w:spacing w:before="238" w:line="227" w:lineRule="auto"/>
              <w:ind w:left="577"/>
              <w:rPr>
                <w:color w:val="auto"/>
                <w:highlight w:val="none"/>
              </w:rPr>
            </w:pPr>
            <w:r>
              <w:rPr>
                <w:color w:val="auto"/>
                <w:spacing w:val="5"/>
                <w:highlight w:val="none"/>
              </w:rPr>
              <w:t>货物类</w:t>
            </w:r>
          </w:p>
        </w:tc>
        <w:tc>
          <w:tcPr>
            <w:tcW w:w="1531" w:type="dxa"/>
            <w:vAlign w:val="top"/>
          </w:tcPr>
          <w:p w14:paraId="4A2AFBE6">
            <w:pPr>
              <w:pStyle w:val="12"/>
              <w:spacing w:before="238" w:line="228" w:lineRule="auto"/>
              <w:ind w:left="457"/>
              <w:rPr>
                <w:color w:val="auto"/>
                <w:highlight w:val="none"/>
              </w:rPr>
            </w:pPr>
            <w:r>
              <w:rPr>
                <w:color w:val="auto"/>
                <w:spacing w:val="6"/>
                <w:highlight w:val="none"/>
              </w:rPr>
              <w:t>服务类</w:t>
            </w:r>
          </w:p>
        </w:tc>
        <w:tc>
          <w:tcPr>
            <w:tcW w:w="1550" w:type="dxa"/>
            <w:vAlign w:val="top"/>
          </w:tcPr>
          <w:p w14:paraId="7A8098DC">
            <w:pPr>
              <w:pStyle w:val="12"/>
              <w:spacing w:before="238" w:line="228" w:lineRule="auto"/>
              <w:ind w:left="467"/>
              <w:rPr>
                <w:color w:val="auto"/>
                <w:highlight w:val="none"/>
              </w:rPr>
            </w:pPr>
            <w:r>
              <w:rPr>
                <w:color w:val="auto"/>
                <w:spacing w:val="6"/>
                <w:highlight w:val="none"/>
              </w:rPr>
              <w:t>工程类</w:t>
            </w:r>
          </w:p>
        </w:tc>
      </w:tr>
      <w:tr w14:paraId="4AA70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3474" w:type="dxa"/>
            <w:vAlign w:val="top"/>
          </w:tcPr>
          <w:p w14:paraId="15273757">
            <w:pPr>
              <w:pStyle w:val="12"/>
              <w:spacing w:before="32" w:line="228" w:lineRule="auto"/>
              <w:ind w:left="130"/>
              <w:rPr>
                <w:color w:val="auto"/>
                <w:highlight w:val="none"/>
              </w:rPr>
            </w:pPr>
            <w:r>
              <w:rPr>
                <w:color w:val="auto"/>
                <w:spacing w:val="2"/>
                <w:highlight w:val="none"/>
              </w:rPr>
              <w:t>100</w:t>
            </w:r>
            <w:r>
              <w:rPr>
                <w:color w:val="auto"/>
                <w:spacing w:val="-34"/>
                <w:highlight w:val="none"/>
              </w:rPr>
              <w:t xml:space="preserve"> </w:t>
            </w:r>
            <w:r>
              <w:rPr>
                <w:color w:val="auto"/>
                <w:spacing w:val="2"/>
                <w:highlight w:val="none"/>
              </w:rPr>
              <w:t>万元以下</w:t>
            </w:r>
          </w:p>
        </w:tc>
        <w:tc>
          <w:tcPr>
            <w:tcW w:w="1658" w:type="dxa"/>
            <w:vAlign w:val="top"/>
          </w:tcPr>
          <w:p w14:paraId="1A690DAC">
            <w:pPr>
              <w:pStyle w:val="12"/>
              <w:spacing w:before="32" w:line="267" w:lineRule="exact"/>
              <w:ind w:left="640"/>
              <w:rPr>
                <w:color w:val="auto"/>
                <w:highlight w:val="none"/>
              </w:rPr>
            </w:pPr>
            <w:r>
              <w:rPr>
                <w:color w:val="auto"/>
                <w:spacing w:val="-1"/>
                <w:position w:val="1"/>
                <w:highlight w:val="none"/>
              </w:rPr>
              <w:t>1.5%</w:t>
            </w:r>
          </w:p>
        </w:tc>
        <w:tc>
          <w:tcPr>
            <w:tcW w:w="1531" w:type="dxa"/>
            <w:vAlign w:val="top"/>
          </w:tcPr>
          <w:p w14:paraId="271A4A10">
            <w:pPr>
              <w:pStyle w:val="12"/>
              <w:spacing w:before="32" w:line="267" w:lineRule="exact"/>
              <w:ind w:left="578"/>
              <w:rPr>
                <w:color w:val="auto"/>
                <w:highlight w:val="none"/>
              </w:rPr>
            </w:pPr>
            <w:r>
              <w:rPr>
                <w:color w:val="auto"/>
                <w:spacing w:val="-1"/>
                <w:position w:val="1"/>
                <w:highlight w:val="none"/>
              </w:rPr>
              <w:t>1.5%</w:t>
            </w:r>
          </w:p>
        </w:tc>
        <w:tc>
          <w:tcPr>
            <w:tcW w:w="1550" w:type="dxa"/>
            <w:vAlign w:val="top"/>
          </w:tcPr>
          <w:p w14:paraId="7CCCAE7B">
            <w:pPr>
              <w:pStyle w:val="12"/>
              <w:spacing w:before="32" w:line="267" w:lineRule="exact"/>
              <w:ind w:left="586"/>
              <w:rPr>
                <w:color w:val="auto"/>
                <w:highlight w:val="none"/>
              </w:rPr>
            </w:pPr>
            <w:r>
              <w:rPr>
                <w:color w:val="auto"/>
                <w:spacing w:val="-1"/>
                <w:position w:val="1"/>
                <w:highlight w:val="none"/>
              </w:rPr>
              <w:t>1.0%</w:t>
            </w:r>
          </w:p>
        </w:tc>
      </w:tr>
      <w:tr w14:paraId="2E4E8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74" w:type="dxa"/>
            <w:vAlign w:val="top"/>
          </w:tcPr>
          <w:p w14:paraId="7799C6C0">
            <w:pPr>
              <w:pStyle w:val="12"/>
              <w:spacing w:before="33" w:line="228" w:lineRule="auto"/>
              <w:ind w:left="130"/>
              <w:rPr>
                <w:color w:val="auto"/>
                <w:highlight w:val="none"/>
              </w:rPr>
            </w:pPr>
            <w:r>
              <w:rPr>
                <w:color w:val="auto"/>
                <w:spacing w:val="1"/>
                <w:highlight w:val="none"/>
              </w:rPr>
              <w:t>100</w:t>
            </w:r>
            <w:r>
              <w:rPr>
                <w:color w:val="auto"/>
                <w:spacing w:val="-28"/>
                <w:highlight w:val="none"/>
              </w:rPr>
              <w:t xml:space="preserve"> </w:t>
            </w:r>
            <w:r>
              <w:rPr>
                <w:color w:val="auto"/>
                <w:spacing w:val="1"/>
                <w:highlight w:val="none"/>
              </w:rPr>
              <w:t>万～500</w:t>
            </w:r>
            <w:r>
              <w:rPr>
                <w:color w:val="auto"/>
                <w:spacing w:val="-33"/>
                <w:highlight w:val="none"/>
              </w:rPr>
              <w:t xml:space="preserve"> </w:t>
            </w:r>
            <w:r>
              <w:rPr>
                <w:color w:val="auto"/>
                <w:spacing w:val="1"/>
                <w:highlight w:val="none"/>
              </w:rPr>
              <w:t>万元</w:t>
            </w:r>
          </w:p>
        </w:tc>
        <w:tc>
          <w:tcPr>
            <w:tcW w:w="1658" w:type="dxa"/>
            <w:vAlign w:val="top"/>
          </w:tcPr>
          <w:p w14:paraId="6E00AC2E">
            <w:pPr>
              <w:pStyle w:val="12"/>
              <w:spacing w:before="32" w:line="268" w:lineRule="exact"/>
              <w:ind w:left="640"/>
              <w:rPr>
                <w:color w:val="auto"/>
                <w:highlight w:val="none"/>
              </w:rPr>
            </w:pPr>
            <w:r>
              <w:rPr>
                <w:color w:val="auto"/>
                <w:spacing w:val="-1"/>
                <w:position w:val="1"/>
                <w:highlight w:val="none"/>
              </w:rPr>
              <w:t>1.1%</w:t>
            </w:r>
          </w:p>
        </w:tc>
        <w:tc>
          <w:tcPr>
            <w:tcW w:w="1531" w:type="dxa"/>
            <w:vAlign w:val="top"/>
          </w:tcPr>
          <w:p w14:paraId="798E911C">
            <w:pPr>
              <w:pStyle w:val="12"/>
              <w:spacing w:before="32" w:line="268" w:lineRule="exact"/>
              <w:ind w:left="564"/>
              <w:rPr>
                <w:color w:val="auto"/>
                <w:highlight w:val="none"/>
              </w:rPr>
            </w:pPr>
            <w:r>
              <w:rPr>
                <w:color w:val="auto"/>
                <w:spacing w:val="2"/>
                <w:position w:val="1"/>
                <w:highlight w:val="none"/>
              </w:rPr>
              <w:t>0.8%</w:t>
            </w:r>
          </w:p>
        </w:tc>
        <w:tc>
          <w:tcPr>
            <w:tcW w:w="1550" w:type="dxa"/>
            <w:vAlign w:val="top"/>
          </w:tcPr>
          <w:p w14:paraId="044EEA5F">
            <w:pPr>
              <w:pStyle w:val="12"/>
              <w:spacing w:before="32" w:line="268" w:lineRule="exact"/>
              <w:ind w:left="572"/>
              <w:rPr>
                <w:color w:val="auto"/>
                <w:highlight w:val="none"/>
              </w:rPr>
            </w:pPr>
            <w:r>
              <w:rPr>
                <w:color w:val="auto"/>
                <w:spacing w:val="2"/>
                <w:position w:val="1"/>
                <w:highlight w:val="none"/>
              </w:rPr>
              <w:t>0.7%</w:t>
            </w:r>
          </w:p>
        </w:tc>
      </w:tr>
      <w:tr w14:paraId="2CCC5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5DBBD50">
            <w:pPr>
              <w:pStyle w:val="12"/>
              <w:spacing w:before="31" w:line="228" w:lineRule="auto"/>
              <w:ind w:left="119"/>
              <w:rPr>
                <w:color w:val="auto"/>
                <w:highlight w:val="none"/>
              </w:rPr>
            </w:pPr>
            <w:r>
              <w:rPr>
                <w:color w:val="auto"/>
                <w:spacing w:val="3"/>
                <w:highlight w:val="none"/>
              </w:rPr>
              <w:t>500</w:t>
            </w:r>
            <w:r>
              <w:rPr>
                <w:color w:val="auto"/>
                <w:spacing w:val="-34"/>
                <w:highlight w:val="none"/>
              </w:rPr>
              <w:t xml:space="preserve"> </w:t>
            </w:r>
            <w:r>
              <w:rPr>
                <w:color w:val="auto"/>
                <w:spacing w:val="3"/>
                <w:highlight w:val="none"/>
              </w:rPr>
              <w:t>万～1000</w:t>
            </w:r>
            <w:r>
              <w:rPr>
                <w:color w:val="auto"/>
                <w:spacing w:val="-35"/>
                <w:highlight w:val="none"/>
              </w:rPr>
              <w:t xml:space="preserve"> </w:t>
            </w:r>
            <w:r>
              <w:rPr>
                <w:color w:val="auto"/>
                <w:spacing w:val="3"/>
                <w:highlight w:val="none"/>
              </w:rPr>
              <w:t>万元</w:t>
            </w:r>
          </w:p>
        </w:tc>
        <w:tc>
          <w:tcPr>
            <w:tcW w:w="1658" w:type="dxa"/>
            <w:vAlign w:val="top"/>
          </w:tcPr>
          <w:p w14:paraId="689F739F">
            <w:pPr>
              <w:pStyle w:val="12"/>
              <w:spacing w:before="31" w:line="267" w:lineRule="exact"/>
              <w:ind w:left="626"/>
              <w:rPr>
                <w:color w:val="auto"/>
                <w:highlight w:val="none"/>
              </w:rPr>
            </w:pPr>
            <w:r>
              <w:rPr>
                <w:color w:val="auto"/>
                <w:spacing w:val="2"/>
                <w:position w:val="1"/>
                <w:highlight w:val="none"/>
              </w:rPr>
              <w:t>0.8%</w:t>
            </w:r>
          </w:p>
        </w:tc>
        <w:tc>
          <w:tcPr>
            <w:tcW w:w="1531" w:type="dxa"/>
            <w:vAlign w:val="top"/>
          </w:tcPr>
          <w:p w14:paraId="52AE53F1">
            <w:pPr>
              <w:pStyle w:val="12"/>
              <w:spacing w:before="31" w:line="267" w:lineRule="exact"/>
              <w:ind w:left="512"/>
              <w:rPr>
                <w:color w:val="auto"/>
                <w:highlight w:val="none"/>
              </w:rPr>
            </w:pPr>
            <w:r>
              <w:rPr>
                <w:color w:val="auto"/>
                <w:spacing w:val="2"/>
                <w:position w:val="1"/>
                <w:highlight w:val="none"/>
              </w:rPr>
              <w:t>0.45%</w:t>
            </w:r>
          </w:p>
        </w:tc>
        <w:tc>
          <w:tcPr>
            <w:tcW w:w="1550" w:type="dxa"/>
            <w:vAlign w:val="top"/>
          </w:tcPr>
          <w:p w14:paraId="1964BD82">
            <w:pPr>
              <w:pStyle w:val="12"/>
              <w:spacing w:before="31" w:line="267" w:lineRule="exact"/>
              <w:ind w:left="519"/>
              <w:rPr>
                <w:color w:val="auto"/>
                <w:highlight w:val="none"/>
              </w:rPr>
            </w:pPr>
            <w:r>
              <w:rPr>
                <w:color w:val="auto"/>
                <w:spacing w:val="2"/>
                <w:position w:val="1"/>
                <w:highlight w:val="none"/>
              </w:rPr>
              <w:t>0.55%</w:t>
            </w:r>
          </w:p>
        </w:tc>
      </w:tr>
      <w:tr w14:paraId="13662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6141A89A">
            <w:pPr>
              <w:pStyle w:val="12"/>
              <w:spacing w:before="33" w:line="228" w:lineRule="auto"/>
              <w:ind w:left="130"/>
              <w:rPr>
                <w:color w:val="auto"/>
                <w:highlight w:val="none"/>
              </w:rPr>
            </w:pPr>
            <w:r>
              <w:rPr>
                <w:color w:val="auto"/>
                <w:spacing w:val="2"/>
                <w:highlight w:val="none"/>
              </w:rPr>
              <w:t>1000</w:t>
            </w:r>
            <w:r>
              <w:rPr>
                <w:color w:val="auto"/>
                <w:spacing w:val="-30"/>
                <w:highlight w:val="none"/>
              </w:rPr>
              <w:t xml:space="preserve"> </w:t>
            </w:r>
            <w:r>
              <w:rPr>
                <w:color w:val="auto"/>
                <w:spacing w:val="2"/>
                <w:highlight w:val="none"/>
              </w:rPr>
              <w:t>万～5000</w:t>
            </w:r>
            <w:r>
              <w:rPr>
                <w:color w:val="auto"/>
                <w:spacing w:val="-36"/>
                <w:highlight w:val="none"/>
              </w:rPr>
              <w:t xml:space="preserve"> </w:t>
            </w:r>
            <w:r>
              <w:rPr>
                <w:color w:val="auto"/>
                <w:spacing w:val="2"/>
                <w:highlight w:val="none"/>
              </w:rPr>
              <w:t>万元</w:t>
            </w:r>
          </w:p>
        </w:tc>
        <w:tc>
          <w:tcPr>
            <w:tcW w:w="1658" w:type="dxa"/>
            <w:vAlign w:val="top"/>
          </w:tcPr>
          <w:p w14:paraId="183072FA">
            <w:pPr>
              <w:pStyle w:val="12"/>
              <w:spacing w:before="33" w:line="267" w:lineRule="exact"/>
              <w:ind w:left="626"/>
              <w:rPr>
                <w:color w:val="auto"/>
                <w:highlight w:val="none"/>
              </w:rPr>
            </w:pPr>
            <w:r>
              <w:rPr>
                <w:color w:val="auto"/>
                <w:spacing w:val="2"/>
                <w:position w:val="1"/>
                <w:highlight w:val="none"/>
              </w:rPr>
              <w:t>0.5%</w:t>
            </w:r>
          </w:p>
        </w:tc>
        <w:tc>
          <w:tcPr>
            <w:tcW w:w="1531" w:type="dxa"/>
            <w:vAlign w:val="top"/>
          </w:tcPr>
          <w:p w14:paraId="2D3AD71C">
            <w:pPr>
              <w:pStyle w:val="12"/>
              <w:spacing w:before="33" w:line="267" w:lineRule="exact"/>
              <w:ind w:left="512"/>
              <w:rPr>
                <w:color w:val="auto"/>
                <w:highlight w:val="none"/>
              </w:rPr>
            </w:pPr>
            <w:r>
              <w:rPr>
                <w:color w:val="auto"/>
                <w:spacing w:val="2"/>
                <w:position w:val="1"/>
                <w:highlight w:val="none"/>
              </w:rPr>
              <w:t>0.25%</w:t>
            </w:r>
          </w:p>
        </w:tc>
        <w:tc>
          <w:tcPr>
            <w:tcW w:w="1550" w:type="dxa"/>
            <w:vAlign w:val="top"/>
          </w:tcPr>
          <w:p w14:paraId="1A38E380">
            <w:pPr>
              <w:pStyle w:val="12"/>
              <w:spacing w:before="33" w:line="267" w:lineRule="exact"/>
              <w:ind w:left="519"/>
              <w:rPr>
                <w:color w:val="auto"/>
                <w:highlight w:val="none"/>
              </w:rPr>
            </w:pPr>
            <w:r>
              <w:rPr>
                <w:color w:val="auto"/>
                <w:spacing w:val="2"/>
                <w:position w:val="1"/>
                <w:highlight w:val="none"/>
              </w:rPr>
              <w:t>0.35%</w:t>
            </w:r>
          </w:p>
        </w:tc>
      </w:tr>
      <w:tr w14:paraId="1CDFF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3474" w:type="dxa"/>
            <w:vAlign w:val="top"/>
          </w:tcPr>
          <w:p w14:paraId="0DDFBC45">
            <w:pPr>
              <w:pStyle w:val="12"/>
              <w:spacing w:before="33" w:line="228" w:lineRule="auto"/>
              <w:ind w:left="119"/>
              <w:rPr>
                <w:color w:val="auto"/>
                <w:highlight w:val="none"/>
              </w:rPr>
            </w:pPr>
            <w:r>
              <w:rPr>
                <w:color w:val="auto"/>
                <w:spacing w:val="3"/>
                <w:highlight w:val="none"/>
              </w:rPr>
              <w:t>5000</w:t>
            </w:r>
            <w:r>
              <w:rPr>
                <w:color w:val="auto"/>
                <w:spacing w:val="-29"/>
                <w:highlight w:val="none"/>
              </w:rPr>
              <w:t xml:space="preserve"> </w:t>
            </w:r>
            <w:r>
              <w:rPr>
                <w:color w:val="auto"/>
                <w:spacing w:val="3"/>
                <w:highlight w:val="none"/>
              </w:rPr>
              <w:t>万元～1</w:t>
            </w:r>
            <w:r>
              <w:rPr>
                <w:color w:val="auto"/>
                <w:spacing w:val="-37"/>
                <w:highlight w:val="none"/>
              </w:rPr>
              <w:t xml:space="preserve"> </w:t>
            </w:r>
            <w:r>
              <w:rPr>
                <w:color w:val="auto"/>
                <w:spacing w:val="3"/>
                <w:highlight w:val="none"/>
              </w:rPr>
              <w:t>亿元</w:t>
            </w:r>
          </w:p>
        </w:tc>
        <w:tc>
          <w:tcPr>
            <w:tcW w:w="1658" w:type="dxa"/>
            <w:vAlign w:val="top"/>
          </w:tcPr>
          <w:p w14:paraId="6C03BBA3">
            <w:pPr>
              <w:pStyle w:val="12"/>
              <w:spacing w:before="32" w:line="268" w:lineRule="exact"/>
              <w:ind w:left="574"/>
              <w:rPr>
                <w:color w:val="auto"/>
                <w:highlight w:val="none"/>
              </w:rPr>
            </w:pPr>
            <w:r>
              <w:rPr>
                <w:color w:val="auto"/>
                <w:spacing w:val="2"/>
                <w:position w:val="1"/>
                <w:highlight w:val="none"/>
              </w:rPr>
              <w:t>0.25%</w:t>
            </w:r>
          </w:p>
        </w:tc>
        <w:tc>
          <w:tcPr>
            <w:tcW w:w="1531" w:type="dxa"/>
            <w:vAlign w:val="top"/>
          </w:tcPr>
          <w:p w14:paraId="663AC24B">
            <w:pPr>
              <w:pStyle w:val="12"/>
              <w:spacing w:before="32" w:line="268" w:lineRule="exact"/>
              <w:ind w:left="564"/>
              <w:rPr>
                <w:color w:val="auto"/>
                <w:highlight w:val="none"/>
              </w:rPr>
            </w:pPr>
            <w:r>
              <w:rPr>
                <w:color w:val="auto"/>
                <w:spacing w:val="2"/>
                <w:position w:val="1"/>
                <w:highlight w:val="none"/>
              </w:rPr>
              <w:t>0.1%</w:t>
            </w:r>
          </w:p>
        </w:tc>
        <w:tc>
          <w:tcPr>
            <w:tcW w:w="1550" w:type="dxa"/>
            <w:vAlign w:val="top"/>
          </w:tcPr>
          <w:p w14:paraId="21804433">
            <w:pPr>
              <w:pStyle w:val="12"/>
              <w:spacing w:before="32" w:line="268" w:lineRule="exact"/>
              <w:ind w:left="572"/>
              <w:rPr>
                <w:color w:val="auto"/>
                <w:highlight w:val="none"/>
              </w:rPr>
            </w:pPr>
            <w:r>
              <w:rPr>
                <w:color w:val="auto"/>
                <w:spacing w:val="2"/>
                <w:position w:val="1"/>
                <w:highlight w:val="none"/>
              </w:rPr>
              <w:t>0.2%</w:t>
            </w:r>
          </w:p>
        </w:tc>
      </w:tr>
      <w:tr w14:paraId="1A530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74" w:type="dxa"/>
            <w:vAlign w:val="top"/>
          </w:tcPr>
          <w:p w14:paraId="06FA6974">
            <w:pPr>
              <w:pStyle w:val="12"/>
              <w:spacing w:before="36" w:line="228" w:lineRule="auto"/>
              <w:ind w:left="130"/>
              <w:rPr>
                <w:color w:val="auto"/>
                <w:highlight w:val="none"/>
              </w:rPr>
            </w:pPr>
            <w:r>
              <w:rPr>
                <w:color w:val="auto"/>
                <w:highlight w:val="none"/>
              </w:rPr>
              <w:t>1</w:t>
            </w:r>
            <w:r>
              <w:rPr>
                <w:color w:val="auto"/>
                <w:spacing w:val="-33"/>
                <w:highlight w:val="none"/>
              </w:rPr>
              <w:t xml:space="preserve"> </w:t>
            </w:r>
            <w:r>
              <w:rPr>
                <w:color w:val="auto"/>
                <w:highlight w:val="none"/>
              </w:rPr>
              <w:t>亿～5</w:t>
            </w:r>
            <w:r>
              <w:rPr>
                <w:color w:val="auto"/>
                <w:spacing w:val="-38"/>
                <w:highlight w:val="none"/>
              </w:rPr>
              <w:t xml:space="preserve"> </w:t>
            </w:r>
            <w:r>
              <w:rPr>
                <w:color w:val="auto"/>
                <w:highlight w:val="none"/>
              </w:rPr>
              <w:t>亿元</w:t>
            </w:r>
          </w:p>
        </w:tc>
        <w:tc>
          <w:tcPr>
            <w:tcW w:w="1658" w:type="dxa"/>
            <w:vAlign w:val="top"/>
          </w:tcPr>
          <w:p w14:paraId="57AA2013">
            <w:pPr>
              <w:pStyle w:val="12"/>
              <w:spacing w:before="35" w:line="268" w:lineRule="exact"/>
              <w:ind w:left="574"/>
              <w:rPr>
                <w:color w:val="auto"/>
                <w:highlight w:val="none"/>
              </w:rPr>
            </w:pPr>
            <w:r>
              <w:rPr>
                <w:color w:val="auto"/>
                <w:spacing w:val="2"/>
                <w:position w:val="1"/>
                <w:highlight w:val="none"/>
              </w:rPr>
              <w:t>0.05%</w:t>
            </w:r>
          </w:p>
        </w:tc>
        <w:tc>
          <w:tcPr>
            <w:tcW w:w="1531" w:type="dxa"/>
            <w:vAlign w:val="top"/>
          </w:tcPr>
          <w:p w14:paraId="70771212">
            <w:pPr>
              <w:pStyle w:val="12"/>
              <w:spacing w:before="35" w:line="268" w:lineRule="exact"/>
              <w:ind w:left="512"/>
              <w:rPr>
                <w:color w:val="auto"/>
                <w:highlight w:val="none"/>
              </w:rPr>
            </w:pPr>
            <w:r>
              <w:rPr>
                <w:color w:val="auto"/>
                <w:spacing w:val="2"/>
                <w:position w:val="1"/>
                <w:highlight w:val="none"/>
              </w:rPr>
              <w:t>0.05%</w:t>
            </w:r>
          </w:p>
        </w:tc>
        <w:tc>
          <w:tcPr>
            <w:tcW w:w="1550" w:type="dxa"/>
            <w:vAlign w:val="top"/>
          </w:tcPr>
          <w:p w14:paraId="48372318">
            <w:pPr>
              <w:pStyle w:val="12"/>
              <w:spacing w:before="35" w:line="268" w:lineRule="exact"/>
              <w:ind w:left="519"/>
              <w:rPr>
                <w:color w:val="auto"/>
                <w:highlight w:val="none"/>
              </w:rPr>
            </w:pPr>
            <w:r>
              <w:rPr>
                <w:color w:val="auto"/>
                <w:spacing w:val="2"/>
                <w:position w:val="1"/>
                <w:highlight w:val="none"/>
              </w:rPr>
              <w:t>0.05%</w:t>
            </w:r>
          </w:p>
        </w:tc>
      </w:tr>
      <w:tr w14:paraId="1824D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3474" w:type="dxa"/>
            <w:vAlign w:val="top"/>
          </w:tcPr>
          <w:p w14:paraId="0DB8BCE8">
            <w:pPr>
              <w:pStyle w:val="12"/>
              <w:spacing w:before="34" w:line="228" w:lineRule="auto"/>
              <w:ind w:left="119"/>
              <w:rPr>
                <w:color w:val="auto"/>
                <w:highlight w:val="none"/>
              </w:rPr>
            </w:pPr>
            <w:r>
              <w:rPr>
                <w:color w:val="auto"/>
                <w:spacing w:val="3"/>
                <w:highlight w:val="none"/>
              </w:rPr>
              <w:t>5</w:t>
            </w:r>
            <w:r>
              <w:rPr>
                <w:color w:val="auto"/>
                <w:spacing w:val="-38"/>
                <w:highlight w:val="none"/>
              </w:rPr>
              <w:t xml:space="preserve"> </w:t>
            </w:r>
            <w:r>
              <w:rPr>
                <w:color w:val="auto"/>
                <w:spacing w:val="3"/>
                <w:highlight w:val="none"/>
              </w:rPr>
              <w:t>亿～10</w:t>
            </w:r>
            <w:r>
              <w:rPr>
                <w:color w:val="auto"/>
                <w:spacing w:val="-39"/>
                <w:highlight w:val="none"/>
              </w:rPr>
              <w:t xml:space="preserve"> </w:t>
            </w:r>
            <w:r>
              <w:rPr>
                <w:color w:val="auto"/>
                <w:spacing w:val="3"/>
                <w:highlight w:val="none"/>
              </w:rPr>
              <w:t>亿元</w:t>
            </w:r>
          </w:p>
        </w:tc>
        <w:tc>
          <w:tcPr>
            <w:tcW w:w="1658" w:type="dxa"/>
            <w:vAlign w:val="top"/>
          </w:tcPr>
          <w:p w14:paraId="274EC131">
            <w:pPr>
              <w:pStyle w:val="12"/>
              <w:spacing w:before="34" w:line="268" w:lineRule="exact"/>
              <w:ind w:left="521"/>
              <w:rPr>
                <w:color w:val="auto"/>
                <w:highlight w:val="none"/>
              </w:rPr>
            </w:pPr>
            <w:r>
              <w:rPr>
                <w:color w:val="auto"/>
                <w:spacing w:val="3"/>
                <w:position w:val="1"/>
                <w:highlight w:val="none"/>
              </w:rPr>
              <w:t>0.035%</w:t>
            </w:r>
          </w:p>
        </w:tc>
        <w:tc>
          <w:tcPr>
            <w:tcW w:w="1531" w:type="dxa"/>
            <w:vAlign w:val="top"/>
          </w:tcPr>
          <w:p w14:paraId="02BC6162">
            <w:pPr>
              <w:pStyle w:val="12"/>
              <w:spacing w:before="34" w:line="268" w:lineRule="exact"/>
              <w:ind w:left="459"/>
              <w:rPr>
                <w:color w:val="auto"/>
                <w:highlight w:val="none"/>
              </w:rPr>
            </w:pPr>
            <w:r>
              <w:rPr>
                <w:color w:val="auto"/>
                <w:spacing w:val="3"/>
                <w:position w:val="1"/>
                <w:highlight w:val="none"/>
              </w:rPr>
              <w:t>0.035%</w:t>
            </w:r>
          </w:p>
        </w:tc>
        <w:tc>
          <w:tcPr>
            <w:tcW w:w="1550" w:type="dxa"/>
            <w:vAlign w:val="top"/>
          </w:tcPr>
          <w:p w14:paraId="381A36F4">
            <w:pPr>
              <w:pStyle w:val="12"/>
              <w:spacing w:before="34" w:line="268" w:lineRule="exact"/>
              <w:ind w:left="466"/>
              <w:rPr>
                <w:color w:val="auto"/>
                <w:highlight w:val="none"/>
              </w:rPr>
            </w:pPr>
            <w:r>
              <w:rPr>
                <w:color w:val="auto"/>
                <w:spacing w:val="3"/>
                <w:position w:val="1"/>
                <w:highlight w:val="none"/>
              </w:rPr>
              <w:t>0.035%</w:t>
            </w:r>
          </w:p>
        </w:tc>
      </w:tr>
      <w:tr w14:paraId="1CBD5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3474" w:type="dxa"/>
            <w:vAlign w:val="top"/>
          </w:tcPr>
          <w:p w14:paraId="015ED098">
            <w:pPr>
              <w:pStyle w:val="12"/>
              <w:spacing w:before="37" w:line="228" w:lineRule="auto"/>
              <w:ind w:left="130"/>
              <w:rPr>
                <w:color w:val="auto"/>
                <w:highlight w:val="none"/>
              </w:rPr>
            </w:pPr>
            <w:r>
              <w:rPr>
                <w:color w:val="auto"/>
                <w:spacing w:val="2"/>
                <w:highlight w:val="none"/>
              </w:rPr>
              <w:t>10</w:t>
            </w:r>
            <w:r>
              <w:rPr>
                <w:color w:val="auto"/>
                <w:spacing w:val="-40"/>
                <w:highlight w:val="none"/>
              </w:rPr>
              <w:t xml:space="preserve"> </w:t>
            </w:r>
            <w:r>
              <w:rPr>
                <w:color w:val="auto"/>
                <w:spacing w:val="2"/>
                <w:highlight w:val="none"/>
              </w:rPr>
              <w:t>亿～50</w:t>
            </w:r>
            <w:r>
              <w:rPr>
                <w:color w:val="auto"/>
                <w:spacing w:val="-38"/>
                <w:highlight w:val="none"/>
              </w:rPr>
              <w:t xml:space="preserve"> </w:t>
            </w:r>
            <w:r>
              <w:rPr>
                <w:color w:val="auto"/>
                <w:spacing w:val="2"/>
                <w:highlight w:val="none"/>
              </w:rPr>
              <w:t>亿元</w:t>
            </w:r>
          </w:p>
        </w:tc>
        <w:tc>
          <w:tcPr>
            <w:tcW w:w="1658" w:type="dxa"/>
            <w:vAlign w:val="top"/>
          </w:tcPr>
          <w:p w14:paraId="054CE19B">
            <w:pPr>
              <w:pStyle w:val="12"/>
              <w:spacing w:before="37" w:line="268" w:lineRule="exact"/>
              <w:ind w:left="521"/>
              <w:rPr>
                <w:color w:val="auto"/>
                <w:highlight w:val="none"/>
              </w:rPr>
            </w:pPr>
            <w:r>
              <w:rPr>
                <w:color w:val="auto"/>
                <w:spacing w:val="3"/>
                <w:position w:val="1"/>
                <w:highlight w:val="none"/>
              </w:rPr>
              <w:t>0.008%</w:t>
            </w:r>
          </w:p>
        </w:tc>
        <w:tc>
          <w:tcPr>
            <w:tcW w:w="1531" w:type="dxa"/>
            <w:vAlign w:val="top"/>
          </w:tcPr>
          <w:p w14:paraId="3430F1B8">
            <w:pPr>
              <w:pStyle w:val="12"/>
              <w:spacing w:before="37" w:line="268" w:lineRule="exact"/>
              <w:ind w:left="459"/>
              <w:rPr>
                <w:color w:val="auto"/>
                <w:highlight w:val="none"/>
              </w:rPr>
            </w:pPr>
            <w:r>
              <w:rPr>
                <w:color w:val="auto"/>
                <w:spacing w:val="3"/>
                <w:position w:val="1"/>
                <w:highlight w:val="none"/>
              </w:rPr>
              <w:t>0.008%</w:t>
            </w:r>
          </w:p>
        </w:tc>
        <w:tc>
          <w:tcPr>
            <w:tcW w:w="1550" w:type="dxa"/>
            <w:vAlign w:val="top"/>
          </w:tcPr>
          <w:p w14:paraId="23141E36">
            <w:pPr>
              <w:pStyle w:val="12"/>
              <w:spacing w:before="37" w:line="268" w:lineRule="exact"/>
              <w:ind w:left="466"/>
              <w:rPr>
                <w:color w:val="auto"/>
                <w:highlight w:val="none"/>
              </w:rPr>
            </w:pPr>
            <w:r>
              <w:rPr>
                <w:color w:val="auto"/>
                <w:spacing w:val="3"/>
                <w:position w:val="1"/>
                <w:highlight w:val="none"/>
              </w:rPr>
              <w:t>0.008%</w:t>
            </w:r>
          </w:p>
        </w:tc>
      </w:tr>
    </w:tbl>
    <w:p w14:paraId="482705CA">
      <w:pPr>
        <w:rPr>
          <w:rFonts w:ascii="Arial"/>
          <w:color w:val="auto"/>
          <w:sz w:val="21"/>
          <w:highlight w:val="none"/>
        </w:rPr>
      </w:pPr>
    </w:p>
    <w:p w14:paraId="07150533">
      <w:pPr>
        <w:rPr>
          <w:rFonts w:ascii="Arial" w:hAnsi="Arial" w:eastAsia="Arial" w:cs="Arial"/>
          <w:color w:val="auto"/>
          <w:sz w:val="21"/>
          <w:szCs w:val="21"/>
          <w:highlight w:val="none"/>
        </w:rPr>
        <w:sectPr>
          <w:footerReference r:id="rId26" w:type="default"/>
          <w:pgSz w:w="11910" w:h="16840"/>
          <w:pgMar w:top="1330" w:right="1410" w:bottom="1091" w:left="1687" w:header="0" w:footer="928" w:gutter="0"/>
          <w:pgNumType w:fmt="decimal"/>
          <w:cols w:space="720" w:num="1"/>
        </w:sectPr>
      </w:pPr>
    </w:p>
    <w:tbl>
      <w:tblPr>
        <w:tblStyle w:val="11"/>
        <w:tblW w:w="8213" w:type="dxa"/>
        <w:tblInd w:w="2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531"/>
        <w:gridCol w:w="1550"/>
      </w:tblGrid>
      <w:tr w14:paraId="719EE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3474" w:type="dxa"/>
            <w:vAlign w:val="top"/>
          </w:tcPr>
          <w:p w14:paraId="3D49B106">
            <w:pPr>
              <w:pStyle w:val="12"/>
              <w:spacing w:before="36" w:line="228" w:lineRule="auto"/>
              <w:ind w:left="119"/>
              <w:rPr>
                <w:color w:val="auto"/>
                <w:highlight w:val="none"/>
              </w:rPr>
            </w:pPr>
            <w:r>
              <w:rPr>
                <w:color w:val="auto"/>
                <w:spacing w:val="3"/>
                <w:highlight w:val="none"/>
              </w:rPr>
              <w:t>50</w:t>
            </w:r>
            <w:r>
              <w:rPr>
                <w:color w:val="auto"/>
                <w:spacing w:val="-35"/>
                <w:highlight w:val="none"/>
              </w:rPr>
              <w:t xml:space="preserve"> </w:t>
            </w:r>
            <w:r>
              <w:rPr>
                <w:color w:val="auto"/>
                <w:spacing w:val="3"/>
                <w:highlight w:val="none"/>
              </w:rPr>
              <w:t>亿～100</w:t>
            </w:r>
            <w:r>
              <w:rPr>
                <w:color w:val="auto"/>
                <w:spacing w:val="-37"/>
                <w:highlight w:val="none"/>
              </w:rPr>
              <w:t xml:space="preserve"> </w:t>
            </w:r>
            <w:r>
              <w:rPr>
                <w:color w:val="auto"/>
                <w:spacing w:val="3"/>
                <w:highlight w:val="none"/>
              </w:rPr>
              <w:t>亿元</w:t>
            </w:r>
          </w:p>
        </w:tc>
        <w:tc>
          <w:tcPr>
            <w:tcW w:w="1658" w:type="dxa"/>
            <w:vAlign w:val="top"/>
          </w:tcPr>
          <w:p w14:paraId="1790323A">
            <w:pPr>
              <w:pStyle w:val="12"/>
              <w:spacing w:before="36" w:line="268" w:lineRule="exact"/>
              <w:ind w:left="521"/>
              <w:rPr>
                <w:color w:val="auto"/>
                <w:highlight w:val="none"/>
              </w:rPr>
            </w:pPr>
            <w:r>
              <w:rPr>
                <w:color w:val="auto"/>
                <w:spacing w:val="3"/>
                <w:position w:val="1"/>
                <w:highlight w:val="none"/>
              </w:rPr>
              <w:t>0.006%</w:t>
            </w:r>
          </w:p>
        </w:tc>
        <w:tc>
          <w:tcPr>
            <w:tcW w:w="1531" w:type="dxa"/>
            <w:vAlign w:val="top"/>
          </w:tcPr>
          <w:p w14:paraId="7228B8FB">
            <w:pPr>
              <w:pStyle w:val="12"/>
              <w:spacing w:before="36" w:line="268" w:lineRule="exact"/>
              <w:ind w:left="459"/>
              <w:rPr>
                <w:color w:val="auto"/>
                <w:highlight w:val="none"/>
              </w:rPr>
            </w:pPr>
            <w:r>
              <w:rPr>
                <w:color w:val="auto"/>
                <w:spacing w:val="3"/>
                <w:position w:val="1"/>
                <w:highlight w:val="none"/>
              </w:rPr>
              <w:t>0.006%</w:t>
            </w:r>
          </w:p>
        </w:tc>
        <w:tc>
          <w:tcPr>
            <w:tcW w:w="1550" w:type="dxa"/>
            <w:vAlign w:val="top"/>
          </w:tcPr>
          <w:p w14:paraId="2C64A4FB">
            <w:pPr>
              <w:pStyle w:val="12"/>
              <w:spacing w:before="36" w:line="268" w:lineRule="exact"/>
              <w:ind w:left="466"/>
              <w:rPr>
                <w:color w:val="auto"/>
                <w:highlight w:val="none"/>
              </w:rPr>
            </w:pPr>
            <w:r>
              <w:rPr>
                <w:color w:val="auto"/>
                <w:spacing w:val="3"/>
                <w:position w:val="1"/>
                <w:highlight w:val="none"/>
              </w:rPr>
              <w:t>0.006%</w:t>
            </w:r>
          </w:p>
        </w:tc>
      </w:tr>
      <w:tr w14:paraId="4D795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474" w:type="dxa"/>
            <w:vAlign w:val="top"/>
          </w:tcPr>
          <w:p w14:paraId="16D3C693">
            <w:pPr>
              <w:pStyle w:val="12"/>
              <w:spacing w:before="33" w:line="228" w:lineRule="auto"/>
              <w:ind w:left="130"/>
              <w:rPr>
                <w:color w:val="auto"/>
                <w:highlight w:val="none"/>
              </w:rPr>
            </w:pPr>
            <w:r>
              <w:rPr>
                <w:color w:val="auto"/>
                <w:spacing w:val="2"/>
                <w:highlight w:val="none"/>
              </w:rPr>
              <w:t>100</w:t>
            </w:r>
            <w:r>
              <w:rPr>
                <w:color w:val="auto"/>
                <w:spacing w:val="-34"/>
                <w:highlight w:val="none"/>
              </w:rPr>
              <w:t xml:space="preserve"> </w:t>
            </w:r>
            <w:r>
              <w:rPr>
                <w:color w:val="auto"/>
                <w:spacing w:val="2"/>
                <w:highlight w:val="none"/>
              </w:rPr>
              <w:t>亿元以上</w:t>
            </w:r>
          </w:p>
        </w:tc>
        <w:tc>
          <w:tcPr>
            <w:tcW w:w="1658" w:type="dxa"/>
            <w:vAlign w:val="top"/>
          </w:tcPr>
          <w:p w14:paraId="66C27A3F">
            <w:pPr>
              <w:pStyle w:val="12"/>
              <w:spacing w:before="33" w:line="267" w:lineRule="exact"/>
              <w:ind w:left="521"/>
              <w:rPr>
                <w:color w:val="auto"/>
                <w:highlight w:val="none"/>
              </w:rPr>
            </w:pPr>
            <w:r>
              <w:rPr>
                <w:color w:val="auto"/>
                <w:spacing w:val="3"/>
                <w:position w:val="1"/>
                <w:highlight w:val="none"/>
              </w:rPr>
              <w:t>0.004%</w:t>
            </w:r>
          </w:p>
        </w:tc>
        <w:tc>
          <w:tcPr>
            <w:tcW w:w="1531" w:type="dxa"/>
            <w:vAlign w:val="top"/>
          </w:tcPr>
          <w:p w14:paraId="694BA5C1">
            <w:pPr>
              <w:pStyle w:val="12"/>
              <w:spacing w:before="33" w:line="267" w:lineRule="exact"/>
              <w:ind w:left="459"/>
              <w:rPr>
                <w:color w:val="auto"/>
                <w:highlight w:val="none"/>
              </w:rPr>
            </w:pPr>
            <w:r>
              <w:rPr>
                <w:color w:val="auto"/>
                <w:spacing w:val="3"/>
                <w:position w:val="1"/>
                <w:highlight w:val="none"/>
              </w:rPr>
              <w:t>0.004%</w:t>
            </w:r>
          </w:p>
        </w:tc>
        <w:tc>
          <w:tcPr>
            <w:tcW w:w="1550" w:type="dxa"/>
            <w:vAlign w:val="top"/>
          </w:tcPr>
          <w:p w14:paraId="600BD0A5">
            <w:pPr>
              <w:pStyle w:val="12"/>
              <w:spacing w:before="33" w:line="267" w:lineRule="exact"/>
              <w:ind w:left="466"/>
              <w:rPr>
                <w:color w:val="auto"/>
                <w:highlight w:val="none"/>
              </w:rPr>
            </w:pPr>
            <w:r>
              <w:rPr>
                <w:color w:val="auto"/>
                <w:spacing w:val="3"/>
                <w:position w:val="1"/>
                <w:highlight w:val="none"/>
              </w:rPr>
              <w:t>0.004%</w:t>
            </w:r>
          </w:p>
        </w:tc>
      </w:tr>
    </w:tbl>
    <w:p w14:paraId="29D57C8F">
      <w:pPr>
        <w:spacing w:before="32" w:line="232" w:lineRule="auto"/>
        <w:ind w:left="421"/>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002820AC">
      <w:pPr>
        <w:spacing w:before="156" w:line="226"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（1）按本表费率计算的收费为采购代理的收费基准价格；</w:t>
      </w:r>
    </w:p>
    <w:p w14:paraId="06909468">
      <w:pPr>
        <w:spacing w:before="162" w:line="227"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（2）采购代理收费按差额定率累进法计算。</w:t>
      </w:r>
    </w:p>
    <w:p w14:paraId="6BC920EB">
      <w:pPr>
        <w:spacing w:before="161" w:line="378" w:lineRule="auto"/>
        <w:ind w:left="436" w:right="209" w:hanging="1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例如：某货物采购代理业务成交金额或者暂定价为</w:t>
      </w:r>
      <w:r>
        <w:rPr>
          <w:rFonts w:ascii="宋体" w:hAnsi="宋体" w:eastAsia="宋体" w:cs="宋体"/>
          <w:color w:val="auto"/>
          <w:spacing w:val="-18"/>
          <w:sz w:val="20"/>
          <w:szCs w:val="20"/>
          <w:highlight w:val="none"/>
        </w:rPr>
        <w:t xml:space="preserve"> </w:t>
      </w:r>
      <w:r>
        <w:rPr>
          <w:rFonts w:ascii="宋体" w:hAnsi="宋体" w:eastAsia="宋体" w:cs="宋体"/>
          <w:color w:val="auto"/>
          <w:spacing w:val="7"/>
          <w:sz w:val="20"/>
          <w:szCs w:val="20"/>
          <w:highlight w:val="none"/>
        </w:rPr>
        <w:t>150</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万元，计算采购代理收费额如下：</w:t>
      </w:r>
      <w:r>
        <w:rPr>
          <w:rFonts w:ascii="宋体" w:hAnsi="宋体" w:eastAsia="宋体" w:cs="宋体"/>
          <w:color w:val="auto"/>
          <w:sz w:val="20"/>
          <w:szCs w:val="20"/>
          <w:highlight w:val="none"/>
        </w:rPr>
        <w:t xml:space="preserve"> 100 万元</w:t>
      </w:r>
      <w:r>
        <w:rPr>
          <w:rFonts w:ascii="宋体" w:hAnsi="宋体" w:eastAsia="宋体" w:cs="宋体"/>
          <w:color w:val="auto"/>
          <w:spacing w:val="52"/>
          <w:sz w:val="20"/>
          <w:szCs w:val="20"/>
          <w:highlight w:val="none"/>
        </w:rPr>
        <w:t xml:space="preserve"> </w:t>
      </w:r>
      <w:r>
        <w:rPr>
          <w:rFonts w:ascii="宋体" w:hAnsi="宋体" w:eastAsia="宋体" w:cs="宋体"/>
          <w:color w:val="auto"/>
          <w:sz w:val="20"/>
          <w:szCs w:val="20"/>
          <w:highlight w:val="none"/>
        </w:rPr>
        <w:t>×l.5</w:t>
      </w:r>
      <w:r>
        <w:rPr>
          <w:rFonts w:ascii="宋体" w:hAnsi="宋体" w:eastAsia="宋体" w:cs="宋体"/>
          <w:color w:val="auto"/>
          <w:spacing w:val="7"/>
          <w:sz w:val="20"/>
          <w:szCs w:val="20"/>
          <w:highlight w:val="none"/>
        </w:rPr>
        <w:t xml:space="preserve"> </w:t>
      </w:r>
      <w:r>
        <w:rPr>
          <w:rFonts w:ascii="宋体" w:hAnsi="宋体" w:eastAsia="宋体" w:cs="宋体"/>
          <w:color w:val="auto"/>
          <w:sz w:val="20"/>
          <w:szCs w:val="20"/>
          <w:highlight w:val="none"/>
        </w:rPr>
        <w:t>%＝</w:t>
      </w:r>
      <w:r>
        <w:rPr>
          <w:rFonts w:ascii="宋体" w:hAnsi="宋体" w:eastAsia="宋体" w:cs="宋体"/>
          <w:color w:val="auto"/>
          <w:spacing w:val="31"/>
          <w:sz w:val="20"/>
          <w:szCs w:val="20"/>
          <w:highlight w:val="none"/>
        </w:rPr>
        <w:t xml:space="preserve"> </w:t>
      </w:r>
      <w:r>
        <w:rPr>
          <w:rFonts w:ascii="宋体" w:hAnsi="宋体" w:eastAsia="宋体" w:cs="宋体"/>
          <w:color w:val="auto"/>
          <w:sz w:val="20"/>
          <w:szCs w:val="20"/>
          <w:highlight w:val="none"/>
        </w:rPr>
        <w:t>1.5</w:t>
      </w:r>
      <w:r>
        <w:rPr>
          <w:rFonts w:ascii="宋体" w:hAnsi="宋体" w:eastAsia="宋体" w:cs="宋体"/>
          <w:color w:val="auto"/>
          <w:spacing w:val="17"/>
          <w:sz w:val="20"/>
          <w:szCs w:val="20"/>
          <w:highlight w:val="none"/>
        </w:rPr>
        <w:t xml:space="preserve"> </w:t>
      </w:r>
      <w:r>
        <w:rPr>
          <w:rFonts w:ascii="宋体" w:hAnsi="宋体" w:eastAsia="宋体" w:cs="宋体"/>
          <w:color w:val="auto"/>
          <w:sz w:val="20"/>
          <w:szCs w:val="20"/>
          <w:highlight w:val="none"/>
        </w:rPr>
        <w:t>万元</w:t>
      </w:r>
    </w:p>
    <w:p w14:paraId="7C711576">
      <w:pPr>
        <w:spacing w:before="1" w:line="228" w:lineRule="auto"/>
        <w:ind w:left="431"/>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w:t>
      </w:r>
      <w:r>
        <w:rPr>
          <w:rFonts w:ascii="宋体" w:hAnsi="宋体" w:eastAsia="宋体" w:cs="宋体"/>
          <w:color w:val="auto"/>
          <w:spacing w:val="38"/>
          <w:sz w:val="20"/>
          <w:szCs w:val="20"/>
          <w:highlight w:val="none"/>
        </w:rPr>
        <w:t xml:space="preserve"> </w:t>
      </w:r>
      <w:r>
        <w:rPr>
          <w:rFonts w:ascii="宋体" w:hAnsi="宋体" w:eastAsia="宋体" w:cs="宋体"/>
          <w:color w:val="auto"/>
          <w:spacing w:val="-2"/>
          <w:sz w:val="20"/>
          <w:szCs w:val="20"/>
          <w:highlight w:val="none"/>
        </w:rPr>
        <w:t>150</w:t>
      </w:r>
      <w:r>
        <w:rPr>
          <w:rFonts w:ascii="宋体" w:hAnsi="宋体" w:eastAsia="宋体" w:cs="宋体"/>
          <w:color w:val="auto"/>
          <w:spacing w:val="31"/>
          <w:sz w:val="20"/>
          <w:szCs w:val="20"/>
          <w:highlight w:val="none"/>
        </w:rPr>
        <w:t xml:space="preserve"> </w:t>
      </w:r>
      <w:r>
        <w:rPr>
          <w:rFonts w:ascii="宋体" w:hAnsi="宋体" w:eastAsia="宋体" w:cs="宋体"/>
          <w:color w:val="auto"/>
          <w:spacing w:val="-2"/>
          <w:sz w:val="20"/>
          <w:szCs w:val="20"/>
          <w:highlight w:val="none"/>
        </w:rPr>
        <w:t>－</w:t>
      </w:r>
      <w:r>
        <w:rPr>
          <w:rFonts w:ascii="宋体" w:hAnsi="宋体" w:eastAsia="宋体" w:cs="宋体"/>
          <w:color w:val="auto"/>
          <w:spacing w:val="30"/>
          <w:sz w:val="20"/>
          <w:szCs w:val="20"/>
          <w:highlight w:val="none"/>
        </w:rPr>
        <w:t xml:space="preserve"> </w:t>
      </w:r>
      <w:r>
        <w:rPr>
          <w:rFonts w:ascii="宋体" w:hAnsi="宋体" w:eastAsia="宋体" w:cs="宋体"/>
          <w:color w:val="auto"/>
          <w:spacing w:val="-2"/>
          <w:sz w:val="20"/>
          <w:szCs w:val="20"/>
          <w:highlight w:val="none"/>
        </w:rPr>
        <w:t>100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2"/>
          <w:sz w:val="20"/>
          <w:szCs w:val="20"/>
          <w:highlight w:val="none"/>
        </w:rPr>
        <w:t>）万元</w:t>
      </w:r>
      <w:r>
        <w:rPr>
          <w:rFonts w:ascii="宋体" w:hAnsi="宋体" w:eastAsia="宋体" w:cs="宋体"/>
          <w:color w:val="auto"/>
          <w:spacing w:val="46"/>
          <w:sz w:val="20"/>
          <w:szCs w:val="20"/>
          <w:highlight w:val="none"/>
        </w:rPr>
        <w:t xml:space="preserve"> </w:t>
      </w:r>
      <w:r>
        <w:rPr>
          <w:rFonts w:ascii="宋体" w:hAnsi="宋体" w:eastAsia="宋体" w:cs="宋体"/>
          <w:color w:val="auto"/>
          <w:spacing w:val="-2"/>
          <w:sz w:val="20"/>
          <w:szCs w:val="20"/>
          <w:highlight w:val="none"/>
        </w:rPr>
        <w:t>×</w:t>
      </w:r>
      <w:r>
        <w:rPr>
          <w:rFonts w:ascii="宋体" w:hAnsi="宋体" w:eastAsia="宋体" w:cs="宋体"/>
          <w:color w:val="auto"/>
          <w:spacing w:val="-77"/>
          <w:sz w:val="20"/>
          <w:szCs w:val="20"/>
          <w:highlight w:val="none"/>
        </w:rPr>
        <w:t xml:space="preserve"> </w:t>
      </w:r>
      <w:r>
        <w:rPr>
          <w:rFonts w:ascii="宋体" w:hAnsi="宋体" w:eastAsia="宋体" w:cs="宋体"/>
          <w:color w:val="auto"/>
          <w:spacing w:val="-2"/>
          <w:sz w:val="20"/>
          <w:szCs w:val="20"/>
          <w:highlight w:val="none"/>
        </w:rPr>
        <w:t>1.1%＝ 0.55</w:t>
      </w:r>
      <w:r>
        <w:rPr>
          <w:rFonts w:ascii="宋体" w:hAnsi="宋体" w:eastAsia="宋体" w:cs="宋体"/>
          <w:color w:val="auto"/>
          <w:spacing w:val="17"/>
          <w:sz w:val="20"/>
          <w:szCs w:val="20"/>
          <w:highlight w:val="none"/>
        </w:rPr>
        <w:t xml:space="preserve"> </w:t>
      </w:r>
      <w:r>
        <w:rPr>
          <w:rFonts w:ascii="宋体" w:hAnsi="宋体" w:eastAsia="宋体" w:cs="宋体"/>
          <w:color w:val="auto"/>
          <w:spacing w:val="-2"/>
          <w:sz w:val="20"/>
          <w:szCs w:val="20"/>
          <w:highlight w:val="none"/>
        </w:rPr>
        <w:t>万元</w:t>
      </w:r>
    </w:p>
    <w:p w14:paraId="35FE40FB">
      <w:pPr>
        <w:spacing w:before="160" w:line="228" w:lineRule="auto"/>
        <w:ind w:left="422"/>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合计收费＝</w:t>
      </w:r>
      <w:r>
        <w:rPr>
          <w:rFonts w:ascii="宋体" w:hAnsi="宋体" w:eastAsia="宋体" w:cs="宋体"/>
          <w:color w:val="auto"/>
          <w:spacing w:val="45"/>
          <w:sz w:val="20"/>
          <w:szCs w:val="20"/>
          <w:highlight w:val="none"/>
        </w:rPr>
        <w:t xml:space="preserve"> </w:t>
      </w:r>
      <w:r>
        <w:rPr>
          <w:rFonts w:ascii="宋体" w:hAnsi="宋体" w:eastAsia="宋体" w:cs="宋体"/>
          <w:color w:val="auto"/>
          <w:spacing w:val="3"/>
          <w:sz w:val="20"/>
          <w:szCs w:val="20"/>
          <w:highlight w:val="none"/>
        </w:rPr>
        <w:t>1.5</w:t>
      </w:r>
      <w:r>
        <w:rPr>
          <w:rFonts w:ascii="宋体" w:hAnsi="宋体" w:eastAsia="宋体" w:cs="宋体"/>
          <w:color w:val="auto"/>
          <w:spacing w:val="31"/>
          <w:sz w:val="20"/>
          <w:szCs w:val="20"/>
          <w:highlight w:val="none"/>
        </w:rPr>
        <w:t xml:space="preserve"> </w:t>
      </w:r>
      <w:r>
        <w:rPr>
          <w:rFonts w:ascii="宋体" w:hAnsi="宋体" w:eastAsia="宋体" w:cs="宋体"/>
          <w:color w:val="auto"/>
          <w:spacing w:val="3"/>
          <w:sz w:val="20"/>
          <w:szCs w:val="20"/>
          <w:highlight w:val="none"/>
        </w:rPr>
        <w:t>＋ 0.55＝</w:t>
      </w:r>
      <w:r>
        <w:rPr>
          <w:rFonts w:ascii="宋体" w:hAnsi="宋体" w:eastAsia="宋体" w:cs="宋体"/>
          <w:color w:val="auto"/>
          <w:spacing w:val="19"/>
          <w:sz w:val="20"/>
          <w:szCs w:val="20"/>
          <w:highlight w:val="none"/>
        </w:rPr>
        <w:t xml:space="preserve"> </w:t>
      </w:r>
      <w:r>
        <w:rPr>
          <w:rFonts w:ascii="宋体" w:hAnsi="宋体" w:eastAsia="宋体" w:cs="宋体"/>
          <w:color w:val="auto"/>
          <w:spacing w:val="3"/>
          <w:sz w:val="20"/>
          <w:szCs w:val="20"/>
          <w:highlight w:val="none"/>
        </w:rPr>
        <w:t>2.05 （万元）</w:t>
      </w:r>
    </w:p>
    <w:p w14:paraId="1782EBDD">
      <w:pPr>
        <w:spacing w:before="166" w:line="222" w:lineRule="auto"/>
        <w:ind w:left="485"/>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33.</w:t>
      </w:r>
      <w:r>
        <w:rPr>
          <w:rFonts w:ascii="黑体" w:hAnsi="黑体" w:eastAsia="黑体" w:cs="黑体"/>
          <w:color w:val="auto"/>
          <w:spacing w:val="-3"/>
          <w:sz w:val="24"/>
          <w:szCs w:val="24"/>
          <w:highlight w:val="none"/>
        </w:rPr>
        <w:t xml:space="preserve"> </w:t>
      </w:r>
      <w:r>
        <w:rPr>
          <w:rFonts w:ascii="黑体" w:hAnsi="黑体" w:eastAsia="黑体" w:cs="黑体"/>
          <w:b/>
          <w:bCs/>
          <w:color w:val="auto"/>
          <w:spacing w:val="-3"/>
          <w:sz w:val="24"/>
          <w:szCs w:val="24"/>
          <w:highlight w:val="none"/>
        </w:rPr>
        <w:t>需要补充的其他内容</w:t>
      </w:r>
    </w:p>
    <w:p w14:paraId="280BC49D">
      <w:pPr>
        <w:spacing w:before="175"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33.1</w:t>
      </w:r>
      <w:r>
        <w:rPr>
          <w:rFonts w:ascii="宋体" w:hAnsi="宋体" w:eastAsia="宋体" w:cs="宋体"/>
          <w:color w:val="auto"/>
          <w:spacing w:val="-40"/>
          <w:sz w:val="20"/>
          <w:szCs w:val="20"/>
          <w:highlight w:val="none"/>
        </w:rPr>
        <w:t xml:space="preserve"> </w:t>
      </w:r>
      <w:r>
        <w:rPr>
          <w:rFonts w:ascii="宋体" w:hAnsi="宋体" w:eastAsia="宋体" w:cs="宋体"/>
          <w:color w:val="auto"/>
          <w:spacing w:val="8"/>
          <w:sz w:val="20"/>
          <w:szCs w:val="20"/>
          <w:highlight w:val="none"/>
        </w:rPr>
        <w:t>本谈判文件解释规则详见“供应商须知前附表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p>
    <w:p w14:paraId="5FF9E649">
      <w:pPr>
        <w:spacing w:before="162" w:line="227"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33.2 其他事项详见“供应商须知前附表</w:t>
      </w:r>
      <w:r>
        <w:rPr>
          <w:rFonts w:ascii="宋体" w:hAnsi="宋体" w:eastAsia="宋体" w:cs="宋体"/>
          <w:color w:val="auto"/>
          <w:spacing w:val="-54"/>
          <w:sz w:val="20"/>
          <w:szCs w:val="20"/>
          <w:highlight w:val="none"/>
        </w:rPr>
        <w:t xml:space="preserve"> </w:t>
      </w:r>
      <w:r>
        <w:rPr>
          <w:rFonts w:ascii="宋体" w:hAnsi="宋体" w:eastAsia="宋体" w:cs="宋体"/>
          <w:color w:val="auto"/>
          <w:spacing w:val="7"/>
          <w:sz w:val="20"/>
          <w:szCs w:val="20"/>
          <w:highlight w:val="none"/>
        </w:rPr>
        <w:t>”。</w:t>
      </w:r>
    </w:p>
    <w:p w14:paraId="2239D8CA">
      <w:pPr>
        <w:spacing w:before="162" w:line="377" w:lineRule="auto"/>
        <w:ind w:right="37" w:firstLine="406"/>
        <w:rPr>
          <w:rFonts w:ascii="宋体" w:hAnsi="宋体" w:eastAsia="宋体" w:cs="宋体"/>
          <w:color w:val="auto"/>
          <w:sz w:val="20"/>
          <w:szCs w:val="20"/>
          <w:highlight w:val="none"/>
        </w:rPr>
      </w:pPr>
      <w:r>
        <w:rPr>
          <w:rFonts w:ascii="宋体" w:hAnsi="宋体" w:eastAsia="宋体" w:cs="宋体"/>
          <w:color w:val="auto"/>
          <w:spacing w:val="12"/>
          <w:sz w:val="19"/>
          <w:szCs w:val="19"/>
          <w:highlight w:val="none"/>
        </w:rPr>
        <w:t>33.3</w:t>
      </w:r>
      <w:r>
        <w:rPr>
          <w:rFonts w:ascii="宋体" w:hAnsi="宋体" w:eastAsia="宋体" w:cs="宋体"/>
          <w:color w:val="auto"/>
          <w:spacing w:val="-34"/>
          <w:sz w:val="19"/>
          <w:szCs w:val="19"/>
          <w:highlight w:val="none"/>
        </w:rPr>
        <w:t xml:space="preserve"> </w:t>
      </w:r>
      <w:r>
        <w:rPr>
          <w:rFonts w:ascii="宋体" w:hAnsi="宋体" w:eastAsia="宋体" w:cs="宋体"/>
          <w:color w:val="auto"/>
          <w:spacing w:val="12"/>
          <w:sz w:val="20"/>
          <w:szCs w:val="20"/>
          <w:highlight w:val="none"/>
        </w:rPr>
        <w:t>本谈判文件所称中小企业，是指在中华人民</w:t>
      </w:r>
      <w:r>
        <w:rPr>
          <w:rFonts w:ascii="宋体" w:hAnsi="宋体" w:eastAsia="宋体" w:cs="宋体"/>
          <w:color w:val="auto"/>
          <w:spacing w:val="11"/>
          <w:sz w:val="20"/>
          <w:szCs w:val="20"/>
          <w:highlight w:val="none"/>
        </w:rPr>
        <w:t>共和国境内依法设立，依据国务院批准的</w:t>
      </w:r>
      <w:r>
        <w:rPr>
          <w:rFonts w:ascii="宋体" w:hAnsi="宋体" w:eastAsia="宋体" w:cs="宋体"/>
          <w:color w:val="auto"/>
          <w:spacing w:val="13"/>
          <w:sz w:val="20"/>
          <w:szCs w:val="20"/>
          <w:highlight w:val="none"/>
        </w:rPr>
        <w:t>中小企业划分标准确定的中型企业、小型企业和微型企业，但与大</w:t>
      </w:r>
      <w:r>
        <w:rPr>
          <w:rFonts w:ascii="宋体" w:hAnsi="宋体" w:eastAsia="宋体" w:cs="宋体"/>
          <w:color w:val="auto"/>
          <w:spacing w:val="12"/>
          <w:sz w:val="20"/>
          <w:szCs w:val="20"/>
          <w:highlight w:val="none"/>
        </w:rPr>
        <w:t>企业的负责人为同一人，或</w:t>
      </w:r>
      <w:r>
        <w:rPr>
          <w:rFonts w:ascii="宋体" w:hAnsi="宋体" w:eastAsia="宋体" w:cs="宋体"/>
          <w:color w:val="auto"/>
          <w:spacing w:val="13"/>
          <w:sz w:val="20"/>
          <w:szCs w:val="20"/>
          <w:highlight w:val="none"/>
        </w:rPr>
        <w:t>者与大企业存在直接控股、管理关系的除外。符合中小企业划分标</w:t>
      </w:r>
      <w:r>
        <w:rPr>
          <w:rFonts w:ascii="宋体" w:hAnsi="宋体" w:eastAsia="宋体" w:cs="宋体"/>
          <w:color w:val="auto"/>
          <w:spacing w:val="12"/>
          <w:sz w:val="20"/>
          <w:szCs w:val="20"/>
          <w:highlight w:val="none"/>
        </w:rPr>
        <w:t>准的个体工商户，在政府采</w:t>
      </w:r>
      <w:r>
        <w:rPr>
          <w:rFonts w:ascii="宋体" w:hAnsi="宋体" w:eastAsia="宋体" w:cs="宋体"/>
          <w:color w:val="auto"/>
          <w:spacing w:val="13"/>
          <w:sz w:val="20"/>
          <w:szCs w:val="20"/>
          <w:highlight w:val="none"/>
        </w:rPr>
        <w:t>购活动中视同中小企业。在政府采购活动中，供应商提供的货物、</w:t>
      </w:r>
      <w:r>
        <w:rPr>
          <w:rFonts w:ascii="宋体" w:hAnsi="宋体" w:eastAsia="宋体" w:cs="宋体"/>
          <w:color w:val="auto"/>
          <w:spacing w:val="12"/>
          <w:sz w:val="20"/>
          <w:szCs w:val="20"/>
          <w:highlight w:val="none"/>
        </w:rPr>
        <w:t>工程或者服务符合下列情形</w:t>
      </w:r>
      <w:r>
        <w:rPr>
          <w:rFonts w:ascii="宋体" w:hAnsi="宋体" w:eastAsia="宋体" w:cs="宋体"/>
          <w:color w:val="auto"/>
          <w:spacing w:val="9"/>
          <w:sz w:val="20"/>
          <w:szCs w:val="20"/>
          <w:highlight w:val="none"/>
        </w:rPr>
        <w:t>的，享受本谈判文件规定的中小企业扶持政策：</w:t>
      </w:r>
    </w:p>
    <w:p w14:paraId="5E29C542">
      <w:pPr>
        <w:spacing w:before="2" w:line="377" w:lineRule="auto"/>
        <w:ind w:left="5" w:right="40" w:firstLine="42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（1）在货物采购项目中，货物由中小企业制造，即货物由</w:t>
      </w:r>
      <w:r>
        <w:rPr>
          <w:rFonts w:ascii="宋体" w:hAnsi="宋体" w:eastAsia="宋体" w:cs="宋体"/>
          <w:color w:val="auto"/>
          <w:spacing w:val="9"/>
          <w:sz w:val="20"/>
          <w:szCs w:val="20"/>
          <w:highlight w:val="none"/>
        </w:rPr>
        <w:t>中小企业生产且使用该中小企业商号或者注册商标，不对其中涉及的工程承建商和服务的承接商作出要求；</w:t>
      </w:r>
    </w:p>
    <w:p w14:paraId="26D3B310">
      <w:pPr>
        <w:spacing w:before="1" w:line="376" w:lineRule="auto"/>
        <w:ind w:right="40" w:firstLine="43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（2）在工程采购项目中，工程由中小企业承建，即工程施</w:t>
      </w:r>
      <w:r>
        <w:rPr>
          <w:rFonts w:ascii="宋体" w:hAnsi="宋体" w:eastAsia="宋体" w:cs="宋体"/>
          <w:color w:val="auto"/>
          <w:spacing w:val="9"/>
          <w:sz w:val="20"/>
          <w:szCs w:val="20"/>
          <w:highlight w:val="none"/>
        </w:rPr>
        <w:t>工单位为中小企业，不对其中涉及的货物的制造商和服务的承接商作出要求；</w:t>
      </w:r>
    </w:p>
    <w:p w14:paraId="19BE00C7">
      <w:pPr>
        <w:spacing w:before="2" w:line="376" w:lineRule="auto"/>
        <w:ind w:left="3" w:right="37" w:firstLine="428"/>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（3）在服务采购项目中，服务由中小企业承接，即提供服</w:t>
      </w:r>
      <w:r>
        <w:rPr>
          <w:rFonts w:ascii="宋体" w:hAnsi="宋体" w:eastAsia="宋体" w:cs="宋体"/>
          <w:color w:val="auto"/>
          <w:spacing w:val="9"/>
          <w:sz w:val="20"/>
          <w:szCs w:val="20"/>
          <w:highlight w:val="none"/>
        </w:rPr>
        <w:t>务的人员为中小企业依照《中华</w:t>
      </w:r>
      <w:r>
        <w:rPr>
          <w:rFonts w:ascii="宋体" w:hAnsi="宋体" w:eastAsia="宋体" w:cs="宋体"/>
          <w:color w:val="auto"/>
          <w:spacing w:val="13"/>
          <w:sz w:val="20"/>
          <w:szCs w:val="20"/>
          <w:highlight w:val="none"/>
        </w:rPr>
        <w:t>人民共和国劳动合同法》订立劳动合同的从业人员，不对</w:t>
      </w:r>
      <w:r>
        <w:rPr>
          <w:rFonts w:ascii="宋体" w:hAnsi="宋体" w:eastAsia="宋体" w:cs="宋体"/>
          <w:color w:val="auto"/>
          <w:spacing w:val="12"/>
          <w:sz w:val="20"/>
          <w:szCs w:val="20"/>
          <w:highlight w:val="none"/>
        </w:rPr>
        <w:t>其中涉及的货物的制造商和工程承建</w:t>
      </w:r>
      <w:r>
        <w:rPr>
          <w:rFonts w:ascii="宋体" w:hAnsi="宋体" w:eastAsia="宋体" w:cs="宋体"/>
          <w:color w:val="auto"/>
          <w:spacing w:val="6"/>
          <w:sz w:val="20"/>
          <w:szCs w:val="20"/>
          <w:highlight w:val="none"/>
        </w:rPr>
        <w:t>商作出要求。</w:t>
      </w:r>
    </w:p>
    <w:p w14:paraId="78A75F22">
      <w:pPr>
        <w:spacing w:before="1" w:line="377" w:lineRule="auto"/>
        <w:ind w:firstLine="420"/>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在货物采购项目中，供应商提供的货物既有中小企业制造货物，也有大型企业制造货物的，</w:t>
      </w:r>
      <w:r>
        <w:rPr>
          <w:rFonts w:ascii="宋体" w:hAnsi="宋体" w:eastAsia="宋体" w:cs="宋体"/>
          <w:color w:val="auto"/>
          <w:spacing w:val="12"/>
          <w:sz w:val="20"/>
          <w:szCs w:val="20"/>
          <w:highlight w:val="none"/>
        </w:rPr>
        <w:t>不享受本谈判文件规定的中小企业扶持政策。</w:t>
      </w:r>
      <w:r>
        <w:rPr>
          <w:rFonts w:ascii="宋体" w:hAnsi="宋体" w:eastAsia="宋体" w:cs="宋体"/>
          <w:color w:val="auto"/>
          <w:spacing w:val="-58"/>
          <w:sz w:val="20"/>
          <w:szCs w:val="20"/>
          <w:highlight w:val="none"/>
        </w:rPr>
        <w:t xml:space="preserve"> </w:t>
      </w:r>
      <w:r>
        <w:rPr>
          <w:rFonts w:ascii="宋体" w:hAnsi="宋体" w:eastAsia="宋体" w:cs="宋体"/>
          <w:color w:val="auto"/>
          <w:spacing w:val="12"/>
          <w:sz w:val="20"/>
          <w:szCs w:val="20"/>
          <w:highlight w:val="none"/>
        </w:rPr>
        <w:t>以联合体形式参</w:t>
      </w:r>
      <w:r>
        <w:rPr>
          <w:rFonts w:ascii="宋体" w:hAnsi="宋体" w:eastAsia="宋体" w:cs="宋体"/>
          <w:color w:val="auto"/>
          <w:spacing w:val="11"/>
          <w:sz w:val="20"/>
          <w:szCs w:val="20"/>
          <w:highlight w:val="none"/>
        </w:rPr>
        <w:t>加政府采购活动，联合体各方均</w:t>
      </w:r>
      <w:r>
        <w:rPr>
          <w:rFonts w:ascii="宋体" w:hAnsi="宋体" w:eastAsia="宋体" w:cs="宋体"/>
          <w:color w:val="auto"/>
          <w:spacing w:val="13"/>
          <w:sz w:val="20"/>
          <w:szCs w:val="20"/>
          <w:highlight w:val="none"/>
        </w:rPr>
        <w:t>为中小企业的，联合体视同中小企业。其中，联合体各方均为小</w:t>
      </w:r>
      <w:r>
        <w:rPr>
          <w:rFonts w:ascii="宋体" w:hAnsi="宋体" w:eastAsia="宋体" w:cs="宋体"/>
          <w:color w:val="auto"/>
          <w:spacing w:val="12"/>
          <w:sz w:val="20"/>
          <w:szCs w:val="20"/>
          <w:highlight w:val="none"/>
        </w:rPr>
        <w:t>微企业的，联合体视同小微企</w:t>
      </w:r>
      <w:r>
        <w:rPr>
          <w:rFonts w:ascii="宋体" w:hAnsi="宋体" w:eastAsia="宋体" w:cs="宋体"/>
          <w:color w:val="auto"/>
          <w:sz w:val="20"/>
          <w:szCs w:val="20"/>
          <w:highlight w:val="none"/>
        </w:rPr>
        <w:t>业。</w:t>
      </w:r>
    </w:p>
    <w:p w14:paraId="1FFA1E0D">
      <w:pPr>
        <w:spacing w:line="380" w:lineRule="auto"/>
        <w:ind w:left="8" w:right="37" w:firstLine="415"/>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依据本谈判文件规定享受扶持政策获得政府采购合同的，小微企业</w:t>
      </w:r>
      <w:r>
        <w:rPr>
          <w:rFonts w:ascii="宋体" w:hAnsi="宋体" w:eastAsia="宋体" w:cs="宋体"/>
          <w:color w:val="auto"/>
          <w:spacing w:val="12"/>
          <w:sz w:val="20"/>
          <w:szCs w:val="20"/>
          <w:highlight w:val="none"/>
        </w:rPr>
        <w:t>不得将合同分包给大中</w:t>
      </w:r>
      <w:r>
        <w:rPr>
          <w:rFonts w:ascii="宋体" w:hAnsi="宋体" w:eastAsia="宋体" w:cs="宋体"/>
          <w:color w:val="auto"/>
          <w:spacing w:val="8"/>
          <w:sz w:val="20"/>
          <w:szCs w:val="20"/>
          <w:highlight w:val="none"/>
        </w:rPr>
        <w:t>型企业，中型企业不得将合同分包给大型企业。</w:t>
      </w:r>
    </w:p>
    <w:p w14:paraId="5D33721F">
      <w:pPr>
        <w:spacing w:line="380" w:lineRule="auto"/>
        <w:rPr>
          <w:rFonts w:ascii="宋体" w:hAnsi="宋体" w:eastAsia="宋体" w:cs="宋体"/>
          <w:color w:val="auto"/>
          <w:sz w:val="20"/>
          <w:szCs w:val="20"/>
          <w:highlight w:val="none"/>
        </w:rPr>
        <w:sectPr>
          <w:footerReference r:id="rId27" w:type="default"/>
          <w:pgSz w:w="11910" w:h="16840"/>
          <w:pgMar w:top="1340" w:right="1463" w:bottom="1091" w:left="1686" w:header="0" w:footer="929" w:gutter="0"/>
          <w:pgNumType w:fmt="decimal"/>
          <w:cols w:space="720" w:num="1"/>
        </w:sectPr>
      </w:pPr>
    </w:p>
    <w:p w14:paraId="0E681AFD">
      <w:pPr>
        <w:spacing w:before="88" w:line="222" w:lineRule="auto"/>
        <w:ind w:left="2718"/>
        <w:outlineLvl w:val="0"/>
        <w:rPr>
          <w:rFonts w:ascii="宋体" w:hAnsi="宋体" w:eastAsia="宋体" w:cs="宋体"/>
          <w:color w:val="auto"/>
          <w:sz w:val="43"/>
          <w:szCs w:val="43"/>
          <w:highlight w:val="none"/>
        </w:rPr>
      </w:pPr>
      <w:bookmarkStart w:id="6" w:name="_Toc27619"/>
      <w:r>
        <w:rPr>
          <w:rFonts w:ascii="宋体" w:hAnsi="宋体" w:eastAsia="宋体" w:cs="宋体"/>
          <w:b/>
          <w:bCs/>
          <w:color w:val="auto"/>
          <w:spacing w:val="4"/>
          <w:sz w:val="43"/>
          <w:szCs w:val="43"/>
          <w:highlight w:val="none"/>
        </w:rPr>
        <w:t>第三章</w:t>
      </w:r>
      <w:r>
        <w:rPr>
          <w:rFonts w:ascii="宋体" w:hAnsi="宋体" w:eastAsia="宋体" w:cs="宋体"/>
          <w:color w:val="auto"/>
          <w:spacing w:val="4"/>
          <w:sz w:val="43"/>
          <w:szCs w:val="43"/>
          <w:highlight w:val="none"/>
        </w:rPr>
        <w:t xml:space="preserve"> </w:t>
      </w:r>
      <w:r>
        <w:rPr>
          <w:rFonts w:ascii="宋体" w:hAnsi="宋体" w:eastAsia="宋体" w:cs="宋体"/>
          <w:b/>
          <w:bCs/>
          <w:color w:val="auto"/>
          <w:spacing w:val="4"/>
          <w:sz w:val="43"/>
          <w:szCs w:val="43"/>
          <w:highlight w:val="none"/>
        </w:rPr>
        <w:t>采购需求</w:t>
      </w:r>
      <w:bookmarkEnd w:id="6"/>
    </w:p>
    <w:p w14:paraId="13334500">
      <w:pPr>
        <w:spacing w:line="251" w:lineRule="auto"/>
        <w:rPr>
          <w:rFonts w:ascii="Arial"/>
          <w:color w:val="auto"/>
          <w:sz w:val="21"/>
          <w:highlight w:val="none"/>
        </w:rPr>
      </w:pPr>
    </w:p>
    <w:p w14:paraId="77FAE76F">
      <w:pPr>
        <w:spacing w:line="251" w:lineRule="auto"/>
        <w:rPr>
          <w:rFonts w:ascii="Arial"/>
          <w:color w:val="auto"/>
          <w:sz w:val="21"/>
          <w:highlight w:val="none"/>
        </w:rPr>
      </w:pPr>
    </w:p>
    <w:p w14:paraId="2007672B">
      <w:pPr>
        <w:spacing w:line="252" w:lineRule="auto"/>
        <w:rPr>
          <w:rFonts w:ascii="Arial"/>
          <w:color w:val="auto"/>
          <w:sz w:val="21"/>
          <w:highlight w:val="none"/>
        </w:rPr>
      </w:pPr>
    </w:p>
    <w:p w14:paraId="08831C85">
      <w:pPr>
        <w:spacing w:before="65" w:line="228" w:lineRule="auto"/>
        <w:ind w:left="2"/>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说明：</w:t>
      </w:r>
    </w:p>
    <w:p w14:paraId="62694B24">
      <w:pPr>
        <w:spacing w:before="163" w:line="227" w:lineRule="auto"/>
        <w:ind w:left="436"/>
        <w:rPr>
          <w:rFonts w:ascii="宋体" w:hAnsi="宋体" w:eastAsia="宋体" w:cs="宋体"/>
          <w:color w:val="auto"/>
          <w:sz w:val="20"/>
          <w:szCs w:val="20"/>
          <w:highlight w:val="none"/>
        </w:rPr>
      </w:pPr>
      <w:r>
        <w:rPr>
          <w:rFonts w:ascii="Times New Roman" w:hAnsi="Times New Roman" w:eastAsia="Times New Roman" w:cs="Times New Roman"/>
          <w:color w:val="auto"/>
          <w:spacing w:val="7"/>
          <w:sz w:val="20"/>
          <w:szCs w:val="20"/>
          <w:highlight w:val="none"/>
        </w:rPr>
        <w:t xml:space="preserve">1.  </w:t>
      </w:r>
      <w:r>
        <w:rPr>
          <w:rFonts w:ascii="宋体" w:hAnsi="宋体" w:eastAsia="宋体" w:cs="宋体"/>
          <w:color w:val="auto"/>
          <w:spacing w:val="7"/>
          <w:sz w:val="20"/>
          <w:szCs w:val="20"/>
          <w:highlight w:val="none"/>
        </w:rPr>
        <w:t>为落实政府采购政策需满足的要求</w:t>
      </w:r>
    </w:p>
    <w:p w14:paraId="0A6D9E67">
      <w:pPr>
        <w:spacing w:before="161" w:line="377" w:lineRule="auto"/>
        <w:ind w:left="10"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（1）本竞争性谈判采购文件所称中小企业必须符合《政府采购促进中小企业发展管理办法》</w:t>
      </w:r>
      <w:r>
        <w:rPr>
          <w:rFonts w:ascii="宋体" w:hAnsi="宋体" w:eastAsia="宋体" w:cs="宋体"/>
          <w:color w:val="auto"/>
          <w:spacing w:val="2"/>
          <w:sz w:val="20"/>
          <w:szCs w:val="20"/>
          <w:highlight w:val="none"/>
        </w:rPr>
        <w:t xml:space="preserve"> </w:t>
      </w:r>
      <w:r>
        <w:rPr>
          <w:rFonts w:ascii="宋体" w:hAnsi="宋体" w:eastAsia="宋体" w:cs="宋体"/>
          <w:color w:val="auto"/>
          <w:spacing w:val="5"/>
          <w:sz w:val="20"/>
          <w:szCs w:val="20"/>
          <w:highlight w:val="none"/>
        </w:rPr>
        <w:t>（财库〔2020〕46</w:t>
      </w:r>
      <w:r>
        <w:rPr>
          <w:rFonts w:ascii="宋体" w:hAnsi="宋体" w:eastAsia="宋体" w:cs="宋体"/>
          <w:color w:val="auto"/>
          <w:spacing w:val="-23"/>
          <w:sz w:val="20"/>
          <w:szCs w:val="20"/>
          <w:highlight w:val="none"/>
        </w:rPr>
        <w:t xml:space="preserve"> </w:t>
      </w:r>
      <w:r>
        <w:rPr>
          <w:rFonts w:ascii="宋体" w:hAnsi="宋体" w:eastAsia="宋体" w:cs="宋体"/>
          <w:color w:val="auto"/>
          <w:spacing w:val="5"/>
          <w:sz w:val="20"/>
          <w:szCs w:val="20"/>
          <w:highlight w:val="none"/>
        </w:rPr>
        <w:t>号）的规定。</w:t>
      </w:r>
    </w:p>
    <w:p w14:paraId="2660044A">
      <w:pPr>
        <w:spacing w:before="1" w:line="376" w:lineRule="auto"/>
        <w:ind w:left="1" w:right="25" w:firstLine="42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（2）根据《财政部司法部关于政府采购支持监狱企业发展有关问题的通知》（财库〔2014〕</w:t>
      </w:r>
      <w:r>
        <w:rPr>
          <w:rFonts w:ascii="宋体" w:hAnsi="宋体" w:eastAsia="宋体" w:cs="宋体"/>
          <w:color w:val="auto"/>
          <w:spacing w:val="1"/>
          <w:sz w:val="20"/>
          <w:szCs w:val="20"/>
          <w:highlight w:val="none"/>
        </w:rPr>
        <w:t xml:space="preserve"> </w:t>
      </w:r>
      <w:r>
        <w:rPr>
          <w:rFonts w:ascii="宋体" w:hAnsi="宋体" w:eastAsia="宋体" w:cs="宋体"/>
          <w:color w:val="auto"/>
          <w:spacing w:val="8"/>
          <w:sz w:val="20"/>
          <w:szCs w:val="20"/>
          <w:highlight w:val="none"/>
        </w:rPr>
        <w:t>68</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号）的规定，监狱企业视同为小型、微型企业。</w:t>
      </w:r>
    </w:p>
    <w:p w14:paraId="31E222F2">
      <w:pPr>
        <w:spacing w:before="1" w:line="377" w:lineRule="auto"/>
        <w:ind w:right="302" w:firstLine="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（3）根据《关于促进残疾人就业政府采购政策的通知》（财库〔2017〕141</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号）的规定，</w:t>
      </w:r>
      <w:r>
        <w:rPr>
          <w:rFonts w:ascii="宋体" w:hAnsi="宋体" w:eastAsia="宋体" w:cs="宋体"/>
          <w:color w:val="auto"/>
          <w:spacing w:val="8"/>
          <w:sz w:val="20"/>
          <w:szCs w:val="20"/>
          <w:highlight w:val="none"/>
        </w:rPr>
        <w:t>残疾人福利性单位视同为小型、微型企业。</w:t>
      </w:r>
    </w:p>
    <w:p w14:paraId="12D53256">
      <w:pPr>
        <w:spacing w:before="1" w:line="377" w:lineRule="auto"/>
        <w:ind w:right="251" w:firstLine="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（4）根据《财政部 发展改革委 生态环境部 市场监管总局关于调整优化节能产品、环境标志产品政府采购执行机制的通知》（财库〔2019〕9</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号）和《关于印发节</w:t>
      </w:r>
      <w:r>
        <w:rPr>
          <w:rFonts w:ascii="宋体" w:hAnsi="宋体" w:eastAsia="宋体" w:cs="宋体"/>
          <w:color w:val="auto"/>
          <w:spacing w:val="8"/>
          <w:sz w:val="20"/>
          <w:szCs w:val="20"/>
          <w:highlight w:val="none"/>
        </w:rPr>
        <w:t>能产品政府采购品</w:t>
      </w:r>
      <w:r>
        <w:rPr>
          <w:rFonts w:ascii="宋体" w:hAnsi="宋体" w:eastAsia="宋体" w:cs="宋体"/>
          <w:color w:val="auto"/>
          <w:spacing w:val="9"/>
          <w:sz w:val="20"/>
          <w:szCs w:val="20"/>
          <w:highlight w:val="none"/>
        </w:rPr>
        <w:t>目清单的通知》（财库〔2019〕19</w:t>
      </w:r>
      <w:r>
        <w:rPr>
          <w:rFonts w:ascii="宋体" w:hAnsi="宋体" w:eastAsia="宋体" w:cs="宋体"/>
          <w:color w:val="auto"/>
          <w:spacing w:val="-35"/>
          <w:sz w:val="20"/>
          <w:szCs w:val="20"/>
          <w:highlight w:val="none"/>
        </w:rPr>
        <w:t xml:space="preserve"> </w:t>
      </w:r>
      <w:r>
        <w:rPr>
          <w:rFonts w:ascii="宋体" w:hAnsi="宋体" w:eastAsia="宋体" w:cs="宋体"/>
          <w:color w:val="auto"/>
          <w:spacing w:val="9"/>
          <w:sz w:val="20"/>
          <w:szCs w:val="20"/>
          <w:highlight w:val="none"/>
        </w:rPr>
        <w:t>号）的规定，采购需求中的产品属</w:t>
      </w:r>
      <w:r>
        <w:rPr>
          <w:rFonts w:ascii="宋体" w:hAnsi="宋体" w:eastAsia="宋体" w:cs="宋体"/>
          <w:color w:val="auto"/>
          <w:spacing w:val="8"/>
          <w:sz w:val="20"/>
          <w:szCs w:val="20"/>
          <w:highlight w:val="none"/>
        </w:rPr>
        <w:t>于节能产品政府采购品目清单内标注“★</w:t>
      </w:r>
      <w:r>
        <w:rPr>
          <w:rFonts w:ascii="宋体" w:hAnsi="宋体" w:eastAsia="宋体" w:cs="宋体"/>
          <w:color w:val="auto"/>
          <w:spacing w:val="-71"/>
          <w:sz w:val="20"/>
          <w:szCs w:val="20"/>
          <w:highlight w:val="none"/>
        </w:rPr>
        <w:t xml:space="preserve"> </w:t>
      </w:r>
      <w:r>
        <w:rPr>
          <w:rFonts w:ascii="宋体" w:hAnsi="宋体" w:eastAsia="宋体" w:cs="宋体"/>
          <w:color w:val="auto"/>
          <w:spacing w:val="8"/>
          <w:sz w:val="20"/>
          <w:szCs w:val="20"/>
          <w:highlight w:val="none"/>
        </w:rPr>
        <w:t>”的，</w:t>
      </w:r>
      <w:r>
        <w:rPr>
          <w:rFonts w:ascii="宋体" w:hAnsi="宋体" w:eastAsia="宋体" w:cs="宋体"/>
          <w:b/>
          <w:bCs/>
          <w:color w:val="auto"/>
          <w:spacing w:val="8"/>
          <w:sz w:val="20"/>
          <w:szCs w:val="20"/>
          <w:highlight w:val="none"/>
        </w:rPr>
        <w:t>供应商必须在响应文件中提供所竞标产品的节能产品认证证书复印件</w:t>
      </w:r>
    </w:p>
    <w:p w14:paraId="3F3D7EBC">
      <w:pPr>
        <w:spacing w:before="1" w:line="376" w:lineRule="auto"/>
        <w:ind w:right="284" w:firstLine="9"/>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（加盖供应商电子签章</w:t>
      </w:r>
      <w:r>
        <w:rPr>
          <w:rFonts w:ascii="宋体" w:hAnsi="宋体" w:eastAsia="宋体" w:cs="宋体"/>
          <w:b/>
          <w:bCs/>
          <w:color w:val="auto"/>
          <w:spacing w:val="23"/>
          <w:sz w:val="20"/>
          <w:szCs w:val="20"/>
          <w:highlight w:val="none"/>
        </w:rPr>
        <w:t>），</w:t>
      </w:r>
      <w:r>
        <w:rPr>
          <w:rFonts w:ascii="宋体" w:hAnsi="宋体" w:eastAsia="宋体" w:cs="宋体"/>
          <w:b/>
          <w:bCs/>
          <w:color w:val="auto"/>
          <w:spacing w:val="8"/>
          <w:sz w:val="20"/>
          <w:szCs w:val="20"/>
          <w:highlight w:val="none"/>
        </w:rPr>
        <w:t>否则响应文件按无效处理</w:t>
      </w:r>
      <w:r>
        <w:rPr>
          <w:rFonts w:ascii="宋体" w:hAnsi="宋体" w:eastAsia="宋体" w:cs="宋体"/>
          <w:color w:val="auto"/>
          <w:spacing w:val="8"/>
          <w:sz w:val="20"/>
          <w:szCs w:val="20"/>
          <w:highlight w:val="none"/>
        </w:rPr>
        <w:t>。如本项目包含的货物属于品目清单内非</w:t>
      </w:r>
      <w:r>
        <w:rPr>
          <w:rFonts w:ascii="宋体" w:hAnsi="宋体" w:eastAsia="宋体" w:cs="宋体"/>
          <w:color w:val="auto"/>
          <w:spacing w:val="9"/>
          <w:sz w:val="20"/>
          <w:szCs w:val="20"/>
          <w:highlight w:val="none"/>
        </w:rPr>
        <w:t>标注“★</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”的产品时，应优先采购，具体详见</w:t>
      </w:r>
      <w:r>
        <w:rPr>
          <w:rFonts w:ascii="宋体" w:hAnsi="宋体" w:eastAsia="宋体" w:cs="宋体"/>
          <w:color w:val="auto"/>
          <w:spacing w:val="8"/>
          <w:sz w:val="20"/>
          <w:szCs w:val="20"/>
          <w:highlight w:val="none"/>
        </w:rPr>
        <w:t>“第四章 评审程序和评定成交的标准</w:t>
      </w:r>
      <w:r>
        <w:rPr>
          <w:rFonts w:ascii="宋体" w:hAnsi="宋体" w:eastAsia="宋体" w:cs="宋体"/>
          <w:color w:val="auto"/>
          <w:spacing w:val="-69"/>
          <w:sz w:val="20"/>
          <w:szCs w:val="20"/>
          <w:highlight w:val="none"/>
        </w:rPr>
        <w:t xml:space="preserve"> </w:t>
      </w:r>
      <w:r>
        <w:rPr>
          <w:rFonts w:ascii="宋体" w:hAnsi="宋体" w:eastAsia="宋体" w:cs="宋体"/>
          <w:color w:val="auto"/>
          <w:spacing w:val="8"/>
          <w:sz w:val="20"/>
          <w:szCs w:val="20"/>
          <w:highlight w:val="none"/>
        </w:rPr>
        <w:t>”。</w:t>
      </w:r>
    </w:p>
    <w:p w14:paraId="7BCF49DC">
      <w:pPr>
        <w:spacing w:before="2" w:line="377" w:lineRule="auto"/>
        <w:ind w:right="144" w:firstLine="42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（5）本国产品标准的货物具体是指《政府采购品目分类目录》中的货物类产品，但不包括其中的房屋和构筑物，文物和陈列品，图书和</w:t>
      </w:r>
      <w:r>
        <w:rPr>
          <w:rFonts w:ascii="宋体" w:hAnsi="宋体" w:eastAsia="宋体" w:cs="宋体"/>
          <w:color w:val="auto"/>
          <w:spacing w:val="8"/>
          <w:sz w:val="20"/>
          <w:szCs w:val="20"/>
          <w:highlight w:val="none"/>
        </w:rPr>
        <w:t>档案，特种动植物，农林牧渔业产品，矿与矿物，</w:t>
      </w:r>
      <w:r>
        <w:rPr>
          <w:rFonts w:ascii="宋体" w:hAnsi="宋体" w:eastAsia="宋体" w:cs="宋体"/>
          <w:color w:val="auto"/>
          <w:spacing w:val="9"/>
          <w:sz w:val="20"/>
          <w:szCs w:val="20"/>
          <w:highlight w:val="none"/>
        </w:rPr>
        <w:t>电力、城市燃气、蒸汽和热水、水，食品、饮料和烟草原料，无形资产。</w:t>
      </w:r>
    </w:p>
    <w:p w14:paraId="3369641A">
      <w:pPr>
        <w:spacing w:before="1" w:line="376" w:lineRule="auto"/>
        <w:ind w:right="263" w:firstLine="427"/>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2.“实质性要求</w:t>
      </w:r>
      <w:r>
        <w:rPr>
          <w:rFonts w:ascii="宋体" w:hAnsi="宋体" w:eastAsia="宋体" w:cs="宋体"/>
          <w:color w:val="auto"/>
          <w:spacing w:val="-70"/>
          <w:sz w:val="20"/>
          <w:szCs w:val="20"/>
          <w:highlight w:val="none"/>
        </w:rPr>
        <w:t xml:space="preserve"> </w:t>
      </w:r>
      <w:r>
        <w:rPr>
          <w:rFonts w:ascii="宋体" w:hAnsi="宋体" w:eastAsia="宋体" w:cs="宋体"/>
          <w:b/>
          <w:bCs/>
          <w:color w:val="auto"/>
          <w:spacing w:val="7"/>
          <w:sz w:val="20"/>
          <w:szCs w:val="20"/>
          <w:highlight w:val="none"/>
        </w:rPr>
        <w:t>”是指采购需求中带“▲</w:t>
      </w:r>
      <w:r>
        <w:rPr>
          <w:rFonts w:ascii="宋体" w:hAnsi="宋体" w:eastAsia="宋体" w:cs="宋体"/>
          <w:color w:val="auto"/>
          <w:spacing w:val="-70"/>
          <w:sz w:val="20"/>
          <w:szCs w:val="20"/>
          <w:highlight w:val="none"/>
        </w:rPr>
        <w:t xml:space="preserve"> </w:t>
      </w:r>
      <w:r>
        <w:rPr>
          <w:rFonts w:ascii="宋体" w:hAnsi="宋体" w:eastAsia="宋体" w:cs="宋体"/>
          <w:b/>
          <w:bCs/>
          <w:color w:val="auto"/>
          <w:spacing w:val="7"/>
          <w:sz w:val="20"/>
          <w:szCs w:val="20"/>
          <w:highlight w:val="none"/>
        </w:rPr>
        <w:t>”的条款或者不</w:t>
      </w:r>
      <w:r>
        <w:rPr>
          <w:rFonts w:ascii="宋体" w:hAnsi="宋体" w:eastAsia="宋体" w:cs="宋体"/>
          <w:b/>
          <w:bCs/>
          <w:color w:val="auto"/>
          <w:spacing w:val="6"/>
          <w:sz w:val="20"/>
          <w:szCs w:val="20"/>
          <w:highlight w:val="none"/>
        </w:rPr>
        <w:t>能负偏离的条款或者已经指明不</w:t>
      </w:r>
      <w:r>
        <w:rPr>
          <w:rFonts w:ascii="宋体" w:hAnsi="宋体" w:eastAsia="宋体" w:cs="宋体"/>
          <w:b/>
          <w:bCs/>
          <w:color w:val="auto"/>
          <w:spacing w:val="7"/>
          <w:sz w:val="20"/>
          <w:szCs w:val="20"/>
          <w:highlight w:val="none"/>
        </w:rPr>
        <w:t>满足按响应文件无效处理的条款。</w:t>
      </w:r>
    </w:p>
    <w:p w14:paraId="7838F2EE">
      <w:pPr>
        <w:spacing w:before="1" w:line="377" w:lineRule="auto"/>
        <w:ind w:left="8" w:right="268" w:firstLine="4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w:t>
      </w:r>
      <w:r>
        <w:rPr>
          <w:rFonts w:ascii="宋体" w:hAnsi="宋体" w:eastAsia="宋体" w:cs="宋体"/>
          <w:b/>
          <w:bCs/>
          <w:color w:val="auto"/>
          <w:spacing w:val="8"/>
          <w:sz w:val="20"/>
          <w:szCs w:val="20"/>
          <w:highlight w:val="none"/>
        </w:rPr>
        <w:t>供应商应根据自身实际情况如实响应谈判文件，对谈判文件提出的要求和条件作出明确</w:t>
      </w:r>
      <w:r>
        <w:rPr>
          <w:rFonts w:ascii="宋体" w:hAnsi="宋体" w:eastAsia="宋体" w:cs="宋体"/>
          <w:b/>
          <w:bCs/>
          <w:color w:val="auto"/>
          <w:spacing w:val="9"/>
          <w:sz w:val="20"/>
          <w:szCs w:val="20"/>
          <w:highlight w:val="none"/>
        </w:rPr>
        <w:t>响应，否则将作无效响应处理。</w:t>
      </w:r>
      <w:r>
        <w:rPr>
          <w:rFonts w:ascii="宋体" w:hAnsi="宋体" w:eastAsia="宋体" w:cs="宋体"/>
          <w:color w:val="auto"/>
          <w:spacing w:val="9"/>
          <w:sz w:val="20"/>
          <w:szCs w:val="20"/>
          <w:highlight w:val="none"/>
        </w:rPr>
        <w:t>对于重要技术条款或技术参数应当在响应文件中提供技术支持资料，技术支持资料以谈判文件中规定的形式为准，</w:t>
      </w:r>
      <w:r>
        <w:rPr>
          <w:rFonts w:ascii="宋体" w:hAnsi="宋体" w:eastAsia="宋体" w:cs="宋体"/>
          <w:b/>
          <w:bCs/>
          <w:color w:val="auto"/>
          <w:spacing w:val="8"/>
          <w:sz w:val="20"/>
          <w:szCs w:val="20"/>
          <w:highlight w:val="none"/>
        </w:rPr>
        <w:t>否则将视为无效技术支持资料。</w:t>
      </w:r>
    </w:p>
    <w:p w14:paraId="526C851D">
      <w:pPr>
        <w:spacing w:before="1" w:line="226" w:lineRule="auto"/>
        <w:ind w:right="3"/>
        <w:jc w:val="right"/>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4.供应商必须自行为其竞标产品侵犯他人的知识产权或者专利成果的行为承担相应法律责任。</w:t>
      </w:r>
    </w:p>
    <w:p w14:paraId="796DF96A">
      <w:pPr>
        <w:spacing w:before="162" w:line="378" w:lineRule="auto"/>
        <w:ind w:left="1" w:right="181" w:firstLine="309"/>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5.采购需求中出现的品牌、型号或者生产供应商仅起参考作用，不属于指定品牌、型号</w:t>
      </w:r>
      <w:r>
        <w:rPr>
          <w:rFonts w:ascii="宋体" w:hAnsi="宋体" w:eastAsia="宋体" w:cs="宋体"/>
          <w:color w:val="auto"/>
          <w:spacing w:val="9"/>
          <w:sz w:val="20"/>
          <w:szCs w:val="20"/>
          <w:highlight w:val="none"/>
        </w:rPr>
        <w:t>或者生产供应商的情形。供应商可参照或者选用其他相当的品牌、型号或者生产供应商替代。</w:t>
      </w:r>
    </w:p>
    <w:p w14:paraId="17F1E120">
      <w:pPr>
        <w:spacing w:before="2" w:line="376" w:lineRule="auto"/>
        <w:ind w:left="10" w:right="181" w:firstLine="304"/>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w:t>
      </w:r>
      <w:r>
        <w:rPr>
          <w:rFonts w:ascii="宋体" w:hAnsi="宋体" w:eastAsia="宋体" w:cs="宋体"/>
          <w:b/>
          <w:bCs/>
          <w:color w:val="auto"/>
          <w:spacing w:val="11"/>
          <w:sz w:val="20"/>
          <w:szCs w:val="20"/>
          <w:highlight w:val="none"/>
        </w:rPr>
        <w:t>6.根据《关于在政府采购活动中对有关美国企业采取相关措施的</w:t>
      </w:r>
      <w:r>
        <w:rPr>
          <w:rFonts w:ascii="宋体" w:hAnsi="宋体" w:eastAsia="宋体" w:cs="宋体"/>
          <w:b/>
          <w:bCs/>
          <w:color w:val="auto"/>
          <w:spacing w:val="10"/>
          <w:sz w:val="20"/>
          <w:szCs w:val="20"/>
          <w:highlight w:val="none"/>
        </w:rPr>
        <w:t>通知》</w:t>
      </w:r>
      <w:r>
        <w:rPr>
          <w:rFonts w:ascii="宋体" w:hAnsi="宋体" w:eastAsia="宋体" w:cs="宋体"/>
          <w:color w:val="auto"/>
          <w:spacing w:val="-72"/>
          <w:sz w:val="20"/>
          <w:szCs w:val="20"/>
          <w:highlight w:val="none"/>
        </w:rPr>
        <w:t xml:space="preserve"> </w:t>
      </w:r>
      <w:r>
        <w:rPr>
          <w:rFonts w:ascii="宋体" w:hAnsi="宋体" w:eastAsia="宋体" w:cs="宋体"/>
          <w:b/>
          <w:bCs/>
          <w:color w:val="auto"/>
          <w:spacing w:val="10"/>
          <w:sz w:val="20"/>
          <w:szCs w:val="20"/>
          <w:highlight w:val="none"/>
        </w:rPr>
        <w:t>（财库〔2026〕</w:t>
      </w:r>
      <w:r>
        <w:rPr>
          <w:rFonts w:ascii="宋体" w:hAnsi="宋体" w:eastAsia="宋体" w:cs="宋体"/>
          <w:color w:val="auto"/>
          <w:sz w:val="20"/>
          <w:szCs w:val="20"/>
          <w:highlight w:val="none"/>
        </w:rPr>
        <w:t xml:space="preserve"> </w:t>
      </w:r>
      <w:r>
        <w:rPr>
          <w:rFonts w:ascii="宋体" w:hAnsi="宋体" w:eastAsia="宋体" w:cs="宋体"/>
          <w:b/>
          <w:bCs/>
          <w:color w:val="auto"/>
          <w:spacing w:val="10"/>
          <w:sz w:val="20"/>
          <w:szCs w:val="20"/>
          <w:highlight w:val="none"/>
        </w:rPr>
        <w:t>10</w:t>
      </w:r>
      <w:r>
        <w:rPr>
          <w:rFonts w:ascii="宋体" w:hAnsi="宋体" w:eastAsia="宋体" w:cs="宋体"/>
          <w:color w:val="auto"/>
          <w:spacing w:val="-28"/>
          <w:sz w:val="20"/>
          <w:szCs w:val="20"/>
          <w:highlight w:val="none"/>
        </w:rPr>
        <w:t xml:space="preserve"> </w:t>
      </w:r>
      <w:r>
        <w:rPr>
          <w:rFonts w:ascii="宋体" w:hAnsi="宋体" w:eastAsia="宋体" w:cs="宋体"/>
          <w:b/>
          <w:bCs/>
          <w:color w:val="auto"/>
          <w:spacing w:val="10"/>
          <w:sz w:val="20"/>
          <w:szCs w:val="20"/>
          <w:highlight w:val="none"/>
        </w:rPr>
        <w:t>号）</w:t>
      </w:r>
      <w:r>
        <w:rPr>
          <w:rFonts w:ascii="宋体" w:hAnsi="宋体" w:eastAsia="宋体" w:cs="宋体"/>
          <w:color w:val="auto"/>
          <w:spacing w:val="-47"/>
          <w:sz w:val="20"/>
          <w:szCs w:val="20"/>
          <w:highlight w:val="none"/>
        </w:rPr>
        <w:t xml:space="preserve"> </w:t>
      </w:r>
      <w:r>
        <w:rPr>
          <w:rFonts w:ascii="宋体" w:hAnsi="宋体" w:eastAsia="宋体" w:cs="宋体"/>
          <w:b/>
          <w:bCs/>
          <w:color w:val="auto"/>
          <w:spacing w:val="10"/>
          <w:sz w:val="20"/>
          <w:szCs w:val="20"/>
          <w:highlight w:val="none"/>
        </w:rPr>
        <w:t>的规定，供应商提供的产品不得为财库〔2026〕</w:t>
      </w:r>
      <w:r>
        <w:rPr>
          <w:rFonts w:ascii="宋体" w:hAnsi="宋体" w:eastAsia="宋体" w:cs="宋体"/>
          <w:color w:val="auto"/>
          <w:spacing w:val="-50"/>
          <w:sz w:val="20"/>
          <w:szCs w:val="20"/>
          <w:highlight w:val="none"/>
        </w:rPr>
        <w:t xml:space="preserve"> </w:t>
      </w:r>
      <w:r>
        <w:rPr>
          <w:rFonts w:ascii="宋体" w:hAnsi="宋体" w:eastAsia="宋体" w:cs="宋体"/>
          <w:b/>
          <w:bCs/>
          <w:color w:val="auto"/>
          <w:spacing w:val="10"/>
          <w:sz w:val="20"/>
          <w:szCs w:val="20"/>
          <w:highlight w:val="none"/>
        </w:rPr>
        <w:t>10</w:t>
      </w:r>
      <w:r>
        <w:rPr>
          <w:rFonts w:ascii="宋体" w:hAnsi="宋体" w:eastAsia="宋体" w:cs="宋体"/>
          <w:color w:val="auto"/>
          <w:spacing w:val="-28"/>
          <w:sz w:val="20"/>
          <w:szCs w:val="20"/>
          <w:highlight w:val="none"/>
        </w:rPr>
        <w:t xml:space="preserve"> </w:t>
      </w:r>
      <w:r>
        <w:rPr>
          <w:rFonts w:ascii="宋体" w:hAnsi="宋体" w:eastAsia="宋体" w:cs="宋体"/>
          <w:b/>
          <w:bCs/>
          <w:color w:val="auto"/>
          <w:spacing w:val="10"/>
          <w:sz w:val="20"/>
          <w:szCs w:val="20"/>
          <w:highlight w:val="none"/>
        </w:rPr>
        <w:t>号文</w:t>
      </w:r>
      <w:r>
        <w:rPr>
          <w:rFonts w:ascii="宋体" w:hAnsi="宋体" w:eastAsia="宋体" w:cs="宋体"/>
          <w:b/>
          <w:bCs/>
          <w:color w:val="auto"/>
          <w:spacing w:val="9"/>
          <w:sz w:val="20"/>
          <w:szCs w:val="20"/>
          <w:highlight w:val="none"/>
        </w:rPr>
        <w:t>件附件规定的</w:t>
      </w:r>
      <w:r>
        <w:rPr>
          <w:rFonts w:ascii="宋体" w:hAnsi="宋体" w:eastAsia="宋体" w:cs="宋体"/>
          <w:color w:val="auto"/>
          <w:spacing w:val="-28"/>
          <w:sz w:val="20"/>
          <w:szCs w:val="20"/>
          <w:highlight w:val="none"/>
        </w:rPr>
        <w:t xml:space="preserve"> </w:t>
      </w:r>
      <w:r>
        <w:rPr>
          <w:rFonts w:ascii="宋体" w:hAnsi="宋体" w:eastAsia="宋体" w:cs="宋体"/>
          <w:b/>
          <w:bCs/>
          <w:color w:val="auto"/>
          <w:spacing w:val="9"/>
          <w:sz w:val="20"/>
          <w:szCs w:val="20"/>
          <w:highlight w:val="none"/>
        </w:rPr>
        <w:t>46</w:t>
      </w:r>
      <w:r>
        <w:rPr>
          <w:rFonts w:ascii="宋体" w:hAnsi="宋体" w:eastAsia="宋体" w:cs="宋体"/>
          <w:color w:val="auto"/>
          <w:spacing w:val="-29"/>
          <w:sz w:val="20"/>
          <w:szCs w:val="20"/>
          <w:highlight w:val="none"/>
        </w:rPr>
        <w:t xml:space="preserve"> </w:t>
      </w:r>
      <w:r>
        <w:rPr>
          <w:rFonts w:ascii="宋体" w:hAnsi="宋体" w:eastAsia="宋体" w:cs="宋体"/>
          <w:b/>
          <w:bCs/>
          <w:color w:val="auto"/>
          <w:spacing w:val="9"/>
          <w:sz w:val="20"/>
          <w:szCs w:val="20"/>
          <w:highlight w:val="none"/>
        </w:rPr>
        <w:t>家美国企业</w:t>
      </w:r>
      <w:r>
        <w:rPr>
          <w:rFonts w:ascii="宋体" w:hAnsi="宋体" w:eastAsia="宋体" w:cs="宋体"/>
          <w:b/>
          <w:bCs/>
          <w:color w:val="auto"/>
          <w:spacing w:val="6"/>
          <w:sz w:val="20"/>
          <w:szCs w:val="20"/>
          <w:highlight w:val="none"/>
        </w:rPr>
        <w:t>（不包括在华美资企业）生产的产品。</w:t>
      </w:r>
    </w:p>
    <w:p w14:paraId="02C37E2B">
      <w:pPr>
        <w:spacing w:before="2" w:line="376" w:lineRule="auto"/>
        <w:ind w:left="10" w:right="181" w:firstLine="304"/>
        <w:jc w:val="both"/>
        <w:rPr>
          <w:rFonts w:ascii="宋体" w:hAnsi="宋体" w:eastAsia="宋体" w:cs="宋体"/>
          <w:b/>
          <w:bCs/>
          <w:color w:val="auto"/>
          <w:spacing w:val="10"/>
          <w:sz w:val="20"/>
          <w:szCs w:val="20"/>
          <w:highlight w:val="none"/>
        </w:rPr>
      </w:pPr>
      <w:r>
        <w:rPr>
          <w:rFonts w:ascii="宋体" w:hAnsi="宋体" w:eastAsia="宋体" w:cs="宋体"/>
          <w:b/>
          <w:bCs/>
          <w:color w:val="auto"/>
          <w:spacing w:val="10"/>
          <w:sz w:val="20"/>
          <w:szCs w:val="20"/>
          <w:highlight w:val="none"/>
        </w:rPr>
        <w:t>7.项目采购标的所属行业：</w:t>
      </w:r>
      <w:r>
        <w:rPr>
          <w:rFonts w:hint="eastAsia" w:ascii="宋体" w:hAnsi="宋体" w:eastAsia="宋体" w:cs="宋体"/>
          <w:b/>
          <w:bCs/>
          <w:color w:val="auto"/>
          <w:spacing w:val="10"/>
          <w:sz w:val="20"/>
          <w:szCs w:val="20"/>
          <w:highlight w:val="none"/>
        </w:rPr>
        <w:t>其他未列明行业</w:t>
      </w:r>
      <w:r>
        <w:rPr>
          <w:rFonts w:ascii="宋体" w:hAnsi="宋体" w:eastAsia="宋体" w:cs="宋体"/>
          <w:b/>
          <w:bCs/>
          <w:color w:val="auto"/>
          <w:spacing w:val="10"/>
          <w:sz w:val="20"/>
          <w:szCs w:val="20"/>
          <w:highlight w:val="none"/>
        </w:rPr>
        <w:t>。</w:t>
      </w:r>
    </w:p>
    <w:p w14:paraId="416C88AC">
      <w:pPr>
        <w:spacing w:line="358" w:lineRule="auto"/>
        <w:rPr>
          <w:rFonts w:ascii="宋体" w:hAnsi="宋体" w:eastAsia="宋体" w:cs="宋体"/>
          <w:strike/>
          <w:dstrike w:val="0"/>
          <w:color w:val="auto"/>
          <w:sz w:val="20"/>
          <w:szCs w:val="20"/>
          <w:highlight w:val="none"/>
        </w:rPr>
        <w:sectPr>
          <w:footerReference r:id="rId28" w:type="default"/>
          <w:pgSz w:w="11910" w:h="16840"/>
          <w:pgMar w:top="1316" w:right="1319" w:bottom="1091" w:left="1688" w:header="0" w:footer="929" w:gutter="0"/>
          <w:pgNumType w:fmt="decimal"/>
          <w:cols w:space="720" w:num="1"/>
        </w:sectPr>
      </w:pPr>
    </w:p>
    <w:tbl>
      <w:tblPr>
        <w:tblStyle w:val="11"/>
        <w:tblW w:w="93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0"/>
        <w:gridCol w:w="1359"/>
        <w:gridCol w:w="633"/>
        <w:gridCol w:w="860"/>
        <w:gridCol w:w="1149"/>
        <w:gridCol w:w="1253"/>
        <w:gridCol w:w="3551"/>
      </w:tblGrid>
      <w:tr w14:paraId="2DA66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9395" w:type="dxa"/>
            <w:gridSpan w:val="7"/>
            <w:vAlign w:val="center"/>
          </w:tcPr>
          <w:p w14:paraId="524A8698">
            <w:pPr>
              <w:pStyle w:val="12"/>
              <w:spacing w:before="293" w:line="228" w:lineRule="auto"/>
              <w:ind w:left="149"/>
              <w:jc w:val="both"/>
              <w:rPr>
                <w:b/>
                <w:bCs/>
                <w:color w:val="auto"/>
                <w:spacing w:val="6"/>
                <w:sz w:val="21"/>
                <w:szCs w:val="21"/>
                <w:highlight w:val="none"/>
              </w:rPr>
            </w:pPr>
            <w:r>
              <w:rPr>
                <w:rFonts w:hint="eastAsia" w:cs="宋体"/>
                <w:b/>
                <w:bCs/>
                <w:i w:val="0"/>
                <w:iCs w:val="0"/>
                <w:color w:val="auto"/>
                <w:spacing w:val="6"/>
                <w:kern w:val="0"/>
                <w:sz w:val="21"/>
                <w:szCs w:val="21"/>
                <w:highlight w:val="none"/>
                <w:u w:val="none"/>
                <w:lang w:val="en-US" w:eastAsia="zh-CN" w:bidi="ar"/>
              </w:rPr>
              <w:t>1、</w:t>
            </w:r>
            <w:r>
              <w:rPr>
                <w:rFonts w:hint="default" w:ascii="宋体" w:hAnsi="宋体" w:eastAsia="宋体" w:cs="宋体"/>
                <w:b/>
                <w:bCs/>
                <w:i w:val="0"/>
                <w:iCs w:val="0"/>
                <w:color w:val="auto"/>
                <w:spacing w:val="6"/>
                <w:kern w:val="0"/>
                <w:sz w:val="21"/>
                <w:szCs w:val="21"/>
                <w:highlight w:val="none"/>
                <w:u w:val="none"/>
                <w:lang w:val="en-US" w:eastAsia="zh-CN" w:bidi="ar"/>
              </w:rPr>
              <w:t>立体字</w:t>
            </w:r>
          </w:p>
          <w:p w14:paraId="2A076148">
            <w:pPr>
              <w:keepNext w:val="0"/>
              <w:keepLines w:val="0"/>
              <w:widowControl/>
              <w:suppressLineNumbers w:val="0"/>
              <w:jc w:val="left"/>
              <w:textAlignment w:val="center"/>
              <w:rPr>
                <w:color w:val="auto"/>
                <w:spacing w:val="6"/>
                <w:sz w:val="21"/>
                <w:szCs w:val="21"/>
                <w:highlight w:val="none"/>
              </w:rPr>
            </w:pPr>
          </w:p>
        </w:tc>
      </w:tr>
      <w:tr w14:paraId="6E11F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590" w:type="dxa"/>
            <w:vAlign w:val="center"/>
          </w:tcPr>
          <w:p w14:paraId="254BAE89">
            <w:pPr>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359" w:type="dxa"/>
            <w:vAlign w:val="top"/>
          </w:tcPr>
          <w:p w14:paraId="5C8E6402">
            <w:pPr>
              <w:pStyle w:val="12"/>
              <w:spacing w:before="293" w:line="228" w:lineRule="auto"/>
              <w:ind w:left="149" w:leftChars="0"/>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snapToGrid w:val="0"/>
                <w:color w:val="auto"/>
                <w:kern w:val="0"/>
                <w:sz w:val="21"/>
                <w:szCs w:val="21"/>
                <w:highlight w:val="none"/>
                <w:u w:val="none"/>
                <w:lang w:val="en-US" w:eastAsia="zh-CN" w:bidi="ar"/>
              </w:rPr>
              <w:t>标的名称</w:t>
            </w:r>
          </w:p>
        </w:tc>
        <w:tc>
          <w:tcPr>
            <w:tcW w:w="633" w:type="dxa"/>
            <w:vAlign w:val="center"/>
          </w:tcPr>
          <w:p w14:paraId="6F3096A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860" w:type="dxa"/>
            <w:vAlign w:val="center"/>
          </w:tcPr>
          <w:p w14:paraId="1A8E21F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数量</w:t>
            </w:r>
          </w:p>
        </w:tc>
        <w:tc>
          <w:tcPr>
            <w:tcW w:w="1149" w:type="dxa"/>
            <w:vAlign w:val="center"/>
          </w:tcPr>
          <w:p w14:paraId="46D24D47">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单价</w:t>
            </w:r>
          </w:p>
          <w:p w14:paraId="406B904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（元）</w:t>
            </w:r>
          </w:p>
        </w:tc>
        <w:tc>
          <w:tcPr>
            <w:tcW w:w="1253" w:type="dxa"/>
            <w:vAlign w:val="center"/>
          </w:tcPr>
          <w:p w14:paraId="1ACEFA4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合价</w:t>
            </w:r>
          </w:p>
          <w:p w14:paraId="112B837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（元）</w:t>
            </w:r>
          </w:p>
        </w:tc>
        <w:tc>
          <w:tcPr>
            <w:tcW w:w="3551" w:type="dxa"/>
            <w:vAlign w:val="top"/>
          </w:tcPr>
          <w:p w14:paraId="68431650">
            <w:pPr>
              <w:pStyle w:val="12"/>
              <w:spacing w:before="292" w:line="228" w:lineRule="auto"/>
              <w:ind w:left="0" w:leftChars="0"/>
              <w:jc w:val="center"/>
              <w:rPr>
                <w:rFonts w:hint="eastAsia" w:ascii="宋体" w:hAnsi="宋体" w:eastAsia="宋体" w:cs="宋体"/>
                <w:i w:val="0"/>
                <w:iCs w:val="0"/>
                <w:color w:val="auto"/>
                <w:kern w:val="0"/>
                <w:sz w:val="21"/>
                <w:szCs w:val="21"/>
                <w:highlight w:val="none"/>
                <w:u w:val="none"/>
                <w:lang w:val="en-US" w:eastAsia="zh-CN" w:bidi="ar"/>
              </w:rPr>
            </w:pPr>
            <w:r>
              <w:rPr>
                <w:b/>
                <w:bCs/>
                <w:color w:val="auto"/>
                <w:spacing w:val="5"/>
                <w:sz w:val="21"/>
                <w:szCs w:val="21"/>
                <w:highlight w:val="none"/>
              </w:rPr>
              <w:t>技术要求</w:t>
            </w:r>
            <w:r>
              <w:rPr>
                <w:rFonts w:hint="eastAsia"/>
                <w:b/>
                <w:bCs/>
                <w:color w:val="auto"/>
                <w:spacing w:val="5"/>
                <w:sz w:val="21"/>
                <w:szCs w:val="21"/>
                <w:highlight w:val="none"/>
                <w:lang w:val="en-US" w:eastAsia="zh-CN"/>
              </w:rPr>
              <w:t>(</w:t>
            </w:r>
            <w:r>
              <w:rPr>
                <w:rFonts w:hint="eastAsia" w:ascii="宋体" w:hAnsi="宋体" w:eastAsia="宋体" w:cs="宋体"/>
                <w:b/>
                <w:bCs/>
                <w:i w:val="0"/>
                <w:iCs w:val="0"/>
                <w:color w:val="auto"/>
                <w:kern w:val="0"/>
                <w:sz w:val="21"/>
                <w:szCs w:val="21"/>
                <w:highlight w:val="none"/>
                <w:u w:val="none"/>
                <w:lang w:val="en-US" w:eastAsia="zh-CN" w:bidi="ar"/>
              </w:rPr>
              <w:t>材质规格</w:t>
            </w:r>
            <w:r>
              <w:rPr>
                <w:rFonts w:hint="eastAsia" w:ascii="宋体" w:hAnsi="宋体" w:cs="宋体"/>
                <w:b/>
                <w:bCs/>
                <w:i w:val="0"/>
                <w:iCs w:val="0"/>
                <w:color w:val="auto"/>
                <w:kern w:val="0"/>
                <w:sz w:val="21"/>
                <w:szCs w:val="21"/>
                <w:highlight w:val="none"/>
                <w:u w:val="none"/>
                <w:lang w:val="en-US" w:eastAsia="zh-CN" w:bidi="ar"/>
              </w:rPr>
              <w:t>及详细描述</w:t>
            </w:r>
            <w:r>
              <w:rPr>
                <w:rFonts w:hint="eastAsia"/>
                <w:b/>
                <w:bCs/>
                <w:color w:val="auto"/>
                <w:spacing w:val="5"/>
                <w:sz w:val="21"/>
                <w:szCs w:val="21"/>
                <w:highlight w:val="none"/>
                <w:lang w:val="en-US" w:eastAsia="zh-CN"/>
              </w:rPr>
              <w:t>)</w:t>
            </w:r>
          </w:p>
        </w:tc>
      </w:tr>
      <w:tr w14:paraId="709E9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590" w:type="dxa"/>
            <w:vAlign w:val="center"/>
          </w:tcPr>
          <w:p w14:paraId="2C246E37">
            <w:pP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1359" w:type="dxa"/>
            <w:vAlign w:val="center"/>
          </w:tcPr>
          <w:p w14:paraId="40E4CF3A">
            <w:pP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20mm厚不锈钢烤漆字</w:t>
            </w:r>
          </w:p>
        </w:tc>
        <w:tc>
          <w:tcPr>
            <w:tcW w:w="633" w:type="dxa"/>
            <w:vAlign w:val="center"/>
          </w:tcPr>
          <w:p w14:paraId="3B9C483A">
            <w:pP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860" w:type="dxa"/>
            <w:vAlign w:val="center"/>
          </w:tcPr>
          <w:p w14:paraId="3DE6BFD4">
            <w:pP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149" w:type="dxa"/>
            <w:vAlign w:val="center"/>
          </w:tcPr>
          <w:p w14:paraId="2C6F8A2D">
            <w:pP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654.33</w:t>
            </w:r>
          </w:p>
        </w:tc>
        <w:tc>
          <w:tcPr>
            <w:tcW w:w="1253" w:type="dxa"/>
            <w:vAlign w:val="center"/>
          </w:tcPr>
          <w:p w14:paraId="44B8F130">
            <w:pP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1308.66</w:t>
            </w:r>
          </w:p>
        </w:tc>
        <w:tc>
          <w:tcPr>
            <w:tcW w:w="3551" w:type="dxa"/>
            <w:vAlign w:val="center"/>
          </w:tcPr>
          <w:p w14:paraId="682A256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(1)材质：不锈钢烤漆字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(2)字体规格:400*400*20mm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(3)字体、底纹由</w:t>
            </w:r>
            <w:r>
              <w:rPr>
                <w:rFonts w:hint="eastAsia" w:ascii="宋体" w:hAnsi="宋体" w:cs="宋体"/>
                <w:i w:val="0"/>
                <w:iCs w:val="0"/>
                <w:color w:val="auto"/>
                <w:kern w:val="0"/>
                <w:sz w:val="21"/>
                <w:szCs w:val="21"/>
                <w:highlight w:val="none"/>
                <w:u w:val="none"/>
                <w:lang w:val="en-US" w:eastAsia="zh-CN" w:bidi="ar"/>
              </w:rPr>
              <w:t>中标公司</w:t>
            </w:r>
            <w:r>
              <w:rPr>
                <w:rFonts w:hint="eastAsia" w:ascii="宋体" w:hAnsi="宋体" w:eastAsia="宋体" w:cs="宋体"/>
                <w:i w:val="0"/>
                <w:iCs w:val="0"/>
                <w:color w:val="auto"/>
                <w:kern w:val="0"/>
                <w:sz w:val="21"/>
                <w:szCs w:val="21"/>
                <w:highlight w:val="none"/>
                <w:u w:val="none"/>
                <w:lang w:val="en-US" w:eastAsia="zh-CN" w:bidi="ar"/>
              </w:rPr>
              <w:t>二次设计</w:t>
            </w:r>
          </w:p>
        </w:tc>
      </w:tr>
      <w:tr w14:paraId="59548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2" w:hRule="atLeast"/>
        </w:trPr>
        <w:tc>
          <w:tcPr>
            <w:tcW w:w="590" w:type="dxa"/>
            <w:vAlign w:val="center"/>
          </w:tcPr>
          <w:p w14:paraId="3F6137B8">
            <w:pPr>
              <w:jc w:val="center"/>
              <w:textAlignment w:val="center"/>
              <w:rPr>
                <w:color w:val="auto"/>
                <w:position w:val="1"/>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359" w:type="dxa"/>
            <w:vAlign w:val="center"/>
          </w:tcPr>
          <w:p w14:paraId="05547B07">
            <w:pPr>
              <w:jc w:val="center"/>
              <w:textAlignment w:val="center"/>
              <w:rPr>
                <w:color w:val="auto"/>
                <w:spacing w:val="3"/>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20mm厚不锈钢烤漆字</w:t>
            </w:r>
          </w:p>
        </w:tc>
        <w:tc>
          <w:tcPr>
            <w:tcW w:w="633" w:type="dxa"/>
            <w:vAlign w:val="center"/>
          </w:tcPr>
          <w:p w14:paraId="343A3DE0">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860" w:type="dxa"/>
            <w:vAlign w:val="center"/>
          </w:tcPr>
          <w:p w14:paraId="1F1CF37A">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149" w:type="dxa"/>
            <w:vAlign w:val="center"/>
          </w:tcPr>
          <w:p w14:paraId="7E44638B">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434.15</w:t>
            </w:r>
          </w:p>
        </w:tc>
        <w:tc>
          <w:tcPr>
            <w:tcW w:w="1253" w:type="dxa"/>
            <w:vAlign w:val="center"/>
          </w:tcPr>
          <w:p w14:paraId="19C83744">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868.30</w:t>
            </w:r>
          </w:p>
        </w:tc>
        <w:tc>
          <w:tcPr>
            <w:tcW w:w="3551" w:type="dxa"/>
            <w:vAlign w:val="center"/>
          </w:tcPr>
          <w:p w14:paraId="35768A6D">
            <w:pPr>
              <w:keepNext w:val="0"/>
              <w:keepLines w:val="0"/>
              <w:widowControl/>
              <w:suppressLineNumbers w:val="0"/>
              <w:jc w:val="left"/>
              <w:textAlignment w:val="center"/>
              <w:rPr>
                <w:color w:val="auto"/>
                <w:spacing w:val="6"/>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(1)材质：不锈钢烤漆字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(2)字体规格:210*210*20mm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(3)字体、底纹由</w:t>
            </w:r>
            <w:r>
              <w:rPr>
                <w:rFonts w:hint="eastAsia" w:ascii="宋体" w:hAnsi="宋体" w:cs="宋体"/>
                <w:i w:val="0"/>
                <w:iCs w:val="0"/>
                <w:color w:val="auto"/>
                <w:kern w:val="0"/>
                <w:sz w:val="21"/>
                <w:szCs w:val="21"/>
                <w:highlight w:val="none"/>
                <w:u w:val="none"/>
                <w:lang w:val="en-US" w:eastAsia="zh-CN" w:bidi="ar"/>
              </w:rPr>
              <w:t>中标公司</w:t>
            </w:r>
            <w:r>
              <w:rPr>
                <w:rFonts w:hint="eastAsia" w:ascii="宋体" w:hAnsi="宋体" w:eastAsia="宋体" w:cs="宋体"/>
                <w:i w:val="0"/>
                <w:iCs w:val="0"/>
                <w:color w:val="auto"/>
                <w:kern w:val="0"/>
                <w:sz w:val="21"/>
                <w:szCs w:val="21"/>
                <w:highlight w:val="none"/>
                <w:u w:val="none"/>
                <w:lang w:val="en-US" w:eastAsia="zh-CN" w:bidi="ar"/>
              </w:rPr>
              <w:t>二次设计</w:t>
            </w:r>
          </w:p>
        </w:tc>
      </w:tr>
      <w:tr w14:paraId="23CBF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590" w:type="dxa"/>
            <w:vAlign w:val="center"/>
          </w:tcPr>
          <w:p w14:paraId="19F48BCB">
            <w:pPr>
              <w:jc w:val="center"/>
              <w:textAlignment w:val="center"/>
              <w:rPr>
                <w:color w:val="auto"/>
                <w:position w:val="1"/>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359" w:type="dxa"/>
            <w:vAlign w:val="center"/>
          </w:tcPr>
          <w:p w14:paraId="0974E97C">
            <w:pPr>
              <w:jc w:val="center"/>
              <w:textAlignment w:val="center"/>
              <w:rPr>
                <w:color w:val="auto"/>
                <w:spacing w:val="3"/>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20mm厚不锈钢烤漆字</w:t>
            </w:r>
          </w:p>
        </w:tc>
        <w:tc>
          <w:tcPr>
            <w:tcW w:w="633" w:type="dxa"/>
            <w:vAlign w:val="center"/>
          </w:tcPr>
          <w:p w14:paraId="4FB8FC0B">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860" w:type="dxa"/>
            <w:vAlign w:val="center"/>
          </w:tcPr>
          <w:p w14:paraId="6344F9BF">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149" w:type="dxa"/>
            <w:vAlign w:val="center"/>
          </w:tcPr>
          <w:p w14:paraId="32EDCE04">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379.09</w:t>
            </w:r>
          </w:p>
        </w:tc>
        <w:tc>
          <w:tcPr>
            <w:tcW w:w="1253" w:type="dxa"/>
            <w:vAlign w:val="center"/>
          </w:tcPr>
          <w:p w14:paraId="335190CA">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1137.27</w:t>
            </w:r>
          </w:p>
        </w:tc>
        <w:tc>
          <w:tcPr>
            <w:tcW w:w="3551" w:type="dxa"/>
            <w:vAlign w:val="center"/>
          </w:tcPr>
          <w:p w14:paraId="13B2646E">
            <w:pPr>
              <w:keepNext w:val="0"/>
              <w:keepLines w:val="0"/>
              <w:widowControl/>
              <w:suppressLineNumbers w:val="0"/>
              <w:jc w:val="left"/>
              <w:textAlignment w:val="center"/>
              <w:rPr>
                <w:color w:val="auto"/>
                <w:spacing w:val="6"/>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(1)材质：不锈钢烤漆字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(2)字体规格:140*140*20mm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(3)字体、底纹由</w:t>
            </w:r>
            <w:r>
              <w:rPr>
                <w:rFonts w:hint="eastAsia" w:ascii="宋体" w:hAnsi="宋体" w:cs="宋体"/>
                <w:i w:val="0"/>
                <w:iCs w:val="0"/>
                <w:color w:val="auto"/>
                <w:kern w:val="0"/>
                <w:sz w:val="21"/>
                <w:szCs w:val="21"/>
                <w:highlight w:val="none"/>
                <w:u w:val="none"/>
                <w:lang w:val="en-US" w:eastAsia="zh-CN" w:bidi="ar"/>
              </w:rPr>
              <w:t>中标公司</w:t>
            </w:r>
            <w:r>
              <w:rPr>
                <w:rFonts w:hint="eastAsia" w:ascii="宋体" w:hAnsi="宋体" w:eastAsia="宋体" w:cs="宋体"/>
                <w:i w:val="0"/>
                <w:iCs w:val="0"/>
                <w:color w:val="auto"/>
                <w:kern w:val="0"/>
                <w:sz w:val="21"/>
                <w:szCs w:val="21"/>
                <w:highlight w:val="none"/>
                <w:u w:val="none"/>
                <w:lang w:val="en-US" w:eastAsia="zh-CN" w:bidi="ar"/>
              </w:rPr>
              <w:t>二次设计</w:t>
            </w:r>
          </w:p>
        </w:tc>
      </w:tr>
      <w:tr w14:paraId="3CDB7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1" w:hRule="atLeast"/>
        </w:trPr>
        <w:tc>
          <w:tcPr>
            <w:tcW w:w="590" w:type="dxa"/>
            <w:vAlign w:val="center"/>
          </w:tcPr>
          <w:p w14:paraId="36EBEA35">
            <w:pPr>
              <w:jc w:val="center"/>
              <w:textAlignment w:val="center"/>
              <w:rPr>
                <w:color w:val="auto"/>
                <w:position w:val="1"/>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359" w:type="dxa"/>
            <w:vAlign w:val="center"/>
          </w:tcPr>
          <w:p w14:paraId="18BFDB11">
            <w:pPr>
              <w:jc w:val="center"/>
              <w:textAlignment w:val="center"/>
              <w:rPr>
                <w:color w:val="auto"/>
                <w:spacing w:val="3"/>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10mm厚亚克力烤漆字</w:t>
            </w:r>
          </w:p>
        </w:tc>
        <w:tc>
          <w:tcPr>
            <w:tcW w:w="633" w:type="dxa"/>
            <w:vAlign w:val="center"/>
          </w:tcPr>
          <w:p w14:paraId="77EA403F">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860" w:type="dxa"/>
            <w:vAlign w:val="center"/>
          </w:tcPr>
          <w:p w14:paraId="438A8BF7">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149" w:type="dxa"/>
            <w:vAlign w:val="center"/>
          </w:tcPr>
          <w:p w14:paraId="2152090E">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141.34</w:t>
            </w:r>
          </w:p>
        </w:tc>
        <w:tc>
          <w:tcPr>
            <w:tcW w:w="1253" w:type="dxa"/>
            <w:vAlign w:val="center"/>
          </w:tcPr>
          <w:p w14:paraId="2BC2F628">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1413.40</w:t>
            </w:r>
          </w:p>
        </w:tc>
        <w:tc>
          <w:tcPr>
            <w:tcW w:w="3551" w:type="dxa"/>
            <w:vAlign w:val="center"/>
          </w:tcPr>
          <w:p w14:paraId="3CAEB88D">
            <w:pPr>
              <w:keepNext w:val="0"/>
              <w:keepLines w:val="0"/>
              <w:widowControl/>
              <w:suppressLineNumbers w:val="0"/>
              <w:jc w:val="left"/>
              <w:textAlignment w:val="center"/>
              <w:rPr>
                <w:color w:val="auto"/>
                <w:spacing w:val="6"/>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(1)材质：亚克力烤漆字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(2)字体规格:140*140*10mm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(3)字体、底纹由</w:t>
            </w:r>
            <w:r>
              <w:rPr>
                <w:rFonts w:hint="eastAsia" w:ascii="宋体" w:hAnsi="宋体" w:cs="宋体"/>
                <w:i w:val="0"/>
                <w:iCs w:val="0"/>
                <w:color w:val="auto"/>
                <w:kern w:val="0"/>
                <w:sz w:val="21"/>
                <w:szCs w:val="21"/>
                <w:highlight w:val="none"/>
                <w:u w:val="none"/>
                <w:lang w:val="en-US" w:eastAsia="zh-CN" w:bidi="ar"/>
              </w:rPr>
              <w:t>中标公司</w:t>
            </w:r>
            <w:r>
              <w:rPr>
                <w:rFonts w:hint="eastAsia" w:ascii="宋体" w:hAnsi="宋体" w:eastAsia="宋体" w:cs="宋体"/>
                <w:i w:val="0"/>
                <w:iCs w:val="0"/>
                <w:color w:val="auto"/>
                <w:kern w:val="0"/>
                <w:sz w:val="21"/>
                <w:szCs w:val="21"/>
                <w:highlight w:val="none"/>
                <w:u w:val="none"/>
                <w:lang w:val="en-US" w:eastAsia="zh-CN" w:bidi="ar"/>
              </w:rPr>
              <w:t>二次设计</w:t>
            </w:r>
          </w:p>
        </w:tc>
      </w:tr>
      <w:tr w14:paraId="60F00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590" w:type="dxa"/>
            <w:vAlign w:val="center"/>
          </w:tcPr>
          <w:p w14:paraId="33CA3A76">
            <w:pPr>
              <w:jc w:val="center"/>
              <w:textAlignment w:val="center"/>
              <w:rPr>
                <w:color w:val="auto"/>
                <w:position w:val="1"/>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359" w:type="dxa"/>
            <w:vAlign w:val="center"/>
          </w:tcPr>
          <w:p w14:paraId="7EB4E1B8">
            <w:pPr>
              <w:jc w:val="center"/>
              <w:textAlignment w:val="center"/>
              <w:rPr>
                <w:color w:val="auto"/>
                <w:spacing w:val="3"/>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15mm厚亚克力烤漆字</w:t>
            </w:r>
          </w:p>
        </w:tc>
        <w:tc>
          <w:tcPr>
            <w:tcW w:w="633" w:type="dxa"/>
            <w:vAlign w:val="center"/>
          </w:tcPr>
          <w:p w14:paraId="4DDF9463">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860" w:type="dxa"/>
            <w:vAlign w:val="center"/>
          </w:tcPr>
          <w:p w14:paraId="55E8F340">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149" w:type="dxa"/>
            <w:vAlign w:val="center"/>
          </w:tcPr>
          <w:p w14:paraId="3B593BED">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135.84</w:t>
            </w:r>
          </w:p>
        </w:tc>
        <w:tc>
          <w:tcPr>
            <w:tcW w:w="1253" w:type="dxa"/>
            <w:vAlign w:val="center"/>
          </w:tcPr>
          <w:p w14:paraId="489C69D3">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13584.00</w:t>
            </w:r>
          </w:p>
        </w:tc>
        <w:tc>
          <w:tcPr>
            <w:tcW w:w="3551" w:type="dxa"/>
            <w:vAlign w:val="center"/>
          </w:tcPr>
          <w:p w14:paraId="3403164B">
            <w:pPr>
              <w:keepNext w:val="0"/>
              <w:keepLines w:val="0"/>
              <w:widowControl/>
              <w:suppressLineNumbers w:val="0"/>
              <w:jc w:val="left"/>
              <w:textAlignment w:val="center"/>
              <w:rPr>
                <w:color w:val="auto"/>
                <w:spacing w:val="6"/>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(1)材质：亚克力烤漆字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(2)字体规格:90*90*15mm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(3)字体、底纹由</w:t>
            </w:r>
            <w:r>
              <w:rPr>
                <w:rFonts w:hint="eastAsia" w:ascii="宋体" w:hAnsi="宋体" w:cs="宋体"/>
                <w:i w:val="0"/>
                <w:iCs w:val="0"/>
                <w:color w:val="auto"/>
                <w:kern w:val="0"/>
                <w:sz w:val="21"/>
                <w:szCs w:val="21"/>
                <w:highlight w:val="none"/>
                <w:u w:val="none"/>
                <w:lang w:val="en-US" w:eastAsia="zh-CN" w:bidi="ar"/>
              </w:rPr>
              <w:t>中标公司</w:t>
            </w:r>
            <w:r>
              <w:rPr>
                <w:rFonts w:hint="eastAsia" w:ascii="宋体" w:hAnsi="宋体" w:eastAsia="宋体" w:cs="宋体"/>
                <w:i w:val="0"/>
                <w:iCs w:val="0"/>
                <w:color w:val="auto"/>
                <w:kern w:val="0"/>
                <w:sz w:val="21"/>
                <w:szCs w:val="21"/>
                <w:highlight w:val="none"/>
                <w:u w:val="none"/>
                <w:lang w:val="en-US" w:eastAsia="zh-CN" w:bidi="ar"/>
              </w:rPr>
              <w:t>二次设计</w:t>
            </w:r>
          </w:p>
        </w:tc>
      </w:tr>
      <w:tr w14:paraId="18D43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trPr>
        <w:tc>
          <w:tcPr>
            <w:tcW w:w="590" w:type="dxa"/>
            <w:vAlign w:val="center"/>
          </w:tcPr>
          <w:p w14:paraId="3613E613">
            <w:pPr>
              <w:jc w:val="center"/>
              <w:textAlignment w:val="center"/>
              <w:rPr>
                <w:color w:val="auto"/>
                <w:position w:val="1"/>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359" w:type="dxa"/>
            <w:vAlign w:val="center"/>
          </w:tcPr>
          <w:p w14:paraId="0C5DB35E">
            <w:pPr>
              <w:jc w:val="center"/>
              <w:textAlignment w:val="center"/>
              <w:rPr>
                <w:color w:val="auto"/>
                <w:spacing w:val="3"/>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10mm厚亚克力烤漆字</w:t>
            </w:r>
          </w:p>
        </w:tc>
        <w:tc>
          <w:tcPr>
            <w:tcW w:w="633" w:type="dxa"/>
            <w:vAlign w:val="center"/>
          </w:tcPr>
          <w:p w14:paraId="5B913A06">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860" w:type="dxa"/>
            <w:vAlign w:val="center"/>
          </w:tcPr>
          <w:p w14:paraId="1281A1F4">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149" w:type="dxa"/>
            <w:vAlign w:val="center"/>
          </w:tcPr>
          <w:p w14:paraId="5E1979CD">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129.23</w:t>
            </w:r>
          </w:p>
        </w:tc>
        <w:tc>
          <w:tcPr>
            <w:tcW w:w="1253" w:type="dxa"/>
            <w:vAlign w:val="center"/>
          </w:tcPr>
          <w:p w14:paraId="7F981947">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5169.20</w:t>
            </w:r>
          </w:p>
        </w:tc>
        <w:tc>
          <w:tcPr>
            <w:tcW w:w="3551" w:type="dxa"/>
            <w:vAlign w:val="center"/>
          </w:tcPr>
          <w:p w14:paraId="0C07CA89">
            <w:pPr>
              <w:keepNext w:val="0"/>
              <w:keepLines w:val="0"/>
              <w:widowControl/>
              <w:suppressLineNumbers w:val="0"/>
              <w:jc w:val="left"/>
              <w:textAlignment w:val="center"/>
              <w:rPr>
                <w:color w:val="auto"/>
                <w:spacing w:val="6"/>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(1)材质：亚克力烤漆字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(2)字体规格:64*64*10mm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(3)字体、底纹由</w:t>
            </w:r>
            <w:r>
              <w:rPr>
                <w:rFonts w:hint="eastAsia" w:ascii="宋体" w:hAnsi="宋体" w:cs="宋体"/>
                <w:i w:val="0"/>
                <w:iCs w:val="0"/>
                <w:color w:val="auto"/>
                <w:kern w:val="0"/>
                <w:sz w:val="21"/>
                <w:szCs w:val="21"/>
                <w:highlight w:val="none"/>
                <w:u w:val="none"/>
                <w:lang w:val="en-US" w:eastAsia="zh-CN" w:bidi="ar"/>
              </w:rPr>
              <w:t>中标公司</w:t>
            </w:r>
            <w:r>
              <w:rPr>
                <w:rFonts w:hint="eastAsia" w:ascii="宋体" w:hAnsi="宋体" w:eastAsia="宋体" w:cs="宋体"/>
                <w:i w:val="0"/>
                <w:iCs w:val="0"/>
                <w:color w:val="auto"/>
                <w:kern w:val="0"/>
                <w:sz w:val="21"/>
                <w:szCs w:val="21"/>
                <w:highlight w:val="none"/>
                <w:u w:val="none"/>
                <w:lang w:val="en-US" w:eastAsia="zh-CN" w:bidi="ar"/>
              </w:rPr>
              <w:t>二次设计</w:t>
            </w:r>
          </w:p>
        </w:tc>
      </w:tr>
      <w:tr w14:paraId="43487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5" w:hRule="atLeast"/>
        </w:trPr>
        <w:tc>
          <w:tcPr>
            <w:tcW w:w="590" w:type="dxa"/>
            <w:vAlign w:val="center"/>
          </w:tcPr>
          <w:p w14:paraId="543016CA">
            <w:pPr>
              <w:jc w:val="center"/>
              <w:textAlignment w:val="center"/>
              <w:rPr>
                <w:color w:val="auto"/>
                <w:position w:val="1"/>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359" w:type="dxa"/>
            <w:vAlign w:val="center"/>
          </w:tcPr>
          <w:p w14:paraId="1B959F5D">
            <w:pPr>
              <w:jc w:val="center"/>
              <w:textAlignment w:val="center"/>
              <w:rPr>
                <w:color w:val="auto"/>
                <w:spacing w:val="3"/>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10mm厚亚克力烤漆字</w:t>
            </w:r>
          </w:p>
        </w:tc>
        <w:tc>
          <w:tcPr>
            <w:tcW w:w="633" w:type="dxa"/>
            <w:vAlign w:val="center"/>
          </w:tcPr>
          <w:p w14:paraId="7DEEEC31">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860" w:type="dxa"/>
            <w:vAlign w:val="center"/>
          </w:tcPr>
          <w:p w14:paraId="4E4A5F48">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700</w:t>
            </w:r>
          </w:p>
        </w:tc>
        <w:tc>
          <w:tcPr>
            <w:tcW w:w="1149" w:type="dxa"/>
            <w:vAlign w:val="center"/>
          </w:tcPr>
          <w:p w14:paraId="6611204F">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111.07</w:t>
            </w:r>
          </w:p>
        </w:tc>
        <w:tc>
          <w:tcPr>
            <w:tcW w:w="1253" w:type="dxa"/>
            <w:vAlign w:val="center"/>
          </w:tcPr>
          <w:p w14:paraId="31C3EFD0">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77749.00</w:t>
            </w:r>
          </w:p>
        </w:tc>
        <w:tc>
          <w:tcPr>
            <w:tcW w:w="3551" w:type="dxa"/>
            <w:vAlign w:val="center"/>
          </w:tcPr>
          <w:p w14:paraId="5050D1AF">
            <w:pPr>
              <w:keepNext w:val="0"/>
              <w:keepLines w:val="0"/>
              <w:widowControl/>
              <w:suppressLineNumbers w:val="0"/>
              <w:jc w:val="left"/>
              <w:textAlignment w:val="center"/>
              <w:rPr>
                <w:color w:val="auto"/>
                <w:spacing w:val="6"/>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(1)材质：亚克力烤漆字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(2)字体规格:45*45*10mm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(3)字体、底纹由</w:t>
            </w:r>
            <w:r>
              <w:rPr>
                <w:rFonts w:hint="eastAsia" w:ascii="宋体" w:hAnsi="宋体" w:cs="宋体"/>
                <w:i w:val="0"/>
                <w:iCs w:val="0"/>
                <w:color w:val="auto"/>
                <w:kern w:val="0"/>
                <w:sz w:val="21"/>
                <w:szCs w:val="21"/>
                <w:highlight w:val="none"/>
                <w:u w:val="none"/>
                <w:lang w:val="en-US" w:eastAsia="zh-CN" w:bidi="ar"/>
              </w:rPr>
              <w:t>中标公司</w:t>
            </w:r>
            <w:r>
              <w:rPr>
                <w:rFonts w:hint="eastAsia" w:ascii="宋体" w:hAnsi="宋体" w:eastAsia="宋体" w:cs="宋体"/>
                <w:i w:val="0"/>
                <w:iCs w:val="0"/>
                <w:color w:val="auto"/>
                <w:kern w:val="0"/>
                <w:sz w:val="21"/>
                <w:szCs w:val="21"/>
                <w:highlight w:val="none"/>
                <w:u w:val="none"/>
                <w:lang w:val="en-US" w:eastAsia="zh-CN" w:bidi="ar"/>
              </w:rPr>
              <w:t>二次设计</w:t>
            </w:r>
          </w:p>
        </w:tc>
      </w:tr>
      <w:tr w14:paraId="41F40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590" w:type="dxa"/>
            <w:vAlign w:val="center"/>
          </w:tcPr>
          <w:p w14:paraId="508EE438">
            <w:pPr>
              <w:jc w:val="center"/>
              <w:textAlignment w:val="center"/>
              <w:rPr>
                <w:color w:val="auto"/>
                <w:position w:val="1"/>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359" w:type="dxa"/>
            <w:vAlign w:val="center"/>
          </w:tcPr>
          <w:p w14:paraId="06F0F4BF">
            <w:pPr>
              <w:jc w:val="center"/>
              <w:textAlignment w:val="center"/>
              <w:rPr>
                <w:color w:val="auto"/>
                <w:spacing w:val="3"/>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10mm厚亚克力烤漆字</w:t>
            </w:r>
          </w:p>
        </w:tc>
        <w:tc>
          <w:tcPr>
            <w:tcW w:w="633" w:type="dxa"/>
            <w:vAlign w:val="center"/>
          </w:tcPr>
          <w:p w14:paraId="04A39802">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860" w:type="dxa"/>
            <w:vAlign w:val="center"/>
          </w:tcPr>
          <w:p w14:paraId="0D06FD25">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433</w:t>
            </w:r>
          </w:p>
        </w:tc>
        <w:tc>
          <w:tcPr>
            <w:tcW w:w="1149" w:type="dxa"/>
            <w:vAlign w:val="center"/>
          </w:tcPr>
          <w:p w14:paraId="500A7384">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110.30</w:t>
            </w:r>
          </w:p>
        </w:tc>
        <w:tc>
          <w:tcPr>
            <w:tcW w:w="1253" w:type="dxa"/>
            <w:vAlign w:val="center"/>
          </w:tcPr>
          <w:p w14:paraId="7AA25F77">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47759.90</w:t>
            </w:r>
          </w:p>
        </w:tc>
        <w:tc>
          <w:tcPr>
            <w:tcW w:w="3551" w:type="dxa"/>
            <w:vAlign w:val="center"/>
          </w:tcPr>
          <w:p w14:paraId="7C01E0AD">
            <w:pPr>
              <w:keepNext w:val="0"/>
              <w:keepLines w:val="0"/>
              <w:widowControl/>
              <w:suppressLineNumbers w:val="0"/>
              <w:jc w:val="left"/>
              <w:textAlignment w:val="center"/>
              <w:rPr>
                <w:color w:val="auto"/>
                <w:spacing w:val="6"/>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(1)材质：亚克力烤漆字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(2)字体规格:40*40*10mm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(3)字体、底纹由</w:t>
            </w:r>
            <w:r>
              <w:rPr>
                <w:rFonts w:hint="eastAsia" w:ascii="宋体" w:hAnsi="宋体" w:cs="宋体"/>
                <w:i w:val="0"/>
                <w:iCs w:val="0"/>
                <w:color w:val="auto"/>
                <w:kern w:val="0"/>
                <w:sz w:val="21"/>
                <w:szCs w:val="21"/>
                <w:highlight w:val="none"/>
                <w:u w:val="none"/>
                <w:lang w:val="en-US" w:eastAsia="zh-CN" w:bidi="ar"/>
              </w:rPr>
              <w:t>中标公司</w:t>
            </w:r>
            <w:r>
              <w:rPr>
                <w:rFonts w:hint="eastAsia" w:ascii="宋体" w:hAnsi="宋体" w:eastAsia="宋体" w:cs="宋体"/>
                <w:i w:val="0"/>
                <w:iCs w:val="0"/>
                <w:color w:val="auto"/>
                <w:kern w:val="0"/>
                <w:sz w:val="21"/>
                <w:szCs w:val="21"/>
                <w:highlight w:val="none"/>
                <w:u w:val="none"/>
                <w:lang w:val="en-US" w:eastAsia="zh-CN" w:bidi="ar"/>
              </w:rPr>
              <w:t>二次设计</w:t>
            </w:r>
          </w:p>
        </w:tc>
      </w:tr>
      <w:tr w14:paraId="4073C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590" w:type="dxa"/>
            <w:vAlign w:val="center"/>
          </w:tcPr>
          <w:p w14:paraId="4384256B">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359" w:type="dxa"/>
            <w:vAlign w:val="center"/>
          </w:tcPr>
          <w:p w14:paraId="78C52EF1">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20mm厚背发光黑钛拉丝精工字</w:t>
            </w:r>
          </w:p>
        </w:tc>
        <w:tc>
          <w:tcPr>
            <w:tcW w:w="633" w:type="dxa"/>
            <w:vAlign w:val="center"/>
          </w:tcPr>
          <w:p w14:paraId="5CEC91F3">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860" w:type="dxa"/>
            <w:vAlign w:val="center"/>
          </w:tcPr>
          <w:p w14:paraId="34F1FEEA">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149" w:type="dxa"/>
            <w:vAlign w:val="center"/>
          </w:tcPr>
          <w:p w14:paraId="0559C151">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669.41</w:t>
            </w:r>
          </w:p>
        </w:tc>
        <w:tc>
          <w:tcPr>
            <w:tcW w:w="1253" w:type="dxa"/>
            <w:vAlign w:val="center"/>
          </w:tcPr>
          <w:p w14:paraId="377DC6AC">
            <w:pP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8702.33</w:t>
            </w:r>
          </w:p>
        </w:tc>
        <w:tc>
          <w:tcPr>
            <w:tcW w:w="3551" w:type="dxa"/>
            <w:vAlign w:val="center"/>
          </w:tcPr>
          <w:p w14:paraId="6A37A9DE">
            <w:pPr>
              <w:keepNext w:val="0"/>
              <w:keepLines w:val="0"/>
              <w:widowControl/>
              <w:suppressLineNumbers w:val="0"/>
              <w:jc w:val="left"/>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(1)材质：背发光黑钛拉丝精工字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(2)字体规格:300*300*20mm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(3)字体、底纹由</w:t>
            </w:r>
            <w:r>
              <w:rPr>
                <w:rFonts w:hint="eastAsia" w:ascii="宋体" w:hAnsi="宋体" w:cs="宋体"/>
                <w:i w:val="0"/>
                <w:iCs w:val="0"/>
                <w:color w:val="auto"/>
                <w:kern w:val="0"/>
                <w:sz w:val="21"/>
                <w:szCs w:val="21"/>
                <w:highlight w:val="none"/>
                <w:u w:val="none"/>
                <w:lang w:val="en-US" w:eastAsia="zh-CN" w:bidi="ar"/>
              </w:rPr>
              <w:t>中标公司</w:t>
            </w:r>
            <w:r>
              <w:rPr>
                <w:rFonts w:hint="eastAsia" w:ascii="宋体" w:hAnsi="宋体" w:eastAsia="宋体" w:cs="宋体"/>
                <w:i w:val="0"/>
                <w:iCs w:val="0"/>
                <w:color w:val="auto"/>
                <w:kern w:val="0"/>
                <w:sz w:val="21"/>
                <w:szCs w:val="21"/>
                <w:highlight w:val="none"/>
                <w:u w:val="none"/>
                <w:lang w:val="en-US" w:eastAsia="zh-CN" w:bidi="ar"/>
              </w:rPr>
              <w:t>二次设计</w:t>
            </w:r>
          </w:p>
        </w:tc>
      </w:tr>
      <w:tr w14:paraId="049FD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395" w:type="dxa"/>
            <w:gridSpan w:val="7"/>
            <w:vAlign w:val="center"/>
          </w:tcPr>
          <w:p w14:paraId="6F5CEFD0">
            <w:pPr>
              <w:keepNext w:val="0"/>
              <w:keepLines w:val="0"/>
              <w:widowControl/>
              <w:suppressLineNumbers w:val="0"/>
              <w:spacing w:line="279" w:lineRule="auto"/>
              <w:jc w:val="both"/>
              <w:textAlignment w:val="auto"/>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b/>
                <w:bCs/>
                <w:i w:val="0"/>
                <w:iCs w:val="0"/>
                <w:color w:val="auto"/>
                <w:kern w:val="0"/>
                <w:sz w:val="21"/>
                <w:szCs w:val="21"/>
                <w:highlight w:val="none"/>
                <w:u w:val="none"/>
                <w:lang w:val="en-US" w:eastAsia="zh-CN" w:bidi="ar"/>
              </w:rPr>
              <w:t>2、图文</w:t>
            </w:r>
            <w:r>
              <w:rPr>
                <w:rFonts w:hint="eastAsia" w:ascii="宋体" w:hAnsi="宋体" w:cs="宋体"/>
                <w:b/>
                <w:bCs/>
                <w:i w:val="0"/>
                <w:iCs w:val="0"/>
                <w:color w:val="auto"/>
                <w:kern w:val="0"/>
                <w:sz w:val="21"/>
                <w:szCs w:val="21"/>
                <w:highlight w:val="none"/>
                <w:u w:val="none"/>
                <w:lang w:val="en-US" w:eastAsia="zh-CN" w:bidi="ar"/>
              </w:rPr>
              <w:t>展板</w:t>
            </w:r>
          </w:p>
        </w:tc>
      </w:tr>
      <w:tr w14:paraId="71E54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31C3AA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359" w:type="dxa"/>
            <w:vAlign w:val="top"/>
          </w:tcPr>
          <w:p w14:paraId="70C60E37">
            <w:pPr>
              <w:pStyle w:val="12"/>
              <w:spacing w:before="293" w:line="228" w:lineRule="auto"/>
              <w:ind w:left="149" w:leftChars="0"/>
              <w:jc w:val="center"/>
              <w:rPr>
                <w:rFonts w:hint="eastAsia" w:ascii="宋体" w:hAnsi="宋体" w:eastAsia="宋体" w:cs="宋体"/>
                <w:b w:val="0"/>
                <w:bCs w:val="0"/>
                <w:i w:val="0"/>
                <w:iCs w:val="0"/>
                <w:color w:val="auto"/>
                <w:kern w:val="0"/>
                <w:sz w:val="21"/>
                <w:szCs w:val="21"/>
                <w:highlight w:val="none"/>
                <w:u w:val="none"/>
                <w:lang w:val="en-US" w:eastAsia="zh-CN" w:bidi="ar"/>
              </w:rPr>
            </w:pPr>
            <w:r>
              <w:rPr>
                <w:b/>
                <w:bCs/>
                <w:color w:val="auto"/>
                <w:spacing w:val="6"/>
                <w:sz w:val="21"/>
                <w:szCs w:val="21"/>
                <w:highlight w:val="none"/>
              </w:rPr>
              <w:t>标的名称</w:t>
            </w:r>
          </w:p>
        </w:tc>
        <w:tc>
          <w:tcPr>
            <w:tcW w:w="633" w:type="dxa"/>
            <w:vAlign w:val="center"/>
          </w:tcPr>
          <w:p w14:paraId="06052181">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860" w:type="dxa"/>
            <w:vAlign w:val="center"/>
          </w:tcPr>
          <w:p w14:paraId="62AEAB4B">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cs="宋体"/>
                <w:b/>
                <w:bCs/>
                <w:i w:val="0"/>
                <w:iCs w:val="0"/>
                <w:color w:val="auto"/>
                <w:kern w:val="0"/>
                <w:sz w:val="21"/>
                <w:szCs w:val="21"/>
                <w:highlight w:val="none"/>
                <w:u w:val="none"/>
                <w:lang w:val="en-US" w:eastAsia="zh-CN" w:bidi="ar"/>
              </w:rPr>
              <w:t>数量</w:t>
            </w:r>
          </w:p>
        </w:tc>
        <w:tc>
          <w:tcPr>
            <w:tcW w:w="1149" w:type="dxa"/>
            <w:vAlign w:val="center"/>
          </w:tcPr>
          <w:p w14:paraId="55922ACA">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单价</w:t>
            </w:r>
          </w:p>
          <w:p w14:paraId="19BB2CC0">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b/>
                <w:bCs/>
                <w:i w:val="0"/>
                <w:iCs w:val="0"/>
                <w:color w:val="auto"/>
                <w:kern w:val="0"/>
                <w:sz w:val="21"/>
                <w:szCs w:val="21"/>
                <w:highlight w:val="none"/>
                <w:u w:val="none"/>
                <w:lang w:val="en-US" w:eastAsia="zh-CN" w:bidi="ar"/>
              </w:rPr>
              <w:t>（元）</w:t>
            </w:r>
          </w:p>
        </w:tc>
        <w:tc>
          <w:tcPr>
            <w:tcW w:w="1253" w:type="dxa"/>
            <w:vAlign w:val="center"/>
          </w:tcPr>
          <w:p w14:paraId="0DD5ECB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合价</w:t>
            </w:r>
          </w:p>
          <w:p w14:paraId="68646F05">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b/>
                <w:bCs/>
                <w:i w:val="0"/>
                <w:iCs w:val="0"/>
                <w:color w:val="auto"/>
                <w:kern w:val="0"/>
                <w:sz w:val="21"/>
                <w:szCs w:val="21"/>
                <w:highlight w:val="none"/>
                <w:u w:val="none"/>
                <w:lang w:val="en-US" w:eastAsia="zh-CN" w:bidi="ar"/>
              </w:rPr>
              <w:t>（元）</w:t>
            </w:r>
          </w:p>
        </w:tc>
        <w:tc>
          <w:tcPr>
            <w:tcW w:w="3551" w:type="dxa"/>
            <w:vAlign w:val="top"/>
          </w:tcPr>
          <w:p w14:paraId="15E25D43">
            <w:pPr>
              <w:pStyle w:val="12"/>
              <w:spacing w:before="293" w:line="228" w:lineRule="auto"/>
              <w:ind w:left="149" w:leftChars="0"/>
              <w:jc w:val="center"/>
              <w:rPr>
                <w:rFonts w:hint="eastAsia" w:ascii="宋体" w:hAnsi="宋体" w:eastAsia="宋体" w:cs="宋体"/>
                <w:color w:val="auto"/>
                <w:spacing w:val="0"/>
                <w:sz w:val="21"/>
                <w:szCs w:val="21"/>
                <w:highlight w:val="none"/>
                <w:u w:val="none"/>
                <w:lang w:eastAsia="zh-CN" w:bidi="ar"/>
              </w:rPr>
            </w:pPr>
            <w:r>
              <w:rPr>
                <w:b/>
                <w:bCs/>
                <w:color w:val="auto"/>
                <w:spacing w:val="6"/>
                <w:sz w:val="21"/>
                <w:szCs w:val="21"/>
                <w:highlight w:val="none"/>
              </w:rPr>
              <w:t>标的名称</w:t>
            </w:r>
          </w:p>
        </w:tc>
      </w:tr>
      <w:tr w14:paraId="2321A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2946689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w:t>
            </w:r>
          </w:p>
        </w:tc>
        <w:tc>
          <w:tcPr>
            <w:tcW w:w="1359" w:type="dxa"/>
            <w:vAlign w:val="center"/>
          </w:tcPr>
          <w:p w14:paraId="118E43F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定制高级实木画框</w:t>
            </w:r>
          </w:p>
        </w:tc>
        <w:tc>
          <w:tcPr>
            <w:tcW w:w="633" w:type="dxa"/>
            <w:vAlign w:val="center"/>
          </w:tcPr>
          <w:p w14:paraId="18A07F8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664D8C6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1.60 </w:t>
            </w:r>
          </w:p>
        </w:tc>
        <w:tc>
          <w:tcPr>
            <w:tcW w:w="1149" w:type="dxa"/>
            <w:vAlign w:val="center"/>
          </w:tcPr>
          <w:p w14:paraId="7BBB983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545.00 </w:t>
            </w:r>
          </w:p>
        </w:tc>
        <w:tc>
          <w:tcPr>
            <w:tcW w:w="1253" w:type="dxa"/>
            <w:vAlign w:val="center"/>
          </w:tcPr>
          <w:p w14:paraId="07F959A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872.00 </w:t>
            </w:r>
          </w:p>
        </w:tc>
        <w:tc>
          <w:tcPr>
            <w:tcW w:w="3551" w:type="dxa"/>
            <w:vAlign w:val="center"/>
          </w:tcPr>
          <w:p w14:paraId="3FE4E25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(1)材质：压缩木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(2)厚度:23mm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(3)尺寸：760*1055mm</w:t>
            </w:r>
          </w:p>
        </w:tc>
      </w:tr>
      <w:tr w14:paraId="509E1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4C849C6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w:t>
            </w:r>
          </w:p>
        </w:tc>
        <w:tc>
          <w:tcPr>
            <w:tcW w:w="1359" w:type="dxa"/>
            <w:vAlign w:val="center"/>
          </w:tcPr>
          <w:p w14:paraId="6086640A">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亚克力喷UV展板</w:t>
            </w:r>
          </w:p>
        </w:tc>
        <w:tc>
          <w:tcPr>
            <w:tcW w:w="633" w:type="dxa"/>
            <w:vAlign w:val="center"/>
          </w:tcPr>
          <w:p w14:paraId="5957F4E0">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74E5DC19">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83.12 </w:t>
            </w:r>
          </w:p>
        </w:tc>
        <w:tc>
          <w:tcPr>
            <w:tcW w:w="1149" w:type="dxa"/>
            <w:vAlign w:val="center"/>
          </w:tcPr>
          <w:p w14:paraId="19AB8C15">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348.80 </w:t>
            </w:r>
          </w:p>
        </w:tc>
        <w:tc>
          <w:tcPr>
            <w:tcW w:w="1253" w:type="dxa"/>
            <w:vAlign w:val="center"/>
          </w:tcPr>
          <w:p w14:paraId="0B1AA263">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28992.26 </w:t>
            </w:r>
          </w:p>
        </w:tc>
        <w:tc>
          <w:tcPr>
            <w:tcW w:w="3551" w:type="dxa"/>
            <w:vAlign w:val="center"/>
          </w:tcPr>
          <w:p w14:paraId="0E1DA8D9">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(1)定制5mm厚亚克力喷UV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(2)边框：20*20*2mm哑光黑色不锈钢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(3)内容由</w:t>
            </w:r>
            <w:r>
              <w:rPr>
                <w:rFonts w:hint="eastAsia" w:ascii="宋体" w:hAnsi="宋体" w:cs="宋体"/>
                <w:i w:val="0"/>
                <w:iCs w:val="0"/>
                <w:color w:val="auto"/>
                <w:kern w:val="0"/>
                <w:sz w:val="21"/>
                <w:szCs w:val="21"/>
                <w:highlight w:val="none"/>
                <w:u w:val="none"/>
                <w:lang w:val="en-US" w:eastAsia="zh-CN" w:bidi="ar"/>
              </w:rPr>
              <w:t>成交供应商</w:t>
            </w:r>
            <w:r>
              <w:rPr>
                <w:rFonts w:hint="eastAsia" w:ascii="宋体" w:hAnsi="宋体" w:eastAsia="宋体" w:cs="宋体"/>
                <w:i w:val="0"/>
                <w:iCs w:val="0"/>
                <w:color w:val="auto"/>
                <w:kern w:val="0"/>
                <w:sz w:val="21"/>
                <w:szCs w:val="21"/>
                <w:highlight w:val="none"/>
                <w:u w:val="none"/>
                <w:lang w:val="en-US" w:eastAsia="zh-CN" w:bidi="ar"/>
              </w:rPr>
              <w:t>二次设计</w:t>
            </w:r>
          </w:p>
        </w:tc>
      </w:tr>
      <w:tr w14:paraId="1D807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555615D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1359" w:type="dxa"/>
            <w:vAlign w:val="center"/>
          </w:tcPr>
          <w:p w14:paraId="47E11CEB">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亚克力喷UV展板</w:t>
            </w:r>
          </w:p>
        </w:tc>
        <w:tc>
          <w:tcPr>
            <w:tcW w:w="633" w:type="dxa"/>
            <w:vAlign w:val="center"/>
          </w:tcPr>
          <w:p w14:paraId="10224EBC">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024BC95B">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1.60 </w:t>
            </w:r>
          </w:p>
        </w:tc>
        <w:tc>
          <w:tcPr>
            <w:tcW w:w="1149" w:type="dxa"/>
            <w:vAlign w:val="center"/>
          </w:tcPr>
          <w:p w14:paraId="192A77ED">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397.85 </w:t>
            </w:r>
          </w:p>
        </w:tc>
        <w:tc>
          <w:tcPr>
            <w:tcW w:w="1253" w:type="dxa"/>
            <w:vAlign w:val="center"/>
          </w:tcPr>
          <w:p w14:paraId="2A29DB29">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636.56 </w:t>
            </w:r>
          </w:p>
        </w:tc>
        <w:tc>
          <w:tcPr>
            <w:tcW w:w="3551" w:type="dxa"/>
            <w:vAlign w:val="center"/>
          </w:tcPr>
          <w:p w14:paraId="1772BC7F">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(1)定制5mm厚亚克力喷UV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(2)边框：40*40*2mm哑光黑色不锈钢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(3)内容由</w:t>
            </w:r>
            <w:r>
              <w:rPr>
                <w:rFonts w:hint="eastAsia" w:ascii="宋体" w:hAnsi="宋体" w:cs="宋体"/>
                <w:i w:val="0"/>
                <w:iCs w:val="0"/>
                <w:color w:val="auto"/>
                <w:kern w:val="0"/>
                <w:sz w:val="21"/>
                <w:szCs w:val="21"/>
                <w:highlight w:val="none"/>
                <w:u w:val="none"/>
                <w:lang w:val="en-US" w:eastAsia="zh-CN" w:bidi="ar"/>
              </w:rPr>
              <w:t>成交供应商</w:t>
            </w:r>
            <w:r>
              <w:rPr>
                <w:rFonts w:hint="eastAsia" w:ascii="宋体" w:hAnsi="宋体" w:eastAsia="宋体" w:cs="宋体"/>
                <w:i w:val="0"/>
                <w:iCs w:val="0"/>
                <w:color w:val="auto"/>
                <w:kern w:val="0"/>
                <w:sz w:val="21"/>
                <w:szCs w:val="21"/>
                <w:highlight w:val="none"/>
                <w:u w:val="none"/>
                <w:lang w:val="en-US" w:eastAsia="zh-CN" w:bidi="ar"/>
              </w:rPr>
              <w:t>二次设计</w:t>
            </w:r>
          </w:p>
        </w:tc>
      </w:tr>
      <w:tr w14:paraId="46EFB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5ADA8F4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1359" w:type="dxa"/>
            <w:vAlign w:val="center"/>
          </w:tcPr>
          <w:p w14:paraId="257EDA8B">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亚克力喷UV展板</w:t>
            </w:r>
          </w:p>
        </w:tc>
        <w:tc>
          <w:tcPr>
            <w:tcW w:w="633" w:type="dxa"/>
            <w:vAlign w:val="center"/>
          </w:tcPr>
          <w:p w14:paraId="1BC4A8BD">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40813E54">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0.88 </w:t>
            </w:r>
          </w:p>
        </w:tc>
        <w:tc>
          <w:tcPr>
            <w:tcW w:w="1149" w:type="dxa"/>
            <w:vAlign w:val="center"/>
          </w:tcPr>
          <w:p w14:paraId="52C59C7C">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305.20 </w:t>
            </w:r>
          </w:p>
        </w:tc>
        <w:tc>
          <w:tcPr>
            <w:tcW w:w="1253" w:type="dxa"/>
            <w:vAlign w:val="center"/>
          </w:tcPr>
          <w:p w14:paraId="493D6145">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268.58 </w:t>
            </w:r>
          </w:p>
        </w:tc>
        <w:tc>
          <w:tcPr>
            <w:tcW w:w="3551" w:type="dxa"/>
            <w:vAlign w:val="center"/>
          </w:tcPr>
          <w:p w14:paraId="64137F0B">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(1)定制5mm厚亚克力喷UV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(2)内容由</w:t>
            </w:r>
            <w:r>
              <w:rPr>
                <w:rFonts w:hint="eastAsia" w:ascii="宋体" w:hAnsi="宋体" w:cs="宋体"/>
                <w:i w:val="0"/>
                <w:iCs w:val="0"/>
                <w:color w:val="auto"/>
                <w:kern w:val="0"/>
                <w:sz w:val="21"/>
                <w:szCs w:val="21"/>
                <w:highlight w:val="none"/>
                <w:u w:val="none"/>
                <w:lang w:val="en-US" w:eastAsia="zh-CN" w:bidi="ar"/>
              </w:rPr>
              <w:t>成交供应商</w:t>
            </w:r>
            <w:r>
              <w:rPr>
                <w:rFonts w:hint="eastAsia" w:ascii="宋体" w:hAnsi="宋体" w:eastAsia="宋体" w:cs="宋体"/>
                <w:i w:val="0"/>
                <w:iCs w:val="0"/>
                <w:color w:val="auto"/>
                <w:kern w:val="0"/>
                <w:sz w:val="21"/>
                <w:szCs w:val="21"/>
                <w:highlight w:val="none"/>
                <w:u w:val="none"/>
                <w:lang w:val="en-US" w:eastAsia="zh-CN" w:bidi="ar"/>
              </w:rPr>
              <w:t>二次设计</w:t>
            </w:r>
          </w:p>
        </w:tc>
      </w:tr>
      <w:tr w14:paraId="7605F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7E21AA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1359" w:type="dxa"/>
            <w:vAlign w:val="center"/>
          </w:tcPr>
          <w:p w14:paraId="03AE6FD5">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立体宣绒布</w:t>
            </w:r>
          </w:p>
        </w:tc>
        <w:tc>
          <w:tcPr>
            <w:tcW w:w="633" w:type="dxa"/>
            <w:vAlign w:val="center"/>
          </w:tcPr>
          <w:p w14:paraId="77097970">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1707CF38">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4.77 </w:t>
            </w:r>
          </w:p>
        </w:tc>
        <w:tc>
          <w:tcPr>
            <w:tcW w:w="1149" w:type="dxa"/>
            <w:vAlign w:val="center"/>
          </w:tcPr>
          <w:p w14:paraId="1A7B359C">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196.20 </w:t>
            </w:r>
          </w:p>
        </w:tc>
        <w:tc>
          <w:tcPr>
            <w:tcW w:w="1253" w:type="dxa"/>
            <w:vAlign w:val="center"/>
          </w:tcPr>
          <w:p w14:paraId="4EC90358">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935.87 </w:t>
            </w:r>
          </w:p>
        </w:tc>
        <w:tc>
          <w:tcPr>
            <w:tcW w:w="3551" w:type="dxa"/>
            <w:vAlign w:val="center"/>
          </w:tcPr>
          <w:p w14:paraId="7FCD30C9">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(1)立体宣绒布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(2)边框：40*40*2mm厚哑光黑色不锈钢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(3)内容由</w:t>
            </w:r>
            <w:r>
              <w:rPr>
                <w:rFonts w:hint="eastAsia" w:ascii="宋体" w:hAnsi="宋体" w:cs="宋体"/>
                <w:i w:val="0"/>
                <w:iCs w:val="0"/>
                <w:color w:val="auto"/>
                <w:kern w:val="0"/>
                <w:sz w:val="21"/>
                <w:szCs w:val="21"/>
                <w:highlight w:val="none"/>
                <w:u w:val="none"/>
                <w:lang w:val="en-US" w:eastAsia="zh-CN" w:bidi="ar"/>
              </w:rPr>
              <w:t>成交供应商</w:t>
            </w:r>
            <w:r>
              <w:rPr>
                <w:rFonts w:hint="eastAsia" w:ascii="宋体" w:hAnsi="宋体" w:eastAsia="宋体" w:cs="宋体"/>
                <w:i w:val="0"/>
                <w:iCs w:val="0"/>
                <w:color w:val="auto"/>
                <w:kern w:val="0"/>
                <w:sz w:val="21"/>
                <w:szCs w:val="21"/>
                <w:highlight w:val="none"/>
                <w:u w:val="none"/>
                <w:lang w:val="en-US" w:eastAsia="zh-CN" w:bidi="ar"/>
              </w:rPr>
              <w:t>二次设计</w:t>
            </w:r>
          </w:p>
        </w:tc>
      </w:tr>
      <w:tr w14:paraId="0255B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21BE34B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w:t>
            </w:r>
          </w:p>
        </w:tc>
        <w:tc>
          <w:tcPr>
            <w:tcW w:w="1359" w:type="dxa"/>
            <w:vAlign w:val="center"/>
          </w:tcPr>
          <w:p w14:paraId="345F0479">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喷绘宣绒布</w:t>
            </w:r>
          </w:p>
        </w:tc>
        <w:tc>
          <w:tcPr>
            <w:tcW w:w="633" w:type="dxa"/>
            <w:vAlign w:val="center"/>
          </w:tcPr>
          <w:p w14:paraId="430928B5">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1F01376C">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16.48 </w:t>
            </w:r>
          </w:p>
        </w:tc>
        <w:tc>
          <w:tcPr>
            <w:tcW w:w="1149" w:type="dxa"/>
            <w:vAlign w:val="center"/>
          </w:tcPr>
          <w:p w14:paraId="2CC89B9E">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62.70 </w:t>
            </w:r>
          </w:p>
        </w:tc>
        <w:tc>
          <w:tcPr>
            <w:tcW w:w="1253" w:type="dxa"/>
            <w:vAlign w:val="center"/>
          </w:tcPr>
          <w:p w14:paraId="1A68EE50">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1033.30 </w:t>
            </w:r>
          </w:p>
        </w:tc>
        <w:tc>
          <w:tcPr>
            <w:tcW w:w="3551" w:type="dxa"/>
            <w:vAlign w:val="center"/>
          </w:tcPr>
          <w:p w14:paraId="7CED9E89">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(1)宣绒布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(2)内容由</w:t>
            </w:r>
            <w:r>
              <w:rPr>
                <w:rFonts w:hint="eastAsia" w:ascii="宋体" w:hAnsi="宋体" w:cs="宋体"/>
                <w:i w:val="0"/>
                <w:iCs w:val="0"/>
                <w:color w:val="auto"/>
                <w:kern w:val="0"/>
                <w:sz w:val="21"/>
                <w:szCs w:val="21"/>
                <w:highlight w:val="none"/>
                <w:u w:val="none"/>
                <w:lang w:val="en-US" w:eastAsia="zh-CN" w:bidi="ar"/>
              </w:rPr>
              <w:t>成交供应商</w:t>
            </w:r>
            <w:r>
              <w:rPr>
                <w:rFonts w:hint="eastAsia" w:ascii="宋体" w:hAnsi="宋体" w:eastAsia="宋体" w:cs="宋体"/>
                <w:i w:val="0"/>
                <w:iCs w:val="0"/>
                <w:color w:val="auto"/>
                <w:kern w:val="0"/>
                <w:sz w:val="21"/>
                <w:szCs w:val="21"/>
                <w:highlight w:val="none"/>
                <w:u w:val="none"/>
                <w:lang w:val="en-US" w:eastAsia="zh-CN" w:bidi="ar"/>
              </w:rPr>
              <w:t>二次设计</w:t>
            </w:r>
          </w:p>
        </w:tc>
      </w:tr>
      <w:tr w14:paraId="7040A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7DF918F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w:t>
            </w:r>
          </w:p>
        </w:tc>
        <w:tc>
          <w:tcPr>
            <w:tcW w:w="1359" w:type="dxa"/>
            <w:vAlign w:val="center"/>
          </w:tcPr>
          <w:p w14:paraId="4A86A420">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喷绘宣绒布</w:t>
            </w:r>
          </w:p>
        </w:tc>
        <w:tc>
          <w:tcPr>
            <w:tcW w:w="633" w:type="dxa"/>
            <w:vAlign w:val="center"/>
          </w:tcPr>
          <w:p w14:paraId="16A9D440">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7E5A0720">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23.55 </w:t>
            </w:r>
          </w:p>
        </w:tc>
        <w:tc>
          <w:tcPr>
            <w:tcW w:w="1149" w:type="dxa"/>
            <w:vAlign w:val="center"/>
          </w:tcPr>
          <w:p w14:paraId="572D55CA">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152.78 </w:t>
            </w:r>
          </w:p>
        </w:tc>
        <w:tc>
          <w:tcPr>
            <w:tcW w:w="1253" w:type="dxa"/>
            <w:vAlign w:val="center"/>
          </w:tcPr>
          <w:p w14:paraId="1CA1C745">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3597.97 </w:t>
            </w:r>
          </w:p>
        </w:tc>
        <w:tc>
          <w:tcPr>
            <w:tcW w:w="3551" w:type="dxa"/>
            <w:vAlign w:val="center"/>
          </w:tcPr>
          <w:p w14:paraId="497756D7">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(1)12mm厚阻燃木工板基层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(2)9.5mm厚纸面石膏板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(3)面层专用粘贴剂贴宣绒布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(4)内容由</w:t>
            </w:r>
            <w:r>
              <w:rPr>
                <w:rFonts w:hint="eastAsia" w:ascii="宋体" w:hAnsi="宋体" w:cs="宋体"/>
                <w:i w:val="0"/>
                <w:iCs w:val="0"/>
                <w:color w:val="auto"/>
                <w:kern w:val="0"/>
                <w:sz w:val="21"/>
                <w:szCs w:val="21"/>
                <w:highlight w:val="none"/>
                <w:u w:val="none"/>
                <w:lang w:val="en-US" w:eastAsia="zh-CN" w:bidi="ar"/>
              </w:rPr>
              <w:t>成交供应商</w:t>
            </w:r>
            <w:r>
              <w:rPr>
                <w:rFonts w:hint="eastAsia" w:ascii="宋体" w:hAnsi="宋体" w:eastAsia="宋体" w:cs="宋体"/>
                <w:i w:val="0"/>
                <w:iCs w:val="0"/>
                <w:color w:val="auto"/>
                <w:kern w:val="0"/>
                <w:sz w:val="21"/>
                <w:szCs w:val="21"/>
                <w:highlight w:val="none"/>
                <w:u w:val="none"/>
                <w:lang w:val="en-US" w:eastAsia="zh-CN" w:bidi="ar"/>
              </w:rPr>
              <w:t>二次设计</w:t>
            </w:r>
          </w:p>
        </w:tc>
      </w:tr>
      <w:tr w14:paraId="11845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09F5B7C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w:t>
            </w:r>
          </w:p>
        </w:tc>
        <w:tc>
          <w:tcPr>
            <w:tcW w:w="1359" w:type="dxa"/>
            <w:vAlign w:val="center"/>
          </w:tcPr>
          <w:p w14:paraId="56D7F7F3">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喷绘高清油画布</w:t>
            </w:r>
          </w:p>
        </w:tc>
        <w:tc>
          <w:tcPr>
            <w:tcW w:w="633" w:type="dxa"/>
            <w:vAlign w:val="center"/>
          </w:tcPr>
          <w:p w14:paraId="259BA922">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66BB2E82">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106.22 </w:t>
            </w:r>
          </w:p>
        </w:tc>
        <w:tc>
          <w:tcPr>
            <w:tcW w:w="1149" w:type="dxa"/>
            <w:vAlign w:val="center"/>
          </w:tcPr>
          <w:p w14:paraId="470E2CC4">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30.52 </w:t>
            </w:r>
          </w:p>
        </w:tc>
        <w:tc>
          <w:tcPr>
            <w:tcW w:w="1253" w:type="dxa"/>
            <w:vAlign w:val="center"/>
          </w:tcPr>
          <w:p w14:paraId="3DEA82D4">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3241.83 </w:t>
            </w:r>
          </w:p>
        </w:tc>
        <w:tc>
          <w:tcPr>
            <w:tcW w:w="3551" w:type="dxa"/>
            <w:vAlign w:val="center"/>
          </w:tcPr>
          <w:p w14:paraId="398D8651">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(1)内容由</w:t>
            </w:r>
            <w:r>
              <w:rPr>
                <w:rFonts w:hint="eastAsia" w:ascii="宋体" w:hAnsi="宋体" w:cs="宋体"/>
                <w:i w:val="0"/>
                <w:iCs w:val="0"/>
                <w:color w:val="auto"/>
                <w:kern w:val="0"/>
                <w:sz w:val="21"/>
                <w:szCs w:val="21"/>
                <w:highlight w:val="none"/>
                <w:u w:val="none"/>
                <w:lang w:val="en-US" w:eastAsia="zh-CN" w:bidi="ar"/>
              </w:rPr>
              <w:t>成交供应商</w:t>
            </w:r>
            <w:r>
              <w:rPr>
                <w:rFonts w:hint="eastAsia" w:ascii="宋体" w:hAnsi="宋体" w:eastAsia="宋体" w:cs="宋体"/>
                <w:i w:val="0"/>
                <w:iCs w:val="0"/>
                <w:color w:val="auto"/>
                <w:kern w:val="0"/>
                <w:sz w:val="21"/>
                <w:szCs w:val="21"/>
                <w:highlight w:val="none"/>
                <w:u w:val="none"/>
                <w:lang w:val="en-US" w:eastAsia="zh-CN" w:bidi="ar"/>
              </w:rPr>
              <w:t>二次设计</w:t>
            </w:r>
          </w:p>
        </w:tc>
      </w:tr>
      <w:tr w14:paraId="20635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29FCEE6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w:t>
            </w:r>
          </w:p>
        </w:tc>
        <w:tc>
          <w:tcPr>
            <w:tcW w:w="1359" w:type="dxa"/>
            <w:vAlign w:val="center"/>
          </w:tcPr>
          <w:p w14:paraId="05FF1B0B">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喷绘油画布</w:t>
            </w:r>
          </w:p>
        </w:tc>
        <w:tc>
          <w:tcPr>
            <w:tcW w:w="633" w:type="dxa"/>
            <w:vAlign w:val="center"/>
          </w:tcPr>
          <w:p w14:paraId="29D6C29D">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2C4C9E45">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58.86 </w:t>
            </w:r>
          </w:p>
        </w:tc>
        <w:tc>
          <w:tcPr>
            <w:tcW w:w="1149" w:type="dxa"/>
            <w:vAlign w:val="center"/>
          </w:tcPr>
          <w:p w14:paraId="177C3785">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94.19 </w:t>
            </w:r>
          </w:p>
        </w:tc>
        <w:tc>
          <w:tcPr>
            <w:tcW w:w="1253" w:type="dxa"/>
            <w:vAlign w:val="center"/>
          </w:tcPr>
          <w:p w14:paraId="1D87B286">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5544.02 </w:t>
            </w:r>
          </w:p>
        </w:tc>
        <w:tc>
          <w:tcPr>
            <w:tcW w:w="3551" w:type="dxa"/>
            <w:vAlign w:val="center"/>
          </w:tcPr>
          <w:p w14:paraId="4BBC8F80">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(1)油画布喷绘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(2)边框：2mm厚哑光黑钛不锈钢包边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(3)内容由</w:t>
            </w:r>
            <w:r>
              <w:rPr>
                <w:rFonts w:hint="eastAsia" w:ascii="宋体" w:hAnsi="宋体" w:cs="宋体"/>
                <w:i w:val="0"/>
                <w:iCs w:val="0"/>
                <w:color w:val="auto"/>
                <w:kern w:val="0"/>
                <w:sz w:val="21"/>
                <w:szCs w:val="21"/>
                <w:highlight w:val="none"/>
                <w:u w:val="none"/>
                <w:lang w:val="en-US" w:eastAsia="zh-CN" w:bidi="ar"/>
              </w:rPr>
              <w:t>成交供应商</w:t>
            </w:r>
            <w:r>
              <w:rPr>
                <w:rFonts w:hint="eastAsia" w:ascii="宋体" w:hAnsi="宋体" w:eastAsia="宋体" w:cs="宋体"/>
                <w:i w:val="0"/>
                <w:iCs w:val="0"/>
                <w:color w:val="auto"/>
                <w:kern w:val="0"/>
                <w:sz w:val="21"/>
                <w:szCs w:val="21"/>
                <w:highlight w:val="none"/>
                <w:u w:val="none"/>
                <w:lang w:val="en-US" w:eastAsia="zh-CN" w:bidi="ar"/>
              </w:rPr>
              <w:t>二次设计</w:t>
            </w:r>
          </w:p>
        </w:tc>
      </w:tr>
      <w:tr w14:paraId="696C8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613AAB3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w:t>
            </w:r>
          </w:p>
        </w:tc>
        <w:tc>
          <w:tcPr>
            <w:tcW w:w="1359" w:type="dxa"/>
            <w:vAlign w:val="center"/>
          </w:tcPr>
          <w:p w14:paraId="26DC9CF0">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10mm厚无框硬包展板</w:t>
            </w:r>
          </w:p>
        </w:tc>
        <w:tc>
          <w:tcPr>
            <w:tcW w:w="633" w:type="dxa"/>
            <w:vAlign w:val="center"/>
          </w:tcPr>
          <w:p w14:paraId="6A201613">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71668124">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20.72 </w:t>
            </w:r>
          </w:p>
        </w:tc>
        <w:tc>
          <w:tcPr>
            <w:tcW w:w="1149" w:type="dxa"/>
            <w:vAlign w:val="center"/>
          </w:tcPr>
          <w:p w14:paraId="2169A627">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239.80 </w:t>
            </w:r>
          </w:p>
        </w:tc>
        <w:tc>
          <w:tcPr>
            <w:tcW w:w="1253" w:type="dxa"/>
            <w:vAlign w:val="center"/>
          </w:tcPr>
          <w:p w14:paraId="12ED1B01">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4968.66 </w:t>
            </w:r>
          </w:p>
        </w:tc>
        <w:tc>
          <w:tcPr>
            <w:tcW w:w="3551" w:type="dxa"/>
            <w:vAlign w:val="center"/>
          </w:tcPr>
          <w:p w14:paraId="38963CE5">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(1)厚度：10mm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(2)内容由</w:t>
            </w:r>
            <w:r>
              <w:rPr>
                <w:rFonts w:hint="eastAsia" w:ascii="宋体" w:hAnsi="宋体" w:cs="宋体"/>
                <w:i w:val="0"/>
                <w:iCs w:val="0"/>
                <w:color w:val="auto"/>
                <w:kern w:val="0"/>
                <w:sz w:val="21"/>
                <w:szCs w:val="21"/>
                <w:highlight w:val="none"/>
                <w:u w:val="none"/>
                <w:lang w:val="en-US" w:eastAsia="zh-CN" w:bidi="ar"/>
              </w:rPr>
              <w:t>成交供应商</w:t>
            </w:r>
            <w:r>
              <w:rPr>
                <w:rFonts w:hint="eastAsia" w:ascii="宋体" w:hAnsi="宋体" w:eastAsia="宋体" w:cs="宋体"/>
                <w:i w:val="0"/>
                <w:iCs w:val="0"/>
                <w:color w:val="auto"/>
                <w:kern w:val="0"/>
                <w:sz w:val="21"/>
                <w:szCs w:val="21"/>
                <w:highlight w:val="none"/>
                <w:u w:val="none"/>
                <w:lang w:val="en-US" w:eastAsia="zh-CN" w:bidi="ar"/>
              </w:rPr>
              <w:t>二次设计</w:t>
            </w:r>
          </w:p>
        </w:tc>
      </w:tr>
      <w:tr w14:paraId="3AAAA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0338B7D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w:t>
            </w:r>
          </w:p>
        </w:tc>
        <w:tc>
          <w:tcPr>
            <w:tcW w:w="1359" w:type="dxa"/>
            <w:vAlign w:val="center"/>
          </w:tcPr>
          <w:p w14:paraId="675FE850">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喷绘软膜灯箱</w:t>
            </w:r>
          </w:p>
        </w:tc>
        <w:tc>
          <w:tcPr>
            <w:tcW w:w="633" w:type="dxa"/>
            <w:vAlign w:val="center"/>
          </w:tcPr>
          <w:p w14:paraId="72507E97">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035D8788">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16.79 </w:t>
            </w:r>
          </w:p>
        </w:tc>
        <w:tc>
          <w:tcPr>
            <w:tcW w:w="1149" w:type="dxa"/>
            <w:vAlign w:val="center"/>
          </w:tcPr>
          <w:p w14:paraId="7E23FCF4">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214.50 </w:t>
            </w:r>
          </w:p>
        </w:tc>
        <w:tc>
          <w:tcPr>
            <w:tcW w:w="1253" w:type="dxa"/>
            <w:vAlign w:val="center"/>
          </w:tcPr>
          <w:p w14:paraId="5BCD5D60">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3601.46 </w:t>
            </w:r>
          </w:p>
        </w:tc>
        <w:tc>
          <w:tcPr>
            <w:tcW w:w="3551" w:type="dxa"/>
            <w:vAlign w:val="center"/>
          </w:tcPr>
          <w:p w14:paraId="3D9C5317">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(1)30*30mm木方做框架,横竖向支撑间距300mm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(2)透光软膜,专用F型卡件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(3)2mm厚哑光黑钛不锈钢包边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(4)内容由</w:t>
            </w:r>
            <w:r>
              <w:rPr>
                <w:rFonts w:hint="eastAsia" w:ascii="宋体" w:hAnsi="宋体" w:cs="宋体"/>
                <w:i w:val="0"/>
                <w:iCs w:val="0"/>
                <w:color w:val="auto"/>
                <w:kern w:val="0"/>
                <w:sz w:val="21"/>
                <w:szCs w:val="21"/>
                <w:highlight w:val="none"/>
                <w:u w:val="none"/>
                <w:lang w:val="en-US" w:eastAsia="zh-CN" w:bidi="ar"/>
              </w:rPr>
              <w:t>成交供应商</w:t>
            </w:r>
            <w:r>
              <w:rPr>
                <w:rFonts w:hint="eastAsia" w:ascii="宋体" w:hAnsi="宋体" w:eastAsia="宋体" w:cs="宋体"/>
                <w:i w:val="0"/>
                <w:iCs w:val="0"/>
                <w:color w:val="auto"/>
                <w:kern w:val="0"/>
                <w:sz w:val="21"/>
                <w:szCs w:val="21"/>
                <w:highlight w:val="none"/>
                <w:u w:val="none"/>
                <w:lang w:val="en-US" w:eastAsia="zh-CN" w:bidi="ar"/>
              </w:rPr>
              <w:t>二次设计</w:t>
            </w:r>
          </w:p>
        </w:tc>
      </w:tr>
      <w:tr w14:paraId="34362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7EE6FC3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w:t>
            </w:r>
          </w:p>
        </w:tc>
        <w:tc>
          <w:tcPr>
            <w:tcW w:w="1359" w:type="dxa"/>
            <w:vAlign w:val="center"/>
          </w:tcPr>
          <w:p w14:paraId="4037766D">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专用阻燃亚麻布</w:t>
            </w:r>
          </w:p>
        </w:tc>
        <w:tc>
          <w:tcPr>
            <w:tcW w:w="633" w:type="dxa"/>
            <w:vAlign w:val="center"/>
          </w:tcPr>
          <w:p w14:paraId="637A5847">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860" w:type="dxa"/>
            <w:vAlign w:val="center"/>
          </w:tcPr>
          <w:p w14:paraId="228C318E">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248.12 </w:t>
            </w:r>
          </w:p>
        </w:tc>
        <w:tc>
          <w:tcPr>
            <w:tcW w:w="1149" w:type="dxa"/>
            <w:vAlign w:val="center"/>
          </w:tcPr>
          <w:p w14:paraId="7534B7D1">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80.74 </w:t>
            </w:r>
          </w:p>
        </w:tc>
        <w:tc>
          <w:tcPr>
            <w:tcW w:w="1253" w:type="dxa"/>
            <w:vAlign w:val="center"/>
          </w:tcPr>
          <w:p w14:paraId="12C19FFA">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20033.21 </w:t>
            </w:r>
          </w:p>
        </w:tc>
        <w:tc>
          <w:tcPr>
            <w:tcW w:w="3551" w:type="dxa"/>
            <w:vAlign w:val="center"/>
          </w:tcPr>
          <w:p w14:paraId="3D81CBE4">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(1)专用阻燃亚麻布</w:t>
            </w:r>
          </w:p>
        </w:tc>
      </w:tr>
      <w:tr w14:paraId="6B94A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6314D41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w:t>
            </w:r>
          </w:p>
        </w:tc>
        <w:tc>
          <w:tcPr>
            <w:tcW w:w="1359" w:type="dxa"/>
            <w:vAlign w:val="center"/>
          </w:tcPr>
          <w:p w14:paraId="01653C65">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文物说明牌</w:t>
            </w:r>
          </w:p>
        </w:tc>
        <w:tc>
          <w:tcPr>
            <w:tcW w:w="633" w:type="dxa"/>
            <w:vAlign w:val="center"/>
          </w:tcPr>
          <w:p w14:paraId="7D3B641A">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块</w:t>
            </w:r>
          </w:p>
        </w:tc>
        <w:tc>
          <w:tcPr>
            <w:tcW w:w="860" w:type="dxa"/>
            <w:vAlign w:val="center"/>
          </w:tcPr>
          <w:p w14:paraId="28430F39">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1149" w:type="dxa"/>
            <w:vAlign w:val="center"/>
          </w:tcPr>
          <w:p w14:paraId="0FCF7176">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101.70 </w:t>
            </w:r>
          </w:p>
        </w:tc>
        <w:tc>
          <w:tcPr>
            <w:tcW w:w="1253" w:type="dxa"/>
            <w:vAlign w:val="center"/>
          </w:tcPr>
          <w:p w14:paraId="31E92A1B">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50850.00 </w:t>
            </w:r>
          </w:p>
        </w:tc>
        <w:tc>
          <w:tcPr>
            <w:tcW w:w="3551" w:type="dxa"/>
            <w:vAlign w:val="center"/>
          </w:tcPr>
          <w:p w14:paraId="28EC0C42">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(1)材质：不锈钢板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(2)尺寸：200*100mm</w:t>
            </w:r>
          </w:p>
        </w:tc>
      </w:tr>
      <w:tr w14:paraId="13D5F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395" w:type="dxa"/>
            <w:gridSpan w:val="7"/>
            <w:vAlign w:val="center"/>
          </w:tcPr>
          <w:p w14:paraId="3803FC65">
            <w:pPr>
              <w:keepNext w:val="0"/>
              <w:keepLines w:val="0"/>
              <w:widowControl/>
              <w:suppressLineNumbers w:val="0"/>
              <w:jc w:val="both"/>
              <w:textAlignment w:val="center"/>
              <w:rPr>
                <w:rFonts w:hint="default" w:ascii="宋体" w:hAnsi="宋体" w:eastAsia="宋体" w:cs="宋体"/>
                <w:i w:val="0"/>
                <w:iCs w:val="0"/>
                <w:color w:val="auto"/>
                <w:kern w:val="0"/>
                <w:sz w:val="21"/>
                <w:szCs w:val="21"/>
                <w:highlight w:val="none"/>
                <w:u w:val="none"/>
                <w:lang w:val="en-US" w:eastAsia="zh-CN" w:bidi="ar"/>
              </w:rPr>
            </w:pPr>
          </w:p>
          <w:p w14:paraId="2D4DCA3B">
            <w:pPr>
              <w:keepNext w:val="0"/>
              <w:keepLines w:val="0"/>
              <w:widowControl/>
              <w:suppressLineNumbers w:val="0"/>
              <w:spacing w:line="279" w:lineRule="auto"/>
              <w:jc w:val="both"/>
              <w:textAlignment w:val="auto"/>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b/>
                <w:bCs/>
                <w:i w:val="0"/>
                <w:iCs w:val="0"/>
                <w:color w:val="auto"/>
                <w:kern w:val="0"/>
                <w:sz w:val="21"/>
                <w:szCs w:val="21"/>
                <w:highlight w:val="none"/>
                <w:u w:val="none"/>
                <w:lang w:val="en-US" w:eastAsia="zh-CN" w:bidi="ar"/>
              </w:rPr>
              <w:t>3、定制墙面</w:t>
            </w:r>
          </w:p>
        </w:tc>
      </w:tr>
      <w:tr w14:paraId="41EC2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09F0BEE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3.1</w:t>
            </w:r>
          </w:p>
        </w:tc>
        <w:tc>
          <w:tcPr>
            <w:tcW w:w="1359" w:type="dxa"/>
            <w:vAlign w:val="center"/>
          </w:tcPr>
          <w:p w14:paraId="35E9DD9E">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定制砂岩浮雕墙</w:t>
            </w:r>
          </w:p>
        </w:tc>
        <w:tc>
          <w:tcPr>
            <w:tcW w:w="633" w:type="dxa"/>
            <w:vAlign w:val="center"/>
          </w:tcPr>
          <w:p w14:paraId="00197D3A">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860" w:type="dxa"/>
            <w:vAlign w:val="center"/>
          </w:tcPr>
          <w:p w14:paraId="2C49BFBB">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149" w:type="dxa"/>
            <w:vAlign w:val="center"/>
          </w:tcPr>
          <w:p w14:paraId="600E7CED">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50000.00 </w:t>
            </w:r>
          </w:p>
        </w:tc>
        <w:tc>
          <w:tcPr>
            <w:tcW w:w="1253" w:type="dxa"/>
            <w:vAlign w:val="center"/>
          </w:tcPr>
          <w:p w14:paraId="4EAEAA87">
            <w:pPr>
              <w:keepNext w:val="0"/>
              <w:keepLines w:val="0"/>
              <w:widowControl/>
              <w:suppressLineNumbers w:val="0"/>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50000.00 </w:t>
            </w:r>
          </w:p>
        </w:tc>
        <w:tc>
          <w:tcPr>
            <w:tcW w:w="3551" w:type="dxa"/>
            <w:vAlign w:val="center"/>
          </w:tcPr>
          <w:p w14:paraId="1494E3A1">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(1)定制砂岩浮雕墙10120*3000mm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(2)定制20mm厚不锈钢电镀雕刻牌，字激光刻印，尺寸为（550*695mm、520*605mm、585*700mm、555*695mm、475*680mm，共5块）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(3)定制2mm厚不锈钢电镀雕刻印章，380mm高，离墙悬浮80mm，直插螺杆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(4)20mm厚不锈钢烤漆字“记忆如流 莫忘乡愁”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(5)详参图纸-装饰03-第一单元03立面图</w:t>
            </w:r>
          </w:p>
        </w:tc>
      </w:tr>
      <w:tr w14:paraId="5D1EB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1A1C058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w:t>
            </w:r>
          </w:p>
        </w:tc>
        <w:tc>
          <w:tcPr>
            <w:tcW w:w="1359" w:type="dxa"/>
            <w:vAlign w:val="center"/>
          </w:tcPr>
          <w:p w14:paraId="4E3D98EE">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定制耐候锈蚀钢卷轴展台</w:t>
            </w:r>
          </w:p>
        </w:tc>
        <w:tc>
          <w:tcPr>
            <w:tcW w:w="633" w:type="dxa"/>
            <w:vAlign w:val="center"/>
          </w:tcPr>
          <w:p w14:paraId="3F90F9FC">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860" w:type="dxa"/>
            <w:vAlign w:val="center"/>
          </w:tcPr>
          <w:p w14:paraId="64F3080B">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1149" w:type="dxa"/>
            <w:vAlign w:val="center"/>
          </w:tcPr>
          <w:p w14:paraId="5041EED3">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18000.00 </w:t>
            </w:r>
          </w:p>
        </w:tc>
        <w:tc>
          <w:tcPr>
            <w:tcW w:w="1253" w:type="dxa"/>
            <w:vAlign w:val="center"/>
          </w:tcPr>
          <w:p w14:paraId="76C0555E">
            <w:pPr>
              <w:keepNext w:val="0"/>
              <w:keepLines w:val="0"/>
              <w:widowControl/>
              <w:suppressLineNumbers w:val="0"/>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18000.00 </w:t>
            </w:r>
          </w:p>
        </w:tc>
        <w:tc>
          <w:tcPr>
            <w:tcW w:w="3551" w:type="dxa"/>
            <w:vAlign w:val="center"/>
          </w:tcPr>
          <w:p w14:paraId="32BDC65A">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(1)尺寸：6302mm(5121mm)弧长*600mm宽*565mm(295mm)高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(2)底座采用30*30mm镀锌钢焊接整体框架，横、竖向支撑间距300mm焊接；面层焊接3mm耐候钢，打磨平整焊接处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(3)卷轴台面采用5mm厚耐候钢板定制，中间台面采用软膜卡布灯箱制作方式(尺寸：5102(3921)弧长*500宽)，F型软膜卡件固定软膜布，暗藏LED高压漫反射灯条均匀分布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(4)详参-装饰07-第一单元展台大样图</w:t>
            </w:r>
          </w:p>
        </w:tc>
      </w:tr>
      <w:tr w14:paraId="3607F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2CE612F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3.3</w:t>
            </w:r>
          </w:p>
        </w:tc>
        <w:tc>
          <w:tcPr>
            <w:tcW w:w="1359" w:type="dxa"/>
            <w:vAlign w:val="center"/>
          </w:tcPr>
          <w:p w14:paraId="029E1124">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成品3D立体浮雕山水画背景</w:t>
            </w:r>
          </w:p>
        </w:tc>
        <w:tc>
          <w:tcPr>
            <w:tcW w:w="633" w:type="dxa"/>
            <w:vAlign w:val="center"/>
          </w:tcPr>
          <w:p w14:paraId="7B259B3E">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860" w:type="dxa"/>
            <w:vAlign w:val="center"/>
          </w:tcPr>
          <w:p w14:paraId="63B5C521">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1149" w:type="dxa"/>
            <w:vAlign w:val="center"/>
          </w:tcPr>
          <w:p w14:paraId="414B23D3">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50000.00 </w:t>
            </w:r>
          </w:p>
        </w:tc>
        <w:tc>
          <w:tcPr>
            <w:tcW w:w="1253" w:type="dxa"/>
            <w:vAlign w:val="center"/>
          </w:tcPr>
          <w:p w14:paraId="53835895">
            <w:pPr>
              <w:keepNext w:val="0"/>
              <w:keepLines w:val="0"/>
              <w:widowControl/>
              <w:suppressLineNumbers w:val="0"/>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50000.00 </w:t>
            </w:r>
          </w:p>
        </w:tc>
        <w:tc>
          <w:tcPr>
            <w:tcW w:w="3551" w:type="dxa"/>
            <w:vAlign w:val="center"/>
          </w:tcPr>
          <w:p w14:paraId="7DC40248">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(1)尺寸:4930*2815mm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(2)详参图纸-装饰03-陶艺体验区45.1立面图</w:t>
            </w:r>
          </w:p>
        </w:tc>
      </w:tr>
      <w:tr w14:paraId="0A2C9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395" w:type="dxa"/>
            <w:gridSpan w:val="7"/>
            <w:vAlign w:val="center"/>
          </w:tcPr>
          <w:p w14:paraId="145078D8">
            <w:pPr>
              <w:keepNext w:val="0"/>
              <w:keepLines w:val="0"/>
              <w:widowControl/>
              <w:suppressLineNumbers w:val="0"/>
              <w:spacing w:line="279" w:lineRule="auto"/>
              <w:jc w:val="both"/>
              <w:textAlignment w:val="auto"/>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b/>
                <w:bCs/>
                <w:i w:val="0"/>
                <w:iCs w:val="0"/>
                <w:color w:val="auto"/>
                <w:kern w:val="0"/>
                <w:sz w:val="21"/>
                <w:szCs w:val="21"/>
                <w:highlight w:val="none"/>
                <w:u w:val="none"/>
                <w:lang w:val="en-US" w:eastAsia="zh-CN" w:bidi="ar"/>
              </w:rPr>
              <w:t>4、场景复原</w:t>
            </w:r>
          </w:p>
        </w:tc>
      </w:tr>
      <w:tr w14:paraId="4A1B3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4DC8FA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4.1</w:t>
            </w:r>
          </w:p>
        </w:tc>
        <w:tc>
          <w:tcPr>
            <w:tcW w:w="1359" w:type="dxa"/>
            <w:vAlign w:val="center"/>
          </w:tcPr>
          <w:p w14:paraId="3B0EB99E">
            <w:pPr>
              <w:keepNext w:val="0"/>
              <w:keepLines w:val="0"/>
              <w:widowControl/>
              <w:suppressLineNumbers w:val="0"/>
              <w:jc w:val="left"/>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新石器时代人类制陶场景复原</w:t>
            </w:r>
          </w:p>
        </w:tc>
        <w:tc>
          <w:tcPr>
            <w:tcW w:w="633" w:type="dxa"/>
            <w:vAlign w:val="center"/>
          </w:tcPr>
          <w:p w14:paraId="477093D1">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860" w:type="dxa"/>
            <w:vAlign w:val="center"/>
          </w:tcPr>
          <w:p w14:paraId="36B0F266">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1149" w:type="dxa"/>
            <w:vAlign w:val="center"/>
          </w:tcPr>
          <w:p w14:paraId="1A8E6400">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180000.00 </w:t>
            </w:r>
          </w:p>
        </w:tc>
        <w:tc>
          <w:tcPr>
            <w:tcW w:w="1253" w:type="dxa"/>
            <w:vAlign w:val="center"/>
          </w:tcPr>
          <w:p w14:paraId="241182BC">
            <w:pPr>
              <w:keepNext w:val="0"/>
              <w:keepLines w:val="0"/>
              <w:widowControl/>
              <w:suppressLineNumbers w:val="0"/>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180000.00 </w:t>
            </w:r>
          </w:p>
        </w:tc>
        <w:tc>
          <w:tcPr>
            <w:tcW w:w="3551" w:type="dxa"/>
            <w:vAlign w:val="center"/>
          </w:tcPr>
          <w:p w14:paraId="4AF01C5B">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(1)场景地貌：塑形地貌，表面石膏麻布封裱硬化，用丙烯颜料上色，表面撒上黄土,投影面积约为24㎡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(2)外围护栏：采用防腐木护栏，表面做防火处理，约10m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(3)场景墙面：轻钢龙骨基层，15mm阻燃板，造型部分木龙骨+防火涂料，黑色不锈钢收口，表面采用成品油画布喷绘，专业糯米胶黏贴，约36㎡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(4)场景顶棚:轻钢龙骨基层，双层埃特板，造型部分木龙骨+防火涂料，螺钉帽刷防锈漆，丙烯颜料上色，约43㎡</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(5)制陶场景摆件（模具，陶器，陶土等）、仿真人：玻璃钢塑形 ，丙烯颜料上色 ，做阻燃处理防火等级B1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(6)含简介牌、场景灯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(7)详参图纸-装饰04</w:t>
            </w:r>
          </w:p>
        </w:tc>
      </w:tr>
      <w:tr w14:paraId="6D95B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6DE4816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4.2</w:t>
            </w:r>
          </w:p>
        </w:tc>
        <w:tc>
          <w:tcPr>
            <w:tcW w:w="1359" w:type="dxa"/>
            <w:vAlign w:val="center"/>
          </w:tcPr>
          <w:p w14:paraId="5A319696">
            <w:pPr>
              <w:keepNext w:val="0"/>
              <w:keepLines w:val="0"/>
              <w:widowControl/>
              <w:suppressLineNumbers w:val="0"/>
              <w:jc w:val="left"/>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东汉或三国砖室墓场景复原</w:t>
            </w:r>
          </w:p>
        </w:tc>
        <w:tc>
          <w:tcPr>
            <w:tcW w:w="633" w:type="dxa"/>
            <w:vAlign w:val="center"/>
          </w:tcPr>
          <w:p w14:paraId="5218C993">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860" w:type="dxa"/>
            <w:vAlign w:val="center"/>
          </w:tcPr>
          <w:p w14:paraId="082EC77F">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1149" w:type="dxa"/>
            <w:vAlign w:val="center"/>
          </w:tcPr>
          <w:p w14:paraId="60926110">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150000.00 </w:t>
            </w:r>
          </w:p>
        </w:tc>
        <w:tc>
          <w:tcPr>
            <w:tcW w:w="1253" w:type="dxa"/>
            <w:vAlign w:val="center"/>
          </w:tcPr>
          <w:p w14:paraId="423C665E">
            <w:pPr>
              <w:keepNext w:val="0"/>
              <w:keepLines w:val="0"/>
              <w:widowControl/>
              <w:suppressLineNumbers w:val="0"/>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150000.00 </w:t>
            </w:r>
          </w:p>
        </w:tc>
        <w:tc>
          <w:tcPr>
            <w:tcW w:w="3551" w:type="dxa"/>
            <w:vAlign w:val="center"/>
          </w:tcPr>
          <w:p w14:paraId="671D398B">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(1)场景地貌：玻璃钢塑形,丙烯颜料上色,做阻燃处理,投影面积约为24㎡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(2)外围护栏：采用防腐木护栏，表面做防火处理，约10m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(3)场景墙面：轻钢龙骨基层，埃特板，造型部分木龙骨+防火涂料，黑色不锈钢收口，表面采用成品油画布喷绘，专业糯米胶黏贴，约30㎡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(4)场景框架:轻钢龙骨基层，埃特板（防火等级A)，丙烯颜料上色，约12.7m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(5)墓场景复原:玻璃钢塑形,丙烯颜料上色,做阻燃处理,防火等级B1。尺寸为（中间：4710mm长*1116mm前宽（1555mm后宽）*1083mm前高（1484mm后宽）；左侧：800mm长*740mm宽*800mm高；右侧：989mm长*740mm宽*800mm高）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(6)详参图纸-装饰05</w:t>
            </w:r>
          </w:p>
        </w:tc>
      </w:tr>
      <w:tr w14:paraId="1346E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4CCB8A4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4.3</w:t>
            </w:r>
          </w:p>
        </w:tc>
        <w:tc>
          <w:tcPr>
            <w:tcW w:w="1359" w:type="dxa"/>
            <w:vAlign w:val="center"/>
          </w:tcPr>
          <w:p w14:paraId="601C155A">
            <w:pPr>
              <w:keepNext w:val="0"/>
              <w:keepLines w:val="0"/>
              <w:widowControl/>
              <w:suppressLineNumbers w:val="0"/>
              <w:jc w:val="left"/>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龙窑场景复原</w:t>
            </w:r>
          </w:p>
        </w:tc>
        <w:tc>
          <w:tcPr>
            <w:tcW w:w="633" w:type="dxa"/>
            <w:vAlign w:val="center"/>
          </w:tcPr>
          <w:p w14:paraId="45578574">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860" w:type="dxa"/>
            <w:vAlign w:val="center"/>
          </w:tcPr>
          <w:p w14:paraId="41EC7DED">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1149" w:type="dxa"/>
            <w:vAlign w:val="center"/>
          </w:tcPr>
          <w:p w14:paraId="335D5018">
            <w:pPr>
              <w:keepNext w:val="0"/>
              <w:keepLines w:val="0"/>
              <w:widowControl/>
              <w:suppressLineNumbers w:val="0"/>
              <w:jc w:val="center"/>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240000.00 </w:t>
            </w:r>
          </w:p>
        </w:tc>
        <w:tc>
          <w:tcPr>
            <w:tcW w:w="1253" w:type="dxa"/>
            <w:vAlign w:val="center"/>
          </w:tcPr>
          <w:p w14:paraId="4190E1C5">
            <w:pPr>
              <w:keepNext w:val="0"/>
              <w:keepLines w:val="0"/>
              <w:widowControl/>
              <w:suppressLineNumbers w:val="0"/>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240000.00 </w:t>
            </w:r>
          </w:p>
        </w:tc>
        <w:tc>
          <w:tcPr>
            <w:tcW w:w="3551" w:type="dxa"/>
            <w:vAlign w:val="center"/>
          </w:tcPr>
          <w:p w14:paraId="46F36DFF">
            <w:pPr>
              <w:keepNext w:val="0"/>
              <w:keepLines w:val="0"/>
              <w:widowControl/>
              <w:suppressLineNumbers w:val="0"/>
              <w:jc w:val="left"/>
              <w:textAlignment w:val="center"/>
              <w:rPr>
                <w:rFonts w:hint="eastAsia" w:ascii="宋体" w:hAnsi="宋体" w:eastAsia="宋体" w:cs="宋体"/>
                <w:color w:val="auto"/>
                <w:spacing w:val="0"/>
                <w:sz w:val="21"/>
                <w:szCs w:val="21"/>
                <w:highlight w:val="none"/>
                <w:u w:val="none"/>
                <w:lang w:eastAsia="zh-CN" w:bidi="ar"/>
              </w:rPr>
            </w:pPr>
            <w:r>
              <w:rPr>
                <w:rFonts w:hint="eastAsia" w:ascii="宋体" w:hAnsi="宋体" w:eastAsia="宋体" w:cs="宋体"/>
                <w:i w:val="0"/>
                <w:iCs w:val="0"/>
                <w:color w:val="auto"/>
                <w:kern w:val="0"/>
                <w:sz w:val="21"/>
                <w:szCs w:val="21"/>
                <w:highlight w:val="none"/>
                <w:u w:val="none"/>
                <w:lang w:val="en-US" w:eastAsia="zh-CN" w:bidi="ar"/>
              </w:rPr>
              <w:t>(1)场景地貌：塑形地貌，表面石膏麻布封裱硬化，用丙烯颜料上色，表面撒上黄土，投影面积约为12㎡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(2)外围护栏：采用防腐木护栏，表面做防火处理，约13m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(3)墙面：轻钢龙骨基层，埃特板，造型部分木龙骨+防火涂料，黑色不锈钢收口。表面采用成品油画布喷绘约23.1㎡、成品壁画场景约14.4㎡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(4)柱子造型：轻钢龙骨基层，埃特板（防火等级A)，约12.7㎡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(5)制陶场景摆件（模具， 陶器，陶土等）：玻璃钢塑形 ，丙烯颜料上色 ，做阻燃处理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(6)龙窑场景：玻璃钢塑形，丙烯颜料上色，做阻燃处理。尺寸为（6993mm长*1400mm前宽（2532mm后宽）*1575mm前高（3000mm后高），窑洞窗口大小（2个710mm宽*815mm高、1个850mm宽*975mm高）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(7)含成品金属展示牌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(8)详参图纸-装饰06</w:t>
            </w:r>
          </w:p>
        </w:tc>
      </w:tr>
      <w:tr w14:paraId="4617C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17E5C61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5</w:t>
            </w:r>
          </w:p>
        </w:tc>
        <w:tc>
          <w:tcPr>
            <w:tcW w:w="1359" w:type="dxa"/>
            <w:vAlign w:val="center"/>
          </w:tcPr>
          <w:p w14:paraId="6EBCD564">
            <w:pPr>
              <w:keepNext w:val="0"/>
              <w:keepLines w:val="0"/>
              <w:widowControl/>
              <w:suppressLineNumbers w:val="0"/>
              <w:jc w:val="left"/>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景德镇仿名窑陶瓷工艺品</w:t>
            </w:r>
          </w:p>
        </w:tc>
        <w:tc>
          <w:tcPr>
            <w:tcW w:w="633" w:type="dxa"/>
            <w:vAlign w:val="center"/>
          </w:tcPr>
          <w:p w14:paraId="0A5ACC13">
            <w:pPr>
              <w:keepNext w:val="0"/>
              <w:keepLines w:val="0"/>
              <w:widowControl/>
              <w:suppressLineNumbers w:val="0"/>
              <w:jc w:val="center"/>
              <w:textAlignment w:val="center"/>
              <w:rPr>
                <w:rFonts w:hint="eastAsia" w:ascii="宋体" w:hAnsi="宋体" w:eastAsia="宋体" w:cs="宋体"/>
                <w:b w:val="0"/>
                <w:bCs w:val="0"/>
                <w:color w:val="auto"/>
                <w:spacing w:val="0"/>
                <w:sz w:val="21"/>
                <w:szCs w:val="21"/>
                <w:highlight w:val="none"/>
                <w:u w:val="none"/>
                <w:lang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件</w:t>
            </w:r>
          </w:p>
        </w:tc>
        <w:tc>
          <w:tcPr>
            <w:tcW w:w="860" w:type="dxa"/>
            <w:vAlign w:val="center"/>
          </w:tcPr>
          <w:p w14:paraId="1104AFF1">
            <w:pPr>
              <w:keepNext w:val="0"/>
              <w:keepLines w:val="0"/>
              <w:widowControl/>
              <w:suppressLineNumbers w:val="0"/>
              <w:jc w:val="center"/>
              <w:textAlignment w:val="center"/>
              <w:rPr>
                <w:rFonts w:hint="eastAsia" w:ascii="宋体" w:hAnsi="宋体" w:eastAsia="宋体" w:cs="宋体"/>
                <w:b w:val="0"/>
                <w:bCs w:val="0"/>
                <w:color w:val="auto"/>
                <w:spacing w:val="0"/>
                <w:sz w:val="21"/>
                <w:szCs w:val="21"/>
                <w:highlight w:val="none"/>
                <w:u w:val="none"/>
                <w:lang w:eastAsia="zh-CN" w:bidi="ar"/>
              </w:rPr>
            </w:pPr>
            <w:r>
              <w:rPr>
                <w:rFonts w:hint="eastAsia" w:ascii="宋体" w:hAnsi="宋体" w:cs="宋体"/>
                <w:b w:val="0"/>
                <w:bCs w:val="0"/>
                <w:i w:val="0"/>
                <w:iCs w:val="0"/>
                <w:color w:val="auto"/>
                <w:kern w:val="0"/>
                <w:sz w:val="21"/>
                <w:szCs w:val="21"/>
                <w:highlight w:val="none"/>
                <w:u w:val="none"/>
                <w:lang w:val="en-US" w:eastAsia="zh-CN" w:bidi="ar"/>
              </w:rPr>
              <w:t xml:space="preserve">50 </w:t>
            </w:r>
          </w:p>
        </w:tc>
        <w:tc>
          <w:tcPr>
            <w:tcW w:w="1149" w:type="dxa"/>
            <w:vAlign w:val="center"/>
          </w:tcPr>
          <w:p w14:paraId="192EE613">
            <w:pPr>
              <w:keepNext w:val="0"/>
              <w:keepLines w:val="0"/>
              <w:widowControl/>
              <w:suppressLineNumbers w:val="0"/>
              <w:jc w:val="center"/>
              <w:textAlignment w:val="center"/>
              <w:rPr>
                <w:rFonts w:hint="eastAsia" w:ascii="宋体" w:hAnsi="宋体" w:eastAsia="宋体" w:cs="宋体"/>
                <w:b w:val="0"/>
                <w:bCs w:val="0"/>
                <w:color w:val="auto"/>
                <w:spacing w:val="0"/>
                <w:sz w:val="21"/>
                <w:szCs w:val="21"/>
                <w:highlight w:val="none"/>
                <w:u w:val="none"/>
                <w:lang w:eastAsia="zh-CN" w:bidi="ar"/>
              </w:rPr>
            </w:pPr>
            <w:r>
              <w:rPr>
                <w:rFonts w:hint="eastAsia" w:ascii="宋体" w:hAnsi="宋体" w:cs="宋体"/>
                <w:b w:val="0"/>
                <w:bCs w:val="0"/>
                <w:i w:val="0"/>
                <w:iCs w:val="0"/>
                <w:color w:val="auto"/>
                <w:kern w:val="0"/>
                <w:sz w:val="21"/>
                <w:szCs w:val="21"/>
                <w:highlight w:val="none"/>
                <w:u w:val="none"/>
                <w:lang w:val="en-US" w:eastAsia="zh-CN" w:bidi="ar"/>
              </w:rPr>
              <w:t xml:space="preserve">600.00 </w:t>
            </w:r>
          </w:p>
        </w:tc>
        <w:tc>
          <w:tcPr>
            <w:tcW w:w="1253" w:type="dxa"/>
            <w:vAlign w:val="center"/>
          </w:tcPr>
          <w:p w14:paraId="6C684FDC">
            <w:pPr>
              <w:keepNext w:val="0"/>
              <w:keepLines w:val="0"/>
              <w:widowControl/>
              <w:suppressLineNumbers w:val="0"/>
              <w:jc w:val="center"/>
              <w:textAlignment w:val="center"/>
              <w:rPr>
                <w:rFonts w:hint="eastAsia" w:ascii="宋体" w:hAnsi="宋体" w:cs="宋体"/>
                <w:b w:val="0"/>
                <w:bCs w:val="0"/>
                <w:i w:val="0"/>
                <w:iCs w:val="0"/>
                <w:color w:val="auto"/>
                <w:sz w:val="21"/>
                <w:szCs w:val="21"/>
                <w:highlight w:val="none"/>
                <w:u w:val="none"/>
                <w:lang w:val="en-US" w:eastAsia="zh-CN"/>
              </w:rPr>
            </w:pPr>
            <w:r>
              <w:rPr>
                <w:rFonts w:hint="eastAsia" w:ascii="宋体" w:hAnsi="宋体" w:cs="宋体"/>
                <w:b w:val="0"/>
                <w:bCs w:val="0"/>
                <w:i w:val="0"/>
                <w:iCs w:val="0"/>
                <w:color w:val="auto"/>
                <w:kern w:val="0"/>
                <w:sz w:val="21"/>
                <w:szCs w:val="21"/>
                <w:highlight w:val="none"/>
                <w:u w:val="none"/>
                <w:lang w:val="en-US" w:eastAsia="zh-CN" w:bidi="ar"/>
              </w:rPr>
              <w:t xml:space="preserve">30000.00 </w:t>
            </w:r>
          </w:p>
        </w:tc>
        <w:tc>
          <w:tcPr>
            <w:tcW w:w="3551" w:type="dxa"/>
            <w:vAlign w:val="center"/>
          </w:tcPr>
          <w:p w14:paraId="4712CA2F">
            <w:pPr>
              <w:keepNext w:val="0"/>
              <w:keepLines w:val="0"/>
              <w:widowControl/>
              <w:suppressLineNumbers w:val="0"/>
              <w:jc w:val="left"/>
              <w:textAlignment w:val="center"/>
              <w:rPr>
                <w:rFonts w:hint="eastAsia" w:ascii="宋体" w:hAnsi="宋体" w:eastAsia="宋体" w:cs="宋体"/>
                <w:b w:val="0"/>
                <w:bCs w:val="0"/>
                <w:color w:val="auto"/>
                <w:spacing w:val="0"/>
                <w:sz w:val="21"/>
                <w:szCs w:val="21"/>
                <w:highlight w:val="none"/>
                <w:u w:val="none"/>
                <w:lang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陶瓷工艺品，景德镇产各类形制陶瓷工艺品，尺寸不一。</w:t>
            </w:r>
          </w:p>
        </w:tc>
      </w:tr>
      <w:tr w14:paraId="014DD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558BEF9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6</w:t>
            </w:r>
          </w:p>
        </w:tc>
        <w:tc>
          <w:tcPr>
            <w:tcW w:w="1359" w:type="dxa"/>
            <w:vAlign w:val="center"/>
          </w:tcPr>
          <w:p w14:paraId="1C07B420">
            <w:pPr>
              <w:keepNext w:val="0"/>
              <w:keepLines w:val="0"/>
              <w:widowControl/>
              <w:suppressLineNumbers w:val="0"/>
              <w:jc w:val="left"/>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布展服务费</w:t>
            </w:r>
          </w:p>
        </w:tc>
        <w:tc>
          <w:tcPr>
            <w:tcW w:w="633" w:type="dxa"/>
            <w:vAlign w:val="center"/>
          </w:tcPr>
          <w:p w14:paraId="0D63AB09">
            <w:pPr>
              <w:keepNext w:val="0"/>
              <w:keepLines w:val="0"/>
              <w:widowControl/>
              <w:suppressLineNumbers w:val="0"/>
              <w:jc w:val="center"/>
              <w:textAlignment w:val="center"/>
              <w:rPr>
                <w:rFonts w:hint="eastAsia" w:ascii="宋体" w:hAnsi="宋体" w:eastAsia="宋体" w:cs="宋体"/>
                <w:b w:val="0"/>
                <w:bCs w:val="0"/>
                <w:color w:val="auto"/>
                <w:spacing w:val="0"/>
                <w:sz w:val="21"/>
                <w:szCs w:val="21"/>
                <w:highlight w:val="none"/>
                <w:u w:val="none"/>
                <w:lang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项</w:t>
            </w:r>
          </w:p>
        </w:tc>
        <w:tc>
          <w:tcPr>
            <w:tcW w:w="860" w:type="dxa"/>
            <w:vAlign w:val="center"/>
          </w:tcPr>
          <w:p w14:paraId="4787902E">
            <w:pPr>
              <w:jc w:val="center"/>
              <w:rPr>
                <w:rFonts w:hint="default" w:ascii="宋体" w:hAnsi="宋体" w:eastAsia="宋体" w:cs="宋体"/>
                <w:b w:val="0"/>
                <w:bCs w:val="0"/>
                <w:color w:val="auto"/>
                <w:spacing w:val="0"/>
                <w:sz w:val="21"/>
                <w:szCs w:val="21"/>
                <w:highlight w:val="none"/>
                <w:u w:val="none"/>
                <w:lang w:val="en-US" w:eastAsia="zh-CN" w:bidi="ar"/>
              </w:rPr>
            </w:pPr>
            <w:r>
              <w:rPr>
                <w:rFonts w:hint="eastAsia" w:ascii="宋体" w:hAnsi="宋体" w:eastAsia="宋体" w:cs="宋体"/>
                <w:b w:val="0"/>
                <w:bCs w:val="0"/>
                <w:color w:val="auto"/>
                <w:spacing w:val="0"/>
                <w:sz w:val="21"/>
                <w:szCs w:val="21"/>
                <w:highlight w:val="none"/>
                <w:u w:val="none"/>
                <w:lang w:val="en-US" w:eastAsia="zh-CN" w:bidi="ar"/>
              </w:rPr>
              <w:t>1</w:t>
            </w:r>
          </w:p>
        </w:tc>
        <w:tc>
          <w:tcPr>
            <w:tcW w:w="1149" w:type="dxa"/>
            <w:vAlign w:val="center"/>
          </w:tcPr>
          <w:p w14:paraId="04BB47B6">
            <w:pPr>
              <w:jc w:val="center"/>
              <w:rPr>
                <w:rFonts w:hint="eastAsia" w:ascii="宋体" w:hAnsi="宋体" w:eastAsia="宋体" w:cs="宋体"/>
                <w:b w:val="0"/>
                <w:bCs w:val="0"/>
                <w:color w:val="auto"/>
                <w:spacing w:val="0"/>
                <w:sz w:val="21"/>
                <w:szCs w:val="21"/>
                <w:highlight w:val="none"/>
                <w:u w:val="none"/>
                <w:lang w:eastAsia="zh-CN" w:bidi="ar"/>
              </w:rPr>
            </w:pPr>
          </w:p>
        </w:tc>
        <w:tc>
          <w:tcPr>
            <w:tcW w:w="1253" w:type="dxa"/>
            <w:vAlign w:val="center"/>
          </w:tcPr>
          <w:p w14:paraId="170CB2E8">
            <w:pPr>
              <w:keepNext w:val="0"/>
              <w:keepLines w:val="0"/>
              <w:widowControl/>
              <w:suppressLineNumbers w:val="0"/>
              <w:jc w:val="center"/>
              <w:textAlignment w:val="center"/>
              <w:rPr>
                <w:rFonts w:hint="eastAsia" w:ascii="宋体" w:hAnsi="宋体" w:cs="宋体"/>
                <w:b w:val="0"/>
                <w:bCs w:val="0"/>
                <w:i w:val="0"/>
                <w:iCs w:val="0"/>
                <w:color w:val="auto"/>
                <w:sz w:val="21"/>
                <w:szCs w:val="21"/>
                <w:highlight w:val="none"/>
                <w:u w:val="none"/>
                <w:lang w:val="en-US" w:eastAsia="zh-CN"/>
              </w:rPr>
            </w:pPr>
            <w:r>
              <w:rPr>
                <w:rFonts w:hint="eastAsia" w:ascii="宋体" w:hAnsi="宋体" w:cs="宋体"/>
                <w:b w:val="0"/>
                <w:bCs w:val="0"/>
                <w:i w:val="0"/>
                <w:iCs w:val="0"/>
                <w:color w:val="auto"/>
                <w:kern w:val="0"/>
                <w:sz w:val="21"/>
                <w:szCs w:val="21"/>
                <w:highlight w:val="none"/>
                <w:u w:val="none"/>
                <w:lang w:val="en-US" w:eastAsia="zh-CN" w:bidi="ar"/>
              </w:rPr>
              <w:t>50000.00</w:t>
            </w:r>
          </w:p>
        </w:tc>
        <w:tc>
          <w:tcPr>
            <w:tcW w:w="3551" w:type="dxa"/>
            <w:vAlign w:val="center"/>
          </w:tcPr>
          <w:p w14:paraId="581CC9E0">
            <w:pPr>
              <w:keepNext w:val="0"/>
              <w:keepLines w:val="0"/>
              <w:widowControl/>
              <w:suppressLineNumbers w:val="0"/>
              <w:jc w:val="left"/>
              <w:textAlignment w:val="center"/>
              <w:rPr>
                <w:rFonts w:hint="eastAsia" w:ascii="宋体" w:hAnsi="宋体" w:eastAsia="宋体" w:cs="宋体"/>
                <w:b w:val="0"/>
                <w:bCs w:val="0"/>
                <w:color w:val="auto"/>
                <w:spacing w:val="0"/>
                <w:sz w:val="21"/>
                <w:szCs w:val="21"/>
                <w:highlight w:val="none"/>
                <w:u w:val="none"/>
                <w:lang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含展品</w:t>
            </w:r>
            <w:r>
              <w:rPr>
                <w:rFonts w:hint="eastAsia" w:ascii="宋体" w:hAnsi="宋体" w:cs="宋体"/>
                <w:b w:val="0"/>
                <w:bCs w:val="0"/>
                <w:i w:val="0"/>
                <w:iCs w:val="0"/>
                <w:color w:val="auto"/>
                <w:kern w:val="0"/>
                <w:sz w:val="21"/>
                <w:szCs w:val="21"/>
                <w:highlight w:val="none"/>
                <w:u w:val="none"/>
                <w:lang w:val="en-US" w:eastAsia="zh-CN" w:bidi="ar"/>
              </w:rPr>
              <w:t>打包、</w:t>
            </w:r>
            <w:r>
              <w:rPr>
                <w:rFonts w:hint="eastAsia" w:ascii="宋体" w:hAnsi="宋体" w:eastAsia="宋体" w:cs="宋体"/>
                <w:b w:val="0"/>
                <w:bCs w:val="0"/>
                <w:i w:val="0"/>
                <w:iCs w:val="0"/>
                <w:color w:val="auto"/>
                <w:kern w:val="0"/>
                <w:sz w:val="21"/>
                <w:szCs w:val="21"/>
                <w:highlight w:val="none"/>
                <w:u w:val="none"/>
                <w:lang w:val="en-US" w:eastAsia="zh-CN" w:bidi="ar"/>
              </w:rPr>
              <w:t>运输、摆放、固定、清理等</w:t>
            </w:r>
          </w:p>
        </w:tc>
      </w:tr>
      <w:tr w14:paraId="6BB44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590" w:type="dxa"/>
            <w:vAlign w:val="center"/>
          </w:tcPr>
          <w:p w14:paraId="1D41073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7</w:t>
            </w:r>
          </w:p>
        </w:tc>
        <w:tc>
          <w:tcPr>
            <w:tcW w:w="1359" w:type="dxa"/>
            <w:vAlign w:val="center"/>
          </w:tcPr>
          <w:p w14:paraId="7C1BFFB8">
            <w:pPr>
              <w:keepNext w:val="0"/>
              <w:keepLines w:val="0"/>
              <w:widowControl/>
              <w:suppressLineNumbers w:val="0"/>
              <w:jc w:val="left"/>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二次设计费</w:t>
            </w:r>
          </w:p>
        </w:tc>
        <w:tc>
          <w:tcPr>
            <w:tcW w:w="633" w:type="dxa"/>
            <w:vAlign w:val="center"/>
          </w:tcPr>
          <w:p w14:paraId="4B0CA055">
            <w:pPr>
              <w:keepNext w:val="0"/>
              <w:keepLines w:val="0"/>
              <w:widowControl/>
              <w:suppressLineNumbers w:val="0"/>
              <w:jc w:val="center"/>
              <w:textAlignment w:val="center"/>
              <w:rPr>
                <w:rFonts w:hint="eastAsia" w:ascii="宋体" w:hAnsi="宋体" w:eastAsia="宋体" w:cs="宋体"/>
                <w:b w:val="0"/>
                <w:bCs w:val="0"/>
                <w:color w:val="auto"/>
                <w:spacing w:val="0"/>
                <w:sz w:val="21"/>
                <w:szCs w:val="21"/>
                <w:highlight w:val="none"/>
                <w:u w:val="none"/>
                <w:lang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项</w:t>
            </w:r>
          </w:p>
        </w:tc>
        <w:tc>
          <w:tcPr>
            <w:tcW w:w="860" w:type="dxa"/>
            <w:vAlign w:val="center"/>
          </w:tcPr>
          <w:p w14:paraId="768681CC">
            <w:pPr>
              <w:jc w:val="center"/>
              <w:rPr>
                <w:rFonts w:hint="default" w:ascii="宋体" w:hAnsi="宋体" w:eastAsia="宋体" w:cs="宋体"/>
                <w:b w:val="0"/>
                <w:bCs w:val="0"/>
                <w:color w:val="auto"/>
                <w:spacing w:val="0"/>
                <w:sz w:val="21"/>
                <w:szCs w:val="21"/>
                <w:highlight w:val="none"/>
                <w:u w:val="none"/>
                <w:lang w:val="en-US" w:eastAsia="zh-CN" w:bidi="ar"/>
              </w:rPr>
            </w:pPr>
            <w:r>
              <w:rPr>
                <w:rFonts w:hint="eastAsia" w:ascii="宋体" w:hAnsi="宋体" w:eastAsia="宋体" w:cs="宋体"/>
                <w:b w:val="0"/>
                <w:bCs w:val="0"/>
                <w:color w:val="auto"/>
                <w:spacing w:val="0"/>
                <w:sz w:val="21"/>
                <w:szCs w:val="21"/>
                <w:highlight w:val="none"/>
                <w:u w:val="none"/>
                <w:lang w:val="en-US" w:eastAsia="zh-CN" w:bidi="ar"/>
              </w:rPr>
              <w:t>1</w:t>
            </w:r>
          </w:p>
        </w:tc>
        <w:tc>
          <w:tcPr>
            <w:tcW w:w="1149" w:type="dxa"/>
            <w:vAlign w:val="center"/>
          </w:tcPr>
          <w:p w14:paraId="1C55B7A2">
            <w:pPr>
              <w:jc w:val="center"/>
              <w:rPr>
                <w:rFonts w:hint="eastAsia" w:ascii="宋体" w:hAnsi="宋体" w:eastAsia="宋体" w:cs="宋体"/>
                <w:b w:val="0"/>
                <w:bCs w:val="0"/>
                <w:color w:val="auto"/>
                <w:spacing w:val="0"/>
                <w:sz w:val="21"/>
                <w:szCs w:val="21"/>
                <w:highlight w:val="none"/>
                <w:u w:val="none"/>
                <w:lang w:eastAsia="zh-CN" w:bidi="ar"/>
              </w:rPr>
            </w:pPr>
          </w:p>
        </w:tc>
        <w:tc>
          <w:tcPr>
            <w:tcW w:w="1253" w:type="dxa"/>
            <w:vAlign w:val="center"/>
          </w:tcPr>
          <w:p w14:paraId="4A2F70BF">
            <w:pPr>
              <w:keepNext w:val="0"/>
              <w:keepLines w:val="0"/>
              <w:widowControl/>
              <w:suppressLineNumbers w:val="0"/>
              <w:jc w:val="center"/>
              <w:textAlignment w:val="center"/>
              <w:rPr>
                <w:rFonts w:hint="eastAsia" w:ascii="宋体" w:hAnsi="宋体" w:cs="宋体"/>
                <w:b w:val="0"/>
                <w:bCs w:val="0"/>
                <w:i w:val="0"/>
                <w:iCs w:val="0"/>
                <w:color w:val="auto"/>
                <w:sz w:val="21"/>
                <w:szCs w:val="21"/>
                <w:highlight w:val="none"/>
                <w:u w:val="none"/>
                <w:lang w:val="en-US" w:eastAsia="zh-CN"/>
              </w:rPr>
            </w:pPr>
            <w:r>
              <w:rPr>
                <w:rFonts w:hint="eastAsia" w:ascii="宋体" w:hAnsi="宋体" w:cs="宋体"/>
                <w:b w:val="0"/>
                <w:bCs w:val="0"/>
                <w:i w:val="0"/>
                <w:iCs w:val="0"/>
                <w:color w:val="auto"/>
                <w:kern w:val="0"/>
                <w:sz w:val="21"/>
                <w:szCs w:val="21"/>
                <w:highlight w:val="none"/>
                <w:u w:val="none"/>
                <w:lang w:val="en-US" w:eastAsia="zh-CN" w:bidi="ar"/>
              </w:rPr>
              <w:t>9648.99</w:t>
            </w:r>
            <w:r>
              <w:rPr>
                <w:rFonts w:hint="eastAsia" w:ascii="宋体" w:hAnsi="宋体" w:eastAsia="宋体" w:cs="宋体"/>
                <w:b w:val="0"/>
                <w:bCs w:val="0"/>
                <w:i w:val="0"/>
                <w:iCs w:val="0"/>
                <w:color w:val="auto"/>
                <w:kern w:val="0"/>
                <w:sz w:val="21"/>
                <w:szCs w:val="21"/>
                <w:highlight w:val="none"/>
                <w:u w:val="none"/>
                <w:lang w:val="en-US" w:eastAsia="zh-CN" w:bidi="ar"/>
              </w:rPr>
              <w:t xml:space="preserve"> </w:t>
            </w:r>
          </w:p>
        </w:tc>
        <w:tc>
          <w:tcPr>
            <w:tcW w:w="3551" w:type="dxa"/>
            <w:vAlign w:val="center"/>
          </w:tcPr>
          <w:p w14:paraId="38AAFD88">
            <w:pPr>
              <w:keepNext w:val="0"/>
              <w:keepLines w:val="0"/>
              <w:widowControl/>
              <w:suppressLineNumbers w:val="0"/>
              <w:jc w:val="left"/>
              <w:textAlignment w:val="center"/>
              <w:rPr>
                <w:rFonts w:hint="eastAsia" w:ascii="宋体" w:hAnsi="宋体" w:eastAsia="宋体" w:cs="宋体"/>
                <w:b w:val="0"/>
                <w:bCs w:val="0"/>
                <w:color w:val="auto"/>
                <w:spacing w:val="0"/>
                <w:sz w:val="21"/>
                <w:szCs w:val="21"/>
                <w:highlight w:val="none"/>
                <w:u w:val="none"/>
                <w:lang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设计费组成=（立体字+图文展板+图文展板+景德镇仿名窑陶瓷工艺品）*1%</w:t>
            </w:r>
          </w:p>
        </w:tc>
      </w:tr>
      <w:tr w14:paraId="5CCFE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395" w:type="dxa"/>
            <w:gridSpan w:val="7"/>
            <w:vAlign w:val="center"/>
          </w:tcPr>
          <w:p w14:paraId="2153F2F6">
            <w:pPr>
              <w:keepNext w:val="0"/>
              <w:keepLines w:val="0"/>
              <w:widowControl/>
              <w:suppressLineNumbers w:val="0"/>
              <w:spacing w:line="279" w:lineRule="auto"/>
              <w:jc w:val="left"/>
              <w:textAlignment w:val="auto"/>
              <w:rPr>
                <w:rFonts w:hint="eastAsia" w:ascii="宋体" w:hAnsi="宋体" w:eastAsia="宋体" w:cs="宋体"/>
                <w:color w:val="auto"/>
                <w:spacing w:val="0"/>
                <w:sz w:val="21"/>
                <w:szCs w:val="21"/>
                <w:highlight w:val="none"/>
                <w:u w:val="none"/>
                <w:lang w:eastAsia="zh-CN" w:bidi="ar"/>
              </w:rPr>
            </w:pPr>
            <w:r>
              <w:rPr>
                <w:b/>
                <w:bCs/>
                <w:color w:val="auto"/>
                <w:spacing w:val="5"/>
                <w:highlight w:val="none"/>
              </w:rPr>
              <w:t>▲商务要求</w:t>
            </w:r>
          </w:p>
        </w:tc>
      </w:tr>
      <w:tr w14:paraId="42F7D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center"/>
          </w:tcPr>
          <w:p w14:paraId="10365D1B">
            <w:pPr>
              <w:jc w:val="left"/>
              <w:rPr>
                <w:rFonts w:hint="default" w:ascii="宋体" w:hAnsi="宋体" w:eastAsia="宋体" w:cs="宋体"/>
                <w:b w:val="0"/>
                <w:bCs w:val="0"/>
                <w:i w:val="0"/>
                <w:iCs w:val="0"/>
                <w:color w:val="auto"/>
                <w:kern w:val="0"/>
                <w:sz w:val="21"/>
                <w:szCs w:val="21"/>
                <w:highlight w:val="none"/>
                <w:u w:val="none"/>
                <w:lang w:val="en-US" w:eastAsia="zh-CN" w:bidi="ar"/>
              </w:rPr>
            </w:pPr>
            <w:r>
              <w:rPr>
                <w:color w:val="auto"/>
                <w:spacing w:val="0"/>
                <w:highlight w:val="none"/>
              </w:rPr>
              <w:t>合同履行期限和地点</w:t>
            </w:r>
          </w:p>
        </w:tc>
        <w:tc>
          <w:tcPr>
            <w:tcW w:w="6813" w:type="dxa"/>
            <w:gridSpan w:val="4"/>
            <w:vAlign w:val="center"/>
          </w:tcPr>
          <w:p w14:paraId="4880EC35">
            <w:pPr>
              <w:pStyle w:val="12"/>
              <w:spacing w:before="113" w:line="227" w:lineRule="auto"/>
              <w:ind w:left="128"/>
              <w:rPr>
                <w:color w:val="auto"/>
                <w:spacing w:val="6"/>
                <w:sz w:val="21"/>
                <w:szCs w:val="21"/>
                <w:highlight w:val="none"/>
              </w:rPr>
            </w:pPr>
            <w:r>
              <w:rPr>
                <w:color w:val="auto"/>
                <w:spacing w:val="6"/>
                <w:sz w:val="21"/>
                <w:szCs w:val="21"/>
                <w:highlight w:val="none"/>
              </w:rPr>
              <w:t>1.合同履行期限： 自合同签订之日起</w:t>
            </w:r>
            <w:r>
              <w:rPr>
                <w:rFonts w:hint="eastAsia"/>
                <w:color w:val="auto"/>
                <w:spacing w:val="6"/>
                <w:sz w:val="21"/>
                <w:szCs w:val="21"/>
                <w:highlight w:val="none"/>
                <w:lang w:val="en-US" w:eastAsia="zh-CN"/>
              </w:rPr>
              <w:t>60</w:t>
            </w:r>
            <w:r>
              <w:rPr>
                <w:color w:val="auto"/>
                <w:spacing w:val="6"/>
                <w:sz w:val="21"/>
                <w:szCs w:val="21"/>
                <w:highlight w:val="none"/>
              </w:rPr>
              <w:t>个</w:t>
            </w:r>
            <w:r>
              <w:rPr>
                <w:rFonts w:hint="eastAsia"/>
                <w:color w:val="auto"/>
                <w:spacing w:val="6"/>
                <w:sz w:val="21"/>
                <w:szCs w:val="21"/>
                <w:highlight w:val="none"/>
                <w:lang w:eastAsia="zh-CN"/>
              </w:rPr>
              <w:t>日历日</w:t>
            </w:r>
            <w:r>
              <w:rPr>
                <w:color w:val="auto"/>
                <w:spacing w:val="6"/>
                <w:sz w:val="21"/>
                <w:szCs w:val="21"/>
                <w:highlight w:val="none"/>
              </w:rPr>
              <w:t>内交货完毕并交付使用。</w:t>
            </w:r>
          </w:p>
          <w:p w14:paraId="17DA39DB">
            <w:pPr>
              <w:pStyle w:val="12"/>
              <w:spacing w:before="113" w:line="227" w:lineRule="auto"/>
              <w:ind w:left="128"/>
              <w:rPr>
                <w:rFonts w:hint="eastAsia" w:ascii="宋体" w:hAnsi="宋体" w:eastAsia="宋体" w:cs="宋体"/>
                <w:color w:val="auto"/>
                <w:spacing w:val="0"/>
                <w:sz w:val="21"/>
                <w:szCs w:val="21"/>
                <w:highlight w:val="none"/>
                <w:u w:val="none"/>
                <w:lang w:eastAsia="zh-CN" w:bidi="ar"/>
              </w:rPr>
            </w:pPr>
            <w:r>
              <w:rPr>
                <w:color w:val="auto"/>
                <w:spacing w:val="6"/>
                <w:sz w:val="21"/>
                <w:szCs w:val="21"/>
                <w:highlight w:val="none"/>
              </w:rPr>
              <w:t>2.交付地点：具体位置由采购人指定。</w:t>
            </w:r>
          </w:p>
        </w:tc>
      </w:tr>
      <w:tr w14:paraId="10843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center"/>
          </w:tcPr>
          <w:p w14:paraId="22AFC7E4">
            <w:pPr>
              <w:jc w:val="left"/>
              <w:rPr>
                <w:rFonts w:hint="default" w:ascii="宋体" w:hAnsi="宋体" w:eastAsia="宋体" w:cs="宋体"/>
                <w:b w:val="0"/>
                <w:bCs w:val="0"/>
                <w:i w:val="0"/>
                <w:iCs w:val="0"/>
                <w:color w:val="auto"/>
                <w:kern w:val="0"/>
                <w:sz w:val="21"/>
                <w:szCs w:val="21"/>
                <w:highlight w:val="none"/>
                <w:u w:val="none"/>
                <w:lang w:val="en-US" w:eastAsia="zh-CN" w:bidi="ar"/>
              </w:rPr>
            </w:pPr>
            <w:r>
              <w:rPr>
                <w:color w:val="auto"/>
                <w:spacing w:val="0"/>
                <w:highlight w:val="none"/>
              </w:rPr>
              <w:t>合同签订时间</w:t>
            </w:r>
          </w:p>
        </w:tc>
        <w:tc>
          <w:tcPr>
            <w:tcW w:w="6813" w:type="dxa"/>
            <w:gridSpan w:val="4"/>
            <w:vAlign w:val="top"/>
          </w:tcPr>
          <w:p w14:paraId="5DF47871">
            <w:pPr>
              <w:pStyle w:val="12"/>
              <w:spacing w:before="114" w:line="222" w:lineRule="auto"/>
              <w:ind w:left="147" w:leftChars="0"/>
              <w:rPr>
                <w:rFonts w:hint="eastAsia" w:ascii="宋体" w:hAnsi="宋体" w:eastAsia="宋体" w:cs="宋体"/>
                <w:color w:val="auto"/>
                <w:spacing w:val="0"/>
                <w:sz w:val="21"/>
                <w:szCs w:val="21"/>
                <w:highlight w:val="none"/>
                <w:u w:val="none"/>
                <w:lang w:eastAsia="zh-CN" w:bidi="ar"/>
              </w:rPr>
            </w:pPr>
            <w:r>
              <w:rPr>
                <w:color w:val="auto"/>
                <w:spacing w:val="6"/>
                <w:sz w:val="21"/>
                <w:szCs w:val="21"/>
                <w:highlight w:val="none"/>
              </w:rPr>
              <w:t>自成交通知书发出之日起 25 日内。</w:t>
            </w:r>
          </w:p>
        </w:tc>
      </w:tr>
      <w:tr w14:paraId="552ED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center"/>
          </w:tcPr>
          <w:p w14:paraId="3F35F2D1">
            <w:pPr>
              <w:spacing w:line="240" w:lineRule="auto"/>
              <w:jc w:val="left"/>
              <w:rPr>
                <w:rFonts w:ascii="Arial"/>
                <w:color w:val="auto"/>
                <w:sz w:val="21"/>
                <w:highlight w:val="none"/>
              </w:rPr>
            </w:pPr>
          </w:p>
          <w:p w14:paraId="39687A9E">
            <w:pPr>
              <w:jc w:val="left"/>
              <w:rPr>
                <w:rFonts w:hint="default" w:ascii="宋体" w:hAnsi="宋体" w:eastAsia="宋体" w:cs="宋体"/>
                <w:b w:val="0"/>
                <w:bCs w:val="0"/>
                <w:i w:val="0"/>
                <w:iCs w:val="0"/>
                <w:color w:val="auto"/>
                <w:kern w:val="0"/>
                <w:sz w:val="21"/>
                <w:szCs w:val="21"/>
                <w:highlight w:val="none"/>
                <w:u w:val="none"/>
                <w:lang w:val="en-US" w:eastAsia="zh-CN" w:bidi="ar"/>
              </w:rPr>
            </w:pPr>
            <w:r>
              <w:rPr>
                <w:color w:val="auto"/>
                <w:spacing w:val="0"/>
                <w:highlight w:val="none"/>
              </w:rPr>
              <w:t>报价要求</w:t>
            </w:r>
          </w:p>
        </w:tc>
        <w:tc>
          <w:tcPr>
            <w:tcW w:w="6813" w:type="dxa"/>
            <w:gridSpan w:val="4"/>
            <w:vAlign w:val="top"/>
          </w:tcPr>
          <w:p w14:paraId="68A7DF80">
            <w:pPr>
              <w:pStyle w:val="12"/>
              <w:spacing w:before="114" w:line="332" w:lineRule="auto"/>
              <w:ind w:left="114" w:right="111" w:firstLine="13"/>
              <w:rPr>
                <w:color w:val="auto"/>
                <w:sz w:val="21"/>
                <w:szCs w:val="21"/>
                <w:highlight w:val="none"/>
              </w:rPr>
            </w:pPr>
            <w:r>
              <w:rPr>
                <w:color w:val="auto"/>
                <w:spacing w:val="10"/>
                <w:sz w:val="21"/>
                <w:szCs w:val="21"/>
                <w:highlight w:val="none"/>
              </w:rPr>
              <w:t>1.采购预算：</w:t>
            </w:r>
            <w:r>
              <w:rPr>
                <w:rFonts w:hint="eastAsia"/>
                <w:color w:val="auto"/>
                <w:spacing w:val="10"/>
                <w:sz w:val="21"/>
                <w:szCs w:val="21"/>
                <w:highlight w:val="none"/>
                <w:lang w:val="en-US" w:eastAsia="zh-CN"/>
              </w:rPr>
              <w:t>1024548.08</w:t>
            </w:r>
            <w:r>
              <w:rPr>
                <w:color w:val="auto"/>
                <w:spacing w:val="10"/>
                <w:sz w:val="21"/>
                <w:szCs w:val="21"/>
                <w:highlight w:val="none"/>
              </w:rPr>
              <w:t>元；</w:t>
            </w:r>
            <w:r>
              <w:rPr>
                <w:b/>
                <w:bCs/>
                <w:color w:val="auto"/>
                <w:spacing w:val="10"/>
                <w:sz w:val="21"/>
                <w:szCs w:val="21"/>
                <w:highlight w:val="none"/>
              </w:rPr>
              <w:t>供应商谈判报价超过采购预算的，按</w:t>
            </w:r>
            <w:r>
              <w:rPr>
                <w:b/>
                <w:bCs/>
                <w:color w:val="auto"/>
                <w:spacing w:val="5"/>
                <w:sz w:val="21"/>
                <w:szCs w:val="21"/>
                <w:highlight w:val="none"/>
              </w:rPr>
              <w:t>无效响应处理。</w:t>
            </w:r>
          </w:p>
          <w:p w14:paraId="4E5C5822">
            <w:pPr>
              <w:pStyle w:val="12"/>
              <w:spacing w:before="1" w:line="296" w:lineRule="auto"/>
              <w:ind w:left="111" w:leftChars="0" w:right="109" w:rightChars="0" w:firstLine="3" w:firstLineChars="0"/>
              <w:rPr>
                <w:rFonts w:hint="eastAsia" w:ascii="宋体" w:hAnsi="宋体" w:eastAsia="宋体" w:cs="宋体"/>
                <w:color w:val="auto"/>
                <w:spacing w:val="0"/>
                <w:sz w:val="21"/>
                <w:szCs w:val="21"/>
                <w:highlight w:val="none"/>
                <w:u w:val="none"/>
                <w:lang w:eastAsia="zh-CN" w:bidi="ar"/>
              </w:rPr>
            </w:pPr>
            <w:r>
              <w:rPr>
                <w:color w:val="auto"/>
                <w:spacing w:val="15"/>
                <w:sz w:val="21"/>
                <w:szCs w:val="21"/>
                <w:highlight w:val="none"/>
              </w:rPr>
              <w:t>2.竞标报价应包括但不限于竞标货物的价格，竞标货物及其附件的设计、</w:t>
            </w:r>
            <w:r>
              <w:rPr>
                <w:color w:val="auto"/>
                <w:spacing w:val="16"/>
                <w:sz w:val="21"/>
                <w:szCs w:val="21"/>
                <w:highlight w:val="none"/>
              </w:rPr>
              <w:t>采购、制造、出厂检测、试验、运输、保险、安装、</w:t>
            </w:r>
            <w:r>
              <w:rPr>
                <w:color w:val="auto"/>
                <w:spacing w:val="15"/>
                <w:sz w:val="21"/>
                <w:szCs w:val="21"/>
                <w:highlight w:val="none"/>
              </w:rPr>
              <w:t>调试、验收、培训、</w:t>
            </w:r>
            <w:r>
              <w:rPr>
                <w:color w:val="auto"/>
                <w:spacing w:val="16"/>
                <w:sz w:val="21"/>
                <w:szCs w:val="21"/>
                <w:highlight w:val="none"/>
              </w:rPr>
              <w:t>技术服务、保修期保障等一切税金和费用。谈判供应</w:t>
            </w:r>
            <w:r>
              <w:rPr>
                <w:color w:val="auto"/>
                <w:spacing w:val="15"/>
                <w:sz w:val="21"/>
                <w:szCs w:val="21"/>
                <w:highlight w:val="none"/>
              </w:rPr>
              <w:t>商在固定总价中必须</w:t>
            </w:r>
            <w:r>
              <w:rPr>
                <w:color w:val="auto"/>
                <w:spacing w:val="16"/>
                <w:sz w:val="21"/>
                <w:szCs w:val="21"/>
                <w:highlight w:val="none"/>
              </w:rPr>
              <w:t>考虑各种风险费用。在合同履行过程中，采购人不予</w:t>
            </w:r>
            <w:r>
              <w:rPr>
                <w:color w:val="auto"/>
                <w:spacing w:val="15"/>
                <w:sz w:val="21"/>
                <w:szCs w:val="21"/>
                <w:highlight w:val="none"/>
              </w:rPr>
              <w:t>支付合同以外的其他费用。谈判供应商负责工人人身、设备安全责任，验收前，设备丢失自行</w:t>
            </w:r>
            <w:r>
              <w:rPr>
                <w:color w:val="auto"/>
                <w:sz w:val="21"/>
                <w:szCs w:val="21"/>
                <w:highlight w:val="none"/>
              </w:rPr>
              <w:t>负责</w:t>
            </w:r>
            <w:r>
              <w:rPr>
                <w:rFonts w:hint="eastAsia"/>
                <w:color w:val="auto"/>
                <w:sz w:val="21"/>
                <w:szCs w:val="21"/>
                <w:highlight w:val="none"/>
                <w:lang w:eastAsia="zh-CN"/>
              </w:rPr>
              <w:t>。</w:t>
            </w:r>
          </w:p>
        </w:tc>
      </w:tr>
      <w:tr w14:paraId="3A869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center"/>
          </w:tcPr>
          <w:p w14:paraId="5DE8B460">
            <w:pPr>
              <w:spacing w:line="240" w:lineRule="auto"/>
              <w:jc w:val="left"/>
              <w:rPr>
                <w:rFonts w:ascii="宋体" w:hAnsi="宋体" w:eastAsia="宋体" w:cs="宋体"/>
                <w:color w:val="auto"/>
                <w:spacing w:val="10"/>
                <w:sz w:val="21"/>
                <w:szCs w:val="21"/>
                <w:highlight w:val="none"/>
              </w:rPr>
            </w:pPr>
          </w:p>
          <w:p w14:paraId="7464A548">
            <w:pPr>
              <w:jc w:val="left"/>
              <w:rPr>
                <w:rFonts w:hint="default" w:ascii="宋体" w:hAnsi="宋体" w:eastAsia="宋体" w:cs="宋体"/>
                <w:b w:val="0"/>
                <w:bCs w:val="0"/>
                <w:i w:val="0"/>
                <w:iCs w:val="0"/>
                <w:color w:val="auto"/>
                <w:spacing w:val="10"/>
                <w:kern w:val="0"/>
                <w:sz w:val="21"/>
                <w:szCs w:val="21"/>
                <w:highlight w:val="none"/>
                <w:u w:val="none"/>
                <w:lang w:val="en-US" w:eastAsia="en-US" w:bidi="ar-SA"/>
              </w:rPr>
            </w:pPr>
            <w:r>
              <w:rPr>
                <w:rFonts w:ascii="宋体" w:hAnsi="宋体" w:eastAsia="宋体" w:cs="宋体"/>
                <w:color w:val="auto"/>
                <w:spacing w:val="10"/>
                <w:sz w:val="21"/>
                <w:szCs w:val="21"/>
                <w:highlight w:val="none"/>
              </w:rPr>
              <w:t>付款方式</w:t>
            </w:r>
          </w:p>
        </w:tc>
        <w:tc>
          <w:tcPr>
            <w:tcW w:w="6813" w:type="dxa"/>
            <w:gridSpan w:val="4"/>
            <w:vAlign w:val="center"/>
          </w:tcPr>
          <w:p w14:paraId="4A6191BB">
            <w:pPr>
              <w:pStyle w:val="12"/>
              <w:spacing w:before="109" w:line="332" w:lineRule="auto"/>
              <w:ind w:left="117" w:right="109" w:firstLine="9"/>
              <w:rPr>
                <w:color w:val="auto"/>
                <w:spacing w:val="10"/>
                <w:sz w:val="21"/>
                <w:szCs w:val="21"/>
                <w:highlight w:val="none"/>
              </w:rPr>
            </w:pPr>
            <w:r>
              <w:rPr>
                <w:color w:val="auto"/>
                <w:spacing w:val="10"/>
                <w:sz w:val="21"/>
                <w:szCs w:val="21"/>
                <w:highlight w:val="none"/>
              </w:rPr>
              <w:t>1.预付款：合同签订</w:t>
            </w:r>
            <w:r>
              <w:rPr>
                <w:rFonts w:hint="eastAsia"/>
                <w:color w:val="auto"/>
                <w:spacing w:val="10"/>
                <w:sz w:val="21"/>
                <w:szCs w:val="21"/>
                <w:highlight w:val="none"/>
                <w:lang w:eastAsia="zh-CN"/>
              </w:rPr>
              <w:t>后</w:t>
            </w:r>
            <w:r>
              <w:rPr>
                <w:color w:val="auto"/>
                <w:spacing w:val="10"/>
                <w:sz w:val="21"/>
                <w:szCs w:val="21"/>
                <w:highlight w:val="none"/>
              </w:rPr>
              <w:t>，</w:t>
            </w:r>
            <w:r>
              <w:rPr>
                <w:rFonts w:hint="eastAsia"/>
                <w:color w:val="auto"/>
                <w:spacing w:val="10"/>
                <w:sz w:val="21"/>
                <w:szCs w:val="21"/>
                <w:highlight w:val="none"/>
                <w:lang w:eastAsia="zh-CN"/>
              </w:rPr>
              <w:t>待财政资金下达，</w:t>
            </w:r>
            <w:r>
              <w:rPr>
                <w:color w:val="auto"/>
                <w:spacing w:val="10"/>
                <w:sz w:val="21"/>
                <w:szCs w:val="21"/>
                <w:highlight w:val="none"/>
              </w:rPr>
              <w:t>采购人向成交供应商支付合同总额的</w:t>
            </w:r>
            <w:r>
              <w:rPr>
                <w:rFonts w:hint="eastAsia"/>
                <w:color w:val="auto"/>
                <w:spacing w:val="10"/>
                <w:sz w:val="21"/>
                <w:szCs w:val="21"/>
                <w:highlight w:val="none"/>
                <w:lang w:val="en-US" w:eastAsia="zh-CN"/>
              </w:rPr>
              <w:t>50</w:t>
            </w:r>
            <w:r>
              <w:rPr>
                <w:color w:val="auto"/>
                <w:spacing w:val="10"/>
                <w:sz w:val="21"/>
                <w:szCs w:val="21"/>
                <w:highlight w:val="none"/>
              </w:rPr>
              <w:t>%预付款。</w:t>
            </w:r>
          </w:p>
          <w:p w14:paraId="28FAAAFC">
            <w:pPr>
              <w:pStyle w:val="12"/>
              <w:spacing w:line="332" w:lineRule="auto"/>
              <w:ind w:left="115" w:right="109" w:hanging="1"/>
              <w:rPr>
                <w:color w:val="auto"/>
                <w:spacing w:val="10"/>
                <w:sz w:val="21"/>
                <w:szCs w:val="21"/>
                <w:highlight w:val="none"/>
              </w:rPr>
            </w:pPr>
            <w:r>
              <w:rPr>
                <w:color w:val="auto"/>
                <w:spacing w:val="10"/>
                <w:sz w:val="21"/>
                <w:szCs w:val="21"/>
                <w:highlight w:val="none"/>
              </w:rPr>
              <w:t>2.验收款：设备安装调试完成并验收合格</w:t>
            </w:r>
            <w:r>
              <w:rPr>
                <w:rFonts w:hint="eastAsia"/>
                <w:color w:val="auto"/>
                <w:spacing w:val="10"/>
                <w:sz w:val="21"/>
                <w:szCs w:val="21"/>
                <w:highlight w:val="none"/>
                <w:lang w:eastAsia="zh-CN"/>
              </w:rPr>
              <w:t>，待财政资金下达后</w:t>
            </w:r>
            <w:r>
              <w:rPr>
                <w:color w:val="auto"/>
                <w:spacing w:val="10"/>
                <w:sz w:val="21"/>
                <w:szCs w:val="21"/>
                <w:highlight w:val="none"/>
              </w:rPr>
              <w:t>支付合同总额</w:t>
            </w:r>
            <w:r>
              <w:rPr>
                <w:rFonts w:hint="eastAsia"/>
                <w:color w:val="auto"/>
                <w:spacing w:val="10"/>
                <w:sz w:val="21"/>
                <w:szCs w:val="21"/>
                <w:highlight w:val="none"/>
                <w:lang w:val="en-US" w:eastAsia="zh-CN"/>
              </w:rPr>
              <w:t>50</w:t>
            </w:r>
            <w:r>
              <w:rPr>
                <w:color w:val="auto"/>
                <w:spacing w:val="10"/>
                <w:sz w:val="21"/>
                <w:szCs w:val="21"/>
                <w:highlight w:val="none"/>
              </w:rPr>
              <w:t>%。</w:t>
            </w:r>
          </w:p>
          <w:p w14:paraId="7CA86F7F">
            <w:pPr>
              <w:keepNext w:val="0"/>
              <w:keepLines w:val="0"/>
              <w:widowControl/>
              <w:suppressLineNumbers w:val="0"/>
              <w:spacing w:line="279" w:lineRule="auto"/>
              <w:ind w:firstLine="230" w:firstLineChars="100"/>
              <w:jc w:val="left"/>
              <w:textAlignment w:val="auto"/>
              <w:rPr>
                <w:rFonts w:hint="default" w:ascii="宋体" w:hAnsi="宋体" w:eastAsia="宋体" w:cs="宋体"/>
                <w:color w:val="auto"/>
                <w:spacing w:val="10"/>
                <w:sz w:val="21"/>
                <w:szCs w:val="21"/>
                <w:highlight w:val="none"/>
                <w:u w:val="none"/>
                <w:lang w:eastAsia="en-US" w:bidi="ar-SA"/>
              </w:rPr>
            </w:pPr>
            <w:r>
              <w:rPr>
                <w:rFonts w:ascii="宋体" w:hAnsi="宋体" w:eastAsia="宋体" w:cs="宋体"/>
                <w:color w:val="auto"/>
                <w:spacing w:val="10"/>
                <w:sz w:val="21"/>
                <w:szCs w:val="21"/>
                <w:highlight w:val="none"/>
              </w:rPr>
              <w:t>3.成交供应商每次申请付款前，应向采购人开具等额有效的增值税发票。采购人未收到发票的，有权不予支付相应款项直至成交供应商提供合格发票，并不承担延迟付款责任，发票认证通过是付款的必要前提之一。</w:t>
            </w:r>
          </w:p>
        </w:tc>
      </w:tr>
      <w:tr w14:paraId="1114A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center"/>
          </w:tcPr>
          <w:p w14:paraId="74F9B689">
            <w:pPr>
              <w:spacing w:line="240" w:lineRule="auto"/>
              <w:jc w:val="left"/>
              <w:rPr>
                <w:rFonts w:ascii="Arial"/>
                <w:color w:val="auto"/>
                <w:sz w:val="21"/>
                <w:highlight w:val="none"/>
              </w:rPr>
            </w:pPr>
          </w:p>
          <w:p w14:paraId="6AE592D7">
            <w:pPr>
              <w:jc w:val="left"/>
              <w:rPr>
                <w:rFonts w:hint="default" w:ascii="宋体" w:hAnsi="宋体" w:eastAsia="宋体" w:cs="宋体"/>
                <w:b w:val="0"/>
                <w:bCs w:val="0"/>
                <w:i w:val="0"/>
                <w:iCs w:val="0"/>
                <w:color w:val="auto"/>
                <w:kern w:val="0"/>
                <w:sz w:val="21"/>
                <w:szCs w:val="21"/>
                <w:highlight w:val="none"/>
                <w:u w:val="none"/>
                <w:lang w:val="en-US" w:eastAsia="zh-CN" w:bidi="ar"/>
              </w:rPr>
            </w:pPr>
            <w:r>
              <w:rPr>
                <w:color w:val="auto"/>
                <w:spacing w:val="0"/>
                <w:highlight w:val="none"/>
              </w:rPr>
              <w:t>售后服务要求</w:t>
            </w:r>
          </w:p>
        </w:tc>
        <w:tc>
          <w:tcPr>
            <w:tcW w:w="6813" w:type="dxa"/>
            <w:gridSpan w:val="4"/>
            <w:vAlign w:val="center"/>
          </w:tcPr>
          <w:p w14:paraId="28D75564">
            <w:pPr>
              <w:pStyle w:val="12"/>
              <w:spacing w:before="110" w:line="332" w:lineRule="auto"/>
              <w:ind w:left="113" w:right="109" w:firstLine="13"/>
              <w:rPr>
                <w:color w:val="auto"/>
                <w:sz w:val="21"/>
                <w:szCs w:val="21"/>
                <w:highlight w:val="none"/>
              </w:rPr>
            </w:pPr>
            <w:r>
              <w:rPr>
                <w:color w:val="auto"/>
                <w:spacing w:val="13"/>
                <w:sz w:val="21"/>
                <w:szCs w:val="21"/>
                <w:highlight w:val="none"/>
              </w:rPr>
              <w:t>1.按国家有关产品“三包</w:t>
            </w:r>
            <w:r>
              <w:rPr>
                <w:color w:val="auto"/>
                <w:spacing w:val="-65"/>
                <w:sz w:val="21"/>
                <w:szCs w:val="21"/>
                <w:highlight w:val="none"/>
              </w:rPr>
              <w:t xml:space="preserve"> </w:t>
            </w:r>
            <w:r>
              <w:rPr>
                <w:color w:val="auto"/>
                <w:spacing w:val="13"/>
                <w:sz w:val="21"/>
                <w:szCs w:val="21"/>
                <w:highlight w:val="none"/>
              </w:rPr>
              <w:t>”规定执行“三包</w:t>
            </w:r>
            <w:r>
              <w:rPr>
                <w:color w:val="auto"/>
                <w:spacing w:val="-65"/>
                <w:sz w:val="21"/>
                <w:szCs w:val="21"/>
                <w:highlight w:val="none"/>
              </w:rPr>
              <w:t xml:space="preserve"> </w:t>
            </w:r>
            <w:r>
              <w:rPr>
                <w:color w:val="auto"/>
                <w:spacing w:val="13"/>
                <w:sz w:val="21"/>
                <w:szCs w:val="21"/>
                <w:highlight w:val="none"/>
              </w:rPr>
              <w:t>”</w:t>
            </w:r>
            <w:r>
              <w:rPr>
                <w:color w:val="auto"/>
                <w:spacing w:val="12"/>
                <w:sz w:val="21"/>
                <w:szCs w:val="21"/>
                <w:highlight w:val="none"/>
              </w:rPr>
              <w:t>，保修期除采购需求中有特</w:t>
            </w:r>
            <w:r>
              <w:rPr>
                <w:color w:val="auto"/>
                <w:spacing w:val="14"/>
                <w:sz w:val="21"/>
                <w:szCs w:val="21"/>
                <w:highlight w:val="none"/>
              </w:rPr>
              <w:t>别注明外，最短不得少于</w:t>
            </w:r>
            <w:r>
              <w:rPr>
                <w:color w:val="auto"/>
                <w:spacing w:val="-15"/>
                <w:sz w:val="21"/>
                <w:szCs w:val="21"/>
                <w:highlight w:val="none"/>
              </w:rPr>
              <w:t xml:space="preserve"> </w:t>
            </w:r>
            <w:r>
              <w:rPr>
                <w:color w:val="auto"/>
                <w:spacing w:val="14"/>
                <w:sz w:val="21"/>
                <w:szCs w:val="21"/>
                <w:highlight w:val="none"/>
              </w:rPr>
              <w:t>1</w:t>
            </w:r>
            <w:r>
              <w:rPr>
                <w:color w:val="auto"/>
                <w:spacing w:val="-32"/>
                <w:sz w:val="21"/>
                <w:szCs w:val="21"/>
                <w:highlight w:val="none"/>
              </w:rPr>
              <w:t xml:space="preserve"> </w:t>
            </w:r>
            <w:r>
              <w:rPr>
                <w:color w:val="auto"/>
                <w:spacing w:val="14"/>
                <w:sz w:val="21"/>
                <w:szCs w:val="21"/>
                <w:highlight w:val="none"/>
              </w:rPr>
              <w:t>年原厂保修服务，保修期自设备验收合格之日</w:t>
            </w:r>
            <w:r>
              <w:rPr>
                <w:color w:val="auto"/>
                <w:spacing w:val="16"/>
                <w:sz w:val="21"/>
                <w:szCs w:val="21"/>
                <w:highlight w:val="none"/>
              </w:rPr>
              <w:t>算起；终身维修；保修期内负责上门服务、维修</w:t>
            </w:r>
            <w:r>
              <w:rPr>
                <w:color w:val="auto"/>
                <w:spacing w:val="15"/>
                <w:sz w:val="21"/>
                <w:szCs w:val="21"/>
                <w:highlight w:val="none"/>
              </w:rPr>
              <w:t>、更换配件，不得收取任</w:t>
            </w:r>
            <w:r>
              <w:rPr>
                <w:color w:val="auto"/>
                <w:spacing w:val="9"/>
                <w:sz w:val="21"/>
                <w:szCs w:val="21"/>
                <w:highlight w:val="none"/>
              </w:rPr>
              <w:t>何费用。保修期后，保证长期供应零备件和正常的售后服务。</w:t>
            </w:r>
          </w:p>
          <w:p w14:paraId="413AC736">
            <w:pPr>
              <w:pStyle w:val="12"/>
              <w:spacing w:line="332" w:lineRule="auto"/>
              <w:ind w:left="111" w:right="106" w:firstLine="2"/>
              <w:rPr>
                <w:color w:val="auto"/>
                <w:sz w:val="21"/>
                <w:szCs w:val="21"/>
                <w:highlight w:val="none"/>
              </w:rPr>
            </w:pPr>
            <w:r>
              <w:rPr>
                <w:color w:val="auto"/>
                <w:spacing w:val="15"/>
                <w:sz w:val="21"/>
                <w:szCs w:val="21"/>
                <w:highlight w:val="none"/>
              </w:rPr>
              <w:t>2.成交供应商负责送货上门、安装调试，提供完善的设备使用、操作中文</w:t>
            </w:r>
            <w:r>
              <w:rPr>
                <w:color w:val="auto"/>
                <w:spacing w:val="3"/>
                <w:sz w:val="21"/>
                <w:szCs w:val="21"/>
                <w:highlight w:val="none"/>
              </w:rPr>
              <w:t>手册。</w:t>
            </w:r>
          </w:p>
          <w:p w14:paraId="5E852A92">
            <w:pPr>
              <w:pStyle w:val="12"/>
              <w:spacing w:before="1" w:line="332" w:lineRule="auto"/>
              <w:ind w:left="110" w:right="109" w:firstLine="5"/>
              <w:rPr>
                <w:color w:val="auto"/>
                <w:sz w:val="21"/>
                <w:szCs w:val="21"/>
                <w:highlight w:val="none"/>
              </w:rPr>
            </w:pPr>
            <w:r>
              <w:rPr>
                <w:color w:val="auto"/>
                <w:spacing w:val="11"/>
                <w:sz w:val="21"/>
                <w:szCs w:val="21"/>
                <w:highlight w:val="none"/>
              </w:rPr>
              <w:t>3.仪器设备出现故障时，成交供应商得到通知</w:t>
            </w:r>
            <w:r>
              <w:rPr>
                <w:color w:val="auto"/>
                <w:spacing w:val="-15"/>
                <w:sz w:val="21"/>
                <w:szCs w:val="21"/>
                <w:highlight w:val="none"/>
              </w:rPr>
              <w:t xml:space="preserve"> </w:t>
            </w:r>
            <w:r>
              <w:rPr>
                <w:color w:val="auto"/>
                <w:spacing w:val="11"/>
                <w:sz w:val="21"/>
                <w:szCs w:val="21"/>
                <w:highlight w:val="none"/>
              </w:rPr>
              <w:t>30</w:t>
            </w:r>
            <w:r>
              <w:rPr>
                <w:color w:val="auto"/>
                <w:spacing w:val="-31"/>
                <w:sz w:val="21"/>
                <w:szCs w:val="21"/>
                <w:highlight w:val="none"/>
              </w:rPr>
              <w:t xml:space="preserve"> </w:t>
            </w:r>
            <w:r>
              <w:rPr>
                <w:color w:val="auto"/>
                <w:spacing w:val="11"/>
                <w:sz w:val="21"/>
                <w:szCs w:val="21"/>
                <w:highlight w:val="none"/>
              </w:rPr>
              <w:t>分钟内响应，2</w:t>
            </w:r>
            <w:r>
              <w:rPr>
                <w:color w:val="auto"/>
                <w:spacing w:val="-30"/>
                <w:sz w:val="21"/>
                <w:szCs w:val="21"/>
                <w:highlight w:val="none"/>
              </w:rPr>
              <w:t xml:space="preserve"> </w:t>
            </w:r>
            <w:r>
              <w:rPr>
                <w:color w:val="auto"/>
                <w:spacing w:val="11"/>
                <w:sz w:val="21"/>
                <w:szCs w:val="21"/>
                <w:highlight w:val="none"/>
              </w:rPr>
              <w:t>小时内派</w:t>
            </w:r>
            <w:r>
              <w:rPr>
                <w:color w:val="auto"/>
                <w:spacing w:val="12"/>
                <w:sz w:val="21"/>
                <w:szCs w:val="21"/>
                <w:highlight w:val="none"/>
              </w:rPr>
              <w:t>维修人员到达采购人指定现场维修，在</w:t>
            </w:r>
            <w:r>
              <w:rPr>
                <w:color w:val="auto"/>
                <w:spacing w:val="-29"/>
                <w:sz w:val="21"/>
                <w:szCs w:val="21"/>
                <w:highlight w:val="none"/>
              </w:rPr>
              <w:t xml:space="preserve"> </w:t>
            </w:r>
            <w:r>
              <w:rPr>
                <w:color w:val="auto"/>
                <w:spacing w:val="12"/>
                <w:sz w:val="21"/>
                <w:szCs w:val="21"/>
                <w:highlight w:val="none"/>
              </w:rPr>
              <w:t>2 日</w:t>
            </w:r>
            <w:r>
              <w:rPr>
                <w:color w:val="auto"/>
                <w:spacing w:val="-60"/>
                <w:sz w:val="21"/>
                <w:szCs w:val="21"/>
                <w:highlight w:val="none"/>
              </w:rPr>
              <w:t xml:space="preserve"> </w:t>
            </w:r>
            <w:r>
              <w:rPr>
                <w:color w:val="auto"/>
                <w:spacing w:val="12"/>
                <w:sz w:val="21"/>
                <w:szCs w:val="21"/>
                <w:highlight w:val="none"/>
              </w:rPr>
              <w:t>内解决问题。故障处理</w:t>
            </w:r>
            <w:r>
              <w:rPr>
                <w:color w:val="auto"/>
                <w:spacing w:val="11"/>
                <w:sz w:val="21"/>
                <w:szCs w:val="21"/>
                <w:highlight w:val="none"/>
              </w:rPr>
              <w:t>时间超</w:t>
            </w:r>
            <w:r>
              <w:rPr>
                <w:color w:val="auto"/>
                <w:spacing w:val="9"/>
                <w:sz w:val="21"/>
                <w:szCs w:val="21"/>
                <w:highlight w:val="none"/>
              </w:rPr>
              <w:t>过</w:t>
            </w:r>
            <w:r>
              <w:rPr>
                <w:color w:val="auto"/>
                <w:spacing w:val="-14"/>
                <w:sz w:val="21"/>
                <w:szCs w:val="21"/>
                <w:highlight w:val="none"/>
              </w:rPr>
              <w:t xml:space="preserve"> </w:t>
            </w:r>
            <w:r>
              <w:rPr>
                <w:color w:val="auto"/>
                <w:spacing w:val="9"/>
                <w:sz w:val="21"/>
                <w:szCs w:val="21"/>
                <w:highlight w:val="none"/>
              </w:rPr>
              <w:t>2 日的，成交供应商须在</w:t>
            </w:r>
            <w:r>
              <w:rPr>
                <w:color w:val="auto"/>
                <w:spacing w:val="-28"/>
                <w:sz w:val="21"/>
                <w:szCs w:val="21"/>
                <w:highlight w:val="none"/>
              </w:rPr>
              <w:t xml:space="preserve"> </w:t>
            </w:r>
            <w:r>
              <w:rPr>
                <w:color w:val="auto"/>
                <w:spacing w:val="9"/>
                <w:sz w:val="21"/>
                <w:szCs w:val="21"/>
                <w:highlight w:val="none"/>
              </w:rPr>
              <w:t>5 日</w:t>
            </w:r>
            <w:r>
              <w:rPr>
                <w:color w:val="auto"/>
                <w:spacing w:val="-60"/>
                <w:sz w:val="21"/>
                <w:szCs w:val="21"/>
                <w:highlight w:val="none"/>
              </w:rPr>
              <w:t xml:space="preserve"> </w:t>
            </w:r>
            <w:r>
              <w:rPr>
                <w:color w:val="auto"/>
                <w:spacing w:val="9"/>
                <w:sz w:val="21"/>
                <w:szCs w:val="21"/>
                <w:highlight w:val="none"/>
              </w:rPr>
              <w:t>内提供与原设备技术参数要求相同或高于</w:t>
            </w:r>
            <w:r>
              <w:rPr>
                <w:color w:val="auto"/>
                <w:spacing w:val="14"/>
                <w:sz w:val="21"/>
                <w:szCs w:val="21"/>
                <w:highlight w:val="none"/>
              </w:rPr>
              <w:t>原设备技术参数要求的备用产品，</w:t>
            </w:r>
            <w:r>
              <w:rPr>
                <w:color w:val="auto"/>
                <w:spacing w:val="-44"/>
                <w:sz w:val="21"/>
                <w:szCs w:val="21"/>
                <w:highlight w:val="none"/>
              </w:rPr>
              <w:t xml:space="preserve"> </w:t>
            </w:r>
            <w:r>
              <w:rPr>
                <w:color w:val="auto"/>
                <w:spacing w:val="14"/>
                <w:sz w:val="21"/>
                <w:szCs w:val="21"/>
                <w:highlight w:val="none"/>
              </w:rPr>
              <w:t>以保证采购人的正常工作，不能影响采</w:t>
            </w:r>
            <w:r>
              <w:rPr>
                <w:color w:val="auto"/>
                <w:spacing w:val="7"/>
                <w:sz w:val="21"/>
                <w:szCs w:val="21"/>
                <w:highlight w:val="none"/>
              </w:rPr>
              <w:t>购人的使用。</w:t>
            </w:r>
          </w:p>
          <w:p w14:paraId="169415A3">
            <w:pPr>
              <w:pStyle w:val="12"/>
              <w:spacing w:before="1" w:line="332" w:lineRule="auto"/>
              <w:ind w:left="110" w:right="106"/>
              <w:rPr>
                <w:color w:val="auto"/>
                <w:sz w:val="21"/>
                <w:szCs w:val="21"/>
                <w:highlight w:val="none"/>
              </w:rPr>
            </w:pPr>
            <w:r>
              <w:rPr>
                <w:color w:val="auto"/>
                <w:spacing w:val="15"/>
                <w:sz w:val="21"/>
                <w:szCs w:val="21"/>
                <w:highlight w:val="none"/>
              </w:rPr>
              <w:t>4.成交供应商提供全部设备必须是原厂原装合法渠道的全新正品，产品质</w:t>
            </w:r>
            <w:r>
              <w:rPr>
                <w:color w:val="auto"/>
                <w:spacing w:val="16"/>
                <w:sz w:val="21"/>
                <w:szCs w:val="21"/>
                <w:highlight w:val="none"/>
              </w:rPr>
              <w:t>量符合国家相关标准及安全规范，且所有设备需完全</w:t>
            </w:r>
            <w:r>
              <w:rPr>
                <w:color w:val="auto"/>
                <w:spacing w:val="15"/>
                <w:sz w:val="21"/>
                <w:szCs w:val="21"/>
                <w:highlight w:val="none"/>
              </w:rPr>
              <w:t>满足或优于采购文件</w:t>
            </w:r>
            <w:r>
              <w:rPr>
                <w:color w:val="auto"/>
                <w:spacing w:val="3"/>
                <w:sz w:val="21"/>
                <w:szCs w:val="21"/>
                <w:highlight w:val="none"/>
              </w:rPr>
              <w:t>要求。</w:t>
            </w:r>
          </w:p>
          <w:p w14:paraId="070C448D">
            <w:pPr>
              <w:pStyle w:val="12"/>
              <w:spacing w:before="1" w:line="332" w:lineRule="auto"/>
              <w:ind w:left="111" w:right="106" w:firstLine="4"/>
              <w:rPr>
                <w:color w:val="auto"/>
                <w:sz w:val="21"/>
                <w:szCs w:val="21"/>
                <w:highlight w:val="none"/>
              </w:rPr>
            </w:pPr>
            <w:r>
              <w:rPr>
                <w:color w:val="auto"/>
                <w:spacing w:val="15"/>
                <w:sz w:val="21"/>
                <w:szCs w:val="21"/>
                <w:highlight w:val="none"/>
              </w:rPr>
              <w:t>5.保修期外零配件若损坏，提供零配件优惠服务方案。保修期满后，成交</w:t>
            </w:r>
            <w:r>
              <w:rPr>
                <w:color w:val="auto"/>
                <w:spacing w:val="16"/>
                <w:sz w:val="21"/>
                <w:szCs w:val="21"/>
                <w:highlight w:val="none"/>
              </w:rPr>
              <w:t>供应商须提供终身成本维修服务，长期提供原厂配件</w:t>
            </w:r>
            <w:r>
              <w:rPr>
                <w:color w:val="auto"/>
                <w:spacing w:val="15"/>
                <w:sz w:val="21"/>
                <w:szCs w:val="21"/>
                <w:highlight w:val="none"/>
              </w:rPr>
              <w:t>，不得随意涨价及停</w:t>
            </w:r>
            <w:r>
              <w:rPr>
                <w:color w:val="auto"/>
                <w:spacing w:val="5"/>
                <w:sz w:val="21"/>
                <w:szCs w:val="21"/>
                <w:highlight w:val="none"/>
              </w:rPr>
              <w:t>供配件。</w:t>
            </w:r>
          </w:p>
          <w:p w14:paraId="49132222">
            <w:pPr>
              <w:pStyle w:val="12"/>
              <w:spacing w:line="332" w:lineRule="auto"/>
              <w:ind w:left="151" w:right="106" w:hanging="38"/>
              <w:rPr>
                <w:color w:val="auto"/>
                <w:sz w:val="21"/>
                <w:szCs w:val="21"/>
                <w:highlight w:val="none"/>
              </w:rPr>
            </w:pPr>
            <w:r>
              <w:rPr>
                <w:color w:val="auto"/>
                <w:spacing w:val="15"/>
                <w:sz w:val="21"/>
                <w:szCs w:val="21"/>
                <w:highlight w:val="none"/>
              </w:rPr>
              <w:t>6.保修期内提供上门保修服务，保障系统正常运行，成交供应商负责对项</w:t>
            </w:r>
            <w:r>
              <w:rPr>
                <w:color w:val="auto"/>
                <w:spacing w:val="8"/>
                <w:sz w:val="21"/>
                <w:szCs w:val="21"/>
                <w:highlight w:val="none"/>
              </w:rPr>
              <w:t>目出现的各类问题进行修改和完善，不得额</w:t>
            </w:r>
            <w:r>
              <w:rPr>
                <w:color w:val="auto"/>
                <w:spacing w:val="7"/>
                <w:sz w:val="21"/>
                <w:szCs w:val="21"/>
                <w:highlight w:val="none"/>
              </w:rPr>
              <w:t>外收取任何费用。</w:t>
            </w:r>
          </w:p>
          <w:p w14:paraId="6549AB40">
            <w:pPr>
              <w:pStyle w:val="12"/>
              <w:spacing w:line="332" w:lineRule="auto"/>
              <w:ind w:left="151" w:right="106" w:hanging="38"/>
              <w:rPr>
                <w:color w:val="auto"/>
                <w:spacing w:val="15"/>
                <w:sz w:val="21"/>
                <w:szCs w:val="21"/>
                <w:highlight w:val="none"/>
              </w:rPr>
            </w:pPr>
            <w:r>
              <w:rPr>
                <w:color w:val="auto"/>
                <w:spacing w:val="13"/>
                <w:sz w:val="21"/>
                <w:szCs w:val="21"/>
                <w:highlight w:val="none"/>
              </w:rPr>
              <w:t>7</w:t>
            </w:r>
            <w:r>
              <w:rPr>
                <w:color w:val="auto"/>
                <w:spacing w:val="15"/>
                <w:sz w:val="21"/>
                <w:szCs w:val="21"/>
                <w:highlight w:val="none"/>
              </w:rPr>
              <w:t>.负责为采购人提供操作人员现场培训，确保工作人员熟练使用</w:t>
            </w:r>
            <w:r>
              <w:rPr>
                <w:rFonts w:hint="eastAsia"/>
                <w:color w:val="auto"/>
                <w:spacing w:val="15"/>
                <w:sz w:val="21"/>
                <w:szCs w:val="21"/>
                <w:highlight w:val="none"/>
                <w:lang w:eastAsia="zh-CN"/>
              </w:rPr>
              <w:t>、</w:t>
            </w:r>
            <w:r>
              <w:rPr>
                <w:color w:val="auto"/>
                <w:spacing w:val="15"/>
                <w:sz w:val="21"/>
                <w:szCs w:val="21"/>
                <w:highlight w:val="none"/>
              </w:rPr>
              <w:t>日常维护和安全操作，并要求在响应文件中必须提供培训方案。</w:t>
            </w:r>
          </w:p>
          <w:p w14:paraId="3B383837">
            <w:pPr>
              <w:pStyle w:val="12"/>
              <w:spacing w:line="332" w:lineRule="auto"/>
              <w:ind w:left="151" w:right="106" w:hanging="38"/>
              <w:rPr>
                <w:rFonts w:hint="eastAsia" w:ascii="宋体" w:hAnsi="宋体" w:eastAsia="宋体" w:cs="宋体"/>
                <w:color w:val="auto"/>
                <w:spacing w:val="0"/>
                <w:sz w:val="21"/>
                <w:szCs w:val="21"/>
                <w:highlight w:val="none"/>
                <w:u w:val="none"/>
                <w:lang w:eastAsia="zh-CN" w:bidi="ar"/>
              </w:rPr>
            </w:pPr>
            <w:r>
              <w:rPr>
                <w:color w:val="auto"/>
                <w:spacing w:val="15"/>
                <w:sz w:val="21"/>
                <w:szCs w:val="21"/>
                <w:highlight w:val="none"/>
              </w:rPr>
              <w:t>8.其余按供应商承诺。</w:t>
            </w:r>
          </w:p>
        </w:tc>
      </w:tr>
      <w:tr w14:paraId="0FE43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center"/>
          </w:tcPr>
          <w:p w14:paraId="0A8763F5">
            <w:pPr>
              <w:spacing w:line="240" w:lineRule="auto"/>
              <w:jc w:val="left"/>
              <w:rPr>
                <w:rFonts w:ascii="Arial"/>
                <w:color w:val="auto"/>
                <w:sz w:val="21"/>
                <w:highlight w:val="none"/>
              </w:rPr>
            </w:pPr>
          </w:p>
          <w:p w14:paraId="76CF700D">
            <w:pPr>
              <w:jc w:val="left"/>
              <w:rPr>
                <w:rFonts w:hint="default" w:ascii="宋体" w:hAnsi="宋体" w:eastAsia="宋体" w:cs="宋体"/>
                <w:b w:val="0"/>
                <w:bCs w:val="0"/>
                <w:i w:val="0"/>
                <w:iCs w:val="0"/>
                <w:color w:val="auto"/>
                <w:kern w:val="0"/>
                <w:sz w:val="21"/>
                <w:szCs w:val="21"/>
                <w:highlight w:val="none"/>
                <w:u w:val="none"/>
                <w:lang w:val="en-US" w:eastAsia="zh-CN" w:bidi="ar"/>
              </w:rPr>
            </w:pPr>
            <w:r>
              <w:rPr>
                <w:color w:val="auto"/>
                <w:spacing w:val="0"/>
                <w:highlight w:val="none"/>
              </w:rPr>
              <w:t>验收要求</w:t>
            </w:r>
          </w:p>
        </w:tc>
        <w:tc>
          <w:tcPr>
            <w:tcW w:w="6813" w:type="dxa"/>
            <w:gridSpan w:val="4"/>
            <w:vAlign w:val="center"/>
          </w:tcPr>
          <w:p w14:paraId="290060FC">
            <w:pPr>
              <w:pStyle w:val="12"/>
              <w:spacing w:before="116" w:line="332" w:lineRule="auto"/>
              <w:ind w:left="111" w:right="106" w:firstLine="15"/>
              <w:rPr>
                <w:color w:val="auto"/>
                <w:sz w:val="21"/>
                <w:szCs w:val="21"/>
                <w:highlight w:val="none"/>
              </w:rPr>
            </w:pPr>
            <w:r>
              <w:rPr>
                <w:color w:val="auto"/>
                <w:spacing w:val="15"/>
                <w:sz w:val="21"/>
                <w:szCs w:val="21"/>
                <w:highlight w:val="none"/>
              </w:rPr>
              <w:t>1.采购人对成交供应商提交的货物依据采购文件上的技术规</w:t>
            </w:r>
            <w:r>
              <w:rPr>
                <w:color w:val="auto"/>
                <w:spacing w:val="14"/>
                <w:sz w:val="21"/>
                <w:szCs w:val="21"/>
                <w:highlight w:val="none"/>
              </w:rPr>
              <w:t>格要求和国家</w:t>
            </w:r>
            <w:r>
              <w:rPr>
                <w:color w:val="auto"/>
                <w:spacing w:val="16"/>
                <w:sz w:val="21"/>
                <w:szCs w:val="21"/>
                <w:highlight w:val="none"/>
              </w:rPr>
              <w:t>有关质量标准进行现场签收，成交供应商供货时须向采购</w:t>
            </w:r>
            <w:r>
              <w:rPr>
                <w:color w:val="auto"/>
                <w:spacing w:val="15"/>
                <w:sz w:val="21"/>
                <w:szCs w:val="21"/>
                <w:highlight w:val="none"/>
              </w:rPr>
              <w:t>人提供合格证、</w:t>
            </w:r>
            <w:r>
              <w:rPr>
                <w:color w:val="auto"/>
                <w:spacing w:val="14"/>
                <w:sz w:val="21"/>
                <w:szCs w:val="21"/>
                <w:highlight w:val="none"/>
              </w:rPr>
              <w:t>检测报告、保修凭证、说明书、</w:t>
            </w:r>
            <w:r>
              <w:rPr>
                <w:color w:val="auto"/>
                <w:spacing w:val="-45"/>
                <w:sz w:val="21"/>
                <w:szCs w:val="21"/>
                <w:highlight w:val="none"/>
              </w:rPr>
              <w:t xml:space="preserve"> </w:t>
            </w:r>
            <w:r>
              <w:rPr>
                <w:color w:val="auto"/>
                <w:spacing w:val="14"/>
                <w:sz w:val="21"/>
                <w:szCs w:val="21"/>
                <w:highlight w:val="none"/>
              </w:rPr>
              <w:t>出厂资料及采购文件中要求提供的其它证</w:t>
            </w:r>
            <w:r>
              <w:rPr>
                <w:color w:val="auto"/>
                <w:spacing w:val="16"/>
                <w:sz w:val="21"/>
                <w:szCs w:val="21"/>
                <w:highlight w:val="none"/>
              </w:rPr>
              <w:t>书；外观、说明书及软件各项功能符合采购文件技术要求</w:t>
            </w:r>
            <w:r>
              <w:rPr>
                <w:color w:val="auto"/>
                <w:spacing w:val="15"/>
                <w:sz w:val="21"/>
                <w:szCs w:val="21"/>
                <w:highlight w:val="none"/>
              </w:rPr>
              <w:t>的，给予签收，</w:t>
            </w:r>
            <w:r>
              <w:rPr>
                <w:color w:val="auto"/>
                <w:spacing w:val="21"/>
                <w:sz w:val="21"/>
                <w:szCs w:val="21"/>
                <w:highlight w:val="none"/>
              </w:rPr>
              <w:t>不合格的不予签收</w:t>
            </w:r>
            <w:r>
              <w:rPr>
                <w:color w:val="auto"/>
                <w:spacing w:val="-49"/>
                <w:sz w:val="21"/>
                <w:szCs w:val="21"/>
                <w:highlight w:val="none"/>
              </w:rPr>
              <w:t xml:space="preserve"> </w:t>
            </w:r>
            <w:r>
              <w:rPr>
                <w:color w:val="auto"/>
                <w:spacing w:val="21"/>
                <w:sz w:val="21"/>
                <w:szCs w:val="21"/>
                <w:highlight w:val="none"/>
              </w:rPr>
              <w:t>。验收不合格的，成交供应商无条件整改、更换、重</w:t>
            </w:r>
            <w:r>
              <w:rPr>
                <w:color w:val="auto"/>
                <w:spacing w:val="9"/>
                <w:sz w:val="21"/>
                <w:szCs w:val="21"/>
                <w:highlight w:val="none"/>
              </w:rPr>
              <w:t>做，直至验收合格，合同履行期限不予顺延。</w:t>
            </w:r>
          </w:p>
          <w:p w14:paraId="4C33B1E7">
            <w:pPr>
              <w:pStyle w:val="12"/>
              <w:spacing w:before="114" w:line="332" w:lineRule="auto"/>
              <w:ind w:left="111" w:right="109" w:firstLine="17"/>
              <w:jc w:val="both"/>
              <w:rPr>
                <w:color w:val="auto"/>
                <w:sz w:val="21"/>
                <w:szCs w:val="21"/>
                <w:highlight w:val="none"/>
              </w:rPr>
            </w:pPr>
            <w:r>
              <w:rPr>
                <w:color w:val="auto"/>
                <w:spacing w:val="15"/>
                <w:sz w:val="21"/>
                <w:szCs w:val="21"/>
                <w:highlight w:val="none"/>
              </w:rPr>
              <w:t>2.成交供应商交货前应对产品作出全面检查和对验收文件进行整理，并列出清单，作为采购人收货验收和使用的技术条件依据，检验的结果应随货</w:t>
            </w:r>
            <w:r>
              <w:rPr>
                <w:color w:val="auto"/>
                <w:spacing w:val="16"/>
                <w:sz w:val="21"/>
                <w:szCs w:val="21"/>
                <w:highlight w:val="none"/>
              </w:rPr>
              <w:t>物交采购人。成交供应商不能完整交付货物及本款规</w:t>
            </w:r>
            <w:r>
              <w:rPr>
                <w:color w:val="auto"/>
                <w:spacing w:val="15"/>
                <w:sz w:val="21"/>
                <w:szCs w:val="21"/>
                <w:highlight w:val="none"/>
              </w:rPr>
              <w:t>定的单证和工具的，</w:t>
            </w:r>
            <w:r>
              <w:rPr>
                <w:color w:val="auto"/>
                <w:spacing w:val="9"/>
                <w:sz w:val="21"/>
                <w:szCs w:val="21"/>
                <w:highlight w:val="none"/>
              </w:rPr>
              <w:t>必须负责补齐，否则视为未按合同约定交货。</w:t>
            </w:r>
          </w:p>
          <w:p w14:paraId="760BC0B2">
            <w:pPr>
              <w:pStyle w:val="12"/>
              <w:spacing w:line="332" w:lineRule="auto"/>
              <w:ind w:left="118" w:right="109" w:hanging="3"/>
              <w:rPr>
                <w:color w:val="auto"/>
                <w:sz w:val="21"/>
                <w:szCs w:val="21"/>
                <w:highlight w:val="none"/>
              </w:rPr>
            </w:pPr>
            <w:r>
              <w:rPr>
                <w:color w:val="auto"/>
                <w:spacing w:val="21"/>
                <w:sz w:val="21"/>
                <w:szCs w:val="21"/>
                <w:highlight w:val="none"/>
              </w:rPr>
              <w:t>3.成交供应商需负责安装、调试（测试</w:t>
            </w:r>
            <w:r>
              <w:rPr>
                <w:color w:val="auto"/>
                <w:spacing w:val="5"/>
                <w:sz w:val="21"/>
                <w:szCs w:val="21"/>
                <w:highlight w:val="none"/>
              </w:rPr>
              <w:t>）</w:t>
            </w:r>
            <w:r>
              <w:rPr>
                <w:color w:val="auto"/>
                <w:spacing w:val="-36"/>
                <w:sz w:val="21"/>
                <w:szCs w:val="21"/>
                <w:highlight w:val="none"/>
              </w:rPr>
              <w:t xml:space="preserve"> </w:t>
            </w:r>
            <w:r>
              <w:rPr>
                <w:color w:val="auto"/>
                <w:spacing w:val="5"/>
                <w:sz w:val="21"/>
                <w:szCs w:val="21"/>
                <w:highlight w:val="none"/>
              </w:rPr>
              <w:t>，</w:t>
            </w:r>
            <w:r>
              <w:rPr>
                <w:color w:val="auto"/>
                <w:spacing w:val="21"/>
                <w:sz w:val="21"/>
                <w:szCs w:val="21"/>
                <w:highlight w:val="none"/>
              </w:rPr>
              <w:t>并培训采购人</w:t>
            </w:r>
            <w:r>
              <w:rPr>
                <w:color w:val="auto"/>
                <w:spacing w:val="20"/>
                <w:sz w:val="21"/>
                <w:szCs w:val="21"/>
                <w:highlight w:val="none"/>
              </w:rPr>
              <w:t>的使用操作人</w:t>
            </w:r>
            <w:r>
              <w:rPr>
                <w:color w:val="auto"/>
                <w:spacing w:val="9"/>
                <w:sz w:val="21"/>
                <w:szCs w:val="21"/>
                <w:highlight w:val="none"/>
              </w:rPr>
              <w:t>员，直到设备、软件运行符合技术要求，采购人方可</w:t>
            </w:r>
            <w:r>
              <w:rPr>
                <w:color w:val="auto"/>
                <w:spacing w:val="8"/>
                <w:sz w:val="21"/>
                <w:szCs w:val="21"/>
                <w:highlight w:val="none"/>
              </w:rPr>
              <w:t>验收。</w:t>
            </w:r>
          </w:p>
          <w:p w14:paraId="4FD19CC5">
            <w:pPr>
              <w:pStyle w:val="12"/>
              <w:spacing w:line="332" w:lineRule="auto"/>
              <w:ind w:left="111" w:right="106" w:hanging="1"/>
              <w:rPr>
                <w:color w:val="auto"/>
                <w:sz w:val="21"/>
                <w:szCs w:val="21"/>
                <w:highlight w:val="none"/>
              </w:rPr>
            </w:pPr>
            <w:r>
              <w:rPr>
                <w:color w:val="auto"/>
                <w:spacing w:val="15"/>
                <w:sz w:val="21"/>
                <w:szCs w:val="21"/>
                <w:highlight w:val="none"/>
              </w:rPr>
              <w:t>4.采购人组织验收，成交供应商必须到场配合，验收合格后双方签署验收</w:t>
            </w:r>
            <w:r>
              <w:rPr>
                <w:color w:val="auto"/>
                <w:spacing w:val="5"/>
                <w:sz w:val="21"/>
                <w:szCs w:val="21"/>
                <w:highlight w:val="none"/>
              </w:rPr>
              <w:t>合格凭证。</w:t>
            </w:r>
          </w:p>
          <w:p w14:paraId="0CB8D17C">
            <w:pPr>
              <w:pStyle w:val="12"/>
              <w:spacing w:before="1" w:line="332" w:lineRule="auto"/>
              <w:ind w:left="110" w:right="106" w:firstLine="5"/>
              <w:rPr>
                <w:color w:val="auto"/>
                <w:sz w:val="21"/>
                <w:szCs w:val="21"/>
                <w:highlight w:val="none"/>
              </w:rPr>
            </w:pPr>
            <w:r>
              <w:rPr>
                <w:color w:val="auto"/>
                <w:spacing w:val="15"/>
                <w:sz w:val="21"/>
                <w:szCs w:val="21"/>
                <w:highlight w:val="none"/>
              </w:rPr>
              <w:t>5.严禁提供翻新机、样机、贴牌设备、劣质设备，技术参数与谈判响应文</w:t>
            </w:r>
            <w:r>
              <w:rPr>
                <w:color w:val="auto"/>
                <w:spacing w:val="16"/>
                <w:sz w:val="21"/>
                <w:szCs w:val="21"/>
                <w:highlight w:val="none"/>
              </w:rPr>
              <w:t>件不一致的，一经发现，采购人无条件退货，解除合</w:t>
            </w:r>
            <w:r>
              <w:rPr>
                <w:color w:val="auto"/>
                <w:spacing w:val="15"/>
                <w:sz w:val="21"/>
                <w:szCs w:val="21"/>
                <w:highlight w:val="none"/>
              </w:rPr>
              <w:t>同并报当地财政监管</w:t>
            </w:r>
            <w:r>
              <w:rPr>
                <w:color w:val="auto"/>
                <w:spacing w:val="8"/>
                <w:sz w:val="21"/>
                <w:szCs w:val="21"/>
                <w:highlight w:val="none"/>
              </w:rPr>
              <w:t>部门按虚假应标处理。</w:t>
            </w:r>
          </w:p>
          <w:p w14:paraId="44602E48">
            <w:pPr>
              <w:pStyle w:val="12"/>
              <w:spacing w:before="1" w:line="332" w:lineRule="auto"/>
              <w:ind w:left="110" w:right="106" w:firstLine="2"/>
              <w:rPr>
                <w:color w:val="auto"/>
                <w:sz w:val="21"/>
                <w:szCs w:val="21"/>
                <w:highlight w:val="none"/>
              </w:rPr>
            </w:pPr>
            <w:r>
              <w:rPr>
                <w:color w:val="auto"/>
                <w:spacing w:val="15"/>
                <w:sz w:val="21"/>
                <w:szCs w:val="21"/>
                <w:highlight w:val="none"/>
              </w:rPr>
              <w:t>6.其他未尽事宜应按照《关于印发广西壮族自治区政府采购项目履约验收</w:t>
            </w:r>
            <w:r>
              <w:rPr>
                <w:color w:val="auto"/>
                <w:spacing w:val="10"/>
                <w:sz w:val="21"/>
                <w:szCs w:val="21"/>
                <w:highlight w:val="none"/>
              </w:rPr>
              <w:t>管理办法的通知》</w:t>
            </w:r>
            <w:r>
              <w:rPr>
                <w:color w:val="auto"/>
                <w:spacing w:val="-69"/>
                <w:sz w:val="21"/>
                <w:szCs w:val="21"/>
                <w:highlight w:val="none"/>
              </w:rPr>
              <w:t xml:space="preserve"> </w:t>
            </w:r>
            <w:r>
              <w:rPr>
                <w:color w:val="auto"/>
                <w:spacing w:val="10"/>
                <w:sz w:val="21"/>
                <w:szCs w:val="21"/>
                <w:highlight w:val="none"/>
              </w:rPr>
              <w:t>【桂财采〔2015〕22</w:t>
            </w:r>
            <w:r>
              <w:rPr>
                <w:color w:val="auto"/>
                <w:spacing w:val="-28"/>
                <w:sz w:val="21"/>
                <w:szCs w:val="21"/>
                <w:highlight w:val="none"/>
              </w:rPr>
              <w:t xml:space="preserve"> </w:t>
            </w:r>
            <w:r>
              <w:rPr>
                <w:color w:val="auto"/>
                <w:spacing w:val="10"/>
                <w:sz w:val="21"/>
                <w:szCs w:val="21"/>
                <w:highlight w:val="none"/>
              </w:rPr>
              <w:t>号】</w:t>
            </w:r>
            <w:r>
              <w:rPr>
                <w:color w:val="auto"/>
                <w:spacing w:val="-50"/>
                <w:sz w:val="21"/>
                <w:szCs w:val="21"/>
                <w:highlight w:val="none"/>
              </w:rPr>
              <w:t xml:space="preserve"> </w:t>
            </w:r>
            <w:r>
              <w:rPr>
                <w:color w:val="auto"/>
                <w:spacing w:val="10"/>
                <w:sz w:val="21"/>
                <w:szCs w:val="21"/>
                <w:highlight w:val="none"/>
              </w:rPr>
              <w:t>以及《财政部关于进一步加强</w:t>
            </w:r>
            <w:r>
              <w:rPr>
                <w:color w:val="auto"/>
                <w:spacing w:val="9"/>
                <w:sz w:val="21"/>
                <w:szCs w:val="21"/>
                <w:highlight w:val="none"/>
              </w:rPr>
              <w:t>政府采购需求和履约验收管理的指导意见》【财库〔2016〕205</w:t>
            </w:r>
            <w:r>
              <w:rPr>
                <w:color w:val="auto"/>
                <w:spacing w:val="-21"/>
                <w:sz w:val="21"/>
                <w:szCs w:val="21"/>
                <w:highlight w:val="none"/>
              </w:rPr>
              <w:t xml:space="preserve"> </w:t>
            </w:r>
            <w:r>
              <w:rPr>
                <w:color w:val="auto"/>
                <w:spacing w:val="9"/>
                <w:sz w:val="21"/>
                <w:szCs w:val="21"/>
                <w:highlight w:val="none"/>
              </w:rPr>
              <w:t>号】规定执</w:t>
            </w:r>
            <w:r>
              <w:rPr>
                <w:color w:val="auto"/>
                <w:sz w:val="21"/>
                <w:szCs w:val="21"/>
                <w:highlight w:val="none"/>
              </w:rPr>
              <w:t>行。</w:t>
            </w:r>
          </w:p>
          <w:p w14:paraId="72D71879">
            <w:pPr>
              <w:pStyle w:val="12"/>
              <w:spacing w:before="1" w:line="332" w:lineRule="auto"/>
              <w:ind w:left="110" w:right="106" w:firstLine="2"/>
              <w:rPr>
                <w:color w:val="auto"/>
                <w:spacing w:val="15"/>
                <w:sz w:val="21"/>
                <w:szCs w:val="21"/>
                <w:highlight w:val="none"/>
              </w:rPr>
            </w:pPr>
            <w:r>
              <w:rPr>
                <w:color w:val="auto"/>
                <w:spacing w:val="15"/>
                <w:sz w:val="21"/>
                <w:szCs w:val="21"/>
                <w:highlight w:val="none"/>
              </w:rPr>
              <w:t>7.验收产生的费用由成交供应商负责。</w:t>
            </w:r>
          </w:p>
          <w:p w14:paraId="78929400">
            <w:pPr>
              <w:pStyle w:val="12"/>
              <w:spacing w:before="1" w:line="332" w:lineRule="auto"/>
              <w:ind w:left="110" w:right="106" w:firstLine="2"/>
              <w:rPr>
                <w:rFonts w:hint="eastAsia" w:ascii="宋体" w:hAnsi="宋体" w:eastAsia="宋体" w:cs="宋体"/>
                <w:color w:val="auto"/>
                <w:spacing w:val="0"/>
                <w:sz w:val="21"/>
                <w:szCs w:val="21"/>
                <w:highlight w:val="none"/>
                <w:u w:val="none"/>
                <w:lang w:eastAsia="zh-CN" w:bidi="ar"/>
              </w:rPr>
            </w:pPr>
            <w:r>
              <w:rPr>
                <w:rFonts w:hint="eastAsia"/>
                <w:color w:val="auto"/>
                <w:spacing w:val="15"/>
                <w:sz w:val="21"/>
                <w:szCs w:val="21"/>
                <w:highlight w:val="none"/>
                <w:lang w:val="en-US" w:eastAsia="zh-CN"/>
              </w:rPr>
              <w:t>8.</w:t>
            </w:r>
            <w:r>
              <w:rPr>
                <w:color w:val="auto"/>
                <w:spacing w:val="15"/>
                <w:sz w:val="21"/>
                <w:szCs w:val="21"/>
                <w:highlight w:val="none"/>
                <w:lang w:val="en-US" w:eastAsia="en-US"/>
              </w:rPr>
              <w:t>验收标准：货物验收标准，伴随工程、服务验收标准（符合现行国家相关标准、行业标准、地方标准或者其他标准、规范） ，按本项目采购需求及成交供应商的响应文件执行。</w:t>
            </w:r>
          </w:p>
        </w:tc>
      </w:tr>
      <w:tr w14:paraId="04EFC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center"/>
          </w:tcPr>
          <w:p w14:paraId="3D7CB6F8">
            <w:pPr>
              <w:jc w:val="left"/>
              <w:rPr>
                <w:rFonts w:hint="default" w:ascii="宋体" w:hAnsi="宋体" w:eastAsia="宋体" w:cs="宋体"/>
                <w:b w:val="0"/>
                <w:bCs w:val="0"/>
                <w:i w:val="0"/>
                <w:iCs w:val="0"/>
                <w:color w:val="auto"/>
                <w:kern w:val="0"/>
                <w:sz w:val="21"/>
                <w:szCs w:val="21"/>
                <w:highlight w:val="none"/>
                <w:u w:val="none"/>
                <w:lang w:val="en-US" w:eastAsia="zh-CN" w:bidi="ar"/>
              </w:rPr>
            </w:pPr>
            <w:r>
              <w:rPr>
                <w:color w:val="auto"/>
                <w:spacing w:val="0"/>
                <w:highlight w:val="none"/>
              </w:rPr>
              <w:t>执行标准、规</w:t>
            </w:r>
            <w:r>
              <w:rPr>
                <w:color w:val="auto"/>
                <w:highlight w:val="none"/>
              </w:rPr>
              <w:t>范</w:t>
            </w:r>
          </w:p>
        </w:tc>
        <w:tc>
          <w:tcPr>
            <w:tcW w:w="6813" w:type="dxa"/>
            <w:gridSpan w:val="4"/>
            <w:vAlign w:val="center"/>
          </w:tcPr>
          <w:p w14:paraId="7CE06D22">
            <w:pPr>
              <w:keepNext w:val="0"/>
              <w:keepLines w:val="0"/>
              <w:widowControl/>
              <w:suppressLineNumbers w:val="0"/>
              <w:spacing w:line="279" w:lineRule="auto"/>
              <w:jc w:val="center"/>
              <w:textAlignment w:val="auto"/>
              <w:rPr>
                <w:rFonts w:hint="eastAsia" w:ascii="宋体" w:hAnsi="宋体" w:eastAsia="宋体" w:cs="宋体"/>
                <w:color w:val="auto"/>
                <w:spacing w:val="0"/>
                <w:sz w:val="21"/>
                <w:szCs w:val="21"/>
                <w:highlight w:val="none"/>
                <w:u w:val="none"/>
                <w:lang w:eastAsia="zh-CN" w:bidi="ar"/>
              </w:rPr>
            </w:pPr>
            <w:r>
              <w:rPr>
                <w:color w:val="auto"/>
                <w:spacing w:val="9"/>
                <w:highlight w:val="none"/>
              </w:rPr>
              <w:t>采购标的需执行的国家标准、行业标准、地方标准或者其他标准、规范</w:t>
            </w:r>
          </w:p>
        </w:tc>
      </w:tr>
      <w:tr w14:paraId="34C44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center"/>
          </w:tcPr>
          <w:p w14:paraId="76D256FA">
            <w:pPr>
              <w:jc w:val="left"/>
              <w:rPr>
                <w:rFonts w:hint="default" w:ascii="宋体" w:hAnsi="宋体" w:eastAsia="宋体" w:cs="宋体"/>
                <w:b w:val="0"/>
                <w:bCs w:val="0"/>
                <w:i w:val="0"/>
                <w:iCs w:val="0"/>
                <w:color w:val="auto"/>
                <w:kern w:val="0"/>
                <w:sz w:val="21"/>
                <w:szCs w:val="21"/>
                <w:highlight w:val="none"/>
                <w:u w:val="none"/>
                <w:lang w:val="en-US" w:eastAsia="zh-CN" w:bidi="ar"/>
              </w:rPr>
            </w:pPr>
            <w:r>
              <w:rPr>
                <w:color w:val="auto"/>
                <w:spacing w:val="0"/>
                <w:highlight w:val="none"/>
              </w:rPr>
              <w:t>包装和运输</w:t>
            </w:r>
          </w:p>
        </w:tc>
        <w:tc>
          <w:tcPr>
            <w:tcW w:w="6813" w:type="dxa"/>
            <w:gridSpan w:val="4"/>
            <w:vAlign w:val="center"/>
          </w:tcPr>
          <w:p w14:paraId="2C1089E1">
            <w:pPr>
              <w:keepNext w:val="0"/>
              <w:keepLines w:val="0"/>
              <w:widowControl/>
              <w:suppressLineNumbers w:val="0"/>
              <w:spacing w:line="279" w:lineRule="auto"/>
              <w:jc w:val="center"/>
              <w:textAlignment w:val="auto"/>
              <w:rPr>
                <w:rFonts w:hint="eastAsia" w:ascii="宋体" w:hAnsi="宋体" w:eastAsia="宋体" w:cs="宋体"/>
                <w:color w:val="auto"/>
                <w:spacing w:val="0"/>
                <w:sz w:val="21"/>
                <w:szCs w:val="21"/>
                <w:highlight w:val="none"/>
                <w:u w:val="none"/>
                <w:lang w:eastAsia="zh-CN" w:bidi="ar"/>
              </w:rPr>
            </w:pPr>
            <w:r>
              <w:rPr>
                <w:color w:val="auto"/>
                <w:spacing w:val="7"/>
                <w:highlight w:val="none"/>
              </w:rPr>
              <w:t>满足项目实施要求</w:t>
            </w:r>
          </w:p>
        </w:tc>
      </w:tr>
      <w:tr w14:paraId="717D3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center"/>
          </w:tcPr>
          <w:p w14:paraId="036A769D">
            <w:pPr>
              <w:jc w:val="left"/>
              <w:rPr>
                <w:rFonts w:hint="default" w:ascii="宋体" w:hAnsi="宋体" w:eastAsia="宋体" w:cs="宋体"/>
                <w:b w:val="0"/>
                <w:bCs w:val="0"/>
                <w:i w:val="0"/>
                <w:iCs w:val="0"/>
                <w:color w:val="auto"/>
                <w:kern w:val="0"/>
                <w:sz w:val="21"/>
                <w:szCs w:val="21"/>
                <w:highlight w:val="none"/>
                <w:u w:val="none"/>
                <w:lang w:val="en-US" w:eastAsia="zh-CN" w:bidi="ar"/>
              </w:rPr>
            </w:pPr>
            <w:r>
              <w:rPr>
                <w:color w:val="auto"/>
                <w:spacing w:val="0"/>
                <w:highlight w:val="none"/>
              </w:rPr>
              <w:t>保险</w:t>
            </w:r>
          </w:p>
        </w:tc>
        <w:tc>
          <w:tcPr>
            <w:tcW w:w="6813" w:type="dxa"/>
            <w:gridSpan w:val="4"/>
            <w:vAlign w:val="center"/>
          </w:tcPr>
          <w:p w14:paraId="3921ED83">
            <w:pPr>
              <w:keepNext w:val="0"/>
              <w:keepLines w:val="0"/>
              <w:widowControl/>
              <w:suppressLineNumbers w:val="0"/>
              <w:spacing w:line="279" w:lineRule="auto"/>
              <w:jc w:val="center"/>
              <w:textAlignment w:val="auto"/>
              <w:rPr>
                <w:rFonts w:hint="eastAsia" w:ascii="宋体" w:hAnsi="宋体" w:eastAsia="宋体" w:cs="宋体"/>
                <w:color w:val="auto"/>
                <w:spacing w:val="0"/>
                <w:sz w:val="21"/>
                <w:szCs w:val="21"/>
                <w:highlight w:val="none"/>
                <w:u w:val="none"/>
                <w:lang w:eastAsia="zh-CN" w:bidi="ar"/>
              </w:rPr>
            </w:pPr>
            <w:r>
              <w:rPr>
                <w:color w:val="auto"/>
                <w:spacing w:val="7"/>
                <w:highlight w:val="none"/>
              </w:rPr>
              <w:t>满足项目实施要求</w:t>
            </w:r>
          </w:p>
        </w:tc>
      </w:tr>
      <w:tr w14:paraId="15FA5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center"/>
          </w:tcPr>
          <w:p w14:paraId="40F25BEF">
            <w:pPr>
              <w:jc w:val="left"/>
              <w:rPr>
                <w:rFonts w:hint="default" w:ascii="宋体" w:hAnsi="宋体" w:eastAsia="宋体" w:cs="宋体"/>
                <w:b w:val="0"/>
                <w:bCs w:val="0"/>
                <w:i w:val="0"/>
                <w:iCs w:val="0"/>
                <w:color w:val="auto"/>
                <w:kern w:val="0"/>
                <w:sz w:val="21"/>
                <w:szCs w:val="21"/>
                <w:highlight w:val="none"/>
                <w:u w:val="none"/>
                <w:lang w:val="en-US" w:eastAsia="zh-CN" w:bidi="ar"/>
              </w:rPr>
            </w:pPr>
            <w:r>
              <w:rPr>
                <w:color w:val="auto"/>
                <w:spacing w:val="0"/>
                <w:highlight w:val="none"/>
              </w:rPr>
              <w:t>核心产品</w:t>
            </w:r>
          </w:p>
        </w:tc>
        <w:tc>
          <w:tcPr>
            <w:tcW w:w="6813" w:type="dxa"/>
            <w:gridSpan w:val="4"/>
            <w:vAlign w:val="center"/>
          </w:tcPr>
          <w:p w14:paraId="20054848">
            <w:pPr>
              <w:keepNext w:val="0"/>
              <w:keepLines w:val="0"/>
              <w:widowControl/>
              <w:suppressLineNumbers w:val="0"/>
              <w:spacing w:line="279" w:lineRule="auto"/>
              <w:jc w:val="center"/>
              <w:textAlignment w:val="auto"/>
              <w:rPr>
                <w:rFonts w:hint="eastAsia" w:ascii="宋体" w:hAnsi="宋体" w:eastAsia="宋体" w:cs="宋体"/>
                <w:color w:val="auto"/>
                <w:spacing w:val="0"/>
                <w:sz w:val="21"/>
                <w:szCs w:val="21"/>
                <w:highlight w:val="none"/>
                <w:u w:val="none"/>
                <w:lang w:eastAsia="zh-CN" w:bidi="ar"/>
              </w:rPr>
            </w:pPr>
            <w:r>
              <w:rPr>
                <w:color w:val="auto"/>
                <w:spacing w:val="6"/>
                <w:highlight w:val="none"/>
              </w:rPr>
              <w:t>核心产品为第</w:t>
            </w:r>
            <w:r>
              <w:rPr>
                <w:rFonts w:hint="eastAsia" w:eastAsia="宋体"/>
                <w:color w:val="auto"/>
                <w:spacing w:val="-28"/>
                <w:highlight w:val="none"/>
                <w:lang w:val="en-US" w:eastAsia="zh-CN"/>
              </w:rPr>
              <w:t>4.</w:t>
            </w:r>
            <w:r>
              <w:rPr>
                <w:color w:val="auto"/>
                <w:spacing w:val="6"/>
                <w:highlight w:val="none"/>
              </w:rPr>
              <w:t>项产</w:t>
            </w:r>
            <w:r>
              <w:rPr>
                <w:rFonts w:hint="eastAsia" w:eastAsia="宋体"/>
                <w:color w:val="auto"/>
                <w:spacing w:val="-28"/>
                <w:highlight w:val="none"/>
                <w:lang w:val="en-US" w:eastAsia="zh-CN"/>
              </w:rPr>
              <w:t>品“场景复原”。</w:t>
            </w:r>
          </w:p>
        </w:tc>
      </w:tr>
      <w:tr w14:paraId="04035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395" w:type="dxa"/>
            <w:gridSpan w:val="7"/>
            <w:vAlign w:val="center"/>
          </w:tcPr>
          <w:p w14:paraId="0198A0F9">
            <w:pPr>
              <w:keepNext w:val="0"/>
              <w:keepLines w:val="0"/>
              <w:widowControl/>
              <w:suppressLineNumbers w:val="0"/>
              <w:spacing w:line="279" w:lineRule="auto"/>
              <w:jc w:val="center"/>
              <w:textAlignment w:val="auto"/>
              <w:rPr>
                <w:rFonts w:hint="eastAsia" w:ascii="宋体" w:hAnsi="宋体" w:eastAsia="宋体" w:cs="宋体"/>
                <w:color w:val="auto"/>
                <w:spacing w:val="0"/>
                <w:sz w:val="21"/>
                <w:szCs w:val="21"/>
                <w:highlight w:val="none"/>
                <w:u w:val="none"/>
                <w:lang w:eastAsia="zh-CN" w:bidi="ar"/>
              </w:rPr>
            </w:pPr>
            <w:r>
              <w:rPr>
                <w:b/>
                <w:bCs/>
                <w:color w:val="auto"/>
                <w:spacing w:val="7"/>
                <w:highlight w:val="none"/>
              </w:rPr>
              <w:t>与实现项目目标相关的其他要求</w:t>
            </w:r>
          </w:p>
        </w:tc>
      </w:tr>
      <w:tr w14:paraId="18946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395" w:type="dxa"/>
            <w:gridSpan w:val="7"/>
            <w:vAlign w:val="center"/>
          </w:tcPr>
          <w:p w14:paraId="1CC8647C">
            <w:pPr>
              <w:keepNext w:val="0"/>
              <w:keepLines w:val="0"/>
              <w:widowControl/>
              <w:suppressLineNumbers w:val="0"/>
              <w:spacing w:line="279" w:lineRule="auto"/>
              <w:jc w:val="left"/>
              <w:textAlignment w:val="auto"/>
              <w:rPr>
                <w:rFonts w:hint="eastAsia" w:ascii="宋体" w:hAnsi="宋体" w:eastAsia="宋体" w:cs="宋体"/>
                <w:color w:val="auto"/>
                <w:spacing w:val="0"/>
                <w:sz w:val="21"/>
                <w:szCs w:val="21"/>
                <w:highlight w:val="none"/>
                <w:u w:val="none"/>
                <w:lang w:eastAsia="zh-CN" w:bidi="ar"/>
              </w:rPr>
            </w:pPr>
            <w:r>
              <w:rPr>
                <w:b/>
                <w:bCs/>
                <w:color w:val="auto"/>
                <w:spacing w:val="5"/>
                <w:highlight w:val="none"/>
              </w:rPr>
              <w:t>1.供应商的履约能力要求</w:t>
            </w:r>
          </w:p>
        </w:tc>
      </w:tr>
      <w:tr w14:paraId="25ED8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top"/>
          </w:tcPr>
          <w:p w14:paraId="6CE869BF">
            <w:pPr>
              <w:pStyle w:val="12"/>
              <w:spacing w:before="141" w:line="228" w:lineRule="auto"/>
              <w:ind w:left="114" w:leftChars="0"/>
              <w:rPr>
                <w:rFonts w:hint="eastAsia" w:ascii="宋体" w:hAnsi="宋体" w:eastAsia="宋体" w:cs="宋体"/>
                <w:b/>
                <w:bCs/>
                <w:i w:val="0"/>
                <w:iCs w:val="0"/>
                <w:color w:val="auto"/>
                <w:kern w:val="0"/>
                <w:sz w:val="21"/>
                <w:szCs w:val="21"/>
                <w:highlight w:val="none"/>
                <w:u w:val="none"/>
                <w:lang w:val="en-US" w:eastAsia="zh-CN" w:bidi="ar"/>
              </w:rPr>
            </w:pPr>
            <w:r>
              <w:rPr>
                <w:color w:val="auto"/>
                <w:spacing w:val="7"/>
                <w:sz w:val="21"/>
                <w:szCs w:val="21"/>
                <w:highlight w:val="none"/>
              </w:rPr>
              <w:t>业绩要求</w:t>
            </w:r>
          </w:p>
        </w:tc>
        <w:tc>
          <w:tcPr>
            <w:tcW w:w="6813" w:type="dxa"/>
            <w:gridSpan w:val="4"/>
            <w:vAlign w:val="top"/>
          </w:tcPr>
          <w:p w14:paraId="53B72F7F">
            <w:pPr>
              <w:pStyle w:val="12"/>
              <w:spacing w:before="141" w:line="228" w:lineRule="auto"/>
              <w:ind w:left="113" w:leftChars="0"/>
              <w:rPr>
                <w:rFonts w:hint="eastAsia" w:ascii="宋体" w:hAnsi="宋体" w:eastAsia="宋体" w:cs="宋体"/>
                <w:color w:val="auto"/>
                <w:spacing w:val="0"/>
                <w:sz w:val="21"/>
                <w:szCs w:val="21"/>
                <w:highlight w:val="none"/>
                <w:u w:val="none"/>
                <w:lang w:eastAsia="zh-CN" w:bidi="ar"/>
              </w:rPr>
            </w:pPr>
            <w:r>
              <w:rPr>
                <w:color w:val="auto"/>
                <w:spacing w:val="4"/>
                <w:sz w:val="21"/>
                <w:szCs w:val="21"/>
                <w:highlight w:val="none"/>
              </w:rPr>
              <w:t>无要求。</w:t>
            </w:r>
          </w:p>
        </w:tc>
      </w:tr>
      <w:tr w14:paraId="41F07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top"/>
          </w:tcPr>
          <w:p w14:paraId="381D3567">
            <w:pPr>
              <w:pStyle w:val="12"/>
              <w:spacing w:before="142" w:line="228" w:lineRule="auto"/>
              <w:ind w:left="118" w:leftChars="0"/>
              <w:rPr>
                <w:rFonts w:hint="eastAsia" w:ascii="宋体" w:hAnsi="宋体" w:eastAsia="宋体" w:cs="宋体"/>
                <w:b/>
                <w:bCs/>
                <w:i w:val="0"/>
                <w:iCs w:val="0"/>
                <w:color w:val="auto"/>
                <w:kern w:val="0"/>
                <w:sz w:val="21"/>
                <w:szCs w:val="21"/>
                <w:highlight w:val="none"/>
                <w:u w:val="none"/>
                <w:lang w:val="en-US" w:eastAsia="zh-CN" w:bidi="ar"/>
              </w:rPr>
            </w:pPr>
            <w:r>
              <w:rPr>
                <w:color w:val="auto"/>
                <w:spacing w:val="7"/>
                <w:sz w:val="21"/>
                <w:szCs w:val="21"/>
                <w:highlight w:val="none"/>
              </w:rPr>
              <w:t>履约能力要求</w:t>
            </w:r>
          </w:p>
        </w:tc>
        <w:tc>
          <w:tcPr>
            <w:tcW w:w="6813" w:type="dxa"/>
            <w:gridSpan w:val="4"/>
            <w:vAlign w:val="top"/>
          </w:tcPr>
          <w:p w14:paraId="7376E2F8">
            <w:pPr>
              <w:pStyle w:val="12"/>
              <w:spacing w:before="142" w:line="228" w:lineRule="auto"/>
              <w:ind w:left="111" w:leftChars="0"/>
              <w:rPr>
                <w:rFonts w:hint="eastAsia" w:ascii="宋体" w:hAnsi="宋体" w:eastAsia="宋体" w:cs="宋体"/>
                <w:color w:val="auto"/>
                <w:spacing w:val="0"/>
                <w:sz w:val="21"/>
                <w:szCs w:val="21"/>
                <w:highlight w:val="none"/>
                <w:u w:val="none"/>
                <w:lang w:eastAsia="zh-CN" w:bidi="ar"/>
              </w:rPr>
            </w:pPr>
            <w:r>
              <w:rPr>
                <w:color w:val="auto"/>
                <w:spacing w:val="7"/>
                <w:sz w:val="21"/>
                <w:szCs w:val="21"/>
                <w:highlight w:val="none"/>
              </w:rPr>
              <w:t>满足项目实施要求。</w:t>
            </w:r>
          </w:p>
        </w:tc>
      </w:tr>
      <w:tr w14:paraId="51096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395" w:type="dxa"/>
            <w:gridSpan w:val="7"/>
            <w:vAlign w:val="center"/>
          </w:tcPr>
          <w:p w14:paraId="74FF6C0F">
            <w:pPr>
              <w:keepNext w:val="0"/>
              <w:keepLines w:val="0"/>
              <w:widowControl/>
              <w:suppressLineNumbers w:val="0"/>
              <w:spacing w:line="279" w:lineRule="auto"/>
              <w:jc w:val="left"/>
              <w:textAlignment w:val="auto"/>
              <w:rPr>
                <w:rFonts w:hint="eastAsia" w:ascii="宋体" w:hAnsi="宋体" w:eastAsia="宋体" w:cs="宋体"/>
                <w:color w:val="auto"/>
                <w:spacing w:val="0"/>
                <w:sz w:val="21"/>
                <w:szCs w:val="21"/>
                <w:highlight w:val="none"/>
                <w:u w:val="none"/>
                <w:lang w:eastAsia="zh-CN" w:bidi="ar"/>
              </w:rPr>
            </w:pPr>
            <w:r>
              <w:rPr>
                <w:b/>
                <w:bCs/>
                <w:color w:val="auto"/>
                <w:spacing w:val="5"/>
                <w:highlight w:val="none"/>
              </w:rPr>
              <w:t>▲2.进口产品说明</w:t>
            </w:r>
          </w:p>
        </w:tc>
      </w:tr>
      <w:tr w14:paraId="555AA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582" w:type="dxa"/>
            <w:gridSpan w:val="3"/>
            <w:vAlign w:val="top"/>
          </w:tcPr>
          <w:p w14:paraId="5C80B389">
            <w:pPr>
              <w:spacing w:line="476" w:lineRule="auto"/>
              <w:rPr>
                <w:rFonts w:ascii="Arial"/>
                <w:color w:val="auto"/>
                <w:sz w:val="21"/>
                <w:highlight w:val="none"/>
              </w:rPr>
            </w:pPr>
          </w:p>
          <w:p w14:paraId="082C7040">
            <w:pPr>
              <w:pStyle w:val="12"/>
              <w:spacing w:before="65" w:line="228" w:lineRule="auto"/>
              <w:ind w:left="113" w:leftChars="0"/>
              <w:rPr>
                <w:rFonts w:hint="eastAsia" w:ascii="宋体" w:hAnsi="宋体" w:eastAsia="宋体" w:cs="宋体"/>
                <w:b/>
                <w:bCs/>
                <w:i w:val="0"/>
                <w:iCs w:val="0"/>
                <w:color w:val="auto"/>
                <w:kern w:val="0"/>
                <w:sz w:val="21"/>
                <w:szCs w:val="21"/>
                <w:highlight w:val="none"/>
                <w:u w:val="none"/>
                <w:lang w:val="en-US" w:eastAsia="zh-CN" w:bidi="ar"/>
              </w:rPr>
            </w:pPr>
            <w:r>
              <w:rPr>
                <w:color w:val="auto"/>
                <w:spacing w:val="8"/>
                <w:sz w:val="21"/>
                <w:szCs w:val="21"/>
                <w:highlight w:val="none"/>
              </w:rPr>
              <w:t>进口产品说明</w:t>
            </w:r>
          </w:p>
        </w:tc>
        <w:tc>
          <w:tcPr>
            <w:tcW w:w="6813" w:type="dxa"/>
            <w:gridSpan w:val="4"/>
            <w:vAlign w:val="top"/>
          </w:tcPr>
          <w:p w14:paraId="6397C858">
            <w:pPr>
              <w:pStyle w:val="12"/>
              <w:spacing w:before="144" w:line="323" w:lineRule="auto"/>
              <w:ind w:left="113" w:leftChars="0" w:right="106" w:rightChars="0"/>
              <w:jc w:val="both"/>
              <w:rPr>
                <w:rFonts w:hint="eastAsia" w:ascii="宋体" w:hAnsi="宋体" w:eastAsia="宋体" w:cs="宋体"/>
                <w:color w:val="auto"/>
                <w:spacing w:val="0"/>
                <w:sz w:val="21"/>
                <w:szCs w:val="21"/>
                <w:highlight w:val="none"/>
                <w:u w:val="none"/>
                <w:lang w:eastAsia="zh-CN" w:bidi="ar"/>
              </w:rPr>
            </w:pPr>
            <w:r>
              <w:rPr>
                <w:rFonts w:hint="eastAsia"/>
                <w:color w:val="auto"/>
                <w:spacing w:val="16"/>
                <w:sz w:val="21"/>
                <w:szCs w:val="21"/>
                <w:highlight w:val="none"/>
                <w:lang w:val="en-US" w:eastAsia="zh-CN"/>
              </w:rPr>
              <w:t>本项目</w:t>
            </w:r>
            <w:r>
              <w:rPr>
                <w:color w:val="auto"/>
                <w:spacing w:val="16"/>
                <w:sz w:val="21"/>
                <w:szCs w:val="21"/>
                <w:highlight w:val="none"/>
              </w:rPr>
              <w:t>不接受进口产品（即通过中国海关报关验放进入中国境内</w:t>
            </w:r>
            <w:r>
              <w:rPr>
                <w:color w:val="auto"/>
                <w:spacing w:val="15"/>
                <w:sz w:val="21"/>
                <w:szCs w:val="21"/>
                <w:highlight w:val="none"/>
              </w:rPr>
              <w:t>且产自关境外的产品）参与竞标，</w:t>
            </w:r>
            <w:r>
              <w:rPr>
                <w:b/>
                <w:bCs/>
                <w:color w:val="auto"/>
                <w:spacing w:val="15"/>
                <w:sz w:val="21"/>
                <w:szCs w:val="21"/>
                <w:highlight w:val="none"/>
              </w:rPr>
              <w:t>如有进口产品参与竞标的，其响应</w:t>
            </w:r>
            <w:r>
              <w:rPr>
                <w:b/>
                <w:bCs/>
                <w:color w:val="auto"/>
                <w:spacing w:val="6"/>
                <w:sz w:val="21"/>
                <w:szCs w:val="21"/>
                <w:highlight w:val="none"/>
              </w:rPr>
              <w:t>文件按无效处理。</w:t>
            </w:r>
          </w:p>
        </w:tc>
      </w:tr>
      <w:tr w14:paraId="6C13B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395" w:type="dxa"/>
            <w:gridSpan w:val="7"/>
            <w:vAlign w:val="center"/>
          </w:tcPr>
          <w:p w14:paraId="0B765684">
            <w:pPr>
              <w:keepNext w:val="0"/>
              <w:keepLines w:val="0"/>
              <w:widowControl/>
              <w:suppressLineNumbers w:val="0"/>
              <w:spacing w:line="279" w:lineRule="auto"/>
              <w:jc w:val="left"/>
              <w:textAlignment w:val="auto"/>
              <w:rPr>
                <w:rFonts w:hint="eastAsia" w:ascii="宋体" w:hAnsi="宋体" w:eastAsia="宋体" w:cs="宋体"/>
                <w:color w:val="auto"/>
                <w:spacing w:val="0"/>
                <w:sz w:val="21"/>
                <w:szCs w:val="21"/>
                <w:highlight w:val="none"/>
                <w:u w:val="none"/>
                <w:lang w:eastAsia="zh-CN" w:bidi="ar"/>
              </w:rPr>
            </w:pPr>
            <w:r>
              <w:rPr>
                <w:b/>
                <w:bCs/>
                <w:color w:val="auto"/>
                <w:spacing w:val="4"/>
                <w:highlight w:val="none"/>
              </w:rPr>
              <w:t>▲3.其他要求</w:t>
            </w:r>
          </w:p>
        </w:tc>
      </w:tr>
      <w:tr w14:paraId="02902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395" w:type="dxa"/>
            <w:gridSpan w:val="7"/>
            <w:vAlign w:val="center"/>
          </w:tcPr>
          <w:p w14:paraId="1ABB7E33">
            <w:pPr>
              <w:keepNext w:val="0"/>
              <w:keepLines w:val="0"/>
              <w:widowControl/>
              <w:suppressLineNumbers w:val="0"/>
              <w:spacing w:line="279" w:lineRule="auto"/>
              <w:jc w:val="left"/>
              <w:textAlignment w:val="auto"/>
              <w:rPr>
                <w:rFonts w:hint="eastAsia" w:ascii="宋体" w:hAnsi="宋体" w:eastAsia="宋体" w:cs="宋体"/>
                <w:color w:val="auto"/>
                <w:spacing w:val="0"/>
                <w:sz w:val="21"/>
                <w:szCs w:val="21"/>
                <w:highlight w:val="none"/>
                <w:u w:val="none"/>
                <w:lang w:eastAsia="zh-CN" w:bidi="ar"/>
              </w:rPr>
            </w:pPr>
            <w:r>
              <w:rPr>
                <w:b/>
                <w:bCs/>
                <w:color w:val="auto"/>
                <w:spacing w:val="8"/>
                <w:highlight w:val="none"/>
              </w:rPr>
              <w:t>供应商根据自身情况自行编制售后服务承诺，否则按无效竞标处理。</w:t>
            </w:r>
          </w:p>
        </w:tc>
      </w:tr>
    </w:tbl>
    <w:p w14:paraId="2EC569FA">
      <w:pPr>
        <w:spacing w:line="168" w:lineRule="exact"/>
        <w:rPr>
          <w:rFonts w:ascii="Arial"/>
          <w:color w:val="auto"/>
          <w:sz w:val="14"/>
          <w:highlight w:val="none"/>
        </w:rPr>
      </w:pPr>
    </w:p>
    <w:p w14:paraId="322CE3CE">
      <w:pPr>
        <w:spacing w:line="168" w:lineRule="exact"/>
        <w:rPr>
          <w:rFonts w:ascii="Arial" w:hAnsi="Arial" w:eastAsia="Arial" w:cs="Arial"/>
          <w:color w:val="auto"/>
          <w:sz w:val="14"/>
          <w:szCs w:val="14"/>
          <w:highlight w:val="none"/>
        </w:rPr>
        <w:sectPr>
          <w:footerReference r:id="rId29" w:type="default"/>
          <w:pgSz w:w="11910" w:h="16840"/>
          <w:pgMar w:top="1325" w:right="1458" w:bottom="1091" w:left="1637" w:header="0" w:footer="929" w:gutter="0"/>
          <w:pgNumType w:fmt="decimal"/>
          <w:cols w:space="720" w:num="1"/>
        </w:sectPr>
      </w:pPr>
    </w:p>
    <w:p w14:paraId="2934FC29">
      <w:pPr>
        <w:spacing w:before="64" w:line="230" w:lineRule="auto"/>
        <w:ind w:left="370"/>
        <w:rPr>
          <w:rFonts w:ascii="黑体" w:hAnsi="黑体" w:eastAsia="黑体" w:cs="黑体"/>
          <w:color w:val="auto"/>
          <w:sz w:val="31"/>
          <w:szCs w:val="31"/>
          <w:highlight w:val="none"/>
        </w:rPr>
      </w:pPr>
      <w:r>
        <w:rPr>
          <w:rFonts w:ascii="黑体" w:hAnsi="黑体" w:eastAsia="黑体" w:cs="黑体"/>
          <w:color w:val="auto"/>
          <w:spacing w:val="-4"/>
          <w:sz w:val="31"/>
          <w:szCs w:val="31"/>
          <w:highlight w:val="none"/>
        </w:rPr>
        <w:t>附件：</w:t>
      </w:r>
    </w:p>
    <w:p w14:paraId="730CF514">
      <w:pPr>
        <w:spacing w:before="320" w:line="483" w:lineRule="exact"/>
        <w:ind w:left="2119"/>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position w:val="-2"/>
          <w:sz w:val="43"/>
          <w:szCs w:val="43"/>
          <w:highlight w:val="none"/>
        </w:rPr>
        <w:t>节能产品政府采购品目清单</w:t>
      </w:r>
    </w:p>
    <w:tbl>
      <w:tblPr>
        <w:tblStyle w:val="11"/>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421"/>
        <w:gridCol w:w="1495"/>
        <w:gridCol w:w="1480"/>
        <w:gridCol w:w="3455"/>
      </w:tblGrid>
      <w:tr w14:paraId="4CBCF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675" w:type="dxa"/>
            <w:vAlign w:val="top"/>
          </w:tcPr>
          <w:p w14:paraId="29064ADC">
            <w:pPr>
              <w:pStyle w:val="12"/>
              <w:spacing w:before="36" w:line="231" w:lineRule="auto"/>
              <w:ind w:left="149"/>
              <w:rPr>
                <w:color w:val="auto"/>
                <w:highlight w:val="none"/>
              </w:rPr>
            </w:pPr>
            <w:r>
              <w:rPr>
                <w:b/>
                <w:bCs/>
                <w:color w:val="auto"/>
                <w:spacing w:val="14"/>
                <w:highlight w:val="none"/>
              </w:rPr>
              <w:t>品目</w:t>
            </w:r>
          </w:p>
          <w:p w14:paraId="0E0D6126">
            <w:pPr>
              <w:pStyle w:val="12"/>
              <w:spacing w:before="21" w:line="217" w:lineRule="auto"/>
              <w:ind w:left="131"/>
              <w:rPr>
                <w:color w:val="auto"/>
                <w:highlight w:val="none"/>
              </w:rPr>
            </w:pPr>
            <w:r>
              <w:rPr>
                <w:b/>
                <w:bCs/>
                <w:color w:val="auto"/>
                <w:spacing w:val="4"/>
                <w:highlight w:val="none"/>
              </w:rPr>
              <w:t>序号</w:t>
            </w:r>
          </w:p>
        </w:tc>
        <w:tc>
          <w:tcPr>
            <w:tcW w:w="4396" w:type="dxa"/>
            <w:gridSpan w:val="3"/>
            <w:vAlign w:val="top"/>
          </w:tcPr>
          <w:p w14:paraId="1AEA4D23">
            <w:pPr>
              <w:pStyle w:val="12"/>
              <w:spacing w:before="171" w:line="230" w:lineRule="auto"/>
              <w:ind w:left="1994"/>
              <w:rPr>
                <w:color w:val="auto"/>
                <w:highlight w:val="none"/>
              </w:rPr>
            </w:pPr>
            <w:r>
              <w:rPr>
                <w:b/>
                <w:bCs/>
                <w:color w:val="auto"/>
                <w:spacing w:val="2"/>
                <w:highlight w:val="none"/>
              </w:rPr>
              <w:t>名称</w:t>
            </w:r>
          </w:p>
        </w:tc>
        <w:tc>
          <w:tcPr>
            <w:tcW w:w="3455" w:type="dxa"/>
            <w:vAlign w:val="top"/>
          </w:tcPr>
          <w:p w14:paraId="6D50C87F">
            <w:pPr>
              <w:pStyle w:val="12"/>
              <w:spacing w:before="171" w:line="227" w:lineRule="auto"/>
              <w:ind w:left="1207"/>
              <w:rPr>
                <w:color w:val="auto"/>
                <w:highlight w:val="none"/>
              </w:rPr>
            </w:pPr>
            <w:r>
              <w:rPr>
                <w:b/>
                <w:bCs/>
                <w:color w:val="auto"/>
                <w:spacing w:val="6"/>
                <w:highlight w:val="none"/>
              </w:rPr>
              <w:t>依据的标准</w:t>
            </w:r>
          </w:p>
        </w:tc>
      </w:tr>
      <w:tr w14:paraId="7E588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restart"/>
            <w:tcBorders>
              <w:bottom w:val="nil"/>
            </w:tcBorders>
            <w:vAlign w:val="top"/>
          </w:tcPr>
          <w:p w14:paraId="06281C59">
            <w:pPr>
              <w:spacing w:line="348" w:lineRule="auto"/>
              <w:rPr>
                <w:rFonts w:ascii="Arial"/>
                <w:color w:val="auto"/>
                <w:sz w:val="21"/>
                <w:highlight w:val="none"/>
              </w:rPr>
            </w:pPr>
          </w:p>
          <w:p w14:paraId="7F231805">
            <w:pPr>
              <w:spacing w:line="349" w:lineRule="auto"/>
              <w:rPr>
                <w:rFonts w:ascii="Arial"/>
                <w:color w:val="auto"/>
                <w:sz w:val="21"/>
                <w:highlight w:val="none"/>
              </w:rPr>
            </w:pPr>
          </w:p>
          <w:p w14:paraId="53FEA46D">
            <w:pPr>
              <w:pStyle w:val="12"/>
              <w:spacing w:before="65" w:line="271" w:lineRule="exact"/>
              <w:ind w:left="306"/>
              <w:rPr>
                <w:color w:val="auto"/>
                <w:highlight w:val="none"/>
              </w:rPr>
            </w:pPr>
            <w:r>
              <w:rPr>
                <w:color w:val="auto"/>
                <w:position w:val="1"/>
                <w:highlight w:val="none"/>
              </w:rPr>
              <w:t>1</w:t>
            </w:r>
          </w:p>
        </w:tc>
        <w:tc>
          <w:tcPr>
            <w:tcW w:w="1421" w:type="dxa"/>
            <w:vMerge w:val="restart"/>
            <w:tcBorders>
              <w:bottom w:val="nil"/>
            </w:tcBorders>
            <w:vAlign w:val="top"/>
          </w:tcPr>
          <w:p w14:paraId="4DF80822">
            <w:pPr>
              <w:spacing w:line="287" w:lineRule="auto"/>
              <w:rPr>
                <w:rFonts w:ascii="Arial"/>
                <w:color w:val="auto"/>
                <w:sz w:val="21"/>
                <w:highlight w:val="none"/>
              </w:rPr>
            </w:pPr>
          </w:p>
          <w:p w14:paraId="1C6A0FCA">
            <w:pPr>
              <w:spacing w:line="288" w:lineRule="auto"/>
              <w:rPr>
                <w:rFonts w:ascii="Arial"/>
                <w:color w:val="auto"/>
                <w:sz w:val="21"/>
                <w:highlight w:val="none"/>
              </w:rPr>
            </w:pPr>
          </w:p>
          <w:p w14:paraId="118D7C28">
            <w:pPr>
              <w:pStyle w:val="12"/>
              <w:spacing w:before="65" w:line="254" w:lineRule="auto"/>
              <w:ind w:left="402" w:right="234" w:hanging="164"/>
              <w:rPr>
                <w:color w:val="auto"/>
                <w:highlight w:val="none"/>
              </w:rPr>
            </w:pPr>
            <w:r>
              <w:rPr>
                <w:color w:val="auto"/>
                <w:spacing w:val="4"/>
                <w:highlight w:val="none"/>
              </w:rPr>
              <w:t>A02010100</w:t>
            </w:r>
            <w:r>
              <w:rPr>
                <w:color w:val="auto"/>
                <w:spacing w:val="6"/>
                <w:highlight w:val="none"/>
              </w:rPr>
              <w:t>计算机</w:t>
            </w:r>
          </w:p>
        </w:tc>
        <w:tc>
          <w:tcPr>
            <w:tcW w:w="1495" w:type="dxa"/>
            <w:vAlign w:val="top"/>
          </w:tcPr>
          <w:p w14:paraId="079361E9">
            <w:pPr>
              <w:pStyle w:val="12"/>
              <w:spacing w:before="60" w:line="235" w:lineRule="auto"/>
              <w:ind w:left="246" w:right="164" w:hanging="63"/>
              <w:rPr>
                <w:color w:val="auto"/>
                <w:highlight w:val="none"/>
              </w:rPr>
            </w:pPr>
            <w:r>
              <w:rPr>
                <w:color w:val="auto"/>
                <w:spacing w:val="4"/>
                <w:highlight w:val="none"/>
              </w:rPr>
              <w:t>★A02010105台式计算机</w:t>
            </w:r>
          </w:p>
        </w:tc>
        <w:tc>
          <w:tcPr>
            <w:tcW w:w="1480" w:type="dxa"/>
            <w:vAlign w:val="top"/>
          </w:tcPr>
          <w:p w14:paraId="143F907B">
            <w:pPr>
              <w:rPr>
                <w:rFonts w:ascii="Arial"/>
                <w:color w:val="auto"/>
                <w:sz w:val="21"/>
                <w:highlight w:val="none"/>
              </w:rPr>
            </w:pPr>
          </w:p>
        </w:tc>
        <w:tc>
          <w:tcPr>
            <w:tcW w:w="3455" w:type="dxa"/>
            <w:vAlign w:val="top"/>
          </w:tcPr>
          <w:p w14:paraId="6B06C3A6">
            <w:pPr>
              <w:pStyle w:val="12"/>
              <w:spacing w:before="60" w:line="235" w:lineRule="auto"/>
              <w:ind w:left="952" w:right="147" w:hanging="785"/>
              <w:rPr>
                <w:color w:val="auto"/>
                <w:highlight w:val="none"/>
              </w:rPr>
            </w:pPr>
            <w:r>
              <w:rPr>
                <w:color w:val="auto"/>
                <w:spacing w:val="9"/>
                <w:highlight w:val="none"/>
              </w:rPr>
              <w:t>《微型计算机能效限定值及能效等</w:t>
            </w:r>
            <w:r>
              <w:rPr>
                <w:color w:val="auto"/>
                <w:spacing w:val="5"/>
                <w:highlight w:val="none"/>
              </w:rPr>
              <w:t>级》（</w:t>
            </w:r>
            <w:r>
              <w:rPr>
                <w:color w:val="auto"/>
                <w:highlight w:val="none"/>
              </w:rPr>
              <w:t>GB</w:t>
            </w:r>
            <w:r>
              <w:rPr>
                <w:color w:val="auto"/>
                <w:spacing w:val="5"/>
                <w:highlight w:val="none"/>
              </w:rPr>
              <w:t>28380）</w:t>
            </w:r>
          </w:p>
        </w:tc>
      </w:tr>
      <w:tr w14:paraId="1DD55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5" w:type="dxa"/>
            <w:vMerge w:val="continue"/>
            <w:tcBorders>
              <w:top w:val="nil"/>
              <w:bottom w:val="nil"/>
            </w:tcBorders>
            <w:vAlign w:val="top"/>
          </w:tcPr>
          <w:p w14:paraId="4D9C3B62">
            <w:pPr>
              <w:rPr>
                <w:rFonts w:ascii="Arial"/>
                <w:color w:val="auto"/>
                <w:sz w:val="21"/>
                <w:highlight w:val="none"/>
              </w:rPr>
            </w:pPr>
          </w:p>
        </w:tc>
        <w:tc>
          <w:tcPr>
            <w:tcW w:w="1421" w:type="dxa"/>
            <w:vMerge w:val="continue"/>
            <w:tcBorders>
              <w:top w:val="nil"/>
              <w:bottom w:val="nil"/>
            </w:tcBorders>
            <w:vAlign w:val="top"/>
          </w:tcPr>
          <w:p w14:paraId="10B755A2">
            <w:pPr>
              <w:rPr>
                <w:rFonts w:ascii="Arial"/>
                <w:color w:val="auto"/>
                <w:sz w:val="21"/>
                <w:highlight w:val="none"/>
              </w:rPr>
            </w:pPr>
          </w:p>
        </w:tc>
        <w:tc>
          <w:tcPr>
            <w:tcW w:w="1495" w:type="dxa"/>
            <w:vAlign w:val="top"/>
          </w:tcPr>
          <w:p w14:paraId="3B4840C8">
            <w:pPr>
              <w:pStyle w:val="12"/>
              <w:spacing w:before="62" w:line="234" w:lineRule="auto"/>
              <w:ind w:left="125" w:right="115" w:firstLine="57"/>
              <w:rPr>
                <w:color w:val="auto"/>
                <w:highlight w:val="none"/>
              </w:rPr>
            </w:pPr>
            <w:r>
              <w:rPr>
                <w:color w:val="auto"/>
                <w:spacing w:val="4"/>
                <w:highlight w:val="none"/>
              </w:rPr>
              <w:t>★A02010108</w:t>
            </w:r>
            <w:r>
              <w:rPr>
                <w:color w:val="auto"/>
                <w:spacing w:val="8"/>
                <w:highlight w:val="none"/>
              </w:rPr>
              <w:t>便携式计算机</w:t>
            </w:r>
          </w:p>
        </w:tc>
        <w:tc>
          <w:tcPr>
            <w:tcW w:w="1480" w:type="dxa"/>
            <w:vAlign w:val="top"/>
          </w:tcPr>
          <w:p w14:paraId="562AB426">
            <w:pPr>
              <w:rPr>
                <w:rFonts w:ascii="Arial"/>
                <w:color w:val="auto"/>
                <w:sz w:val="21"/>
                <w:highlight w:val="none"/>
              </w:rPr>
            </w:pPr>
          </w:p>
        </w:tc>
        <w:tc>
          <w:tcPr>
            <w:tcW w:w="3455" w:type="dxa"/>
            <w:vAlign w:val="top"/>
          </w:tcPr>
          <w:p w14:paraId="1AA45158">
            <w:pPr>
              <w:pStyle w:val="12"/>
              <w:spacing w:before="62" w:line="234" w:lineRule="auto"/>
              <w:ind w:left="952" w:right="147" w:hanging="785"/>
              <w:rPr>
                <w:color w:val="auto"/>
                <w:highlight w:val="none"/>
              </w:rPr>
            </w:pPr>
            <w:r>
              <w:rPr>
                <w:color w:val="auto"/>
                <w:spacing w:val="9"/>
                <w:highlight w:val="none"/>
              </w:rPr>
              <w:t>《微型计算机能效限定值及能效等</w:t>
            </w:r>
            <w:r>
              <w:rPr>
                <w:color w:val="auto"/>
                <w:spacing w:val="5"/>
                <w:highlight w:val="none"/>
              </w:rPr>
              <w:t>级》（</w:t>
            </w:r>
            <w:r>
              <w:rPr>
                <w:color w:val="auto"/>
                <w:highlight w:val="none"/>
              </w:rPr>
              <w:t>GB</w:t>
            </w:r>
            <w:r>
              <w:rPr>
                <w:color w:val="auto"/>
                <w:spacing w:val="5"/>
                <w:highlight w:val="none"/>
              </w:rPr>
              <w:t>28380）</w:t>
            </w:r>
          </w:p>
        </w:tc>
      </w:tr>
      <w:tr w14:paraId="4EF0B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tcBorders>
            <w:vAlign w:val="top"/>
          </w:tcPr>
          <w:p w14:paraId="41091ED7">
            <w:pPr>
              <w:rPr>
                <w:rFonts w:ascii="Arial"/>
                <w:color w:val="auto"/>
                <w:sz w:val="21"/>
                <w:highlight w:val="none"/>
              </w:rPr>
            </w:pPr>
          </w:p>
        </w:tc>
        <w:tc>
          <w:tcPr>
            <w:tcW w:w="1421" w:type="dxa"/>
            <w:vMerge w:val="continue"/>
            <w:tcBorders>
              <w:top w:val="nil"/>
            </w:tcBorders>
            <w:vAlign w:val="top"/>
          </w:tcPr>
          <w:p w14:paraId="620AD7AA">
            <w:pPr>
              <w:rPr>
                <w:rFonts w:ascii="Arial"/>
                <w:color w:val="auto"/>
                <w:sz w:val="21"/>
                <w:highlight w:val="none"/>
              </w:rPr>
            </w:pPr>
          </w:p>
        </w:tc>
        <w:tc>
          <w:tcPr>
            <w:tcW w:w="1495" w:type="dxa"/>
            <w:vAlign w:val="top"/>
          </w:tcPr>
          <w:p w14:paraId="5598FE56">
            <w:pPr>
              <w:pStyle w:val="12"/>
              <w:spacing w:before="60" w:line="235" w:lineRule="auto"/>
              <w:ind w:left="123" w:right="115" w:firstLine="59"/>
              <w:rPr>
                <w:color w:val="auto"/>
                <w:highlight w:val="none"/>
              </w:rPr>
            </w:pPr>
            <w:r>
              <w:rPr>
                <w:color w:val="auto"/>
                <w:spacing w:val="4"/>
                <w:highlight w:val="none"/>
              </w:rPr>
              <w:t>★A02010109</w:t>
            </w:r>
            <w:r>
              <w:rPr>
                <w:color w:val="auto"/>
                <w:spacing w:val="8"/>
                <w:highlight w:val="none"/>
              </w:rPr>
              <w:t>平板式计算机</w:t>
            </w:r>
          </w:p>
        </w:tc>
        <w:tc>
          <w:tcPr>
            <w:tcW w:w="1480" w:type="dxa"/>
            <w:vAlign w:val="top"/>
          </w:tcPr>
          <w:p w14:paraId="013DB183">
            <w:pPr>
              <w:rPr>
                <w:rFonts w:ascii="Arial"/>
                <w:color w:val="auto"/>
                <w:sz w:val="21"/>
                <w:highlight w:val="none"/>
              </w:rPr>
            </w:pPr>
          </w:p>
        </w:tc>
        <w:tc>
          <w:tcPr>
            <w:tcW w:w="3455" w:type="dxa"/>
            <w:vAlign w:val="top"/>
          </w:tcPr>
          <w:p w14:paraId="3CDFF32E">
            <w:pPr>
              <w:pStyle w:val="12"/>
              <w:spacing w:before="60" w:line="235" w:lineRule="auto"/>
              <w:ind w:left="952" w:right="147" w:hanging="785"/>
              <w:rPr>
                <w:color w:val="auto"/>
                <w:highlight w:val="none"/>
              </w:rPr>
            </w:pPr>
            <w:r>
              <w:rPr>
                <w:color w:val="auto"/>
                <w:spacing w:val="9"/>
                <w:highlight w:val="none"/>
              </w:rPr>
              <w:t>《微型计算机能效限定值及能效等</w:t>
            </w:r>
            <w:r>
              <w:rPr>
                <w:color w:val="auto"/>
                <w:spacing w:val="5"/>
                <w:highlight w:val="none"/>
              </w:rPr>
              <w:t>级》（</w:t>
            </w:r>
            <w:r>
              <w:rPr>
                <w:color w:val="auto"/>
                <w:highlight w:val="none"/>
              </w:rPr>
              <w:t>GB</w:t>
            </w:r>
            <w:r>
              <w:rPr>
                <w:color w:val="auto"/>
                <w:spacing w:val="5"/>
                <w:highlight w:val="none"/>
              </w:rPr>
              <w:t>28380）</w:t>
            </w:r>
          </w:p>
        </w:tc>
      </w:tr>
      <w:tr w14:paraId="609C9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675" w:type="dxa"/>
            <w:vMerge w:val="restart"/>
            <w:tcBorders>
              <w:bottom w:val="nil"/>
            </w:tcBorders>
            <w:vAlign w:val="top"/>
          </w:tcPr>
          <w:p w14:paraId="4DABE1A0">
            <w:pPr>
              <w:spacing w:line="255" w:lineRule="auto"/>
              <w:rPr>
                <w:rFonts w:ascii="Arial"/>
                <w:color w:val="auto"/>
                <w:sz w:val="21"/>
                <w:highlight w:val="none"/>
              </w:rPr>
            </w:pPr>
          </w:p>
          <w:p w14:paraId="45B9254B">
            <w:pPr>
              <w:spacing w:line="255" w:lineRule="auto"/>
              <w:rPr>
                <w:rFonts w:ascii="Arial"/>
                <w:color w:val="auto"/>
                <w:sz w:val="21"/>
                <w:highlight w:val="none"/>
              </w:rPr>
            </w:pPr>
          </w:p>
          <w:p w14:paraId="3E509095">
            <w:pPr>
              <w:spacing w:line="255" w:lineRule="auto"/>
              <w:rPr>
                <w:rFonts w:ascii="Arial"/>
                <w:color w:val="auto"/>
                <w:sz w:val="21"/>
                <w:highlight w:val="none"/>
              </w:rPr>
            </w:pPr>
          </w:p>
          <w:p w14:paraId="6905EFA4">
            <w:pPr>
              <w:spacing w:line="255" w:lineRule="auto"/>
              <w:rPr>
                <w:rFonts w:ascii="Arial"/>
                <w:color w:val="auto"/>
                <w:sz w:val="21"/>
                <w:highlight w:val="none"/>
              </w:rPr>
            </w:pPr>
          </w:p>
          <w:p w14:paraId="7440E921">
            <w:pPr>
              <w:spacing w:line="255" w:lineRule="auto"/>
              <w:rPr>
                <w:rFonts w:ascii="Arial"/>
                <w:color w:val="auto"/>
                <w:sz w:val="21"/>
                <w:highlight w:val="none"/>
              </w:rPr>
            </w:pPr>
          </w:p>
          <w:p w14:paraId="1ADA5B72">
            <w:pPr>
              <w:spacing w:line="255" w:lineRule="auto"/>
              <w:rPr>
                <w:rFonts w:ascii="Arial"/>
                <w:color w:val="auto"/>
                <w:sz w:val="21"/>
                <w:highlight w:val="none"/>
              </w:rPr>
            </w:pPr>
          </w:p>
          <w:p w14:paraId="3DB4C78D">
            <w:pPr>
              <w:spacing w:line="255" w:lineRule="auto"/>
              <w:rPr>
                <w:rFonts w:ascii="Arial"/>
                <w:color w:val="auto"/>
                <w:sz w:val="21"/>
                <w:highlight w:val="none"/>
              </w:rPr>
            </w:pPr>
          </w:p>
          <w:p w14:paraId="72D88B41">
            <w:pPr>
              <w:spacing w:line="255" w:lineRule="auto"/>
              <w:rPr>
                <w:rFonts w:ascii="Arial"/>
                <w:color w:val="auto"/>
                <w:sz w:val="21"/>
                <w:highlight w:val="none"/>
              </w:rPr>
            </w:pPr>
          </w:p>
          <w:p w14:paraId="4BCEF5A7">
            <w:pPr>
              <w:spacing w:line="256" w:lineRule="auto"/>
              <w:rPr>
                <w:rFonts w:ascii="Arial"/>
                <w:color w:val="auto"/>
                <w:sz w:val="21"/>
                <w:highlight w:val="none"/>
              </w:rPr>
            </w:pPr>
          </w:p>
          <w:p w14:paraId="26BA288F">
            <w:pPr>
              <w:spacing w:line="256" w:lineRule="auto"/>
              <w:rPr>
                <w:rFonts w:ascii="Arial"/>
                <w:color w:val="auto"/>
                <w:sz w:val="21"/>
                <w:highlight w:val="none"/>
              </w:rPr>
            </w:pPr>
          </w:p>
          <w:p w14:paraId="752F2CC1">
            <w:pPr>
              <w:spacing w:line="256" w:lineRule="auto"/>
              <w:rPr>
                <w:rFonts w:ascii="Arial"/>
                <w:color w:val="auto"/>
                <w:sz w:val="21"/>
                <w:highlight w:val="none"/>
              </w:rPr>
            </w:pPr>
          </w:p>
          <w:p w14:paraId="7BE3FC89">
            <w:pPr>
              <w:spacing w:line="256" w:lineRule="auto"/>
              <w:rPr>
                <w:rFonts w:ascii="Arial"/>
                <w:color w:val="auto"/>
                <w:sz w:val="21"/>
                <w:highlight w:val="none"/>
              </w:rPr>
            </w:pPr>
          </w:p>
          <w:p w14:paraId="35E52B0F">
            <w:pPr>
              <w:spacing w:line="256" w:lineRule="auto"/>
              <w:rPr>
                <w:rFonts w:ascii="Arial"/>
                <w:color w:val="auto"/>
                <w:sz w:val="21"/>
                <w:highlight w:val="none"/>
              </w:rPr>
            </w:pPr>
          </w:p>
          <w:p w14:paraId="472D6091">
            <w:pPr>
              <w:spacing w:line="256" w:lineRule="auto"/>
              <w:rPr>
                <w:rFonts w:ascii="Arial"/>
                <w:color w:val="auto"/>
                <w:sz w:val="21"/>
                <w:highlight w:val="none"/>
              </w:rPr>
            </w:pPr>
          </w:p>
          <w:p w14:paraId="54D66200">
            <w:pPr>
              <w:spacing w:line="256" w:lineRule="auto"/>
              <w:rPr>
                <w:rFonts w:ascii="Arial"/>
                <w:color w:val="auto"/>
                <w:sz w:val="21"/>
                <w:highlight w:val="none"/>
              </w:rPr>
            </w:pPr>
          </w:p>
          <w:p w14:paraId="6B2546BB">
            <w:pPr>
              <w:pStyle w:val="12"/>
              <w:spacing w:before="65" w:line="270" w:lineRule="exact"/>
              <w:ind w:left="293"/>
              <w:rPr>
                <w:color w:val="auto"/>
                <w:highlight w:val="none"/>
              </w:rPr>
            </w:pPr>
            <w:r>
              <w:rPr>
                <w:color w:val="auto"/>
                <w:position w:val="1"/>
                <w:highlight w:val="none"/>
              </w:rPr>
              <w:t>2</w:t>
            </w:r>
          </w:p>
        </w:tc>
        <w:tc>
          <w:tcPr>
            <w:tcW w:w="1421" w:type="dxa"/>
            <w:vMerge w:val="restart"/>
            <w:tcBorders>
              <w:bottom w:val="nil"/>
            </w:tcBorders>
            <w:vAlign w:val="top"/>
          </w:tcPr>
          <w:p w14:paraId="02A7149E">
            <w:pPr>
              <w:spacing w:line="247" w:lineRule="auto"/>
              <w:rPr>
                <w:rFonts w:ascii="Arial"/>
                <w:color w:val="auto"/>
                <w:sz w:val="21"/>
                <w:highlight w:val="none"/>
              </w:rPr>
            </w:pPr>
          </w:p>
          <w:p w14:paraId="7D44D1AF">
            <w:pPr>
              <w:spacing w:line="247" w:lineRule="auto"/>
              <w:rPr>
                <w:rFonts w:ascii="Arial"/>
                <w:color w:val="auto"/>
                <w:sz w:val="21"/>
                <w:highlight w:val="none"/>
              </w:rPr>
            </w:pPr>
          </w:p>
          <w:p w14:paraId="1BA2CBD8">
            <w:pPr>
              <w:spacing w:line="247" w:lineRule="auto"/>
              <w:rPr>
                <w:rFonts w:ascii="Arial"/>
                <w:color w:val="auto"/>
                <w:sz w:val="21"/>
                <w:highlight w:val="none"/>
              </w:rPr>
            </w:pPr>
          </w:p>
          <w:p w14:paraId="17FEC322">
            <w:pPr>
              <w:spacing w:line="247" w:lineRule="auto"/>
              <w:rPr>
                <w:rFonts w:ascii="Arial"/>
                <w:color w:val="auto"/>
                <w:sz w:val="21"/>
                <w:highlight w:val="none"/>
              </w:rPr>
            </w:pPr>
          </w:p>
          <w:p w14:paraId="2D0CABA4">
            <w:pPr>
              <w:spacing w:line="247" w:lineRule="auto"/>
              <w:rPr>
                <w:rFonts w:ascii="Arial"/>
                <w:color w:val="auto"/>
                <w:sz w:val="21"/>
                <w:highlight w:val="none"/>
              </w:rPr>
            </w:pPr>
          </w:p>
          <w:p w14:paraId="3083929D">
            <w:pPr>
              <w:spacing w:line="247" w:lineRule="auto"/>
              <w:rPr>
                <w:rFonts w:ascii="Arial"/>
                <w:color w:val="auto"/>
                <w:sz w:val="21"/>
                <w:highlight w:val="none"/>
              </w:rPr>
            </w:pPr>
          </w:p>
          <w:p w14:paraId="65FC8500">
            <w:pPr>
              <w:spacing w:line="247" w:lineRule="auto"/>
              <w:rPr>
                <w:rFonts w:ascii="Arial"/>
                <w:color w:val="auto"/>
                <w:sz w:val="21"/>
                <w:highlight w:val="none"/>
              </w:rPr>
            </w:pPr>
          </w:p>
          <w:p w14:paraId="2317F978">
            <w:pPr>
              <w:spacing w:line="247" w:lineRule="auto"/>
              <w:rPr>
                <w:rFonts w:ascii="Arial"/>
                <w:color w:val="auto"/>
                <w:sz w:val="21"/>
                <w:highlight w:val="none"/>
              </w:rPr>
            </w:pPr>
          </w:p>
          <w:p w14:paraId="5799A690">
            <w:pPr>
              <w:spacing w:line="248" w:lineRule="auto"/>
              <w:rPr>
                <w:rFonts w:ascii="Arial"/>
                <w:color w:val="auto"/>
                <w:sz w:val="21"/>
                <w:highlight w:val="none"/>
              </w:rPr>
            </w:pPr>
          </w:p>
          <w:p w14:paraId="778688BD">
            <w:pPr>
              <w:spacing w:line="248" w:lineRule="auto"/>
              <w:rPr>
                <w:rFonts w:ascii="Arial"/>
                <w:color w:val="auto"/>
                <w:sz w:val="21"/>
                <w:highlight w:val="none"/>
              </w:rPr>
            </w:pPr>
          </w:p>
          <w:p w14:paraId="6BE59DE7">
            <w:pPr>
              <w:spacing w:line="248" w:lineRule="auto"/>
              <w:rPr>
                <w:rFonts w:ascii="Arial"/>
                <w:color w:val="auto"/>
                <w:sz w:val="21"/>
                <w:highlight w:val="none"/>
              </w:rPr>
            </w:pPr>
          </w:p>
          <w:p w14:paraId="09372B9F">
            <w:pPr>
              <w:spacing w:line="248" w:lineRule="auto"/>
              <w:rPr>
                <w:rFonts w:ascii="Arial"/>
                <w:color w:val="auto"/>
                <w:sz w:val="21"/>
                <w:highlight w:val="none"/>
              </w:rPr>
            </w:pPr>
          </w:p>
          <w:p w14:paraId="1258AB3A">
            <w:pPr>
              <w:spacing w:line="248" w:lineRule="auto"/>
              <w:rPr>
                <w:rFonts w:ascii="Arial"/>
                <w:color w:val="auto"/>
                <w:sz w:val="21"/>
                <w:highlight w:val="none"/>
              </w:rPr>
            </w:pPr>
          </w:p>
          <w:p w14:paraId="6744FDE8">
            <w:pPr>
              <w:spacing w:line="248" w:lineRule="auto"/>
              <w:rPr>
                <w:rFonts w:ascii="Arial"/>
                <w:color w:val="auto"/>
                <w:sz w:val="21"/>
                <w:highlight w:val="none"/>
              </w:rPr>
            </w:pPr>
          </w:p>
          <w:p w14:paraId="4C76A133">
            <w:pPr>
              <w:spacing w:line="248" w:lineRule="auto"/>
              <w:rPr>
                <w:rFonts w:ascii="Arial"/>
                <w:color w:val="auto"/>
                <w:sz w:val="21"/>
                <w:highlight w:val="none"/>
              </w:rPr>
            </w:pPr>
          </w:p>
          <w:p w14:paraId="066AA610">
            <w:pPr>
              <w:pStyle w:val="12"/>
              <w:spacing w:before="65" w:line="252" w:lineRule="auto"/>
              <w:ind w:left="301" w:right="234" w:hanging="63"/>
              <w:rPr>
                <w:color w:val="auto"/>
                <w:highlight w:val="none"/>
              </w:rPr>
            </w:pPr>
            <w:r>
              <w:rPr>
                <w:color w:val="auto"/>
                <w:spacing w:val="4"/>
                <w:highlight w:val="none"/>
              </w:rPr>
              <w:t>A02020000</w:t>
            </w:r>
            <w:r>
              <w:rPr>
                <w:color w:val="auto"/>
                <w:spacing w:val="6"/>
                <w:highlight w:val="none"/>
              </w:rPr>
              <w:t>办公设备</w:t>
            </w:r>
          </w:p>
        </w:tc>
        <w:tc>
          <w:tcPr>
            <w:tcW w:w="1495" w:type="dxa"/>
            <w:vMerge w:val="restart"/>
            <w:tcBorders>
              <w:bottom w:val="nil"/>
            </w:tcBorders>
            <w:vAlign w:val="top"/>
          </w:tcPr>
          <w:p w14:paraId="3120565B">
            <w:pPr>
              <w:spacing w:line="260" w:lineRule="auto"/>
              <w:rPr>
                <w:rFonts w:ascii="Arial"/>
                <w:color w:val="auto"/>
                <w:sz w:val="21"/>
                <w:highlight w:val="none"/>
              </w:rPr>
            </w:pPr>
          </w:p>
          <w:p w14:paraId="7F27D11A">
            <w:pPr>
              <w:spacing w:line="260" w:lineRule="auto"/>
              <w:rPr>
                <w:rFonts w:ascii="Arial"/>
                <w:color w:val="auto"/>
                <w:sz w:val="21"/>
                <w:highlight w:val="none"/>
              </w:rPr>
            </w:pPr>
          </w:p>
          <w:p w14:paraId="61FA334A">
            <w:pPr>
              <w:spacing w:line="260" w:lineRule="auto"/>
              <w:rPr>
                <w:rFonts w:ascii="Arial"/>
                <w:color w:val="auto"/>
                <w:sz w:val="21"/>
                <w:highlight w:val="none"/>
              </w:rPr>
            </w:pPr>
          </w:p>
          <w:p w14:paraId="3CF0DEFE">
            <w:pPr>
              <w:spacing w:line="260" w:lineRule="auto"/>
              <w:rPr>
                <w:rFonts w:ascii="Arial"/>
                <w:color w:val="auto"/>
                <w:sz w:val="21"/>
                <w:highlight w:val="none"/>
              </w:rPr>
            </w:pPr>
          </w:p>
          <w:p w14:paraId="222AED5C">
            <w:pPr>
              <w:spacing w:line="260" w:lineRule="auto"/>
              <w:rPr>
                <w:rFonts w:ascii="Arial"/>
                <w:color w:val="auto"/>
                <w:sz w:val="21"/>
                <w:highlight w:val="none"/>
              </w:rPr>
            </w:pPr>
          </w:p>
          <w:p w14:paraId="61CFAC8A">
            <w:pPr>
              <w:spacing w:line="260" w:lineRule="auto"/>
              <w:rPr>
                <w:rFonts w:ascii="Arial"/>
                <w:color w:val="auto"/>
                <w:sz w:val="21"/>
                <w:highlight w:val="none"/>
              </w:rPr>
            </w:pPr>
          </w:p>
          <w:p w14:paraId="484635A6">
            <w:pPr>
              <w:spacing w:line="260" w:lineRule="auto"/>
              <w:rPr>
                <w:rFonts w:ascii="Arial"/>
                <w:color w:val="auto"/>
                <w:sz w:val="21"/>
                <w:highlight w:val="none"/>
              </w:rPr>
            </w:pPr>
          </w:p>
          <w:p w14:paraId="5591A688">
            <w:pPr>
              <w:spacing w:line="260" w:lineRule="auto"/>
              <w:rPr>
                <w:rFonts w:ascii="Arial"/>
                <w:color w:val="auto"/>
                <w:sz w:val="21"/>
                <w:highlight w:val="none"/>
              </w:rPr>
            </w:pPr>
          </w:p>
          <w:p w14:paraId="5CFDF205">
            <w:pPr>
              <w:spacing w:line="260" w:lineRule="auto"/>
              <w:rPr>
                <w:rFonts w:ascii="Arial"/>
                <w:color w:val="auto"/>
                <w:sz w:val="21"/>
                <w:highlight w:val="none"/>
              </w:rPr>
            </w:pPr>
          </w:p>
          <w:p w14:paraId="32FA3F7F">
            <w:pPr>
              <w:spacing w:line="261" w:lineRule="auto"/>
              <w:rPr>
                <w:rFonts w:ascii="Arial"/>
                <w:color w:val="auto"/>
                <w:sz w:val="21"/>
                <w:highlight w:val="none"/>
              </w:rPr>
            </w:pPr>
          </w:p>
          <w:p w14:paraId="36EA735A">
            <w:pPr>
              <w:spacing w:line="261" w:lineRule="auto"/>
              <w:rPr>
                <w:rFonts w:ascii="Arial"/>
                <w:color w:val="auto"/>
                <w:sz w:val="21"/>
                <w:highlight w:val="none"/>
              </w:rPr>
            </w:pPr>
          </w:p>
          <w:p w14:paraId="60449273">
            <w:pPr>
              <w:pStyle w:val="12"/>
              <w:spacing w:before="65" w:line="251" w:lineRule="auto"/>
              <w:ind w:left="560" w:right="139" w:hanging="416"/>
              <w:rPr>
                <w:color w:val="auto"/>
                <w:highlight w:val="none"/>
              </w:rPr>
            </w:pPr>
            <w:r>
              <w:rPr>
                <w:color w:val="auto"/>
                <w:spacing w:val="4"/>
                <w:highlight w:val="none"/>
              </w:rPr>
              <w:t>A02021000</w:t>
            </w:r>
            <w:r>
              <w:rPr>
                <w:color w:val="auto"/>
                <w:spacing w:val="-35"/>
                <w:highlight w:val="none"/>
              </w:rPr>
              <w:t xml:space="preserve"> </w:t>
            </w:r>
            <w:r>
              <w:rPr>
                <w:color w:val="auto"/>
                <w:spacing w:val="4"/>
                <w:highlight w:val="none"/>
              </w:rPr>
              <w:t>打</w:t>
            </w:r>
            <w:r>
              <w:rPr>
                <w:color w:val="auto"/>
                <w:spacing w:val="-4"/>
                <w:highlight w:val="none"/>
              </w:rPr>
              <w:t>印机</w:t>
            </w:r>
          </w:p>
        </w:tc>
        <w:tc>
          <w:tcPr>
            <w:tcW w:w="1480" w:type="dxa"/>
            <w:vAlign w:val="top"/>
          </w:tcPr>
          <w:p w14:paraId="2F4B908A">
            <w:pPr>
              <w:pStyle w:val="12"/>
              <w:spacing w:before="62" w:line="268" w:lineRule="exact"/>
              <w:ind w:left="269"/>
              <w:rPr>
                <w:color w:val="auto"/>
                <w:highlight w:val="none"/>
              </w:rPr>
            </w:pPr>
            <w:r>
              <w:rPr>
                <w:color w:val="auto"/>
                <w:spacing w:val="4"/>
                <w:position w:val="1"/>
                <w:highlight w:val="none"/>
              </w:rPr>
              <w:t>A02021001</w:t>
            </w:r>
          </w:p>
          <w:p w14:paraId="01828DFA">
            <w:pPr>
              <w:pStyle w:val="12"/>
              <w:spacing w:before="2" w:line="228" w:lineRule="auto"/>
              <w:ind w:left="190"/>
              <w:rPr>
                <w:color w:val="auto"/>
                <w:highlight w:val="none"/>
              </w:rPr>
            </w:pPr>
            <w:r>
              <w:rPr>
                <w:color w:val="auto"/>
                <w:spacing w:val="5"/>
                <w:highlight w:val="none"/>
              </w:rPr>
              <w:t>A3</w:t>
            </w:r>
            <w:r>
              <w:rPr>
                <w:color w:val="auto"/>
                <w:spacing w:val="-31"/>
                <w:highlight w:val="none"/>
              </w:rPr>
              <w:t xml:space="preserve"> </w:t>
            </w:r>
            <w:r>
              <w:rPr>
                <w:color w:val="auto"/>
                <w:spacing w:val="5"/>
                <w:highlight w:val="none"/>
              </w:rPr>
              <w:t>黑白打印</w:t>
            </w:r>
          </w:p>
          <w:p w14:paraId="49A40A59">
            <w:pPr>
              <w:pStyle w:val="12"/>
              <w:spacing w:before="24" w:line="218" w:lineRule="auto"/>
              <w:ind w:left="644"/>
              <w:rPr>
                <w:color w:val="auto"/>
                <w:highlight w:val="none"/>
              </w:rPr>
            </w:pPr>
            <w:r>
              <w:rPr>
                <w:color w:val="auto"/>
                <w:spacing w:val="1"/>
                <w:highlight w:val="none"/>
              </w:rPr>
              <w:t>机</w:t>
            </w:r>
          </w:p>
        </w:tc>
        <w:tc>
          <w:tcPr>
            <w:tcW w:w="3455" w:type="dxa"/>
            <w:vAlign w:val="top"/>
          </w:tcPr>
          <w:p w14:paraId="1D75EB83">
            <w:pPr>
              <w:pStyle w:val="12"/>
              <w:spacing w:before="61" w:line="252" w:lineRule="auto"/>
              <w:ind w:left="322" w:right="147" w:hanging="155"/>
              <w:rPr>
                <w:color w:val="auto"/>
                <w:highlight w:val="none"/>
              </w:rPr>
            </w:pPr>
            <w:r>
              <w:rPr>
                <w:color w:val="auto"/>
                <w:spacing w:val="9"/>
                <w:highlight w:val="none"/>
              </w:rPr>
              <w:t>《复印机、打印机和传真机能效限</w:t>
            </w:r>
            <w:r>
              <w:rPr>
                <w:color w:val="auto"/>
                <w:spacing w:val="7"/>
                <w:highlight w:val="none"/>
              </w:rPr>
              <w:t>定值及能效等级》（</w:t>
            </w:r>
            <w:r>
              <w:rPr>
                <w:color w:val="auto"/>
                <w:highlight w:val="none"/>
              </w:rPr>
              <w:t>GB</w:t>
            </w:r>
            <w:r>
              <w:rPr>
                <w:color w:val="auto"/>
                <w:spacing w:val="7"/>
                <w:highlight w:val="none"/>
              </w:rPr>
              <w:t>21521）</w:t>
            </w:r>
          </w:p>
        </w:tc>
      </w:tr>
      <w:tr w14:paraId="4DB3A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675" w:type="dxa"/>
            <w:vMerge w:val="continue"/>
            <w:tcBorders>
              <w:top w:val="nil"/>
              <w:bottom w:val="nil"/>
            </w:tcBorders>
            <w:vAlign w:val="top"/>
          </w:tcPr>
          <w:p w14:paraId="2C0CC7F2">
            <w:pPr>
              <w:rPr>
                <w:rFonts w:ascii="Arial"/>
                <w:color w:val="auto"/>
                <w:sz w:val="21"/>
                <w:highlight w:val="none"/>
              </w:rPr>
            </w:pPr>
          </w:p>
        </w:tc>
        <w:tc>
          <w:tcPr>
            <w:tcW w:w="1421" w:type="dxa"/>
            <w:vMerge w:val="continue"/>
            <w:tcBorders>
              <w:top w:val="nil"/>
              <w:bottom w:val="nil"/>
            </w:tcBorders>
            <w:vAlign w:val="top"/>
          </w:tcPr>
          <w:p w14:paraId="45345C97">
            <w:pPr>
              <w:rPr>
                <w:rFonts w:ascii="Arial"/>
                <w:color w:val="auto"/>
                <w:sz w:val="21"/>
                <w:highlight w:val="none"/>
              </w:rPr>
            </w:pPr>
          </w:p>
        </w:tc>
        <w:tc>
          <w:tcPr>
            <w:tcW w:w="1495" w:type="dxa"/>
            <w:vMerge w:val="continue"/>
            <w:tcBorders>
              <w:top w:val="nil"/>
              <w:bottom w:val="nil"/>
            </w:tcBorders>
            <w:vAlign w:val="top"/>
          </w:tcPr>
          <w:p w14:paraId="06D43BE7">
            <w:pPr>
              <w:rPr>
                <w:rFonts w:ascii="Arial"/>
                <w:color w:val="auto"/>
                <w:sz w:val="21"/>
                <w:highlight w:val="none"/>
              </w:rPr>
            </w:pPr>
          </w:p>
        </w:tc>
        <w:tc>
          <w:tcPr>
            <w:tcW w:w="1480" w:type="dxa"/>
            <w:vAlign w:val="top"/>
          </w:tcPr>
          <w:p w14:paraId="7689F6D7">
            <w:pPr>
              <w:pStyle w:val="12"/>
              <w:spacing w:before="62" w:line="269" w:lineRule="exact"/>
              <w:ind w:left="269"/>
              <w:rPr>
                <w:color w:val="auto"/>
                <w:highlight w:val="none"/>
              </w:rPr>
            </w:pPr>
            <w:r>
              <w:rPr>
                <w:color w:val="auto"/>
                <w:spacing w:val="4"/>
                <w:position w:val="1"/>
                <w:highlight w:val="none"/>
              </w:rPr>
              <w:t>A02021002</w:t>
            </w:r>
          </w:p>
          <w:p w14:paraId="16505F97">
            <w:pPr>
              <w:pStyle w:val="12"/>
              <w:spacing w:before="2" w:line="228" w:lineRule="auto"/>
              <w:ind w:left="190"/>
              <w:rPr>
                <w:color w:val="auto"/>
                <w:highlight w:val="none"/>
              </w:rPr>
            </w:pPr>
            <w:r>
              <w:rPr>
                <w:color w:val="auto"/>
                <w:spacing w:val="6"/>
                <w:highlight w:val="none"/>
              </w:rPr>
              <w:t>A3</w:t>
            </w:r>
            <w:r>
              <w:rPr>
                <w:color w:val="auto"/>
                <w:spacing w:val="-37"/>
                <w:highlight w:val="none"/>
              </w:rPr>
              <w:t xml:space="preserve"> </w:t>
            </w:r>
            <w:r>
              <w:rPr>
                <w:color w:val="auto"/>
                <w:spacing w:val="6"/>
                <w:highlight w:val="none"/>
              </w:rPr>
              <w:t>彩色打印</w:t>
            </w:r>
          </w:p>
          <w:p w14:paraId="6CFA90B6">
            <w:pPr>
              <w:pStyle w:val="12"/>
              <w:spacing w:before="24" w:line="218" w:lineRule="auto"/>
              <w:ind w:left="644"/>
              <w:rPr>
                <w:color w:val="auto"/>
                <w:highlight w:val="none"/>
              </w:rPr>
            </w:pPr>
            <w:r>
              <w:rPr>
                <w:color w:val="auto"/>
                <w:spacing w:val="1"/>
                <w:highlight w:val="none"/>
              </w:rPr>
              <w:t>机</w:t>
            </w:r>
          </w:p>
        </w:tc>
        <w:tc>
          <w:tcPr>
            <w:tcW w:w="3455" w:type="dxa"/>
            <w:vAlign w:val="top"/>
          </w:tcPr>
          <w:p w14:paraId="08FCC308">
            <w:pPr>
              <w:pStyle w:val="12"/>
              <w:spacing w:before="62" w:line="252" w:lineRule="auto"/>
              <w:ind w:left="322" w:right="147" w:hanging="155"/>
              <w:rPr>
                <w:color w:val="auto"/>
                <w:highlight w:val="none"/>
              </w:rPr>
            </w:pPr>
            <w:r>
              <w:rPr>
                <w:color w:val="auto"/>
                <w:spacing w:val="9"/>
                <w:highlight w:val="none"/>
              </w:rPr>
              <w:t>《复印机、打印机和传真机能效限</w:t>
            </w:r>
            <w:r>
              <w:rPr>
                <w:color w:val="auto"/>
                <w:spacing w:val="7"/>
                <w:highlight w:val="none"/>
              </w:rPr>
              <w:t>定值及能效等级》（</w:t>
            </w:r>
            <w:r>
              <w:rPr>
                <w:color w:val="auto"/>
                <w:highlight w:val="none"/>
              </w:rPr>
              <w:t>GB</w:t>
            </w:r>
            <w:r>
              <w:rPr>
                <w:color w:val="auto"/>
                <w:spacing w:val="7"/>
                <w:highlight w:val="none"/>
              </w:rPr>
              <w:t>21521）</w:t>
            </w:r>
          </w:p>
        </w:tc>
      </w:tr>
      <w:tr w14:paraId="7666D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675" w:type="dxa"/>
            <w:vMerge w:val="continue"/>
            <w:tcBorders>
              <w:top w:val="nil"/>
              <w:bottom w:val="nil"/>
            </w:tcBorders>
            <w:vAlign w:val="top"/>
          </w:tcPr>
          <w:p w14:paraId="5272313B">
            <w:pPr>
              <w:rPr>
                <w:rFonts w:ascii="Arial"/>
                <w:color w:val="auto"/>
                <w:sz w:val="21"/>
                <w:highlight w:val="none"/>
              </w:rPr>
            </w:pPr>
          </w:p>
        </w:tc>
        <w:tc>
          <w:tcPr>
            <w:tcW w:w="1421" w:type="dxa"/>
            <w:vMerge w:val="continue"/>
            <w:tcBorders>
              <w:top w:val="nil"/>
              <w:bottom w:val="nil"/>
            </w:tcBorders>
            <w:vAlign w:val="top"/>
          </w:tcPr>
          <w:p w14:paraId="26A8DC84">
            <w:pPr>
              <w:rPr>
                <w:rFonts w:ascii="Arial"/>
                <w:color w:val="auto"/>
                <w:sz w:val="21"/>
                <w:highlight w:val="none"/>
              </w:rPr>
            </w:pPr>
          </w:p>
        </w:tc>
        <w:tc>
          <w:tcPr>
            <w:tcW w:w="1495" w:type="dxa"/>
            <w:vMerge w:val="continue"/>
            <w:tcBorders>
              <w:top w:val="nil"/>
              <w:bottom w:val="nil"/>
            </w:tcBorders>
            <w:vAlign w:val="top"/>
          </w:tcPr>
          <w:p w14:paraId="6F17728F">
            <w:pPr>
              <w:rPr>
                <w:rFonts w:ascii="Arial"/>
                <w:color w:val="auto"/>
                <w:sz w:val="21"/>
                <w:highlight w:val="none"/>
              </w:rPr>
            </w:pPr>
          </w:p>
        </w:tc>
        <w:tc>
          <w:tcPr>
            <w:tcW w:w="1480" w:type="dxa"/>
            <w:vAlign w:val="top"/>
          </w:tcPr>
          <w:p w14:paraId="7BE282F5">
            <w:pPr>
              <w:pStyle w:val="12"/>
              <w:spacing w:before="63" w:line="269" w:lineRule="exact"/>
              <w:ind w:left="269"/>
              <w:rPr>
                <w:color w:val="auto"/>
                <w:highlight w:val="none"/>
              </w:rPr>
            </w:pPr>
            <w:r>
              <w:rPr>
                <w:color w:val="auto"/>
                <w:spacing w:val="4"/>
                <w:position w:val="1"/>
                <w:highlight w:val="none"/>
              </w:rPr>
              <w:t>A02021003</w:t>
            </w:r>
          </w:p>
          <w:p w14:paraId="740DF2E8">
            <w:pPr>
              <w:pStyle w:val="12"/>
              <w:spacing w:before="2" w:line="228" w:lineRule="auto"/>
              <w:ind w:left="190"/>
              <w:rPr>
                <w:color w:val="auto"/>
                <w:highlight w:val="none"/>
              </w:rPr>
            </w:pPr>
            <w:r>
              <w:rPr>
                <w:color w:val="auto"/>
                <w:spacing w:val="5"/>
                <w:highlight w:val="none"/>
              </w:rPr>
              <w:t>A4</w:t>
            </w:r>
            <w:r>
              <w:rPr>
                <w:color w:val="auto"/>
                <w:spacing w:val="-31"/>
                <w:highlight w:val="none"/>
              </w:rPr>
              <w:t xml:space="preserve"> </w:t>
            </w:r>
            <w:r>
              <w:rPr>
                <w:color w:val="auto"/>
                <w:spacing w:val="5"/>
                <w:highlight w:val="none"/>
              </w:rPr>
              <w:t>黑白打印</w:t>
            </w:r>
          </w:p>
          <w:p w14:paraId="25C4F608">
            <w:pPr>
              <w:pStyle w:val="12"/>
              <w:spacing w:before="26" w:line="215" w:lineRule="auto"/>
              <w:ind w:left="644"/>
              <w:rPr>
                <w:color w:val="auto"/>
                <w:highlight w:val="none"/>
              </w:rPr>
            </w:pPr>
            <w:r>
              <w:rPr>
                <w:color w:val="auto"/>
                <w:spacing w:val="1"/>
                <w:highlight w:val="none"/>
              </w:rPr>
              <w:t>机</w:t>
            </w:r>
          </w:p>
        </w:tc>
        <w:tc>
          <w:tcPr>
            <w:tcW w:w="3455" w:type="dxa"/>
            <w:vAlign w:val="top"/>
          </w:tcPr>
          <w:p w14:paraId="7D75C6E1">
            <w:pPr>
              <w:pStyle w:val="12"/>
              <w:spacing w:before="63" w:line="252" w:lineRule="auto"/>
              <w:ind w:left="322" w:right="147" w:hanging="155"/>
              <w:rPr>
                <w:color w:val="auto"/>
                <w:highlight w:val="none"/>
              </w:rPr>
            </w:pPr>
            <w:r>
              <w:rPr>
                <w:color w:val="auto"/>
                <w:spacing w:val="9"/>
                <w:highlight w:val="none"/>
              </w:rPr>
              <w:t>《复印机、打印机和传真机能效限</w:t>
            </w:r>
            <w:r>
              <w:rPr>
                <w:color w:val="auto"/>
                <w:spacing w:val="7"/>
                <w:highlight w:val="none"/>
              </w:rPr>
              <w:t>定值及能效等级》（</w:t>
            </w:r>
            <w:r>
              <w:rPr>
                <w:color w:val="auto"/>
                <w:highlight w:val="none"/>
              </w:rPr>
              <w:t>GB</w:t>
            </w:r>
            <w:r>
              <w:rPr>
                <w:color w:val="auto"/>
                <w:spacing w:val="7"/>
                <w:highlight w:val="none"/>
              </w:rPr>
              <w:t>21521）</w:t>
            </w:r>
          </w:p>
        </w:tc>
      </w:tr>
      <w:tr w14:paraId="42542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675" w:type="dxa"/>
            <w:vMerge w:val="continue"/>
            <w:tcBorders>
              <w:top w:val="nil"/>
              <w:bottom w:val="nil"/>
            </w:tcBorders>
            <w:vAlign w:val="top"/>
          </w:tcPr>
          <w:p w14:paraId="3B6F006F">
            <w:pPr>
              <w:rPr>
                <w:rFonts w:ascii="Arial"/>
                <w:color w:val="auto"/>
                <w:sz w:val="21"/>
                <w:highlight w:val="none"/>
              </w:rPr>
            </w:pPr>
          </w:p>
        </w:tc>
        <w:tc>
          <w:tcPr>
            <w:tcW w:w="1421" w:type="dxa"/>
            <w:vMerge w:val="continue"/>
            <w:tcBorders>
              <w:top w:val="nil"/>
              <w:bottom w:val="nil"/>
            </w:tcBorders>
            <w:vAlign w:val="top"/>
          </w:tcPr>
          <w:p w14:paraId="2DB99F1F">
            <w:pPr>
              <w:rPr>
                <w:rFonts w:ascii="Arial"/>
                <w:color w:val="auto"/>
                <w:sz w:val="21"/>
                <w:highlight w:val="none"/>
              </w:rPr>
            </w:pPr>
          </w:p>
        </w:tc>
        <w:tc>
          <w:tcPr>
            <w:tcW w:w="1495" w:type="dxa"/>
            <w:vMerge w:val="continue"/>
            <w:tcBorders>
              <w:top w:val="nil"/>
              <w:bottom w:val="nil"/>
            </w:tcBorders>
            <w:vAlign w:val="top"/>
          </w:tcPr>
          <w:p w14:paraId="756625FC">
            <w:pPr>
              <w:rPr>
                <w:rFonts w:ascii="Arial"/>
                <w:color w:val="auto"/>
                <w:sz w:val="21"/>
                <w:highlight w:val="none"/>
              </w:rPr>
            </w:pPr>
          </w:p>
        </w:tc>
        <w:tc>
          <w:tcPr>
            <w:tcW w:w="1480" w:type="dxa"/>
            <w:vAlign w:val="top"/>
          </w:tcPr>
          <w:p w14:paraId="573889E8">
            <w:pPr>
              <w:pStyle w:val="12"/>
              <w:spacing w:before="64" w:line="268" w:lineRule="exact"/>
              <w:ind w:left="269"/>
              <w:rPr>
                <w:color w:val="auto"/>
                <w:highlight w:val="none"/>
              </w:rPr>
            </w:pPr>
            <w:r>
              <w:rPr>
                <w:color w:val="auto"/>
                <w:spacing w:val="4"/>
                <w:position w:val="1"/>
                <w:highlight w:val="none"/>
              </w:rPr>
              <w:t>A02021004</w:t>
            </w:r>
          </w:p>
          <w:p w14:paraId="0DA57B3C">
            <w:pPr>
              <w:pStyle w:val="12"/>
              <w:spacing w:before="4" w:line="228" w:lineRule="auto"/>
              <w:ind w:left="190"/>
              <w:rPr>
                <w:color w:val="auto"/>
                <w:highlight w:val="none"/>
              </w:rPr>
            </w:pPr>
            <w:r>
              <w:rPr>
                <w:color w:val="auto"/>
                <w:spacing w:val="6"/>
                <w:highlight w:val="none"/>
              </w:rPr>
              <w:t>A4</w:t>
            </w:r>
            <w:r>
              <w:rPr>
                <w:color w:val="auto"/>
                <w:spacing w:val="-37"/>
                <w:highlight w:val="none"/>
              </w:rPr>
              <w:t xml:space="preserve"> </w:t>
            </w:r>
            <w:r>
              <w:rPr>
                <w:color w:val="auto"/>
                <w:spacing w:val="6"/>
                <w:highlight w:val="none"/>
              </w:rPr>
              <w:t>彩色打印</w:t>
            </w:r>
          </w:p>
          <w:p w14:paraId="72D9EAA1">
            <w:pPr>
              <w:pStyle w:val="12"/>
              <w:spacing w:before="24" w:line="215" w:lineRule="auto"/>
              <w:ind w:left="644"/>
              <w:rPr>
                <w:color w:val="auto"/>
                <w:highlight w:val="none"/>
              </w:rPr>
            </w:pPr>
            <w:r>
              <w:rPr>
                <w:color w:val="auto"/>
                <w:spacing w:val="1"/>
                <w:highlight w:val="none"/>
              </w:rPr>
              <w:t>机</w:t>
            </w:r>
          </w:p>
        </w:tc>
        <w:tc>
          <w:tcPr>
            <w:tcW w:w="3455" w:type="dxa"/>
            <w:vAlign w:val="top"/>
          </w:tcPr>
          <w:p w14:paraId="606A7A4C">
            <w:pPr>
              <w:pStyle w:val="12"/>
              <w:spacing w:before="64" w:line="254" w:lineRule="auto"/>
              <w:ind w:left="322" w:right="147" w:hanging="155"/>
              <w:rPr>
                <w:color w:val="auto"/>
                <w:highlight w:val="none"/>
              </w:rPr>
            </w:pPr>
            <w:r>
              <w:rPr>
                <w:color w:val="auto"/>
                <w:spacing w:val="9"/>
                <w:highlight w:val="none"/>
              </w:rPr>
              <w:t>《复印机、打印机和传真机能效限</w:t>
            </w:r>
            <w:r>
              <w:rPr>
                <w:color w:val="auto"/>
                <w:spacing w:val="7"/>
                <w:highlight w:val="none"/>
              </w:rPr>
              <w:t>定值及能效等级》（</w:t>
            </w:r>
            <w:r>
              <w:rPr>
                <w:color w:val="auto"/>
                <w:highlight w:val="none"/>
              </w:rPr>
              <w:t>GB</w:t>
            </w:r>
            <w:r>
              <w:rPr>
                <w:color w:val="auto"/>
                <w:spacing w:val="7"/>
                <w:highlight w:val="none"/>
              </w:rPr>
              <w:t>21521）</w:t>
            </w:r>
          </w:p>
        </w:tc>
      </w:tr>
      <w:tr w14:paraId="4BE39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bottom w:val="nil"/>
            </w:tcBorders>
            <w:vAlign w:val="top"/>
          </w:tcPr>
          <w:p w14:paraId="0EA83AB4">
            <w:pPr>
              <w:rPr>
                <w:rFonts w:ascii="Arial"/>
                <w:color w:val="auto"/>
                <w:sz w:val="21"/>
                <w:highlight w:val="none"/>
              </w:rPr>
            </w:pPr>
          </w:p>
        </w:tc>
        <w:tc>
          <w:tcPr>
            <w:tcW w:w="1421" w:type="dxa"/>
            <w:vMerge w:val="continue"/>
            <w:tcBorders>
              <w:top w:val="nil"/>
              <w:bottom w:val="nil"/>
            </w:tcBorders>
            <w:vAlign w:val="top"/>
          </w:tcPr>
          <w:p w14:paraId="31DB8A26">
            <w:pPr>
              <w:rPr>
                <w:rFonts w:ascii="Arial"/>
                <w:color w:val="auto"/>
                <w:sz w:val="21"/>
                <w:highlight w:val="none"/>
              </w:rPr>
            </w:pPr>
          </w:p>
        </w:tc>
        <w:tc>
          <w:tcPr>
            <w:tcW w:w="1495" w:type="dxa"/>
            <w:vMerge w:val="continue"/>
            <w:tcBorders>
              <w:top w:val="nil"/>
              <w:bottom w:val="nil"/>
            </w:tcBorders>
            <w:vAlign w:val="top"/>
          </w:tcPr>
          <w:p w14:paraId="63C26844">
            <w:pPr>
              <w:rPr>
                <w:rFonts w:ascii="Arial"/>
                <w:color w:val="auto"/>
                <w:sz w:val="21"/>
                <w:highlight w:val="none"/>
              </w:rPr>
            </w:pPr>
          </w:p>
        </w:tc>
        <w:tc>
          <w:tcPr>
            <w:tcW w:w="1480" w:type="dxa"/>
            <w:vAlign w:val="top"/>
          </w:tcPr>
          <w:p w14:paraId="6D8C4380">
            <w:pPr>
              <w:pStyle w:val="12"/>
              <w:spacing w:before="65" w:line="233" w:lineRule="auto"/>
              <w:ind w:left="306" w:right="262" w:hanging="37"/>
              <w:rPr>
                <w:color w:val="auto"/>
                <w:highlight w:val="none"/>
              </w:rPr>
            </w:pPr>
            <w:r>
              <w:rPr>
                <w:color w:val="auto"/>
                <w:spacing w:val="4"/>
                <w:highlight w:val="none"/>
              </w:rPr>
              <w:t>A02021005</w:t>
            </w:r>
            <w:r>
              <w:rPr>
                <w:color w:val="auto"/>
                <w:spacing w:val="5"/>
                <w:highlight w:val="none"/>
              </w:rPr>
              <w:t xml:space="preserve"> </w:t>
            </w:r>
            <w:r>
              <w:rPr>
                <w:color w:val="auto"/>
                <w:spacing w:val="3"/>
                <w:highlight w:val="none"/>
              </w:rPr>
              <w:t>3D</w:t>
            </w:r>
            <w:r>
              <w:rPr>
                <w:color w:val="auto"/>
                <w:spacing w:val="-38"/>
                <w:highlight w:val="none"/>
              </w:rPr>
              <w:t xml:space="preserve"> </w:t>
            </w:r>
            <w:r>
              <w:rPr>
                <w:color w:val="auto"/>
                <w:spacing w:val="3"/>
                <w:highlight w:val="none"/>
              </w:rPr>
              <w:t>打印机</w:t>
            </w:r>
          </w:p>
        </w:tc>
        <w:tc>
          <w:tcPr>
            <w:tcW w:w="3455" w:type="dxa"/>
            <w:vAlign w:val="top"/>
          </w:tcPr>
          <w:p w14:paraId="1CE11C80">
            <w:pPr>
              <w:pStyle w:val="12"/>
              <w:spacing w:before="65" w:line="233" w:lineRule="auto"/>
              <w:ind w:left="322" w:right="147" w:hanging="155"/>
              <w:rPr>
                <w:color w:val="auto"/>
                <w:highlight w:val="none"/>
              </w:rPr>
            </w:pPr>
            <w:r>
              <w:rPr>
                <w:color w:val="auto"/>
                <w:spacing w:val="9"/>
                <w:highlight w:val="none"/>
              </w:rPr>
              <w:t>《复印机、打印机和传真机能效限</w:t>
            </w:r>
            <w:r>
              <w:rPr>
                <w:color w:val="auto"/>
                <w:spacing w:val="7"/>
                <w:highlight w:val="none"/>
              </w:rPr>
              <w:t>定值及能效等级》（</w:t>
            </w:r>
            <w:r>
              <w:rPr>
                <w:color w:val="auto"/>
                <w:highlight w:val="none"/>
              </w:rPr>
              <w:t>GB</w:t>
            </w:r>
            <w:r>
              <w:rPr>
                <w:color w:val="auto"/>
                <w:spacing w:val="7"/>
                <w:highlight w:val="none"/>
              </w:rPr>
              <w:t>21521）</w:t>
            </w:r>
          </w:p>
        </w:tc>
      </w:tr>
      <w:tr w14:paraId="499AE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5" w:type="dxa"/>
            <w:vMerge w:val="continue"/>
            <w:tcBorders>
              <w:top w:val="nil"/>
              <w:bottom w:val="nil"/>
            </w:tcBorders>
            <w:vAlign w:val="top"/>
          </w:tcPr>
          <w:p w14:paraId="6A20AF58">
            <w:pPr>
              <w:rPr>
                <w:rFonts w:ascii="Arial"/>
                <w:color w:val="auto"/>
                <w:sz w:val="21"/>
                <w:highlight w:val="none"/>
              </w:rPr>
            </w:pPr>
          </w:p>
        </w:tc>
        <w:tc>
          <w:tcPr>
            <w:tcW w:w="1421" w:type="dxa"/>
            <w:vMerge w:val="continue"/>
            <w:tcBorders>
              <w:top w:val="nil"/>
              <w:bottom w:val="nil"/>
            </w:tcBorders>
            <w:vAlign w:val="top"/>
          </w:tcPr>
          <w:p w14:paraId="613B71CD">
            <w:pPr>
              <w:rPr>
                <w:rFonts w:ascii="Arial"/>
                <w:color w:val="auto"/>
                <w:sz w:val="21"/>
                <w:highlight w:val="none"/>
              </w:rPr>
            </w:pPr>
          </w:p>
        </w:tc>
        <w:tc>
          <w:tcPr>
            <w:tcW w:w="1495" w:type="dxa"/>
            <w:vMerge w:val="continue"/>
            <w:tcBorders>
              <w:top w:val="nil"/>
              <w:bottom w:val="nil"/>
            </w:tcBorders>
            <w:vAlign w:val="top"/>
          </w:tcPr>
          <w:p w14:paraId="6A14E27C">
            <w:pPr>
              <w:rPr>
                <w:rFonts w:ascii="Arial"/>
                <w:color w:val="auto"/>
                <w:sz w:val="21"/>
                <w:highlight w:val="none"/>
              </w:rPr>
            </w:pPr>
          </w:p>
        </w:tc>
        <w:tc>
          <w:tcPr>
            <w:tcW w:w="1480" w:type="dxa"/>
            <w:vAlign w:val="top"/>
          </w:tcPr>
          <w:p w14:paraId="7CFA3DB0">
            <w:pPr>
              <w:pStyle w:val="12"/>
              <w:spacing w:before="64" w:line="233" w:lineRule="auto"/>
              <w:ind w:left="328" w:right="131" w:hanging="188"/>
              <w:rPr>
                <w:color w:val="auto"/>
                <w:highlight w:val="none"/>
              </w:rPr>
            </w:pPr>
            <w:r>
              <w:rPr>
                <w:color w:val="auto"/>
                <w:spacing w:val="4"/>
                <w:highlight w:val="none"/>
              </w:rPr>
              <w:t>A02021006</w:t>
            </w:r>
            <w:r>
              <w:rPr>
                <w:color w:val="auto"/>
                <w:spacing w:val="-38"/>
                <w:highlight w:val="none"/>
              </w:rPr>
              <w:t xml:space="preserve"> </w:t>
            </w:r>
            <w:r>
              <w:rPr>
                <w:color w:val="auto"/>
                <w:spacing w:val="4"/>
                <w:highlight w:val="none"/>
              </w:rPr>
              <w:t>票</w:t>
            </w:r>
            <w:r>
              <w:rPr>
                <w:color w:val="auto"/>
                <w:spacing w:val="7"/>
                <w:highlight w:val="none"/>
              </w:rPr>
              <w:t>据打印机</w:t>
            </w:r>
          </w:p>
        </w:tc>
        <w:tc>
          <w:tcPr>
            <w:tcW w:w="3455" w:type="dxa"/>
            <w:vAlign w:val="top"/>
          </w:tcPr>
          <w:p w14:paraId="1F5A3BCD">
            <w:pPr>
              <w:pStyle w:val="12"/>
              <w:spacing w:before="64" w:line="233" w:lineRule="auto"/>
              <w:ind w:left="322" w:right="147" w:hanging="155"/>
              <w:rPr>
                <w:color w:val="auto"/>
                <w:highlight w:val="none"/>
              </w:rPr>
            </w:pPr>
            <w:r>
              <w:rPr>
                <w:color w:val="auto"/>
                <w:spacing w:val="9"/>
                <w:highlight w:val="none"/>
              </w:rPr>
              <w:t>《复印机、打印机和传真机能效限</w:t>
            </w:r>
            <w:r>
              <w:rPr>
                <w:color w:val="auto"/>
                <w:spacing w:val="7"/>
                <w:highlight w:val="none"/>
              </w:rPr>
              <w:t>定值及能效等级》（</w:t>
            </w:r>
            <w:r>
              <w:rPr>
                <w:color w:val="auto"/>
                <w:highlight w:val="none"/>
              </w:rPr>
              <w:t>GB</w:t>
            </w:r>
            <w:r>
              <w:rPr>
                <w:color w:val="auto"/>
                <w:spacing w:val="7"/>
                <w:highlight w:val="none"/>
              </w:rPr>
              <w:t>21521）</w:t>
            </w:r>
          </w:p>
        </w:tc>
      </w:tr>
      <w:tr w14:paraId="79348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bottom w:val="nil"/>
            </w:tcBorders>
            <w:vAlign w:val="top"/>
          </w:tcPr>
          <w:p w14:paraId="30BB8E7C">
            <w:pPr>
              <w:rPr>
                <w:rFonts w:ascii="Arial"/>
                <w:color w:val="auto"/>
                <w:sz w:val="21"/>
                <w:highlight w:val="none"/>
              </w:rPr>
            </w:pPr>
          </w:p>
        </w:tc>
        <w:tc>
          <w:tcPr>
            <w:tcW w:w="1421" w:type="dxa"/>
            <w:vMerge w:val="continue"/>
            <w:tcBorders>
              <w:top w:val="nil"/>
              <w:bottom w:val="nil"/>
            </w:tcBorders>
            <w:vAlign w:val="top"/>
          </w:tcPr>
          <w:p w14:paraId="34EA2969">
            <w:pPr>
              <w:rPr>
                <w:rFonts w:ascii="Arial"/>
                <w:color w:val="auto"/>
                <w:sz w:val="21"/>
                <w:highlight w:val="none"/>
              </w:rPr>
            </w:pPr>
          </w:p>
        </w:tc>
        <w:tc>
          <w:tcPr>
            <w:tcW w:w="1495" w:type="dxa"/>
            <w:vMerge w:val="continue"/>
            <w:tcBorders>
              <w:top w:val="nil"/>
              <w:bottom w:val="nil"/>
            </w:tcBorders>
            <w:vAlign w:val="top"/>
          </w:tcPr>
          <w:p w14:paraId="0B1CA2B7">
            <w:pPr>
              <w:rPr>
                <w:rFonts w:ascii="Arial"/>
                <w:color w:val="auto"/>
                <w:sz w:val="21"/>
                <w:highlight w:val="none"/>
              </w:rPr>
            </w:pPr>
          </w:p>
        </w:tc>
        <w:tc>
          <w:tcPr>
            <w:tcW w:w="1480" w:type="dxa"/>
            <w:vAlign w:val="top"/>
          </w:tcPr>
          <w:p w14:paraId="4B37EACA">
            <w:pPr>
              <w:pStyle w:val="12"/>
              <w:spacing w:before="67" w:line="232" w:lineRule="auto"/>
              <w:ind w:left="328" w:right="131" w:hanging="188"/>
              <w:rPr>
                <w:color w:val="auto"/>
                <w:highlight w:val="none"/>
              </w:rPr>
            </w:pPr>
            <w:r>
              <w:rPr>
                <w:color w:val="auto"/>
                <w:spacing w:val="4"/>
                <w:highlight w:val="none"/>
              </w:rPr>
              <w:t>A02021007</w:t>
            </w:r>
            <w:r>
              <w:rPr>
                <w:color w:val="auto"/>
                <w:spacing w:val="-38"/>
                <w:highlight w:val="none"/>
              </w:rPr>
              <w:t xml:space="preserve"> </w:t>
            </w:r>
            <w:r>
              <w:rPr>
                <w:color w:val="auto"/>
                <w:spacing w:val="4"/>
                <w:highlight w:val="none"/>
              </w:rPr>
              <w:t>条</w:t>
            </w:r>
            <w:r>
              <w:rPr>
                <w:color w:val="auto"/>
                <w:spacing w:val="7"/>
                <w:highlight w:val="none"/>
              </w:rPr>
              <w:t>码打印机</w:t>
            </w:r>
          </w:p>
        </w:tc>
        <w:tc>
          <w:tcPr>
            <w:tcW w:w="3455" w:type="dxa"/>
            <w:vAlign w:val="top"/>
          </w:tcPr>
          <w:p w14:paraId="603D1BF0">
            <w:pPr>
              <w:pStyle w:val="12"/>
              <w:spacing w:before="67" w:line="232" w:lineRule="auto"/>
              <w:ind w:left="322" w:right="147" w:hanging="155"/>
              <w:rPr>
                <w:color w:val="auto"/>
                <w:highlight w:val="none"/>
              </w:rPr>
            </w:pPr>
            <w:r>
              <w:rPr>
                <w:color w:val="auto"/>
                <w:spacing w:val="9"/>
                <w:highlight w:val="none"/>
              </w:rPr>
              <w:t>《复印机、打印机和传真机能效限</w:t>
            </w:r>
            <w:r>
              <w:rPr>
                <w:color w:val="auto"/>
                <w:spacing w:val="7"/>
                <w:highlight w:val="none"/>
              </w:rPr>
              <w:t>定值及能效等级》（</w:t>
            </w:r>
            <w:r>
              <w:rPr>
                <w:color w:val="auto"/>
                <w:highlight w:val="none"/>
              </w:rPr>
              <w:t>GB</w:t>
            </w:r>
            <w:r>
              <w:rPr>
                <w:color w:val="auto"/>
                <w:spacing w:val="7"/>
                <w:highlight w:val="none"/>
              </w:rPr>
              <w:t>21521）</w:t>
            </w:r>
          </w:p>
        </w:tc>
      </w:tr>
      <w:tr w14:paraId="34176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bottom w:val="nil"/>
            </w:tcBorders>
            <w:vAlign w:val="top"/>
          </w:tcPr>
          <w:p w14:paraId="692EDDD9">
            <w:pPr>
              <w:rPr>
                <w:rFonts w:ascii="Arial"/>
                <w:color w:val="auto"/>
                <w:sz w:val="21"/>
                <w:highlight w:val="none"/>
              </w:rPr>
            </w:pPr>
          </w:p>
        </w:tc>
        <w:tc>
          <w:tcPr>
            <w:tcW w:w="1421" w:type="dxa"/>
            <w:vMerge w:val="continue"/>
            <w:tcBorders>
              <w:top w:val="nil"/>
              <w:bottom w:val="nil"/>
            </w:tcBorders>
            <w:vAlign w:val="top"/>
          </w:tcPr>
          <w:p w14:paraId="211E166A">
            <w:pPr>
              <w:rPr>
                <w:rFonts w:ascii="Arial"/>
                <w:color w:val="auto"/>
                <w:sz w:val="21"/>
                <w:highlight w:val="none"/>
              </w:rPr>
            </w:pPr>
          </w:p>
        </w:tc>
        <w:tc>
          <w:tcPr>
            <w:tcW w:w="1495" w:type="dxa"/>
            <w:vMerge w:val="continue"/>
            <w:tcBorders>
              <w:top w:val="nil"/>
              <w:bottom w:val="nil"/>
            </w:tcBorders>
            <w:vAlign w:val="top"/>
          </w:tcPr>
          <w:p w14:paraId="39AC13C3">
            <w:pPr>
              <w:rPr>
                <w:rFonts w:ascii="Arial"/>
                <w:color w:val="auto"/>
                <w:sz w:val="21"/>
                <w:highlight w:val="none"/>
              </w:rPr>
            </w:pPr>
          </w:p>
        </w:tc>
        <w:tc>
          <w:tcPr>
            <w:tcW w:w="1480" w:type="dxa"/>
            <w:vAlign w:val="top"/>
          </w:tcPr>
          <w:p w14:paraId="66E0E8CB">
            <w:pPr>
              <w:pStyle w:val="12"/>
              <w:spacing w:before="65" w:line="233" w:lineRule="auto"/>
              <w:ind w:left="329" w:right="131" w:hanging="189"/>
              <w:rPr>
                <w:color w:val="auto"/>
                <w:highlight w:val="none"/>
              </w:rPr>
            </w:pPr>
            <w:r>
              <w:rPr>
                <w:color w:val="auto"/>
                <w:spacing w:val="4"/>
                <w:highlight w:val="none"/>
              </w:rPr>
              <w:t>A02021008</w:t>
            </w:r>
            <w:r>
              <w:rPr>
                <w:color w:val="auto"/>
                <w:spacing w:val="-38"/>
                <w:highlight w:val="none"/>
              </w:rPr>
              <w:t xml:space="preserve"> </w:t>
            </w:r>
            <w:r>
              <w:rPr>
                <w:color w:val="auto"/>
                <w:spacing w:val="4"/>
                <w:highlight w:val="none"/>
              </w:rPr>
              <w:t>地</w:t>
            </w:r>
            <w:r>
              <w:rPr>
                <w:color w:val="auto"/>
                <w:spacing w:val="7"/>
                <w:highlight w:val="none"/>
              </w:rPr>
              <w:t>址打印机</w:t>
            </w:r>
          </w:p>
        </w:tc>
        <w:tc>
          <w:tcPr>
            <w:tcW w:w="3455" w:type="dxa"/>
            <w:vAlign w:val="top"/>
          </w:tcPr>
          <w:p w14:paraId="3B0395FA">
            <w:pPr>
              <w:pStyle w:val="12"/>
              <w:spacing w:before="65" w:line="233" w:lineRule="auto"/>
              <w:ind w:left="322" w:right="147" w:hanging="155"/>
              <w:rPr>
                <w:color w:val="auto"/>
                <w:highlight w:val="none"/>
              </w:rPr>
            </w:pPr>
            <w:r>
              <w:rPr>
                <w:color w:val="auto"/>
                <w:spacing w:val="9"/>
                <w:highlight w:val="none"/>
              </w:rPr>
              <w:t>《复印机、打印机和传真机能效限</w:t>
            </w:r>
            <w:r>
              <w:rPr>
                <w:color w:val="auto"/>
                <w:spacing w:val="7"/>
                <w:highlight w:val="none"/>
              </w:rPr>
              <w:t>定值及能效等级》（</w:t>
            </w:r>
            <w:r>
              <w:rPr>
                <w:color w:val="auto"/>
                <w:highlight w:val="none"/>
              </w:rPr>
              <w:t>GB</w:t>
            </w:r>
            <w:r>
              <w:rPr>
                <w:color w:val="auto"/>
                <w:spacing w:val="7"/>
                <w:highlight w:val="none"/>
              </w:rPr>
              <w:t>21521）</w:t>
            </w:r>
          </w:p>
        </w:tc>
      </w:tr>
      <w:tr w14:paraId="5CEBE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5" w:type="dxa"/>
            <w:vMerge w:val="continue"/>
            <w:tcBorders>
              <w:top w:val="nil"/>
              <w:bottom w:val="nil"/>
            </w:tcBorders>
            <w:vAlign w:val="top"/>
          </w:tcPr>
          <w:p w14:paraId="6F481BE3">
            <w:pPr>
              <w:rPr>
                <w:rFonts w:ascii="Arial"/>
                <w:color w:val="auto"/>
                <w:sz w:val="21"/>
                <w:highlight w:val="none"/>
              </w:rPr>
            </w:pPr>
          </w:p>
        </w:tc>
        <w:tc>
          <w:tcPr>
            <w:tcW w:w="1421" w:type="dxa"/>
            <w:vMerge w:val="continue"/>
            <w:tcBorders>
              <w:top w:val="nil"/>
              <w:bottom w:val="nil"/>
            </w:tcBorders>
            <w:vAlign w:val="top"/>
          </w:tcPr>
          <w:p w14:paraId="52EB13A2">
            <w:pPr>
              <w:rPr>
                <w:rFonts w:ascii="Arial"/>
                <w:color w:val="auto"/>
                <w:sz w:val="21"/>
                <w:highlight w:val="none"/>
              </w:rPr>
            </w:pPr>
          </w:p>
        </w:tc>
        <w:tc>
          <w:tcPr>
            <w:tcW w:w="1495" w:type="dxa"/>
            <w:vMerge w:val="continue"/>
            <w:tcBorders>
              <w:top w:val="nil"/>
            </w:tcBorders>
            <w:vAlign w:val="top"/>
          </w:tcPr>
          <w:p w14:paraId="54E00ABA">
            <w:pPr>
              <w:rPr>
                <w:rFonts w:ascii="Arial"/>
                <w:color w:val="auto"/>
                <w:sz w:val="21"/>
                <w:highlight w:val="none"/>
              </w:rPr>
            </w:pPr>
          </w:p>
        </w:tc>
        <w:tc>
          <w:tcPr>
            <w:tcW w:w="1480" w:type="dxa"/>
            <w:vAlign w:val="top"/>
          </w:tcPr>
          <w:p w14:paraId="30436736">
            <w:pPr>
              <w:pStyle w:val="12"/>
              <w:spacing w:before="66" w:line="232" w:lineRule="auto"/>
              <w:ind w:left="328" w:right="131" w:hanging="188"/>
              <w:rPr>
                <w:color w:val="auto"/>
                <w:highlight w:val="none"/>
              </w:rPr>
            </w:pPr>
            <w:r>
              <w:rPr>
                <w:color w:val="auto"/>
                <w:spacing w:val="4"/>
                <w:highlight w:val="none"/>
              </w:rPr>
              <w:t>A02021099</w:t>
            </w:r>
            <w:r>
              <w:rPr>
                <w:color w:val="auto"/>
                <w:spacing w:val="-38"/>
                <w:highlight w:val="none"/>
              </w:rPr>
              <w:t xml:space="preserve"> </w:t>
            </w:r>
            <w:r>
              <w:rPr>
                <w:color w:val="auto"/>
                <w:spacing w:val="4"/>
                <w:highlight w:val="none"/>
              </w:rPr>
              <w:t>其</w:t>
            </w:r>
            <w:r>
              <w:rPr>
                <w:color w:val="auto"/>
                <w:spacing w:val="7"/>
                <w:highlight w:val="none"/>
              </w:rPr>
              <w:t>他打印机</w:t>
            </w:r>
          </w:p>
        </w:tc>
        <w:tc>
          <w:tcPr>
            <w:tcW w:w="3455" w:type="dxa"/>
            <w:vAlign w:val="top"/>
          </w:tcPr>
          <w:p w14:paraId="68CCCA59">
            <w:pPr>
              <w:pStyle w:val="12"/>
              <w:spacing w:before="66" w:line="232" w:lineRule="auto"/>
              <w:ind w:left="322" w:right="147" w:hanging="155"/>
              <w:rPr>
                <w:color w:val="auto"/>
                <w:highlight w:val="none"/>
              </w:rPr>
            </w:pPr>
            <w:r>
              <w:rPr>
                <w:color w:val="auto"/>
                <w:spacing w:val="9"/>
                <w:highlight w:val="none"/>
              </w:rPr>
              <w:t>《复印机、打印机和传真机能效限</w:t>
            </w:r>
            <w:r>
              <w:rPr>
                <w:color w:val="auto"/>
                <w:spacing w:val="7"/>
                <w:highlight w:val="none"/>
              </w:rPr>
              <w:t>定值及能效等级》（</w:t>
            </w:r>
            <w:r>
              <w:rPr>
                <w:color w:val="auto"/>
                <w:highlight w:val="none"/>
              </w:rPr>
              <w:t>GB</w:t>
            </w:r>
            <w:r>
              <w:rPr>
                <w:color w:val="auto"/>
                <w:spacing w:val="7"/>
                <w:highlight w:val="none"/>
              </w:rPr>
              <w:t>21521）</w:t>
            </w:r>
          </w:p>
        </w:tc>
      </w:tr>
      <w:tr w14:paraId="41C72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bottom w:val="nil"/>
            </w:tcBorders>
            <w:vAlign w:val="top"/>
          </w:tcPr>
          <w:p w14:paraId="60185E90">
            <w:pPr>
              <w:rPr>
                <w:rFonts w:ascii="Arial"/>
                <w:color w:val="auto"/>
                <w:sz w:val="21"/>
                <w:highlight w:val="none"/>
              </w:rPr>
            </w:pPr>
          </w:p>
        </w:tc>
        <w:tc>
          <w:tcPr>
            <w:tcW w:w="1421" w:type="dxa"/>
            <w:vMerge w:val="continue"/>
            <w:tcBorders>
              <w:top w:val="nil"/>
              <w:bottom w:val="nil"/>
            </w:tcBorders>
            <w:vAlign w:val="top"/>
          </w:tcPr>
          <w:p w14:paraId="2AA70C88">
            <w:pPr>
              <w:rPr>
                <w:rFonts w:ascii="Arial"/>
                <w:color w:val="auto"/>
                <w:sz w:val="21"/>
                <w:highlight w:val="none"/>
              </w:rPr>
            </w:pPr>
          </w:p>
        </w:tc>
        <w:tc>
          <w:tcPr>
            <w:tcW w:w="1495" w:type="dxa"/>
            <w:vMerge w:val="restart"/>
            <w:tcBorders>
              <w:bottom w:val="nil"/>
            </w:tcBorders>
            <w:vAlign w:val="top"/>
          </w:tcPr>
          <w:p w14:paraId="071879F7">
            <w:pPr>
              <w:spacing w:line="279" w:lineRule="auto"/>
              <w:rPr>
                <w:rFonts w:ascii="Arial"/>
                <w:color w:val="auto"/>
                <w:sz w:val="21"/>
                <w:highlight w:val="none"/>
              </w:rPr>
            </w:pPr>
          </w:p>
          <w:p w14:paraId="1F0E53F5">
            <w:pPr>
              <w:spacing w:line="280" w:lineRule="auto"/>
              <w:rPr>
                <w:rFonts w:ascii="Arial"/>
                <w:color w:val="auto"/>
                <w:sz w:val="21"/>
                <w:highlight w:val="none"/>
              </w:rPr>
            </w:pPr>
          </w:p>
          <w:p w14:paraId="13F1D903">
            <w:pPr>
              <w:pStyle w:val="12"/>
              <w:spacing w:before="65" w:line="254" w:lineRule="auto"/>
              <w:ind w:left="228" w:right="139" w:hanging="84"/>
              <w:rPr>
                <w:color w:val="auto"/>
                <w:highlight w:val="none"/>
              </w:rPr>
            </w:pPr>
            <w:r>
              <w:rPr>
                <w:color w:val="auto"/>
                <w:spacing w:val="4"/>
                <w:highlight w:val="none"/>
              </w:rPr>
              <w:t>A02021100</w:t>
            </w:r>
            <w:r>
              <w:rPr>
                <w:color w:val="auto"/>
                <w:spacing w:val="-36"/>
                <w:highlight w:val="none"/>
              </w:rPr>
              <w:t xml:space="preserve"> </w:t>
            </w:r>
            <w:r>
              <w:rPr>
                <w:color w:val="auto"/>
                <w:spacing w:val="4"/>
                <w:highlight w:val="none"/>
              </w:rPr>
              <w:t>输</w:t>
            </w:r>
            <w:r>
              <w:rPr>
                <w:color w:val="auto"/>
                <w:spacing w:val="8"/>
                <w:highlight w:val="none"/>
              </w:rPr>
              <w:t>入输出设备</w:t>
            </w:r>
          </w:p>
        </w:tc>
        <w:tc>
          <w:tcPr>
            <w:tcW w:w="1480" w:type="dxa"/>
            <w:vAlign w:val="top"/>
          </w:tcPr>
          <w:p w14:paraId="35DC8DC0">
            <w:pPr>
              <w:pStyle w:val="12"/>
              <w:spacing w:before="65" w:line="233" w:lineRule="auto"/>
              <w:ind w:left="227" w:right="156" w:hanging="51"/>
              <w:rPr>
                <w:color w:val="auto"/>
                <w:highlight w:val="none"/>
              </w:rPr>
            </w:pPr>
            <w:r>
              <w:rPr>
                <w:color w:val="auto"/>
                <w:spacing w:val="4"/>
                <w:highlight w:val="none"/>
              </w:rPr>
              <w:t>★A02021104</w:t>
            </w:r>
            <w:r>
              <w:rPr>
                <w:color w:val="auto"/>
                <w:spacing w:val="7"/>
                <w:highlight w:val="none"/>
              </w:rPr>
              <w:t>液晶显示器</w:t>
            </w:r>
          </w:p>
        </w:tc>
        <w:tc>
          <w:tcPr>
            <w:tcW w:w="3455" w:type="dxa"/>
            <w:vAlign w:val="top"/>
          </w:tcPr>
          <w:p w14:paraId="37031F55">
            <w:pPr>
              <w:pStyle w:val="12"/>
              <w:spacing w:before="65" w:line="233" w:lineRule="auto"/>
              <w:ind w:left="844" w:right="147" w:hanging="677"/>
              <w:rPr>
                <w:color w:val="auto"/>
                <w:highlight w:val="none"/>
              </w:rPr>
            </w:pPr>
            <w:r>
              <w:rPr>
                <w:color w:val="auto"/>
                <w:spacing w:val="9"/>
                <w:highlight w:val="none"/>
              </w:rPr>
              <w:t>《计算机显示器能效限定值及能效</w:t>
            </w:r>
            <w:r>
              <w:rPr>
                <w:color w:val="auto"/>
                <w:spacing w:val="6"/>
                <w:highlight w:val="none"/>
              </w:rPr>
              <w:t>等级》（</w:t>
            </w:r>
            <w:r>
              <w:rPr>
                <w:color w:val="auto"/>
                <w:highlight w:val="none"/>
              </w:rPr>
              <w:t>GB</w:t>
            </w:r>
            <w:r>
              <w:rPr>
                <w:color w:val="auto"/>
                <w:spacing w:val="6"/>
                <w:highlight w:val="none"/>
              </w:rPr>
              <w:t>21520）</w:t>
            </w:r>
          </w:p>
        </w:tc>
      </w:tr>
      <w:tr w14:paraId="7F93B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675" w:type="dxa"/>
            <w:vMerge w:val="continue"/>
            <w:tcBorders>
              <w:top w:val="nil"/>
            </w:tcBorders>
            <w:vAlign w:val="top"/>
          </w:tcPr>
          <w:p w14:paraId="52F4F658">
            <w:pPr>
              <w:rPr>
                <w:rFonts w:ascii="Arial"/>
                <w:color w:val="auto"/>
                <w:sz w:val="21"/>
                <w:highlight w:val="none"/>
              </w:rPr>
            </w:pPr>
          </w:p>
        </w:tc>
        <w:tc>
          <w:tcPr>
            <w:tcW w:w="1421" w:type="dxa"/>
            <w:vMerge w:val="continue"/>
            <w:tcBorders>
              <w:top w:val="nil"/>
            </w:tcBorders>
            <w:vAlign w:val="top"/>
          </w:tcPr>
          <w:p w14:paraId="1BD8B874">
            <w:pPr>
              <w:rPr>
                <w:rFonts w:ascii="Arial"/>
                <w:color w:val="auto"/>
                <w:sz w:val="21"/>
                <w:highlight w:val="none"/>
              </w:rPr>
            </w:pPr>
          </w:p>
        </w:tc>
        <w:tc>
          <w:tcPr>
            <w:tcW w:w="1495" w:type="dxa"/>
            <w:vMerge w:val="continue"/>
            <w:tcBorders>
              <w:top w:val="nil"/>
            </w:tcBorders>
            <w:vAlign w:val="top"/>
          </w:tcPr>
          <w:p w14:paraId="44885564">
            <w:pPr>
              <w:rPr>
                <w:rFonts w:ascii="Arial"/>
                <w:color w:val="auto"/>
                <w:sz w:val="21"/>
                <w:highlight w:val="none"/>
              </w:rPr>
            </w:pPr>
          </w:p>
        </w:tc>
        <w:tc>
          <w:tcPr>
            <w:tcW w:w="1480" w:type="dxa"/>
            <w:vAlign w:val="top"/>
          </w:tcPr>
          <w:p w14:paraId="1220E6D9">
            <w:pPr>
              <w:spacing w:line="269" w:lineRule="auto"/>
              <w:rPr>
                <w:rFonts w:ascii="Arial"/>
                <w:color w:val="auto"/>
                <w:sz w:val="21"/>
                <w:highlight w:val="none"/>
              </w:rPr>
            </w:pPr>
          </w:p>
          <w:p w14:paraId="1D3E46D0">
            <w:pPr>
              <w:pStyle w:val="12"/>
              <w:spacing w:before="65" w:line="254" w:lineRule="auto"/>
              <w:ind w:left="541" w:right="131" w:hanging="401"/>
              <w:rPr>
                <w:color w:val="auto"/>
                <w:highlight w:val="none"/>
              </w:rPr>
            </w:pPr>
            <w:r>
              <w:rPr>
                <w:color w:val="auto"/>
                <w:spacing w:val="4"/>
                <w:highlight w:val="none"/>
              </w:rPr>
              <w:t>A02021118</w:t>
            </w:r>
            <w:r>
              <w:rPr>
                <w:color w:val="auto"/>
                <w:spacing w:val="-38"/>
                <w:highlight w:val="none"/>
              </w:rPr>
              <w:t xml:space="preserve"> </w:t>
            </w:r>
            <w:r>
              <w:rPr>
                <w:color w:val="auto"/>
                <w:spacing w:val="4"/>
                <w:highlight w:val="none"/>
              </w:rPr>
              <w:t>扫</w:t>
            </w:r>
            <w:r>
              <w:rPr>
                <w:color w:val="auto"/>
                <w:spacing w:val="3"/>
                <w:highlight w:val="none"/>
              </w:rPr>
              <w:t>描仪</w:t>
            </w:r>
          </w:p>
        </w:tc>
        <w:tc>
          <w:tcPr>
            <w:tcW w:w="3455" w:type="dxa"/>
            <w:vAlign w:val="top"/>
          </w:tcPr>
          <w:p w14:paraId="03DACF40">
            <w:pPr>
              <w:pStyle w:val="12"/>
              <w:spacing w:before="64" w:line="227" w:lineRule="auto"/>
              <w:ind w:left="163"/>
              <w:rPr>
                <w:color w:val="auto"/>
                <w:highlight w:val="none"/>
              </w:rPr>
            </w:pPr>
            <w:r>
              <w:rPr>
                <w:color w:val="auto"/>
                <w:spacing w:val="9"/>
                <w:highlight w:val="none"/>
              </w:rPr>
              <w:t>参照《复印机、打印机和传真机能</w:t>
            </w:r>
          </w:p>
          <w:p w14:paraId="7E5A6533">
            <w:pPr>
              <w:pStyle w:val="12"/>
              <w:spacing w:before="24" w:line="228" w:lineRule="auto"/>
              <w:ind w:left="689"/>
              <w:rPr>
                <w:color w:val="auto"/>
                <w:highlight w:val="none"/>
              </w:rPr>
            </w:pPr>
            <w:r>
              <w:rPr>
                <w:color w:val="auto"/>
                <w:spacing w:val="7"/>
                <w:highlight w:val="none"/>
              </w:rPr>
              <w:t>效限定值及能效等级》</w:t>
            </w:r>
          </w:p>
          <w:p w14:paraId="4D36984E">
            <w:pPr>
              <w:pStyle w:val="12"/>
              <w:spacing w:before="26" w:line="228" w:lineRule="auto"/>
              <w:ind w:left="224"/>
              <w:rPr>
                <w:color w:val="auto"/>
                <w:highlight w:val="none"/>
              </w:rPr>
            </w:pPr>
            <w:r>
              <w:rPr>
                <w:color w:val="auto"/>
                <w:spacing w:val="4"/>
                <w:highlight w:val="none"/>
              </w:rPr>
              <w:t>（</w:t>
            </w:r>
            <w:r>
              <w:rPr>
                <w:color w:val="auto"/>
                <w:highlight w:val="none"/>
              </w:rPr>
              <w:t>GB</w:t>
            </w:r>
            <w:r>
              <w:rPr>
                <w:color w:val="auto"/>
                <w:spacing w:val="4"/>
                <w:highlight w:val="none"/>
              </w:rPr>
              <w:t>21521）中打印速度为</w:t>
            </w:r>
            <w:r>
              <w:rPr>
                <w:color w:val="auto"/>
                <w:spacing w:val="-8"/>
                <w:highlight w:val="none"/>
              </w:rPr>
              <w:t xml:space="preserve"> </w:t>
            </w:r>
            <w:r>
              <w:rPr>
                <w:color w:val="auto"/>
                <w:spacing w:val="4"/>
                <w:highlight w:val="none"/>
              </w:rPr>
              <w:t>15</w:t>
            </w:r>
            <w:r>
              <w:rPr>
                <w:color w:val="auto"/>
                <w:spacing w:val="-35"/>
                <w:highlight w:val="none"/>
              </w:rPr>
              <w:t xml:space="preserve"> </w:t>
            </w:r>
            <w:r>
              <w:rPr>
                <w:color w:val="auto"/>
                <w:spacing w:val="4"/>
                <w:highlight w:val="none"/>
              </w:rPr>
              <w:t>页/</w:t>
            </w:r>
          </w:p>
          <w:p w14:paraId="18812529">
            <w:pPr>
              <w:pStyle w:val="12"/>
              <w:spacing w:before="27" w:line="213" w:lineRule="auto"/>
              <w:ind w:left="584"/>
              <w:rPr>
                <w:color w:val="auto"/>
                <w:highlight w:val="none"/>
              </w:rPr>
            </w:pPr>
            <w:r>
              <w:rPr>
                <w:color w:val="auto"/>
                <w:spacing w:val="8"/>
                <w:highlight w:val="none"/>
              </w:rPr>
              <w:t>分的针式打印机相关要求</w:t>
            </w:r>
          </w:p>
        </w:tc>
      </w:tr>
      <w:tr w14:paraId="4B628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5" w:type="dxa"/>
            <w:vAlign w:val="top"/>
          </w:tcPr>
          <w:p w14:paraId="072074D9">
            <w:pPr>
              <w:pStyle w:val="12"/>
              <w:spacing w:before="186" w:line="268" w:lineRule="exact"/>
              <w:ind w:left="295"/>
              <w:rPr>
                <w:color w:val="auto"/>
                <w:highlight w:val="none"/>
              </w:rPr>
            </w:pPr>
            <w:r>
              <w:rPr>
                <w:color w:val="auto"/>
                <w:position w:val="1"/>
                <w:highlight w:val="none"/>
              </w:rPr>
              <w:t>3</w:t>
            </w:r>
          </w:p>
        </w:tc>
        <w:tc>
          <w:tcPr>
            <w:tcW w:w="1421" w:type="dxa"/>
            <w:vAlign w:val="top"/>
          </w:tcPr>
          <w:p w14:paraId="663B5336">
            <w:pPr>
              <w:pStyle w:val="12"/>
              <w:spacing w:before="66" w:line="232" w:lineRule="auto"/>
              <w:ind w:left="405" w:right="234" w:hanging="167"/>
              <w:rPr>
                <w:color w:val="auto"/>
                <w:highlight w:val="none"/>
              </w:rPr>
            </w:pPr>
            <w:r>
              <w:rPr>
                <w:color w:val="auto"/>
                <w:spacing w:val="4"/>
                <w:highlight w:val="none"/>
              </w:rPr>
              <w:t>A02020200</w:t>
            </w:r>
            <w:r>
              <w:rPr>
                <w:color w:val="auto"/>
                <w:spacing w:val="6"/>
                <w:highlight w:val="none"/>
              </w:rPr>
              <w:t>投影仪</w:t>
            </w:r>
          </w:p>
        </w:tc>
        <w:tc>
          <w:tcPr>
            <w:tcW w:w="1495" w:type="dxa"/>
            <w:vAlign w:val="top"/>
          </w:tcPr>
          <w:p w14:paraId="26BE0D6A">
            <w:pPr>
              <w:rPr>
                <w:rFonts w:ascii="Arial"/>
                <w:color w:val="auto"/>
                <w:sz w:val="21"/>
                <w:highlight w:val="none"/>
              </w:rPr>
            </w:pPr>
          </w:p>
        </w:tc>
        <w:tc>
          <w:tcPr>
            <w:tcW w:w="1480" w:type="dxa"/>
            <w:vAlign w:val="top"/>
          </w:tcPr>
          <w:p w14:paraId="693B8D0B">
            <w:pPr>
              <w:rPr>
                <w:rFonts w:ascii="Arial"/>
                <w:color w:val="auto"/>
                <w:sz w:val="21"/>
                <w:highlight w:val="none"/>
              </w:rPr>
            </w:pPr>
          </w:p>
        </w:tc>
        <w:tc>
          <w:tcPr>
            <w:tcW w:w="3455" w:type="dxa"/>
            <w:vAlign w:val="top"/>
          </w:tcPr>
          <w:p w14:paraId="5D72BDA0">
            <w:pPr>
              <w:pStyle w:val="12"/>
              <w:spacing w:before="66" w:line="227" w:lineRule="auto"/>
              <w:ind w:left="167"/>
              <w:rPr>
                <w:color w:val="auto"/>
                <w:highlight w:val="none"/>
              </w:rPr>
            </w:pPr>
            <w:r>
              <w:rPr>
                <w:color w:val="auto"/>
                <w:spacing w:val="8"/>
                <w:highlight w:val="none"/>
              </w:rPr>
              <w:t>《投影机能效限定值及能效等级》</w:t>
            </w:r>
          </w:p>
          <w:p w14:paraId="0172B574">
            <w:pPr>
              <w:pStyle w:val="12"/>
              <w:spacing w:before="24" w:line="214" w:lineRule="auto"/>
              <w:ind w:left="1167"/>
              <w:rPr>
                <w:color w:val="auto"/>
                <w:highlight w:val="none"/>
              </w:rPr>
            </w:pPr>
            <w:r>
              <w:rPr>
                <w:color w:val="auto"/>
                <w:spacing w:val="4"/>
                <w:highlight w:val="none"/>
              </w:rPr>
              <w:t>（</w:t>
            </w:r>
            <w:r>
              <w:rPr>
                <w:color w:val="auto"/>
                <w:highlight w:val="none"/>
              </w:rPr>
              <w:t>GB</w:t>
            </w:r>
            <w:r>
              <w:rPr>
                <w:color w:val="auto"/>
                <w:spacing w:val="4"/>
                <w:highlight w:val="none"/>
              </w:rPr>
              <w:t>32028）</w:t>
            </w:r>
          </w:p>
        </w:tc>
      </w:tr>
      <w:tr w14:paraId="4C317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675" w:type="dxa"/>
            <w:vAlign w:val="top"/>
          </w:tcPr>
          <w:p w14:paraId="5BC33D6E">
            <w:pPr>
              <w:spacing w:line="255" w:lineRule="auto"/>
              <w:rPr>
                <w:rFonts w:ascii="Arial"/>
                <w:color w:val="auto"/>
                <w:sz w:val="21"/>
                <w:highlight w:val="none"/>
              </w:rPr>
            </w:pPr>
          </w:p>
          <w:p w14:paraId="46E59EE7">
            <w:pPr>
              <w:pStyle w:val="12"/>
              <w:spacing w:before="65" w:line="270" w:lineRule="exact"/>
              <w:ind w:left="290"/>
              <w:rPr>
                <w:color w:val="auto"/>
                <w:highlight w:val="none"/>
              </w:rPr>
            </w:pPr>
            <w:r>
              <w:rPr>
                <w:color w:val="auto"/>
                <w:position w:val="1"/>
                <w:highlight w:val="none"/>
              </w:rPr>
              <w:t>4</w:t>
            </w:r>
          </w:p>
        </w:tc>
        <w:tc>
          <w:tcPr>
            <w:tcW w:w="1421" w:type="dxa"/>
            <w:vAlign w:val="top"/>
          </w:tcPr>
          <w:p w14:paraId="2BE3A348">
            <w:pPr>
              <w:pStyle w:val="12"/>
              <w:spacing w:before="65" w:line="269" w:lineRule="exact"/>
              <w:ind w:left="238"/>
              <w:rPr>
                <w:color w:val="auto"/>
                <w:highlight w:val="none"/>
              </w:rPr>
            </w:pPr>
            <w:r>
              <w:rPr>
                <w:color w:val="auto"/>
                <w:spacing w:val="4"/>
                <w:position w:val="1"/>
                <w:highlight w:val="none"/>
              </w:rPr>
              <w:t>A02020400</w:t>
            </w:r>
          </w:p>
          <w:p w14:paraId="22D202F0">
            <w:pPr>
              <w:pStyle w:val="12"/>
              <w:spacing w:before="5" w:line="229" w:lineRule="auto"/>
              <w:ind w:left="201"/>
              <w:rPr>
                <w:color w:val="auto"/>
                <w:highlight w:val="none"/>
              </w:rPr>
            </w:pPr>
            <w:r>
              <w:rPr>
                <w:color w:val="auto"/>
                <w:spacing w:val="6"/>
                <w:highlight w:val="none"/>
              </w:rPr>
              <w:t>多功能一体</w:t>
            </w:r>
          </w:p>
          <w:p w14:paraId="6F8FDF61">
            <w:pPr>
              <w:pStyle w:val="12"/>
              <w:spacing w:before="22" w:line="214" w:lineRule="auto"/>
              <w:ind w:left="611"/>
              <w:rPr>
                <w:color w:val="auto"/>
                <w:highlight w:val="none"/>
              </w:rPr>
            </w:pPr>
            <w:r>
              <w:rPr>
                <w:color w:val="auto"/>
                <w:spacing w:val="1"/>
                <w:highlight w:val="none"/>
              </w:rPr>
              <w:t>机</w:t>
            </w:r>
          </w:p>
        </w:tc>
        <w:tc>
          <w:tcPr>
            <w:tcW w:w="1495" w:type="dxa"/>
            <w:vAlign w:val="top"/>
          </w:tcPr>
          <w:p w14:paraId="0D004EB8">
            <w:pPr>
              <w:rPr>
                <w:rFonts w:ascii="Arial"/>
                <w:color w:val="auto"/>
                <w:sz w:val="21"/>
                <w:highlight w:val="none"/>
              </w:rPr>
            </w:pPr>
          </w:p>
        </w:tc>
        <w:tc>
          <w:tcPr>
            <w:tcW w:w="1480" w:type="dxa"/>
            <w:vAlign w:val="top"/>
          </w:tcPr>
          <w:p w14:paraId="2C5A9F5C">
            <w:pPr>
              <w:rPr>
                <w:rFonts w:ascii="Arial"/>
                <w:color w:val="auto"/>
                <w:sz w:val="21"/>
                <w:highlight w:val="none"/>
              </w:rPr>
            </w:pPr>
          </w:p>
        </w:tc>
        <w:tc>
          <w:tcPr>
            <w:tcW w:w="3455" w:type="dxa"/>
            <w:vAlign w:val="top"/>
          </w:tcPr>
          <w:p w14:paraId="66C3F658">
            <w:pPr>
              <w:pStyle w:val="12"/>
              <w:spacing w:before="201" w:line="252" w:lineRule="auto"/>
              <w:ind w:left="322" w:right="147" w:hanging="155"/>
              <w:rPr>
                <w:color w:val="auto"/>
                <w:highlight w:val="none"/>
              </w:rPr>
            </w:pPr>
            <w:r>
              <w:rPr>
                <w:color w:val="auto"/>
                <w:spacing w:val="9"/>
                <w:highlight w:val="none"/>
              </w:rPr>
              <w:t>《复印机、打印机和传真机能效限</w:t>
            </w:r>
            <w:r>
              <w:rPr>
                <w:color w:val="auto"/>
                <w:spacing w:val="7"/>
                <w:highlight w:val="none"/>
              </w:rPr>
              <w:t>定值及能效等级》（</w:t>
            </w:r>
            <w:r>
              <w:rPr>
                <w:color w:val="auto"/>
                <w:highlight w:val="none"/>
              </w:rPr>
              <w:t>GB</w:t>
            </w:r>
            <w:r>
              <w:rPr>
                <w:color w:val="auto"/>
                <w:spacing w:val="7"/>
                <w:highlight w:val="none"/>
              </w:rPr>
              <w:t>21521）</w:t>
            </w:r>
          </w:p>
        </w:tc>
      </w:tr>
      <w:tr w14:paraId="33955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Align w:val="top"/>
          </w:tcPr>
          <w:p w14:paraId="7DC5772D">
            <w:pPr>
              <w:pStyle w:val="12"/>
              <w:spacing w:before="267" w:line="268" w:lineRule="exact"/>
              <w:ind w:left="292"/>
              <w:rPr>
                <w:color w:val="auto"/>
                <w:highlight w:val="none"/>
              </w:rPr>
            </w:pPr>
            <w:r>
              <w:rPr>
                <w:color w:val="auto"/>
                <w:position w:val="1"/>
                <w:highlight w:val="none"/>
              </w:rPr>
              <w:t>5</w:t>
            </w:r>
          </w:p>
        </w:tc>
        <w:tc>
          <w:tcPr>
            <w:tcW w:w="1421" w:type="dxa"/>
            <w:vAlign w:val="top"/>
          </w:tcPr>
          <w:p w14:paraId="3E183A58">
            <w:pPr>
              <w:pStyle w:val="12"/>
              <w:spacing w:before="65" w:line="233" w:lineRule="auto"/>
              <w:ind w:left="612" w:right="234" w:hanging="374"/>
              <w:rPr>
                <w:color w:val="auto"/>
                <w:highlight w:val="none"/>
              </w:rPr>
            </w:pPr>
            <w:r>
              <w:rPr>
                <w:color w:val="auto"/>
                <w:spacing w:val="4"/>
                <w:highlight w:val="none"/>
              </w:rPr>
              <w:t>A02051900</w:t>
            </w:r>
            <w:r>
              <w:rPr>
                <w:color w:val="auto"/>
                <w:highlight w:val="none"/>
              </w:rPr>
              <w:t>泵</w:t>
            </w:r>
          </w:p>
        </w:tc>
        <w:tc>
          <w:tcPr>
            <w:tcW w:w="1495" w:type="dxa"/>
            <w:vAlign w:val="top"/>
          </w:tcPr>
          <w:p w14:paraId="3B7BAC1A">
            <w:pPr>
              <w:pStyle w:val="12"/>
              <w:spacing w:before="65" w:line="233" w:lineRule="auto"/>
              <w:ind w:left="551" w:right="139" w:hanging="407"/>
              <w:rPr>
                <w:color w:val="auto"/>
                <w:highlight w:val="none"/>
              </w:rPr>
            </w:pPr>
            <w:r>
              <w:rPr>
                <w:color w:val="auto"/>
                <w:spacing w:val="4"/>
                <w:highlight w:val="none"/>
              </w:rPr>
              <w:t>A02051901</w:t>
            </w:r>
            <w:r>
              <w:rPr>
                <w:color w:val="auto"/>
                <w:spacing w:val="-35"/>
                <w:highlight w:val="none"/>
              </w:rPr>
              <w:t xml:space="preserve"> </w:t>
            </w:r>
            <w:r>
              <w:rPr>
                <w:color w:val="auto"/>
                <w:spacing w:val="4"/>
                <w:highlight w:val="none"/>
              </w:rPr>
              <w:t>离</w:t>
            </w:r>
            <w:r>
              <w:rPr>
                <w:color w:val="auto"/>
                <w:spacing w:val="1"/>
                <w:highlight w:val="none"/>
              </w:rPr>
              <w:t>心泵</w:t>
            </w:r>
          </w:p>
        </w:tc>
        <w:tc>
          <w:tcPr>
            <w:tcW w:w="1480" w:type="dxa"/>
            <w:vAlign w:val="top"/>
          </w:tcPr>
          <w:p w14:paraId="35923A4B">
            <w:pPr>
              <w:rPr>
                <w:rFonts w:ascii="Arial"/>
                <w:color w:val="auto"/>
                <w:sz w:val="21"/>
                <w:highlight w:val="none"/>
              </w:rPr>
            </w:pPr>
          </w:p>
        </w:tc>
        <w:tc>
          <w:tcPr>
            <w:tcW w:w="3455" w:type="dxa"/>
            <w:vAlign w:val="top"/>
          </w:tcPr>
          <w:p w14:paraId="2F2B0868">
            <w:pPr>
              <w:pStyle w:val="12"/>
              <w:spacing w:before="65" w:line="233" w:lineRule="auto"/>
              <w:ind w:left="844" w:right="147" w:hanging="677"/>
              <w:rPr>
                <w:color w:val="auto"/>
                <w:highlight w:val="none"/>
              </w:rPr>
            </w:pPr>
            <w:r>
              <w:rPr>
                <w:color w:val="auto"/>
                <w:spacing w:val="9"/>
                <w:highlight w:val="none"/>
              </w:rPr>
              <w:t>《清水离心泵能效限定值及节能评</w:t>
            </w:r>
            <w:r>
              <w:rPr>
                <w:color w:val="auto"/>
                <w:spacing w:val="6"/>
                <w:highlight w:val="none"/>
              </w:rPr>
              <w:t>价值》（</w:t>
            </w:r>
            <w:r>
              <w:rPr>
                <w:color w:val="auto"/>
                <w:highlight w:val="none"/>
              </w:rPr>
              <w:t>GB</w:t>
            </w:r>
            <w:r>
              <w:rPr>
                <w:color w:val="auto"/>
                <w:spacing w:val="6"/>
                <w:highlight w:val="none"/>
              </w:rPr>
              <w:t>19762）</w:t>
            </w:r>
          </w:p>
        </w:tc>
      </w:tr>
      <w:tr w14:paraId="0C8EA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675" w:type="dxa"/>
            <w:vAlign w:val="top"/>
          </w:tcPr>
          <w:p w14:paraId="77184094">
            <w:pPr>
              <w:pStyle w:val="12"/>
              <w:spacing w:before="186" w:line="268" w:lineRule="exact"/>
              <w:ind w:left="292"/>
              <w:rPr>
                <w:color w:val="auto"/>
                <w:highlight w:val="none"/>
              </w:rPr>
            </w:pPr>
            <w:r>
              <w:rPr>
                <w:color w:val="auto"/>
                <w:position w:val="1"/>
                <w:highlight w:val="none"/>
              </w:rPr>
              <w:t>6</w:t>
            </w:r>
          </w:p>
        </w:tc>
        <w:tc>
          <w:tcPr>
            <w:tcW w:w="1421" w:type="dxa"/>
            <w:vAlign w:val="top"/>
          </w:tcPr>
          <w:p w14:paraId="247FD6EE">
            <w:pPr>
              <w:pStyle w:val="12"/>
              <w:spacing w:before="64" w:line="234" w:lineRule="auto"/>
              <w:ind w:left="192" w:right="183" w:firstLine="45"/>
              <w:rPr>
                <w:color w:val="auto"/>
                <w:highlight w:val="none"/>
              </w:rPr>
            </w:pPr>
            <w:r>
              <w:rPr>
                <w:color w:val="auto"/>
                <w:spacing w:val="4"/>
                <w:highlight w:val="none"/>
              </w:rPr>
              <w:t>A02052300</w:t>
            </w:r>
            <w:r>
              <w:rPr>
                <w:color w:val="auto"/>
                <w:spacing w:val="7"/>
                <w:highlight w:val="none"/>
              </w:rPr>
              <w:t>制冷空调设</w:t>
            </w:r>
          </w:p>
        </w:tc>
        <w:tc>
          <w:tcPr>
            <w:tcW w:w="1495" w:type="dxa"/>
            <w:vAlign w:val="top"/>
          </w:tcPr>
          <w:p w14:paraId="3793D596">
            <w:pPr>
              <w:pStyle w:val="12"/>
              <w:spacing w:before="64" w:line="234" w:lineRule="auto"/>
              <w:ind w:left="230" w:right="164" w:hanging="47"/>
              <w:rPr>
                <w:color w:val="auto"/>
                <w:highlight w:val="none"/>
              </w:rPr>
            </w:pPr>
            <w:r>
              <w:rPr>
                <w:color w:val="auto"/>
                <w:spacing w:val="4"/>
                <w:highlight w:val="none"/>
              </w:rPr>
              <w:t>★A02052301</w:t>
            </w:r>
            <w:r>
              <w:rPr>
                <w:color w:val="auto"/>
                <w:spacing w:val="7"/>
                <w:highlight w:val="none"/>
              </w:rPr>
              <w:t>制冷压缩机</w:t>
            </w:r>
          </w:p>
        </w:tc>
        <w:tc>
          <w:tcPr>
            <w:tcW w:w="1480" w:type="dxa"/>
            <w:vAlign w:val="top"/>
          </w:tcPr>
          <w:p w14:paraId="67F12152">
            <w:pPr>
              <w:pStyle w:val="12"/>
              <w:spacing w:before="200" w:line="227" w:lineRule="auto"/>
              <w:ind w:left="330"/>
              <w:rPr>
                <w:color w:val="auto"/>
                <w:highlight w:val="none"/>
              </w:rPr>
            </w:pPr>
            <w:r>
              <w:rPr>
                <w:color w:val="auto"/>
                <w:spacing w:val="6"/>
                <w:highlight w:val="none"/>
              </w:rPr>
              <w:t>冷水机组</w:t>
            </w:r>
          </w:p>
        </w:tc>
        <w:tc>
          <w:tcPr>
            <w:tcW w:w="3455" w:type="dxa"/>
            <w:vAlign w:val="top"/>
          </w:tcPr>
          <w:p w14:paraId="1D203957">
            <w:pPr>
              <w:pStyle w:val="12"/>
              <w:spacing w:before="64" w:line="234" w:lineRule="auto"/>
              <w:ind w:left="217" w:right="202" w:firstLine="52"/>
              <w:rPr>
                <w:color w:val="auto"/>
                <w:highlight w:val="none"/>
              </w:rPr>
            </w:pPr>
            <w:r>
              <w:rPr>
                <w:color w:val="auto"/>
                <w:spacing w:val="8"/>
                <w:highlight w:val="none"/>
              </w:rPr>
              <w:t>《冷水机组能效限定值及能效等级》（</w:t>
            </w:r>
            <w:r>
              <w:rPr>
                <w:color w:val="auto"/>
                <w:highlight w:val="none"/>
              </w:rPr>
              <w:t>GB</w:t>
            </w:r>
            <w:r>
              <w:rPr>
                <w:color w:val="auto"/>
                <w:spacing w:val="8"/>
                <w:highlight w:val="none"/>
              </w:rPr>
              <w:t>19577），《低环境温度</w:t>
            </w:r>
          </w:p>
        </w:tc>
      </w:tr>
    </w:tbl>
    <w:p w14:paraId="758BD7F3">
      <w:pPr>
        <w:spacing w:line="148" w:lineRule="exact"/>
        <w:rPr>
          <w:rFonts w:ascii="Arial"/>
          <w:color w:val="auto"/>
          <w:sz w:val="12"/>
          <w:highlight w:val="none"/>
        </w:rPr>
      </w:pPr>
    </w:p>
    <w:p w14:paraId="76E39077">
      <w:pPr>
        <w:spacing w:line="148" w:lineRule="exact"/>
        <w:rPr>
          <w:rFonts w:ascii="Arial" w:hAnsi="Arial" w:eastAsia="Arial" w:cs="Arial"/>
          <w:color w:val="auto"/>
          <w:sz w:val="12"/>
          <w:szCs w:val="12"/>
          <w:highlight w:val="none"/>
        </w:rPr>
        <w:sectPr>
          <w:footerReference r:id="rId30" w:type="default"/>
          <w:pgSz w:w="11910" w:h="16840"/>
          <w:pgMar w:top="1344" w:right="1786" w:bottom="1088" w:left="1459" w:header="0" w:footer="929" w:gutter="0"/>
          <w:pgNumType w:fmt="decimal"/>
          <w:cols w:space="720" w:num="1"/>
        </w:sectPr>
      </w:pPr>
    </w:p>
    <w:tbl>
      <w:tblPr>
        <w:tblStyle w:val="11"/>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421"/>
        <w:gridCol w:w="1495"/>
        <w:gridCol w:w="1480"/>
        <w:gridCol w:w="3455"/>
      </w:tblGrid>
      <w:tr w14:paraId="78009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675" w:type="dxa"/>
            <w:vMerge w:val="restart"/>
            <w:tcBorders>
              <w:bottom w:val="nil"/>
            </w:tcBorders>
            <w:vAlign w:val="top"/>
          </w:tcPr>
          <w:p w14:paraId="2DAE2F08">
            <w:pPr>
              <w:rPr>
                <w:rFonts w:ascii="Arial"/>
                <w:color w:val="auto"/>
                <w:sz w:val="21"/>
                <w:highlight w:val="none"/>
              </w:rPr>
            </w:pPr>
          </w:p>
        </w:tc>
        <w:tc>
          <w:tcPr>
            <w:tcW w:w="1421" w:type="dxa"/>
            <w:vMerge w:val="restart"/>
            <w:tcBorders>
              <w:bottom w:val="nil"/>
            </w:tcBorders>
            <w:vAlign w:val="top"/>
          </w:tcPr>
          <w:p w14:paraId="797F8C2E">
            <w:pPr>
              <w:pStyle w:val="12"/>
              <w:spacing w:before="36" w:line="229" w:lineRule="auto"/>
              <w:ind w:left="614"/>
              <w:rPr>
                <w:color w:val="auto"/>
                <w:highlight w:val="none"/>
              </w:rPr>
            </w:pPr>
            <w:r>
              <w:rPr>
                <w:color w:val="auto"/>
                <w:highlight w:val="none"/>
              </w:rPr>
              <w:t>备</w:t>
            </w:r>
          </w:p>
        </w:tc>
        <w:tc>
          <w:tcPr>
            <w:tcW w:w="1495" w:type="dxa"/>
            <w:vMerge w:val="restart"/>
            <w:tcBorders>
              <w:bottom w:val="nil"/>
            </w:tcBorders>
            <w:vAlign w:val="top"/>
          </w:tcPr>
          <w:p w14:paraId="1ECBC18C">
            <w:pPr>
              <w:rPr>
                <w:rFonts w:ascii="Arial"/>
                <w:color w:val="auto"/>
                <w:sz w:val="21"/>
                <w:highlight w:val="none"/>
              </w:rPr>
            </w:pPr>
          </w:p>
        </w:tc>
        <w:tc>
          <w:tcPr>
            <w:tcW w:w="1480" w:type="dxa"/>
            <w:vAlign w:val="top"/>
          </w:tcPr>
          <w:p w14:paraId="32A2A82C">
            <w:pPr>
              <w:rPr>
                <w:rFonts w:ascii="Arial"/>
                <w:color w:val="auto"/>
                <w:sz w:val="21"/>
                <w:highlight w:val="none"/>
              </w:rPr>
            </w:pPr>
          </w:p>
        </w:tc>
        <w:tc>
          <w:tcPr>
            <w:tcW w:w="3455" w:type="dxa"/>
            <w:vAlign w:val="top"/>
          </w:tcPr>
          <w:p w14:paraId="71F2A262">
            <w:pPr>
              <w:pStyle w:val="12"/>
              <w:spacing w:before="36" w:line="227" w:lineRule="auto"/>
              <w:ind w:left="168"/>
              <w:rPr>
                <w:color w:val="auto"/>
                <w:highlight w:val="none"/>
              </w:rPr>
            </w:pPr>
            <w:r>
              <w:rPr>
                <w:color w:val="auto"/>
                <w:spacing w:val="8"/>
                <w:highlight w:val="none"/>
              </w:rPr>
              <w:t>空气源热泵（冷水）机组能效限定</w:t>
            </w:r>
          </w:p>
          <w:p w14:paraId="033F93CD">
            <w:pPr>
              <w:pStyle w:val="12"/>
              <w:spacing w:before="25" w:line="218" w:lineRule="auto"/>
              <w:ind w:left="423"/>
              <w:rPr>
                <w:color w:val="auto"/>
                <w:highlight w:val="none"/>
              </w:rPr>
            </w:pPr>
            <w:r>
              <w:rPr>
                <w:color w:val="auto"/>
                <w:spacing w:val="7"/>
                <w:highlight w:val="none"/>
              </w:rPr>
              <w:t>值及能效等级》（</w:t>
            </w:r>
            <w:r>
              <w:rPr>
                <w:color w:val="auto"/>
                <w:highlight w:val="none"/>
              </w:rPr>
              <w:t>GB</w:t>
            </w:r>
            <w:r>
              <w:rPr>
                <w:color w:val="auto"/>
                <w:spacing w:val="7"/>
                <w:highlight w:val="none"/>
              </w:rPr>
              <w:t>37480）</w:t>
            </w:r>
          </w:p>
        </w:tc>
      </w:tr>
      <w:tr w14:paraId="108B8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75" w:type="dxa"/>
            <w:vMerge w:val="continue"/>
            <w:tcBorders>
              <w:top w:val="nil"/>
              <w:bottom w:val="nil"/>
            </w:tcBorders>
            <w:vAlign w:val="top"/>
          </w:tcPr>
          <w:p w14:paraId="26EFA0D4">
            <w:pPr>
              <w:rPr>
                <w:rFonts w:ascii="Arial"/>
                <w:color w:val="auto"/>
                <w:sz w:val="21"/>
                <w:highlight w:val="none"/>
              </w:rPr>
            </w:pPr>
          </w:p>
        </w:tc>
        <w:tc>
          <w:tcPr>
            <w:tcW w:w="1421" w:type="dxa"/>
            <w:vMerge w:val="continue"/>
            <w:tcBorders>
              <w:top w:val="nil"/>
              <w:bottom w:val="nil"/>
            </w:tcBorders>
            <w:vAlign w:val="top"/>
          </w:tcPr>
          <w:p w14:paraId="2ED2079D">
            <w:pPr>
              <w:rPr>
                <w:rFonts w:ascii="Arial"/>
                <w:color w:val="auto"/>
                <w:sz w:val="21"/>
                <w:highlight w:val="none"/>
              </w:rPr>
            </w:pPr>
          </w:p>
        </w:tc>
        <w:tc>
          <w:tcPr>
            <w:tcW w:w="1495" w:type="dxa"/>
            <w:vMerge w:val="continue"/>
            <w:tcBorders>
              <w:top w:val="nil"/>
            </w:tcBorders>
            <w:vAlign w:val="top"/>
          </w:tcPr>
          <w:p w14:paraId="39FF4814">
            <w:pPr>
              <w:rPr>
                <w:rFonts w:ascii="Arial"/>
                <w:color w:val="auto"/>
                <w:sz w:val="21"/>
                <w:highlight w:val="none"/>
              </w:rPr>
            </w:pPr>
          </w:p>
        </w:tc>
        <w:tc>
          <w:tcPr>
            <w:tcW w:w="1480" w:type="dxa"/>
            <w:vAlign w:val="top"/>
          </w:tcPr>
          <w:p w14:paraId="265F99B8">
            <w:pPr>
              <w:pStyle w:val="12"/>
              <w:spacing w:before="74" w:line="228" w:lineRule="auto"/>
              <w:ind w:left="229"/>
              <w:rPr>
                <w:color w:val="auto"/>
                <w:highlight w:val="none"/>
              </w:rPr>
            </w:pPr>
            <w:r>
              <w:rPr>
                <w:color w:val="auto"/>
                <w:spacing w:val="7"/>
                <w:highlight w:val="none"/>
              </w:rPr>
              <w:t>溴化锂吸收</w:t>
            </w:r>
          </w:p>
          <w:p w14:paraId="39251AC0">
            <w:pPr>
              <w:pStyle w:val="12"/>
              <w:spacing w:before="24" w:line="227" w:lineRule="auto"/>
              <w:ind w:left="229"/>
              <w:rPr>
                <w:color w:val="auto"/>
                <w:highlight w:val="none"/>
              </w:rPr>
            </w:pPr>
            <w:r>
              <w:rPr>
                <w:color w:val="auto"/>
                <w:spacing w:val="7"/>
                <w:highlight w:val="none"/>
              </w:rPr>
              <w:t>式冷水机组</w:t>
            </w:r>
          </w:p>
        </w:tc>
        <w:tc>
          <w:tcPr>
            <w:tcW w:w="3455" w:type="dxa"/>
            <w:vAlign w:val="top"/>
          </w:tcPr>
          <w:p w14:paraId="22E881FB">
            <w:pPr>
              <w:pStyle w:val="12"/>
              <w:spacing w:before="61" w:line="248" w:lineRule="auto"/>
              <w:ind w:left="322" w:right="255" w:hanging="52"/>
              <w:rPr>
                <w:color w:val="auto"/>
                <w:highlight w:val="none"/>
              </w:rPr>
            </w:pPr>
            <w:r>
              <w:rPr>
                <w:color w:val="auto"/>
                <w:spacing w:val="8"/>
                <w:highlight w:val="none"/>
              </w:rPr>
              <w:t>《溴化锂吸收式冷水机组能效限</w:t>
            </w:r>
            <w:r>
              <w:rPr>
                <w:color w:val="auto"/>
                <w:spacing w:val="7"/>
                <w:highlight w:val="none"/>
              </w:rPr>
              <w:t>定值及能效等级》（</w:t>
            </w:r>
            <w:r>
              <w:rPr>
                <w:color w:val="auto"/>
                <w:highlight w:val="none"/>
              </w:rPr>
              <w:t>GB</w:t>
            </w:r>
            <w:r>
              <w:rPr>
                <w:color w:val="auto"/>
                <w:spacing w:val="7"/>
                <w:highlight w:val="none"/>
              </w:rPr>
              <w:t>29540）</w:t>
            </w:r>
          </w:p>
        </w:tc>
      </w:tr>
      <w:tr w14:paraId="51724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675" w:type="dxa"/>
            <w:vMerge w:val="continue"/>
            <w:tcBorders>
              <w:top w:val="nil"/>
              <w:bottom w:val="nil"/>
            </w:tcBorders>
            <w:vAlign w:val="top"/>
          </w:tcPr>
          <w:p w14:paraId="5CED245E">
            <w:pPr>
              <w:rPr>
                <w:rFonts w:ascii="Arial"/>
                <w:color w:val="auto"/>
                <w:sz w:val="21"/>
                <w:highlight w:val="none"/>
              </w:rPr>
            </w:pPr>
          </w:p>
        </w:tc>
        <w:tc>
          <w:tcPr>
            <w:tcW w:w="1421" w:type="dxa"/>
            <w:vMerge w:val="continue"/>
            <w:tcBorders>
              <w:top w:val="nil"/>
              <w:bottom w:val="nil"/>
            </w:tcBorders>
            <w:vAlign w:val="top"/>
          </w:tcPr>
          <w:p w14:paraId="4A7FD65D">
            <w:pPr>
              <w:rPr>
                <w:rFonts w:ascii="Arial"/>
                <w:color w:val="auto"/>
                <w:sz w:val="21"/>
                <w:highlight w:val="none"/>
              </w:rPr>
            </w:pPr>
          </w:p>
        </w:tc>
        <w:tc>
          <w:tcPr>
            <w:tcW w:w="1495" w:type="dxa"/>
            <w:vMerge w:val="restart"/>
            <w:tcBorders>
              <w:bottom w:val="nil"/>
            </w:tcBorders>
            <w:vAlign w:val="top"/>
          </w:tcPr>
          <w:p w14:paraId="7877A1B9">
            <w:pPr>
              <w:spacing w:line="276" w:lineRule="auto"/>
              <w:rPr>
                <w:rFonts w:ascii="Arial"/>
                <w:color w:val="auto"/>
                <w:sz w:val="21"/>
                <w:highlight w:val="none"/>
              </w:rPr>
            </w:pPr>
          </w:p>
          <w:p w14:paraId="3288E28E">
            <w:pPr>
              <w:spacing w:line="276" w:lineRule="auto"/>
              <w:rPr>
                <w:rFonts w:ascii="Arial"/>
                <w:color w:val="auto"/>
                <w:sz w:val="21"/>
                <w:highlight w:val="none"/>
              </w:rPr>
            </w:pPr>
          </w:p>
          <w:p w14:paraId="2FBD09C7">
            <w:pPr>
              <w:spacing w:line="277" w:lineRule="auto"/>
              <w:rPr>
                <w:rFonts w:ascii="Arial"/>
                <w:color w:val="auto"/>
                <w:sz w:val="21"/>
                <w:highlight w:val="none"/>
              </w:rPr>
            </w:pPr>
          </w:p>
          <w:p w14:paraId="43663802">
            <w:pPr>
              <w:pStyle w:val="12"/>
              <w:spacing w:before="65" w:line="251" w:lineRule="auto"/>
              <w:ind w:left="342" w:right="164" w:hanging="159"/>
              <w:rPr>
                <w:color w:val="auto"/>
                <w:highlight w:val="none"/>
              </w:rPr>
            </w:pPr>
            <w:r>
              <w:rPr>
                <w:color w:val="auto"/>
                <w:spacing w:val="4"/>
                <w:highlight w:val="none"/>
              </w:rPr>
              <w:t>★A02052305</w:t>
            </w:r>
            <w:r>
              <w:rPr>
                <w:color w:val="auto"/>
                <w:spacing w:val="5"/>
                <w:highlight w:val="none"/>
              </w:rPr>
              <w:t>空调机组</w:t>
            </w:r>
          </w:p>
        </w:tc>
        <w:tc>
          <w:tcPr>
            <w:tcW w:w="1480" w:type="dxa"/>
            <w:vAlign w:val="top"/>
          </w:tcPr>
          <w:p w14:paraId="2C2859F3">
            <w:pPr>
              <w:pStyle w:val="12"/>
              <w:spacing w:before="63" w:line="229" w:lineRule="auto"/>
              <w:ind w:left="235"/>
              <w:rPr>
                <w:color w:val="auto"/>
                <w:highlight w:val="none"/>
              </w:rPr>
            </w:pPr>
            <w:r>
              <w:rPr>
                <w:color w:val="auto"/>
                <w:spacing w:val="6"/>
                <w:highlight w:val="none"/>
              </w:rPr>
              <w:t>多联式空调</w:t>
            </w:r>
          </w:p>
          <w:p w14:paraId="4A0FC14A">
            <w:pPr>
              <w:pStyle w:val="12"/>
              <w:spacing w:before="22"/>
              <w:ind w:left="172" w:right="176" w:firstLine="62"/>
              <w:jc w:val="right"/>
              <w:rPr>
                <w:color w:val="auto"/>
                <w:highlight w:val="none"/>
              </w:rPr>
            </w:pPr>
            <w:r>
              <w:rPr>
                <w:color w:val="auto"/>
                <w:spacing w:val="6"/>
                <w:highlight w:val="none"/>
              </w:rPr>
              <w:t>（热泵）机</w:t>
            </w:r>
            <w:r>
              <w:rPr>
                <w:color w:val="auto"/>
                <w:spacing w:val="46"/>
                <w:highlight w:val="none"/>
              </w:rPr>
              <w:t>组（制冷</w:t>
            </w:r>
            <w:r>
              <w:rPr>
                <w:color w:val="auto"/>
                <w:spacing w:val="2"/>
                <w:highlight w:val="none"/>
              </w:rPr>
              <w:t>量&gt;14000W）</w:t>
            </w:r>
          </w:p>
        </w:tc>
        <w:tc>
          <w:tcPr>
            <w:tcW w:w="3455" w:type="dxa"/>
            <w:vAlign w:val="top"/>
          </w:tcPr>
          <w:p w14:paraId="7B03DE29">
            <w:pPr>
              <w:pStyle w:val="12"/>
              <w:spacing w:before="63" w:line="227" w:lineRule="auto"/>
              <w:ind w:left="167"/>
              <w:rPr>
                <w:color w:val="auto"/>
                <w:highlight w:val="none"/>
              </w:rPr>
            </w:pPr>
            <w:r>
              <w:rPr>
                <w:color w:val="auto"/>
                <w:spacing w:val="9"/>
                <w:highlight w:val="none"/>
              </w:rPr>
              <w:t>《多联式空调（热泵）机组能效限</w:t>
            </w:r>
          </w:p>
          <w:p w14:paraId="7ABA6C14">
            <w:pPr>
              <w:pStyle w:val="12"/>
              <w:spacing w:before="24" w:line="228" w:lineRule="auto"/>
              <w:ind w:left="689"/>
              <w:rPr>
                <w:color w:val="auto"/>
                <w:highlight w:val="none"/>
              </w:rPr>
            </w:pPr>
            <w:r>
              <w:rPr>
                <w:color w:val="auto"/>
                <w:spacing w:val="7"/>
                <w:highlight w:val="none"/>
              </w:rPr>
              <w:t>定值及能源效率等级》</w:t>
            </w:r>
          </w:p>
          <w:p w14:paraId="7316C321">
            <w:pPr>
              <w:pStyle w:val="12"/>
              <w:spacing w:before="24"/>
              <w:ind w:left="1167"/>
              <w:rPr>
                <w:color w:val="auto"/>
                <w:highlight w:val="none"/>
              </w:rPr>
            </w:pPr>
            <w:r>
              <w:rPr>
                <w:color w:val="auto"/>
                <w:spacing w:val="4"/>
                <w:highlight w:val="none"/>
              </w:rPr>
              <w:t>（</w:t>
            </w:r>
            <w:r>
              <w:rPr>
                <w:color w:val="auto"/>
                <w:highlight w:val="none"/>
              </w:rPr>
              <w:t>GB</w:t>
            </w:r>
            <w:r>
              <w:rPr>
                <w:color w:val="auto"/>
                <w:spacing w:val="4"/>
                <w:highlight w:val="none"/>
              </w:rPr>
              <w:t>21454）</w:t>
            </w:r>
          </w:p>
        </w:tc>
      </w:tr>
      <w:tr w14:paraId="59740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3" w:hRule="atLeast"/>
        </w:trPr>
        <w:tc>
          <w:tcPr>
            <w:tcW w:w="675" w:type="dxa"/>
            <w:vMerge w:val="continue"/>
            <w:tcBorders>
              <w:top w:val="nil"/>
              <w:bottom w:val="nil"/>
            </w:tcBorders>
            <w:vAlign w:val="top"/>
          </w:tcPr>
          <w:p w14:paraId="063DC96F">
            <w:pPr>
              <w:rPr>
                <w:rFonts w:ascii="Arial"/>
                <w:color w:val="auto"/>
                <w:sz w:val="21"/>
                <w:highlight w:val="none"/>
              </w:rPr>
            </w:pPr>
          </w:p>
        </w:tc>
        <w:tc>
          <w:tcPr>
            <w:tcW w:w="1421" w:type="dxa"/>
            <w:vMerge w:val="continue"/>
            <w:tcBorders>
              <w:top w:val="nil"/>
              <w:bottom w:val="nil"/>
            </w:tcBorders>
            <w:vAlign w:val="top"/>
          </w:tcPr>
          <w:p w14:paraId="4C943033">
            <w:pPr>
              <w:rPr>
                <w:rFonts w:ascii="Arial"/>
                <w:color w:val="auto"/>
                <w:sz w:val="21"/>
                <w:highlight w:val="none"/>
              </w:rPr>
            </w:pPr>
          </w:p>
        </w:tc>
        <w:tc>
          <w:tcPr>
            <w:tcW w:w="1495" w:type="dxa"/>
            <w:vMerge w:val="continue"/>
            <w:tcBorders>
              <w:top w:val="nil"/>
            </w:tcBorders>
            <w:vAlign w:val="top"/>
          </w:tcPr>
          <w:p w14:paraId="6E009FD5">
            <w:pPr>
              <w:rPr>
                <w:rFonts w:ascii="Arial"/>
                <w:color w:val="auto"/>
                <w:sz w:val="21"/>
                <w:highlight w:val="none"/>
              </w:rPr>
            </w:pPr>
          </w:p>
        </w:tc>
        <w:tc>
          <w:tcPr>
            <w:tcW w:w="1480" w:type="dxa"/>
            <w:vAlign w:val="top"/>
          </w:tcPr>
          <w:p w14:paraId="74644A4E">
            <w:pPr>
              <w:spacing w:line="266" w:lineRule="auto"/>
              <w:rPr>
                <w:rFonts w:ascii="Arial"/>
                <w:color w:val="auto"/>
                <w:sz w:val="21"/>
                <w:highlight w:val="none"/>
              </w:rPr>
            </w:pPr>
          </w:p>
          <w:p w14:paraId="3B4D2348">
            <w:pPr>
              <w:pStyle w:val="12"/>
              <w:spacing w:before="65" w:line="254" w:lineRule="auto"/>
              <w:ind w:left="435" w:right="208" w:hanging="208"/>
              <w:rPr>
                <w:color w:val="auto"/>
                <w:highlight w:val="none"/>
              </w:rPr>
            </w:pPr>
            <w:r>
              <w:rPr>
                <w:color w:val="auto"/>
                <w:spacing w:val="7"/>
                <w:highlight w:val="none"/>
              </w:rPr>
              <w:t>单元式空气</w:t>
            </w:r>
            <w:r>
              <w:rPr>
                <w:color w:val="auto"/>
                <w:spacing w:val="6"/>
                <w:highlight w:val="none"/>
              </w:rPr>
              <w:t>调节机</w:t>
            </w:r>
          </w:p>
        </w:tc>
        <w:tc>
          <w:tcPr>
            <w:tcW w:w="3455" w:type="dxa"/>
            <w:vAlign w:val="top"/>
          </w:tcPr>
          <w:p w14:paraId="7F150E97">
            <w:pPr>
              <w:pStyle w:val="12"/>
              <w:spacing w:before="62" w:line="227" w:lineRule="auto"/>
              <w:ind w:left="167"/>
              <w:rPr>
                <w:color w:val="auto"/>
                <w:highlight w:val="none"/>
              </w:rPr>
            </w:pPr>
            <w:r>
              <w:rPr>
                <w:color w:val="auto"/>
                <w:spacing w:val="9"/>
                <w:highlight w:val="none"/>
              </w:rPr>
              <w:t>《单元式空气调节机能效限定值及</w:t>
            </w:r>
          </w:p>
          <w:p w14:paraId="24319D96">
            <w:pPr>
              <w:pStyle w:val="12"/>
              <w:spacing w:before="24" w:line="228" w:lineRule="auto"/>
              <w:ind w:left="222"/>
              <w:rPr>
                <w:color w:val="auto"/>
                <w:highlight w:val="none"/>
              </w:rPr>
            </w:pPr>
            <w:r>
              <w:rPr>
                <w:color w:val="auto"/>
                <w:spacing w:val="7"/>
                <w:highlight w:val="none"/>
              </w:rPr>
              <w:t>能效等级》（</w:t>
            </w:r>
            <w:r>
              <w:rPr>
                <w:color w:val="auto"/>
                <w:highlight w:val="none"/>
              </w:rPr>
              <w:t>GB</w:t>
            </w:r>
            <w:r>
              <w:rPr>
                <w:color w:val="auto"/>
                <w:spacing w:val="7"/>
                <w:highlight w:val="none"/>
              </w:rPr>
              <w:t>19576）《风管送</w:t>
            </w:r>
          </w:p>
          <w:p w14:paraId="1762F60D">
            <w:pPr>
              <w:pStyle w:val="12"/>
              <w:spacing w:before="26" w:line="227" w:lineRule="auto"/>
              <w:ind w:left="162"/>
              <w:rPr>
                <w:color w:val="auto"/>
                <w:highlight w:val="none"/>
              </w:rPr>
            </w:pPr>
            <w:r>
              <w:rPr>
                <w:color w:val="auto"/>
                <w:spacing w:val="9"/>
                <w:highlight w:val="none"/>
              </w:rPr>
              <w:t>风式空调机组能效限定值及能效等</w:t>
            </w:r>
          </w:p>
          <w:p w14:paraId="3B6765B1">
            <w:pPr>
              <w:pStyle w:val="12"/>
              <w:spacing w:before="26" w:line="216" w:lineRule="auto"/>
              <w:ind w:left="952"/>
              <w:rPr>
                <w:color w:val="auto"/>
                <w:highlight w:val="none"/>
              </w:rPr>
            </w:pPr>
            <w:r>
              <w:rPr>
                <w:color w:val="auto"/>
                <w:spacing w:val="5"/>
                <w:highlight w:val="none"/>
              </w:rPr>
              <w:t>级》（</w:t>
            </w:r>
            <w:r>
              <w:rPr>
                <w:color w:val="auto"/>
                <w:highlight w:val="none"/>
              </w:rPr>
              <w:t>GB</w:t>
            </w:r>
            <w:r>
              <w:rPr>
                <w:color w:val="auto"/>
                <w:spacing w:val="5"/>
                <w:highlight w:val="none"/>
              </w:rPr>
              <w:t>37479）</w:t>
            </w:r>
          </w:p>
        </w:tc>
      </w:tr>
      <w:tr w14:paraId="40AEC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675" w:type="dxa"/>
            <w:vMerge w:val="continue"/>
            <w:tcBorders>
              <w:top w:val="nil"/>
              <w:bottom w:val="nil"/>
            </w:tcBorders>
            <w:vAlign w:val="top"/>
          </w:tcPr>
          <w:p w14:paraId="7155210C">
            <w:pPr>
              <w:rPr>
                <w:rFonts w:ascii="Arial"/>
                <w:color w:val="auto"/>
                <w:sz w:val="21"/>
                <w:highlight w:val="none"/>
              </w:rPr>
            </w:pPr>
          </w:p>
        </w:tc>
        <w:tc>
          <w:tcPr>
            <w:tcW w:w="1421" w:type="dxa"/>
            <w:vMerge w:val="continue"/>
            <w:tcBorders>
              <w:top w:val="nil"/>
              <w:bottom w:val="nil"/>
            </w:tcBorders>
            <w:vAlign w:val="top"/>
          </w:tcPr>
          <w:p w14:paraId="2B8234FC">
            <w:pPr>
              <w:rPr>
                <w:rFonts w:ascii="Arial"/>
                <w:color w:val="auto"/>
                <w:sz w:val="21"/>
                <w:highlight w:val="none"/>
              </w:rPr>
            </w:pPr>
          </w:p>
        </w:tc>
        <w:tc>
          <w:tcPr>
            <w:tcW w:w="1495" w:type="dxa"/>
            <w:vAlign w:val="top"/>
          </w:tcPr>
          <w:p w14:paraId="4D2DE257">
            <w:pPr>
              <w:pStyle w:val="12"/>
              <w:spacing w:before="64" w:line="235" w:lineRule="auto"/>
              <w:ind w:left="183"/>
              <w:rPr>
                <w:color w:val="auto"/>
                <w:highlight w:val="none"/>
              </w:rPr>
            </w:pPr>
            <w:r>
              <w:rPr>
                <w:color w:val="auto"/>
                <w:spacing w:val="4"/>
                <w:highlight w:val="none"/>
              </w:rPr>
              <w:t>★A02052309</w:t>
            </w:r>
          </w:p>
          <w:p w14:paraId="3D42C588">
            <w:pPr>
              <w:pStyle w:val="12"/>
              <w:spacing w:before="17" w:line="228" w:lineRule="auto"/>
              <w:ind w:left="125"/>
              <w:rPr>
                <w:color w:val="auto"/>
                <w:highlight w:val="none"/>
              </w:rPr>
            </w:pPr>
            <w:r>
              <w:rPr>
                <w:color w:val="auto"/>
                <w:spacing w:val="9"/>
                <w:highlight w:val="none"/>
              </w:rPr>
              <w:t>专用制冷、空</w:t>
            </w:r>
          </w:p>
          <w:p w14:paraId="42D00C32">
            <w:pPr>
              <w:pStyle w:val="12"/>
              <w:spacing w:before="23" w:line="217" w:lineRule="auto"/>
              <w:ind w:left="443"/>
              <w:rPr>
                <w:color w:val="auto"/>
                <w:highlight w:val="none"/>
              </w:rPr>
            </w:pPr>
            <w:r>
              <w:rPr>
                <w:color w:val="auto"/>
                <w:spacing w:val="6"/>
                <w:highlight w:val="none"/>
              </w:rPr>
              <w:t>调设备</w:t>
            </w:r>
          </w:p>
        </w:tc>
        <w:tc>
          <w:tcPr>
            <w:tcW w:w="1480" w:type="dxa"/>
            <w:vAlign w:val="top"/>
          </w:tcPr>
          <w:p w14:paraId="23EC4420">
            <w:pPr>
              <w:spacing w:line="269" w:lineRule="auto"/>
              <w:rPr>
                <w:rFonts w:ascii="Arial"/>
                <w:color w:val="auto"/>
                <w:sz w:val="21"/>
                <w:highlight w:val="none"/>
              </w:rPr>
            </w:pPr>
          </w:p>
          <w:p w14:paraId="528095B2">
            <w:pPr>
              <w:pStyle w:val="12"/>
              <w:spacing w:before="65" w:line="227" w:lineRule="auto"/>
              <w:ind w:left="328"/>
              <w:rPr>
                <w:color w:val="auto"/>
                <w:highlight w:val="none"/>
              </w:rPr>
            </w:pPr>
            <w:r>
              <w:rPr>
                <w:color w:val="auto"/>
                <w:spacing w:val="7"/>
                <w:highlight w:val="none"/>
              </w:rPr>
              <w:t>机房空调</w:t>
            </w:r>
          </w:p>
        </w:tc>
        <w:tc>
          <w:tcPr>
            <w:tcW w:w="3455" w:type="dxa"/>
            <w:vAlign w:val="top"/>
          </w:tcPr>
          <w:p w14:paraId="32FA1E33">
            <w:pPr>
              <w:pStyle w:val="12"/>
              <w:spacing w:before="63" w:line="281" w:lineRule="auto"/>
              <w:ind w:left="527" w:right="255" w:hanging="257"/>
              <w:rPr>
                <w:color w:val="auto"/>
                <w:highlight w:val="none"/>
              </w:rPr>
            </w:pPr>
            <w:r>
              <w:rPr>
                <w:color w:val="auto"/>
                <w:spacing w:val="8"/>
                <w:highlight w:val="none"/>
              </w:rPr>
              <w:t>《单元式空气调节机能效限定值</w:t>
            </w:r>
            <w:r>
              <w:rPr>
                <w:color w:val="auto"/>
                <w:spacing w:val="7"/>
                <w:highlight w:val="none"/>
              </w:rPr>
              <w:t>及能效等级》（</w:t>
            </w:r>
            <w:r>
              <w:rPr>
                <w:color w:val="auto"/>
                <w:highlight w:val="none"/>
              </w:rPr>
              <w:t>GB</w:t>
            </w:r>
            <w:r>
              <w:rPr>
                <w:color w:val="auto"/>
                <w:spacing w:val="7"/>
                <w:highlight w:val="none"/>
              </w:rPr>
              <w:t>19576）</w:t>
            </w:r>
          </w:p>
        </w:tc>
      </w:tr>
      <w:tr w14:paraId="4E8BF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675" w:type="dxa"/>
            <w:vMerge w:val="continue"/>
            <w:tcBorders>
              <w:top w:val="nil"/>
            </w:tcBorders>
            <w:vAlign w:val="top"/>
          </w:tcPr>
          <w:p w14:paraId="755C2DB5">
            <w:pPr>
              <w:rPr>
                <w:rFonts w:ascii="Arial"/>
                <w:color w:val="auto"/>
                <w:sz w:val="21"/>
                <w:highlight w:val="none"/>
              </w:rPr>
            </w:pPr>
          </w:p>
        </w:tc>
        <w:tc>
          <w:tcPr>
            <w:tcW w:w="1421" w:type="dxa"/>
            <w:vMerge w:val="continue"/>
            <w:tcBorders>
              <w:top w:val="nil"/>
            </w:tcBorders>
            <w:vAlign w:val="top"/>
          </w:tcPr>
          <w:p w14:paraId="53614878">
            <w:pPr>
              <w:rPr>
                <w:rFonts w:ascii="Arial"/>
                <w:color w:val="auto"/>
                <w:sz w:val="21"/>
                <w:highlight w:val="none"/>
              </w:rPr>
            </w:pPr>
          </w:p>
        </w:tc>
        <w:tc>
          <w:tcPr>
            <w:tcW w:w="1495" w:type="dxa"/>
            <w:vAlign w:val="top"/>
          </w:tcPr>
          <w:p w14:paraId="21715396">
            <w:pPr>
              <w:pStyle w:val="12"/>
              <w:spacing w:before="199" w:line="252" w:lineRule="auto"/>
              <w:ind w:left="440" w:right="139" w:hanging="296"/>
              <w:rPr>
                <w:color w:val="auto"/>
                <w:highlight w:val="none"/>
              </w:rPr>
            </w:pPr>
            <w:r>
              <w:rPr>
                <w:color w:val="auto"/>
                <w:spacing w:val="4"/>
                <w:highlight w:val="none"/>
              </w:rPr>
              <w:t>A02052399</w:t>
            </w:r>
            <w:r>
              <w:rPr>
                <w:color w:val="auto"/>
                <w:spacing w:val="-36"/>
                <w:highlight w:val="none"/>
              </w:rPr>
              <w:t xml:space="preserve"> </w:t>
            </w:r>
            <w:r>
              <w:rPr>
                <w:color w:val="auto"/>
                <w:spacing w:val="4"/>
                <w:highlight w:val="none"/>
              </w:rPr>
              <w:t>其</w:t>
            </w:r>
            <w:r>
              <w:rPr>
                <w:color w:val="auto"/>
                <w:spacing w:val="6"/>
                <w:highlight w:val="none"/>
              </w:rPr>
              <w:t>他制冷</w:t>
            </w:r>
          </w:p>
          <w:p w14:paraId="38009471">
            <w:pPr>
              <w:pStyle w:val="12"/>
              <w:spacing w:before="27" w:line="229" w:lineRule="auto"/>
              <w:ind w:left="342"/>
              <w:rPr>
                <w:color w:val="auto"/>
                <w:highlight w:val="none"/>
              </w:rPr>
            </w:pPr>
            <w:r>
              <w:rPr>
                <w:color w:val="auto"/>
                <w:spacing w:val="5"/>
                <w:highlight w:val="none"/>
              </w:rPr>
              <w:t>空调设备</w:t>
            </w:r>
          </w:p>
        </w:tc>
        <w:tc>
          <w:tcPr>
            <w:tcW w:w="1480" w:type="dxa"/>
            <w:vAlign w:val="top"/>
          </w:tcPr>
          <w:p w14:paraId="52A362FA">
            <w:pPr>
              <w:spacing w:line="419" w:lineRule="auto"/>
              <w:rPr>
                <w:rFonts w:ascii="Arial"/>
                <w:color w:val="auto"/>
                <w:sz w:val="21"/>
                <w:highlight w:val="none"/>
              </w:rPr>
            </w:pPr>
          </w:p>
          <w:p w14:paraId="20D4177D">
            <w:pPr>
              <w:pStyle w:val="12"/>
              <w:spacing w:before="65" w:line="230" w:lineRule="auto"/>
              <w:ind w:left="436"/>
              <w:rPr>
                <w:color w:val="auto"/>
                <w:highlight w:val="none"/>
              </w:rPr>
            </w:pPr>
            <w:r>
              <w:rPr>
                <w:color w:val="auto"/>
                <w:spacing w:val="6"/>
                <w:highlight w:val="none"/>
              </w:rPr>
              <w:t>冷却塔</w:t>
            </w:r>
          </w:p>
        </w:tc>
        <w:tc>
          <w:tcPr>
            <w:tcW w:w="3455" w:type="dxa"/>
            <w:vAlign w:val="top"/>
          </w:tcPr>
          <w:p w14:paraId="1002FE8B">
            <w:pPr>
              <w:pStyle w:val="12"/>
              <w:spacing w:before="65" w:line="252" w:lineRule="auto"/>
              <w:ind w:left="271" w:right="147" w:hanging="104"/>
              <w:rPr>
                <w:color w:val="auto"/>
                <w:highlight w:val="none"/>
              </w:rPr>
            </w:pPr>
            <w:r>
              <w:rPr>
                <w:color w:val="auto"/>
                <w:spacing w:val="6"/>
                <w:highlight w:val="none"/>
              </w:rPr>
              <w:t>《机械通风冷却塔第</w:t>
            </w:r>
            <w:r>
              <w:rPr>
                <w:color w:val="auto"/>
                <w:spacing w:val="-21"/>
                <w:highlight w:val="none"/>
              </w:rPr>
              <w:t xml:space="preserve"> </w:t>
            </w:r>
            <w:r>
              <w:rPr>
                <w:color w:val="auto"/>
                <w:spacing w:val="6"/>
                <w:highlight w:val="none"/>
              </w:rPr>
              <w:t>1</w:t>
            </w:r>
            <w:r>
              <w:rPr>
                <w:color w:val="auto"/>
                <w:spacing w:val="-35"/>
                <w:highlight w:val="none"/>
              </w:rPr>
              <w:t xml:space="preserve"> </w:t>
            </w:r>
            <w:r>
              <w:rPr>
                <w:color w:val="auto"/>
                <w:spacing w:val="6"/>
                <w:highlight w:val="none"/>
              </w:rPr>
              <w:t>部分：中小型开式冷却塔》（</w:t>
            </w:r>
            <w:r>
              <w:rPr>
                <w:color w:val="auto"/>
                <w:highlight w:val="none"/>
              </w:rPr>
              <w:t>GB</w:t>
            </w:r>
            <w:r>
              <w:rPr>
                <w:color w:val="auto"/>
                <w:spacing w:val="6"/>
                <w:highlight w:val="none"/>
              </w:rPr>
              <w:t>/T7190.1）</w:t>
            </w:r>
          </w:p>
          <w:p w14:paraId="71F711B4">
            <w:pPr>
              <w:pStyle w:val="12"/>
              <w:spacing w:before="27" w:line="233" w:lineRule="auto"/>
              <w:ind w:left="371" w:right="147" w:hanging="204"/>
              <w:rPr>
                <w:color w:val="auto"/>
                <w:highlight w:val="none"/>
              </w:rPr>
            </w:pPr>
            <w:r>
              <w:rPr>
                <w:color w:val="auto"/>
                <w:spacing w:val="7"/>
                <w:highlight w:val="none"/>
              </w:rPr>
              <w:t>《机械通风冷却塔第</w:t>
            </w:r>
            <w:r>
              <w:rPr>
                <w:color w:val="auto"/>
                <w:spacing w:val="-36"/>
                <w:highlight w:val="none"/>
              </w:rPr>
              <w:t xml:space="preserve"> </w:t>
            </w:r>
            <w:r>
              <w:rPr>
                <w:color w:val="auto"/>
                <w:spacing w:val="7"/>
                <w:highlight w:val="none"/>
              </w:rPr>
              <w:t>2</w:t>
            </w:r>
            <w:r>
              <w:rPr>
                <w:color w:val="auto"/>
                <w:spacing w:val="-35"/>
                <w:highlight w:val="none"/>
              </w:rPr>
              <w:t xml:space="preserve"> </w:t>
            </w:r>
            <w:r>
              <w:rPr>
                <w:color w:val="auto"/>
                <w:spacing w:val="7"/>
                <w:highlight w:val="none"/>
              </w:rPr>
              <w:t>部分：大型开式冷却塔》（</w:t>
            </w:r>
            <w:r>
              <w:rPr>
                <w:color w:val="auto"/>
                <w:highlight w:val="none"/>
              </w:rPr>
              <w:t>GB</w:t>
            </w:r>
            <w:r>
              <w:rPr>
                <w:color w:val="auto"/>
                <w:spacing w:val="7"/>
                <w:highlight w:val="none"/>
              </w:rPr>
              <w:t>/T7190.2）</w:t>
            </w:r>
          </w:p>
        </w:tc>
      </w:tr>
      <w:tr w14:paraId="532A3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5" w:type="dxa"/>
            <w:vAlign w:val="top"/>
          </w:tcPr>
          <w:p w14:paraId="0E508E54">
            <w:pPr>
              <w:pStyle w:val="12"/>
              <w:spacing w:before="184" w:line="269" w:lineRule="exact"/>
              <w:ind w:left="293"/>
              <w:rPr>
                <w:color w:val="auto"/>
                <w:highlight w:val="none"/>
              </w:rPr>
            </w:pPr>
            <w:r>
              <w:rPr>
                <w:color w:val="auto"/>
                <w:position w:val="1"/>
                <w:highlight w:val="none"/>
              </w:rPr>
              <w:t>7</w:t>
            </w:r>
          </w:p>
        </w:tc>
        <w:tc>
          <w:tcPr>
            <w:tcW w:w="1421" w:type="dxa"/>
            <w:vAlign w:val="top"/>
          </w:tcPr>
          <w:p w14:paraId="14024B89">
            <w:pPr>
              <w:pStyle w:val="12"/>
              <w:spacing w:before="64" w:line="233" w:lineRule="auto"/>
              <w:ind w:left="532" w:right="234" w:hanging="294"/>
              <w:rPr>
                <w:color w:val="auto"/>
                <w:highlight w:val="none"/>
              </w:rPr>
            </w:pPr>
            <w:r>
              <w:rPr>
                <w:color w:val="auto"/>
                <w:spacing w:val="4"/>
                <w:highlight w:val="none"/>
              </w:rPr>
              <w:t>A02060100</w:t>
            </w:r>
            <w:r>
              <w:rPr>
                <w:color w:val="auto"/>
                <w:spacing w:val="-8"/>
                <w:highlight w:val="none"/>
              </w:rPr>
              <w:t>电机</w:t>
            </w:r>
          </w:p>
        </w:tc>
        <w:tc>
          <w:tcPr>
            <w:tcW w:w="1495" w:type="dxa"/>
            <w:vAlign w:val="top"/>
          </w:tcPr>
          <w:p w14:paraId="6DC58138">
            <w:pPr>
              <w:rPr>
                <w:rFonts w:ascii="Arial"/>
                <w:color w:val="auto"/>
                <w:sz w:val="21"/>
                <w:highlight w:val="none"/>
              </w:rPr>
            </w:pPr>
          </w:p>
        </w:tc>
        <w:tc>
          <w:tcPr>
            <w:tcW w:w="1480" w:type="dxa"/>
            <w:vAlign w:val="top"/>
          </w:tcPr>
          <w:p w14:paraId="7ABE16C1">
            <w:pPr>
              <w:rPr>
                <w:rFonts w:ascii="Arial"/>
                <w:color w:val="auto"/>
                <w:sz w:val="21"/>
                <w:highlight w:val="none"/>
              </w:rPr>
            </w:pPr>
          </w:p>
        </w:tc>
        <w:tc>
          <w:tcPr>
            <w:tcW w:w="3455" w:type="dxa"/>
            <w:vAlign w:val="top"/>
          </w:tcPr>
          <w:p w14:paraId="7501D838">
            <w:pPr>
              <w:pStyle w:val="12"/>
              <w:spacing w:before="64" w:line="233" w:lineRule="auto"/>
              <w:ind w:left="423" w:right="147" w:hanging="256"/>
              <w:rPr>
                <w:color w:val="auto"/>
                <w:highlight w:val="none"/>
              </w:rPr>
            </w:pPr>
            <w:r>
              <w:rPr>
                <w:color w:val="auto"/>
                <w:spacing w:val="9"/>
                <w:highlight w:val="none"/>
              </w:rPr>
              <w:t>《中小型三相异步电动机能效限定</w:t>
            </w:r>
            <w:r>
              <w:rPr>
                <w:color w:val="auto"/>
                <w:spacing w:val="7"/>
                <w:highlight w:val="none"/>
              </w:rPr>
              <w:t>值及能效等级》（</w:t>
            </w:r>
            <w:r>
              <w:rPr>
                <w:color w:val="auto"/>
                <w:highlight w:val="none"/>
              </w:rPr>
              <w:t>GB</w:t>
            </w:r>
            <w:r>
              <w:rPr>
                <w:color w:val="auto"/>
                <w:spacing w:val="7"/>
                <w:highlight w:val="none"/>
              </w:rPr>
              <w:t>18613）</w:t>
            </w:r>
          </w:p>
        </w:tc>
      </w:tr>
      <w:tr w14:paraId="1C516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Align w:val="top"/>
          </w:tcPr>
          <w:p w14:paraId="0CC78BEE">
            <w:pPr>
              <w:pStyle w:val="12"/>
              <w:spacing w:before="186" w:line="268" w:lineRule="exact"/>
              <w:ind w:left="289"/>
              <w:rPr>
                <w:color w:val="auto"/>
                <w:highlight w:val="none"/>
              </w:rPr>
            </w:pPr>
            <w:r>
              <w:rPr>
                <w:color w:val="auto"/>
                <w:position w:val="1"/>
                <w:highlight w:val="none"/>
              </w:rPr>
              <w:t>8</w:t>
            </w:r>
          </w:p>
        </w:tc>
        <w:tc>
          <w:tcPr>
            <w:tcW w:w="1421" w:type="dxa"/>
            <w:vAlign w:val="top"/>
          </w:tcPr>
          <w:p w14:paraId="432C0FA6">
            <w:pPr>
              <w:pStyle w:val="12"/>
              <w:spacing w:before="67" w:line="232" w:lineRule="auto"/>
              <w:ind w:left="508" w:right="234" w:hanging="270"/>
              <w:rPr>
                <w:color w:val="auto"/>
                <w:highlight w:val="none"/>
              </w:rPr>
            </w:pPr>
            <w:r>
              <w:rPr>
                <w:color w:val="auto"/>
                <w:spacing w:val="4"/>
                <w:highlight w:val="none"/>
              </w:rPr>
              <w:t>A02060200变压</w:t>
            </w:r>
          </w:p>
        </w:tc>
        <w:tc>
          <w:tcPr>
            <w:tcW w:w="1495" w:type="dxa"/>
            <w:vAlign w:val="top"/>
          </w:tcPr>
          <w:p w14:paraId="2F68DBE8">
            <w:pPr>
              <w:pStyle w:val="12"/>
              <w:spacing w:before="200" w:line="229" w:lineRule="auto"/>
              <w:ind w:left="230"/>
              <w:rPr>
                <w:color w:val="auto"/>
                <w:highlight w:val="none"/>
              </w:rPr>
            </w:pPr>
            <w:r>
              <w:rPr>
                <w:color w:val="auto"/>
                <w:spacing w:val="8"/>
                <w:highlight w:val="none"/>
              </w:rPr>
              <w:t>配电变压器</w:t>
            </w:r>
          </w:p>
        </w:tc>
        <w:tc>
          <w:tcPr>
            <w:tcW w:w="1480" w:type="dxa"/>
            <w:vAlign w:val="top"/>
          </w:tcPr>
          <w:p w14:paraId="326E54C9">
            <w:pPr>
              <w:rPr>
                <w:rFonts w:ascii="Arial"/>
                <w:color w:val="auto"/>
                <w:sz w:val="21"/>
                <w:highlight w:val="none"/>
              </w:rPr>
            </w:pPr>
          </w:p>
        </w:tc>
        <w:tc>
          <w:tcPr>
            <w:tcW w:w="3455" w:type="dxa"/>
            <w:vAlign w:val="top"/>
          </w:tcPr>
          <w:p w14:paraId="75D208FE">
            <w:pPr>
              <w:pStyle w:val="12"/>
              <w:spacing w:before="67" w:line="232" w:lineRule="auto"/>
              <w:ind w:left="689" w:right="147" w:hanging="522"/>
              <w:rPr>
                <w:color w:val="auto"/>
                <w:highlight w:val="none"/>
              </w:rPr>
            </w:pPr>
            <w:r>
              <w:rPr>
                <w:color w:val="auto"/>
                <w:spacing w:val="9"/>
                <w:highlight w:val="none"/>
              </w:rPr>
              <w:t>《三相配电变压器能效限定值及能</w:t>
            </w:r>
            <w:r>
              <w:rPr>
                <w:color w:val="auto"/>
                <w:spacing w:val="6"/>
                <w:highlight w:val="none"/>
              </w:rPr>
              <w:t>效等级》（</w:t>
            </w:r>
            <w:r>
              <w:rPr>
                <w:color w:val="auto"/>
                <w:highlight w:val="none"/>
              </w:rPr>
              <w:t>GB</w:t>
            </w:r>
            <w:r>
              <w:rPr>
                <w:color w:val="auto"/>
                <w:spacing w:val="6"/>
                <w:highlight w:val="none"/>
              </w:rPr>
              <w:t xml:space="preserve"> 20052）</w:t>
            </w:r>
          </w:p>
        </w:tc>
      </w:tr>
      <w:tr w14:paraId="72795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Align w:val="top"/>
          </w:tcPr>
          <w:p w14:paraId="102CE7B8">
            <w:pPr>
              <w:pStyle w:val="12"/>
              <w:spacing w:before="184" w:line="269" w:lineRule="exact"/>
              <w:ind w:left="289"/>
              <w:rPr>
                <w:color w:val="auto"/>
                <w:highlight w:val="none"/>
              </w:rPr>
            </w:pPr>
            <w:r>
              <w:rPr>
                <w:color w:val="auto"/>
                <w:position w:val="1"/>
                <w:highlight w:val="none"/>
              </w:rPr>
              <w:t>9</w:t>
            </w:r>
          </w:p>
        </w:tc>
        <w:tc>
          <w:tcPr>
            <w:tcW w:w="1421" w:type="dxa"/>
            <w:vAlign w:val="top"/>
          </w:tcPr>
          <w:p w14:paraId="01C3EC8D">
            <w:pPr>
              <w:pStyle w:val="12"/>
              <w:spacing w:before="65" w:line="233" w:lineRule="auto"/>
              <w:ind w:left="403" w:right="129" w:hanging="258"/>
              <w:rPr>
                <w:color w:val="auto"/>
                <w:highlight w:val="none"/>
              </w:rPr>
            </w:pPr>
            <w:r>
              <w:rPr>
                <w:color w:val="auto"/>
                <w:spacing w:val="4"/>
                <w:highlight w:val="none"/>
              </w:rPr>
              <w:t>★A02060900</w:t>
            </w:r>
            <w:r>
              <w:rPr>
                <w:color w:val="auto"/>
                <w:spacing w:val="6"/>
                <w:highlight w:val="none"/>
              </w:rPr>
              <w:t>镇流器</w:t>
            </w:r>
          </w:p>
        </w:tc>
        <w:tc>
          <w:tcPr>
            <w:tcW w:w="1495" w:type="dxa"/>
            <w:vAlign w:val="top"/>
          </w:tcPr>
          <w:p w14:paraId="389FEB26">
            <w:pPr>
              <w:pStyle w:val="12"/>
              <w:spacing w:before="65" w:line="233" w:lineRule="auto"/>
              <w:ind w:left="544" w:right="115" w:hanging="415"/>
              <w:rPr>
                <w:color w:val="auto"/>
                <w:highlight w:val="none"/>
              </w:rPr>
            </w:pPr>
            <w:r>
              <w:rPr>
                <w:color w:val="auto"/>
                <w:spacing w:val="7"/>
                <w:highlight w:val="none"/>
              </w:rPr>
              <w:t>管型荧光灯镇</w:t>
            </w:r>
            <w:r>
              <w:rPr>
                <w:color w:val="auto"/>
                <w:spacing w:val="4"/>
                <w:highlight w:val="none"/>
              </w:rPr>
              <w:t>流器</w:t>
            </w:r>
          </w:p>
        </w:tc>
        <w:tc>
          <w:tcPr>
            <w:tcW w:w="1480" w:type="dxa"/>
            <w:vAlign w:val="top"/>
          </w:tcPr>
          <w:p w14:paraId="522F4936">
            <w:pPr>
              <w:rPr>
                <w:rFonts w:ascii="Arial"/>
                <w:color w:val="auto"/>
                <w:sz w:val="21"/>
                <w:highlight w:val="none"/>
              </w:rPr>
            </w:pPr>
          </w:p>
        </w:tc>
        <w:tc>
          <w:tcPr>
            <w:tcW w:w="3455" w:type="dxa"/>
            <w:vAlign w:val="top"/>
          </w:tcPr>
          <w:p w14:paraId="68299B67">
            <w:pPr>
              <w:pStyle w:val="12"/>
              <w:spacing w:before="64" w:line="228" w:lineRule="auto"/>
              <w:ind w:left="167"/>
              <w:rPr>
                <w:color w:val="auto"/>
                <w:highlight w:val="none"/>
              </w:rPr>
            </w:pPr>
            <w:r>
              <w:rPr>
                <w:color w:val="auto"/>
                <w:spacing w:val="9"/>
                <w:highlight w:val="none"/>
              </w:rPr>
              <w:t>《管形荧光灯镇流器能效限定值及</w:t>
            </w:r>
          </w:p>
          <w:p w14:paraId="78FAD454">
            <w:pPr>
              <w:pStyle w:val="12"/>
              <w:spacing w:before="24" w:line="216" w:lineRule="auto"/>
              <w:ind w:left="642"/>
              <w:rPr>
                <w:color w:val="auto"/>
                <w:highlight w:val="none"/>
              </w:rPr>
            </w:pPr>
            <w:r>
              <w:rPr>
                <w:color w:val="auto"/>
                <w:spacing w:val="6"/>
                <w:highlight w:val="none"/>
              </w:rPr>
              <w:t>能效等级》（</w:t>
            </w:r>
            <w:r>
              <w:rPr>
                <w:color w:val="auto"/>
                <w:highlight w:val="none"/>
              </w:rPr>
              <w:t>GB</w:t>
            </w:r>
            <w:r>
              <w:rPr>
                <w:color w:val="auto"/>
                <w:spacing w:val="6"/>
                <w:highlight w:val="none"/>
              </w:rPr>
              <w:t>17896）</w:t>
            </w:r>
          </w:p>
        </w:tc>
      </w:tr>
      <w:tr w14:paraId="7850F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5" w:type="dxa"/>
            <w:vMerge w:val="restart"/>
            <w:tcBorders>
              <w:bottom w:val="nil"/>
            </w:tcBorders>
            <w:vAlign w:val="top"/>
          </w:tcPr>
          <w:p w14:paraId="7DF8989A">
            <w:pPr>
              <w:rPr>
                <w:rFonts w:ascii="Arial"/>
                <w:color w:val="auto"/>
                <w:sz w:val="21"/>
                <w:highlight w:val="none"/>
              </w:rPr>
            </w:pPr>
          </w:p>
          <w:p w14:paraId="396BD2B1">
            <w:pPr>
              <w:rPr>
                <w:rFonts w:ascii="Arial"/>
                <w:color w:val="auto"/>
                <w:sz w:val="21"/>
                <w:highlight w:val="none"/>
              </w:rPr>
            </w:pPr>
          </w:p>
          <w:p w14:paraId="5D48E605">
            <w:pPr>
              <w:rPr>
                <w:rFonts w:ascii="Arial"/>
                <w:color w:val="auto"/>
                <w:sz w:val="21"/>
                <w:highlight w:val="none"/>
              </w:rPr>
            </w:pPr>
          </w:p>
          <w:p w14:paraId="629DFB2B">
            <w:pPr>
              <w:rPr>
                <w:rFonts w:ascii="Arial"/>
                <w:color w:val="auto"/>
                <w:sz w:val="21"/>
                <w:highlight w:val="none"/>
              </w:rPr>
            </w:pPr>
          </w:p>
          <w:p w14:paraId="0CB0B109">
            <w:pPr>
              <w:rPr>
                <w:rFonts w:ascii="Arial"/>
                <w:color w:val="auto"/>
                <w:sz w:val="21"/>
                <w:highlight w:val="none"/>
              </w:rPr>
            </w:pPr>
          </w:p>
          <w:p w14:paraId="07306CBC">
            <w:pPr>
              <w:rPr>
                <w:rFonts w:ascii="Arial"/>
                <w:color w:val="auto"/>
                <w:sz w:val="21"/>
                <w:highlight w:val="none"/>
              </w:rPr>
            </w:pPr>
          </w:p>
          <w:p w14:paraId="58DEC5B1">
            <w:pPr>
              <w:rPr>
                <w:rFonts w:ascii="Arial"/>
                <w:color w:val="auto"/>
                <w:sz w:val="21"/>
                <w:highlight w:val="none"/>
              </w:rPr>
            </w:pPr>
          </w:p>
          <w:p w14:paraId="33A35485">
            <w:pPr>
              <w:rPr>
                <w:rFonts w:ascii="Arial"/>
                <w:color w:val="auto"/>
                <w:sz w:val="21"/>
                <w:highlight w:val="none"/>
              </w:rPr>
            </w:pPr>
          </w:p>
          <w:p w14:paraId="234002C2">
            <w:pPr>
              <w:rPr>
                <w:rFonts w:ascii="Arial"/>
                <w:color w:val="auto"/>
                <w:sz w:val="21"/>
                <w:highlight w:val="none"/>
              </w:rPr>
            </w:pPr>
          </w:p>
          <w:p w14:paraId="4FAB78D6">
            <w:pPr>
              <w:rPr>
                <w:rFonts w:ascii="Arial"/>
                <w:color w:val="auto"/>
                <w:sz w:val="21"/>
                <w:highlight w:val="none"/>
              </w:rPr>
            </w:pPr>
          </w:p>
          <w:p w14:paraId="40DDCAAD">
            <w:pPr>
              <w:rPr>
                <w:rFonts w:ascii="Arial"/>
                <w:color w:val="auto"/>
                <w:sz w:val="21"/>
                <w:highlight w:val="none"/>
              </w:rPr>
            </w:pPr>
          </w:p>
          <w:p w14:paraId="1F60FC2F">
            <w:pPr>
              <w:rPr>
                <w:rFonts w:ascii="Arial"/>
                <w:color w:val="auto"/>
                <w:sz w:val="21"/>
                <w:highlight w:val="none"/>
              </w:rPr>
            </w:pPr>
          </w:p>
          <w:p w14:paraId="5DC2312C">
            <w:pPr>
              <w:rPr>
                <w:rFonts w:ascii="Arial"/>
                <w:color w:val="auto"/>
                <w:sz w:val="21"/>
                <w:highlight w:val="none"/>
              </w:rPr>
            </w:pPr>
          </w:p>
          <w:p w14:paraId="3DD63327">
            <w:pPr>
              <w:pStyle w:val="12"/>
              <w:spacing w:before="65" w:line="268" w:lineRule="exact"/>
              <w:ind w:left="253"/>
              <w:rPr>
                <w:color w:val="auto"/>
                <w:highlight w:val="none"/>
              </w:rPr>
            </w:pPr>
            <w:r>
              <w:rPr>
                <w:color w:val="auto"/>
                <w:spacing w:val="-7"/>
                <w:position w:val="1"/>
                <w:highlight w:val="none"/>
              </w:rPr>
              <w:t>10</w:t>
            </w:r>
          </w:p>
        </w:tc>
        <w:tc>
          <w:tcPr>
            <w:tcW w:w="1421" w:type="dxa"/>
            <w:vMerge w:val="restart"/>
            <w:tcBorders>
              <w:bottom w:val="nil"/>
            </w:tcBorders>
            <w:vAlign w:val="top"/>
          </w:tcPr>
          <w:p w14:paraId="3883F698">
            <w:pPr>
              <w:spacing w:line="250" w:lineRule="auto"/>
              <w:rPr>
                <w:rFonts w:ascii="Arial"/>
                <w:color w:val="auto"/>
                <w:sz w:val="21"/>
                <w:highlight w:val="none"/>
              </w:rPr>
            </w:pPr>
          </w:p>
          <w:p w14:paraId="55B3A967">
            <w:pPr>
              <w:spacing w:line="250" w:lineRule="auto"/>
              <w:rPr>
                <w:rFonts w:ascii="Arial"/>
                <w:color w:val="auto"/>
                <w:sz w:val="21"/>
                <w:highlight w:val="none"/>
              </w:rPr>
            </w:pPr>
          </w:p>
          <w:p w14:paraId="5562E462">
            <w:pPr>
              <w:spacing w:line="250" w:lineRule="auto"/>
              <w:rPr>
                <w:rFonts w:ascii="Arial"/>
                <w:color w:val="auto"/>
                <w:sz w:val="21"/>
                <w:highlight w:val="none"/>
              </w:rPr>
            </w:pPr>
          </w:p>
          <w:p w14:paraId="687828AC">
            <w:pPr>
              <w:spacing w:line="250" w:lineRule="auto"/>
              <w:rPr>
                <w:rFonts w:ascii="Arial"/>
                <w:color w:val="auto"/>
                <w:sz w:val="21"/>
                <w:highlight w:val="none"/>
              </w:rPr>
            </w:pPr>
          </w:p>
          <w:p w14:paraId="31A71DBD">
            <w:pPr>
              <w:spacing w:line="250" w:lineRule="auto"/>
              <w:rPr>
                <w:rFonts w:ascii="Arial"/>
                <w:color w:val="auto"/>
                <w:sz w:val="21"/>
                <w:highlight w:val="none"/>
              </w:rPr>
            </w:pPr>
          </w:p>
          <w:p w14:paraId="200BC268">
            <w:pPr>
              <w:spacing w:line="250" w:lineRule="auto"/>
              <w:rPr>
                <w:rFonts w:ascii="Arial"/>
                <w:color w:val="auto"/>
                <w:sz w:val="21"/>
                <w:highlight w:val="none"/>
              </w:rPr>
            </w:pPr>
          </w:p>
          <w:p w14:paraId="4D73A416">
            <w:pPr>
              <w:spacing w:line="250" w:lineRule="auto"/>
              <w:rPr>
                <w:rFonts w:ascii="Arial"/>
                <w:color w:val="auto"/>
                <w:sz w:val="21"/>
                <w:highlight w:val="none"/>
              </w:rPr>
            </w:pPr>
          </w:p>
          <w:p w14:paraId="41E37D14">
            <w:pPr>
              <w:spacing w:line="250" w:lineRule="auto"/>
              <w:rPr>
                <w:rFonts w:ascii="Arial"/>
                <w:color w:val="auto"/>
                <w:sz w:val="21"/>
                <w:highlight w:val="none"/>
              </w:rPr>
            </w:pPr>
          </w:p>
          <w:p w14:paraId="290C1EB0">
            <w:pPr>
              <w:spacing w:line="250" w:lineRule="auto"/>
              <w:rPr>
                <w:rFonts w:ascii="Arial"/>
                <w:color w:val="auto"/>
                <w:sz w:val="21"/>
                <w:highlight w:val="none"/>
              </w:rPr>
            </w:pPr>
          </w:p>
          <w:p w14:paraId="7F4E9D92">
            <w:pPr>
              <w:spacing w:line="250" w:lineRule="auto"/>
              <w:rPr>
                <w:rFonts w:ascii="Arial"/>
                <w:color w:val="auto"/>
                <w:sz w:val="21"/>
                <w:highlight w:val="none"/>
              </w:rPr>
            </w:pPr>
          </w:p>
          <w:p w14:paraId="18890FA2">
            <w:pPr>
              <w:spacing w:line="250" w:lineRule="auto"/>
              <w:rPr>
                <w:rFonts w:ascii="Arial"/>
                <w:color w:val="auto"/>
                <w:sz w:val="21"/>
                <w:highlight w:val="none"/>
              </w:rPr>
            </w:pPr>
          </w:p>
          <w:p w14:paraId="7CEBE16E">
            <w:pPr>
              <w:spacing w:line="251" w:lineRule="auto"/>
              <w:rPr>
                <w:rFonts w:ascii="Arial"/>
                <w:color w:val="auto"/>
                <w:sz w:val="21"/>
                <w:highlight w:val="none"/>
              </w:rPr>
            </w:pPr>
          </w:p>
          <w:p w14:paraId="7318826D">
            <w:pPr>
              <w:pStyle w:val="12"/>
              <w:spacing w:before="65" w:line="252" w:lineRule="auto"/>
              <w:ind w:left="193" w:right="183" w:firstLine="44"/>
              <w:rPr>
                <w:color w:val="auto"/>
                <w:highlight w:val="none"/>
              </w:rPr>
            </w:pPr>
            <w:r>
              <w:rPr>
                <w:color w:val="auto"/>
                <w:spacing w:val="4"/>
                <w:highlight w:val="none"/>
              </w:rPr>
              <w:t>A02061800</w:t>
            </w:r>
            <w:r>
              <w:rPr>
                <w:color w:val="auto"/>
                <w:spacing w:val="7"/>
                <w:highlight w:val="none"/>
              </w:rPr>
              <w:t>生活用电器</w:t>
            </w:r>
          </w:p>
        </w:tc>
        <w:tc>
          <w:tcPr>
            <w:tcW w:w="1495" w:type="dxa"/>
            <w:vAlign w:val="top"/>
          </w:tcPr>
          <w:p w14:paraId="31CCBE95">
            <w:pPr>
              <w:pStyle w:val="12"/>
              <w:spacing w:before="66" w:line="232" w:lineRule="auto"/>
              <w:ind w:left="544" w:right="139" w:hanging="400"/>
              <w:rPr>
                <w:color w:val="auto"/>
                <w:highlight w:val="none"/>
              </w:rPr>
            </w:pPr>
            <w:r>
              <w:rPr>
                <w:color w:val="auto"/>
                <w:spacing w:val="1"/>
                <w:highlight w:val="none"/>
              </w:rPr>
              <w:t>A02061801</w:t>
            </w:r>
            <w:r>
              <w:rPr>
                <w:color w:val="auto"/>
                <w:spacing w:val="-6"/>
                <w:highlight w:val="none"/>
              </w:rPr>
              <w:t xml:space="preserve"> </w:t>
            </w:r>
            <w:r>
              <w:rPr>
                <w:color w:val="auto"/>
                <w:spacing w:val="1"/>
                <w:highlight w:val="none"/>
              </w:rPr>
              <w:t>电</w:t>
            </w:r>
            <w:r>
              <w:rPr>
                <w:color w:val="auto"/>
                <w:spacing w:val="4"/>
                <w:highlight w:val="none"/>
              </w:rPr>
              <w:t>冰箱</w:t>
            </w:r>
          </w:p>
        </w:tc>
        <w:tc>
          <w:tcPr>
            <w:tcW w:w="1480" w:type="dxa"/>
            <w:vAlign w:val="top"/>
          </w:tcPr>
          <w:p w14:paraId="4771B1D2">
            <w:pPr>
              <w:rPr>
                <w:rFonts w:ascii="Arial"/>
                <w:color w:val="auto"/>
                <w:sz w:val="21"/>
                <w:highlight w:val="none"/>
              </w:rPr>
            </w:pPr>
          </w:p>
        </w:tc>
        <w:tc>
          <w:tcPr>
            <w:tcW w:w="3455" w:type="dxa"/>
            <w:vAlign w:val="top"/>
          </w:tcPr>
          <w:p w14:paraId="540A801C">
            <w:pPr>
              <w:pStyle w:val="12"/>
              <w:spacing w:before="66" w:line="232" w:lineRule="auto"/>
              <w:ind w:left="739" w:right="147" w:hanging="572"/>
              <w:rPr>
                <w:color w:val="auto"/>
                <w:highlight w:val="none"/>
              </w:rPr>
            </w:pPr>
            <w:r>
              <w:rPr>
                <w:color w:val="auto"/>
                <w:spacing w:val="9"/>
                <w:highlight w:val="none"/>
              </w:rPr>
              <w:t>《家用电冰箱耗电量限定值及能效</w:t>
            </w:r>
            <w:r>
              <w:rPr>
                <w:color w:val="auto"/>
                <w:spacing w:val="6"/>
                <w:highlight w:val="none"/>
              </w:rPr>
              <w:t>等级》（</w:t>
            </w:r>
            <w:r>
              <w:rPr>
                <w:color w:val="auto"/>
                <w:highlight w:val="none"/>
              </w:rPr>
              <w:t>GB</w:t>
            </w:r>
            <w:r>
              <w:rPr>
                <w:color w:val="auto"/>
                <w:spacing w:val="6"/>
                <w:highlight w:val="none"/>
              </w:rPr>
              <w:t>12021.2）</w:t>
            </w:r>
          </w:p>
        </w:tc>
      </w:tr>
      <w:tr w14:paraId="0026B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bottom w:val="nil"/>
            </w:tcBorders>
            <w:vAlign w:val="top"/>
          </w:tcPr>
          <w:p w14:paraId="761B2E90">
            <w:pPr>
              <w:rPr>
                <w:rFonts w:ascii="Arial"/>
                <w:color w:val="auto"/>
                <w:sz w:val="21"/>
                <w:highlight w:val="none"/>
              </w:rPr>
            </w:pPr>
          </w:p>
        </w:tc>
        <w:tc>
          <w:tcPr>
            <w:tcW w:w="1421" w:type="dxa"/>
            <w:vMerge w:val="continue"/>
            <w:tcBorders>
              <w:top w:val="nil"/>
              <w:bottom w:val="nil"/>
            </w:tcBorders>
            <w:vAlign w:val="top"/>
          </w:tcPr>
          <w:p w14:paraId="7FBD9A00">
            <w:pPr>
              <w:rPr>
                <w:rFonts w:ascii="Arial"/>
                <w:color w:val="auto"/>
                <w:sz w:val="21"/>
                <w:highlight w:val="none"/>
              </w:rPr>
            </w:pPr>
          </w:p>
        </w:tc>
        <w:tc>
          <w:tcPr>
            <w:tcW w:w="1495" w:type="dxa"/>
            <w:vMerge w:val="restart"/>
            <w:tcBorders>
              <w:bottom w:val="nil"/>
            </w:tcBorders>
            <w:vAlign w:val="top"/>
          </w:tcPr>
          <w:p w14:paraId="327AB837">
            <w:pPr>
              <w:spacing w:line="280" w:lineRule="auto"/>
              <w:rPr>
                <w:rFonts w:ascii="Arial"/>
                <w:color w:val="auto"/>
                <w:sz w:val="21"/>
                <w:highlight w:val="none"/>
              </w:rPr>
            </w:pPr>
          </w:p>
          <w:p w14:paraId="55F122C7">
            <w:pPr>
              <w:spacing w:line="281" w:lineRule="auto"/>
              <w:rPr>
                <w:rFonts w:ascii="Arial"/>
                <w:color w:val="auto"/>
                <w:sz w:val="21"/>
                <w:highlight w:val="none"/>
              </w:rPr>
            </w:pPr>
          </w:p>
          <w:p w14:paraId="7ED88D13">
            <w:pPr>
              <w:spacing w:line="281" w:lineRule="auto"/>
              <w:rPr>
                <w:rFonts w:ascii="Arial"/>
                <w:color w:val="auto"/>
                <w:sz w:val="21"/>
                <w:highlight w:val="none"/>
              </w:rPr>
            </w:pPr>
          </w:p>
          <w:p w14:paraId="46753F29">
            <w:pPr>
              <w:spacing w:line="281" w:lineRule="auto"/>
              <w:rPr>
                <w:rFonts w:ascii="Arial"/>
                <w:color w:val="auto"/>
                <w:sz w:val="21"/>
                <w:highlight w:val="none"/>
              </w:rPr>
            </w:pPr>
          </w:p>
          <w:p w14:paraId="78D61A7B">
            <w:pPr>
              <w:pStyle w:val="12"/>
              <w:spacing w:before="65" w:line="251" w:lineRule="auto"/>
              <w:ind w:left="447" w:right="164" w:hanging="264"/>
              <w:rPr>
                <w:color w:val="auto"/>
                <w:highlight w:val="none"/>
              </w:rPr>
            </w:pPr>
            <w:r>
              <w:rPr>
                <w:color w:val="auto"/>
                <w:spacing w:val="4"/>
                <w:highlight w:val="none"/>
              </w:rPr>
              <w:t>★A02061804空调机</w:t>
            </w:r>
          </w:p>
        </w:tc>
        <w:tc>
          <w:tcPr>
            <w:tcW w:w="1480" w:type="dxa"/>
            <w:vAlign w:val="top"/>
          </w:tcPr>
          <w:p w14:paraId="7BEDD563">
            <w:pPr>
              <w:pStyle w:val="12"/>
              <w:spacing w:before="65" w:line="233" w:lineRule="auto"/>
              <w:ind w:left="539" w:right="208" w:hanging="313"/>
              <w:rPr>
                <w:color w:val="auto"/>
                <w:highlight w:val="none"/>
              </w:rPr>
            </w:pPr>
            <w:r>
              <w:rPr>
                <w:color w:val="auto"/>
                <w:spacing w:val="7"/>
                <w:highlight w:val="none"/>
              </w:rPr>
              <w:t>房间空气调</w:t>
            </w:r>
            <w:r>
              <w:rPr>
                <w:color w:val="auto"/>
                <w:spacing w:val="4"/>
                <w:highlight w:val="none"/>
              </w:rPr>
              <w:t>节器</w:t>
            </w:r>
          </w:p>
        </w:tc>
        <w:tc>
          <w:tcPr>
            <w:tcW w:w="3455" w:type="dxa"/>
            <w:vAlign w:val="top"/>
          </w:tcPr>
          <w:p w14:paraId="1DC92D19">
            <w:pPr>
              <w:pStyle w:val="12"/>
              <w:spacing w:before="65" w:line="233" w:lineRule="auto"/>
              <w:ind w:left="481" w:right="147" w:hanging="314"/>
              <w:rPr>
                <w:color w:val="auto"/>
                <w:highlight w:val="none"/>
              </w:rPr>
            </w:pPr>
            <w:r>
              <w:rPr>
                <w:color w:val="auto"/>
                <w:spacing w:val="9"/>
                <w:highlight w:val="none"/>
              </w:rPr>
              <w:t>《房间空气调节器能效限定值及能</w:t>
            </w:r>
            <w:r>
              <w:rPr>
                <w:color w:val="auto"/>
                <w:spacing w:val="6"/>
                <w:highlight w:val="none"/>
              </w:rPr>
              <w:t>效等级》（</w:t>
            </w:r>
            <w:r>
              <w:rPr>
                <w:color w:val="auto"/>
                <w:highlight w:val="none"/>
              </w:rPr>
              <w:t>GB</w:t>
            </w:r>
            <w:r>
              <w:rPr>
                <w:color w:val="auto"/>
                <w:spacing w:val="6"/>
                <w:highlight w:val="none"/>
              </w:rPr>
              <w:t>21455-2019）</w:t>
            </w:r>
          </w:p>
        </w:tc>
      </w:tr>
      <w:tr w14:paraId="272A1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3" w:hRule="atLeast"/>
        </w:trPr>
        <w:tc>
          <w:tcPr>
            <w:tcW w:w="675" w:type="dxa"/>
            <w:vMerge w:val="continue"/>
            <w:tcBorders>
              <w:top w:val="nil"/>
              <w:bottom w:val="nil"/>
            </w:tcBorders>
            <w:vAlign w:val="top"/>
          </w:tcPr>
          <w:p w14:paraId="508F4805">
            <w:pPr>
              <w:rPr>
                <w:rFonts w:ascii="Arial"/>
                <w:color w:val="auto"/>
                <w:sz w:val="21"/>
                <w:highlight w:val="none"/>
              </w:rPr>
            </w:pPr>
          </w:p>
        </w:tc>
        <w:tc>
          <w:tcPr>
            <w:tcW w:w="1421" w:type="dxa"/>
            <w:vMerge w:val="continue"/>
            <w:tcBorders>
              <w:top w:val="nil"/>
              <w:bottom w:val="nil"/>
            </w:tcBorders>
            <w:vAlign w:val="top"/>
          </w:tcPr>
          <w:p w14:paraId="4B0DC1D8">
            <w:pPr>
              <w:rPr>
                <w:rFonts w:ascii="Arial"/>
                <w:color w:val="auto"/>
                <w:sz w:val="21"/>
                <w:highlight w:val="none"/>
              </w:rPr>
            </w:pPr>
          </w:p>
        </w:tc>
        <w:tc>
          <w:tcPr>
            <w:tcW w:w="1495" w:type="dxa"/>
            <w:vMerge w:val="continue"/>
            <w:tcBorders>
              <w:top w:val="nil"/>
              <w:bottom w:val="nil"/>
            </w:tcBorders>
            <w:vAlign w:val="top"/>
          </w:tcPr>
          <w:p w14:paraId="309C0CDC">
            <w:pPr>
              <w:rPr>
                <w:rFonts w:ascii="Arial"/>
                <w:color w:val="auto"/>
                <w:sz w:val="21"/>
                <w:highlight w:val="none"/>
              </w:rPr>
            </w:pPr>
          </w:p>
        </w:tc>
        <w:tc>
          <w:tcPr>
            <w:tcW w:w="1480" w:type="dxa"/>
            <w:vAlign w:val="top"/>
          </w:tcPr>
          <w:p w14:paraId="6BD5C78D">
            <w:pPr>
              <w:pStyle w:val="12"/>
              <w:spacing w:before="65" w:line="229" w:lineRule="auto"/>
              <w:ind w:left="235"/>
              <w:rPr>
                <w:color w:val="auto"/>
                <w:highlight w:val="none"/>
              </w:rPr>
            </w:pPr>
            <w:r>
              <w:rPr>
                <w:color w:val="auto"/>
                <w:spacing w:val="6"/>
                <w:highlight w:val="none"/>
              </w:rPr>
              <w:t>多联式空调</w:t>
            </w:r>
          </w:p>
          <w:p w14:paraId="7BF4E957">
            <w:pPr>
              <w:pStyle w:val="12"/>
              <w:spacing w:before="22" w:line="227" w:lineRule="auto"/>
              <w:ind w:left="235"/>
              <w:rPr>
                <w:color w:val="auto"/>
                <w:highlight w:val="none"/>
              </w:rPr>
            </w:pPr>
            <w:r>
              <w:rPr>
                <w:color w:val="auto"/>
                <w:spacing w:val="6"/>
                <w:highlight w:val="none"/>
              </w:rPr>
              <w:t>（热泵）机</w:t>
            </w:r>
          </w:p>
          <w:p w14:paraId="2D2387DC">
            <w:pPr>
              <w:pStyle w:val="12"/>
              <w:spacing w:before="26" w:line="233" w:lineRule="auto"/>
              <w:ind w:left="187" w:right="176" w:firstLine="40"/>
              <w:rPr>
                <w:color w:val="auto"/>
                <w:highlight w:val="none"/>
              </w:rPr>
            </w:pPr>
            <w:r>
              <w:rPr>
                <w:color w:val="auto"/>
                <w:spacing w:val="7"/>
                <w:highlight w:val="none"/>
              </w:rPr>
              <w:t>组（制冷量</w:t>
            </w:r>
            <w:r>
              <w:rPr>
                <w:color w:val="auto"/>
                <w:spacing w:val="-3"/>
                <w:highlight w:val="none"/>
              </w:rPr>
              <w:t>≤</w:t>
            </w:r>
            <w:r>
              <w:rPr>
                <w:color w:val="auto"/>
                <w:spacing w:val="34"/>
                <w:highlight w:val="none"/>
              </w:rPr>
              <w:t xml:space="preserve"> </w:t>
            </w:r>
            <w:r>
              <w:rPr>
                <w:color w:val="auto"/>
                <w:spacing w:val="-3"/>
                <w:highlight w:val="none"/>
              </w:rPr>
              <w:t>14000W）</w:t>
            </w:r>
          </w:p>
        </w:tc>
        <w:tc>
          <w:tcPr>
            <w:tcW w:w="3455" w:type="dxa"/>
            <w:vAlign w:val="top"/>
          </w:tcPr>
          <w:p w14:paraId="4D92DDAA">
            <w:pPr>
              <w:pStyle w:val="12"/>
              <w:spacing w:before="64" w:line="227" w:lineRule="auto"/>
              <w:ind w:left="167"/>
              <w:rPr>
                <w:color w:val="auto"/>
                <w:highlight w:val="none"/>
              </w:rPr>
            </w:pPr>
            <w:r>
              <w:rPr>
                <w:color w:val="auto"/>
                <w:spacing w:val="9"/>
                <w:highlight w:val="none"/>
              </w:rPr>
              <w:t>《多联式空调（热泵）机组能效限</w:t>
            </w:r>
          </w:p>
          <w:p w14:paraId="4CFC6549">
            <w:pPr>
              <w:pStyle w:val="12"/>
              <w:spacing w:before="24" w:line="228" w:lineRule="auto"/>
              <w:ind w:left="689"/>
              <w:rPr>
                <w:color w:val="auto"/>
                <w:highlight w:val="none"/>
              </w:rPr>
            </w:pPr>
            <w:r>
              <w:rPr>
                <w:color w:val="auto"/>
                <w:spacing w:val="7"/>
                <w:highlight w:val="none"/>
              </w:rPr>
              <w:t>定值及能源效率等级》</w:t>
            </w:r>
          </w:p>
          <w:p w14:paraId="182466E5">
            <w:pPr>
              <w:pStyle w:val="12"/>
              <w:spacing w:before="24"/>
              <w:ind w:left="1167"/>
              <w:rPr>
                <w:color w:val="auto"/>
                <w:highlight w:val="none"/>
              </w:rPr>
            </w:pPr>
            <w:r>
              <w:rPr>
                <w:color w:val="auto"/>
                <w:spacing w:val="4"/>
                <w:highlight w:val="none"/>
              </w:rPr>
              <w:t>（</w:t>
            </w:r>
            <w:r>
              <w:rPr>
                <w:color w:val="auto"/>
                <w:highlight w:val="none"/>
              </w:rPr>
              <w:t>GB</w:t>
            </w:r>
            <w:r>
              <w:rPr>
                <w:color w:val="auto"/>
                <w:spacing w:val="4"/>
                <w:highlight w:val="none"/>
              </w:rPr>
              <w:t>21454）</w:t>
            </w:r>
          </w:p>
        </w:tc>
      </w:tr>
      <w:tr w14:paraId="2D4F2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675" w:type="dxa"/>
            <w:vMerge w:val="continue"/>
            <w:tcBorders>
              <w:top w:val="nil"/>
              <w:bottom w:val="nil"/>
            </w:tcBorders>
            <w:vAlign w:val="top"/>
          </w:tcPr>
          <w:p w14:paraId="53D86EF4">
            <w:pPr>
              <w:rPr>
                <w:rFonts w:ascii="Arial"/>
                <w:color w:val="auto"/>
                <w:sz w:val="21"/>
                <w:highlight w:val="none"/>
              </w:rPr>
            </w:pPr>
          </w:p>
        </w:tc>
        <w:tc>
          <w:tcPr>
            <w:tcW w:w="1421" w:type="dxa"/>
            <w:vMerge w:val="continue"/>
            <w:tcBorders>
              <w:top w:val="nil"/>
              <w:bottom w:val="nil"/>
            </w:tcBorders>
            <w:vAlign w:val="top"/>
          </w:tcPr>
          <w:p w14:paraId="4BACD429">
            <w:pPr>
              <w:rPr>
                <w:rFonts w:ascii="Arial"/>
                <w:color w:val="auto"/>
                <w:sz w:val="21"/>
                <w:highlight w:val="none"/>
              </w:rPr>
            </w:pPr>
          </w:p>
        </w:tc>
        <w:tc>
          <w:tcPr>
            <w:tcW w:w="1495" w:type="dxa"/>
            <w:vMerge w:val="continue"/>
            <w:tcBorders>
              <w:top w:val="nil"/>
            </w:tcBorders>
            <w:vAlign w:val="top"/>
          </w:tcPr>
          <w:p w14:paraId="605217A8">
            <w:pPr>
              <w:rPr>
                <w:rFonts w:ascii="Arial"/>
                <w:color w:val="auto"/>
                <w:sz w:val="21"/>
                <w:highlight w:val="none"/>
              </w:rPr>
            </w:pPr>
          </w:p>
        </w:tc>
        <w:tc>
          <w:tcPr>
            <w:tcW w:w="1480" w:type="dxa"/>
            <w:vAlign w:val="top"/>
          </w:tcPr>
          <w:p w14:paraId="375E814A">
            <w:pPr>
              <w:pStyle w:val="12"/>
              <w:spacing w:before="67" w:line="228" w:lineRule="auto"/>
              <w:ind w:left="227"/>
              <w:rPr>
                <w:color w:val="auto"/>
                <w:highlight w:val="none"/>
              </w:rPr>
            </w:pPr>
            <w:r>
              <w:rPr>
                <w:color w:val="auto"/>
                <w:spacing w:val="7"/>
                <w:highlight w:val="none"/>
              </w:rPr>
              <w:t>单元式空气</w:t>
            </w:r>
          </w:p>
          <w:p w14:paraId="676B3953">
            <w:pPr>
              <w:pStyle w:val="12"/>
              <w:spacing w:before="23" w:line="227" w:lineRule="auto"/>
              <w:ind w:left="227"/>
              <w:rPr>
                <w:color w:val="auto"/>
                <w:highlight w:val="none"/>
              </w:rPr>
            </w:pPr>
            <w:r>
              <w:rPr>
                <w:color w:val="auto"/>
                <w:spacing w:val="7"/>
                <w:highlight w:val="none"/>
              </w:rPr>
              <w:t>调节机（制</w:t>
            </w:r>
          </w:p>
          <w:p w14:paraId="52ECE12D">
            <w:pPr>
              <w:pStyle w:val="12"/>
              <w:spacing w:before="24" w:line="233" w:lineRule="auto"/>
              <w:ind w:left="344" w:right="332" w:firstLine="91"/>
              <w:rPr>
                <w:color w:val="auto"/>
                <w:highlight w:val="none"/>
              </w:rPr>
            </w:pPr>
            <w:r>
              <w:rPr>
                <w:color w:val="auto"/>
                <w:spacing w:val="6"/>
                <w:highlight w:val="none"/>
              </w:rPr>
              <w:t>冷量≤</w:t>
            </w:r>
            <w:r>
              <w:rPr>
                <w:color w:val="auto"/>
                <w:highlight w:val="none"/>
              </w:rPr>
              <w:t xml:space="preserve"> </w:t>
            </w:r>
            <w:r>
              <w:rPr>
                <w:color w:val="auto"/>
                <w:spacing w:val="-1"/>
                <w:highlight w:val="none"/>
              </w:rPr>
              <w:t>14000W）</w:t>
            </w:r>
          </w:p>
        </w:tc>
        <w:tc>
          <w:tcPr>
            <w:tcW w:w="3455" w:type="dxa"/>
            <w:vAlign w:val="top"/>
          </w:tcPr>
          <w:p w14:paraId="6D362746">
            <w:pPr>
              <w:pStyle w:val="12"/>
              <w:spacing w:before="67" w:line="227" w:lineRule="auto"/>
              <w:ind w:left="167"/>
              <w:rPr>
                <w:color w:val="auto"/>
                <w:highlight w:val="none"/>
              </w:rPr>
            </w:pPr>
            <w:r>
              <w:rPr>
                <w:color w:val="auto"/>
                <w:spacing w:val="9"/>
                <w:highlight w:val="none"/>
              </w:rPr>
              <w:t>《单元式空气调节机能效限定值及</w:t>
            </w:r>
          </w:p>
          <w:p w14:paraId="00CDA6FE">
            <w:pPr>
              <w:pStyle w:val="12"/>
              <w:spacing w:before="24" w:line="228" w:lineRule="auto"/>
              <w:ind w:left="222"/>
              <w:rPr>
                <w:color w:val="auto"/>
                <w:highlight w:val="none"/>
              </w:rPr>
            </w:pPr>
            <w:r>
              <w:rPr>
                <w:color w:val="auto"/>
                <w:spacing w:val="7"/>
                <w:highlight w:val="none"/>
              </w:rPr>
              <w:t>能源效率等级》（</w:t>
            </w:r>
            <w:r>
              <w:rPr>
                <w:color w:val="auto"/>
                <w:highlight w:val="none"/>
              </w:rPr>
              <w:t>GB</w:t>
            </w:r>
            <w:r>
              <w:rPr>
                <w:color w:val="auto"/>
                <w:spacing w:val="7"/>
                <w:highlight w:val="none"/>
              </w:rPr>
              <w:t>19576）《风</w:t>
            </w:r>
          </w:p>
          <w:p w14:paraId="0D118FFB">
            <w:pPr>
              <w:pStyle w:val="12"/>
              <w:spacing w:before="24" w:line="227" w:lineRule="auto"/>
              <w:ind w:left="166"/>
              <w:rPr>
                <w:color w:val="auto"/>
                <w:highlight w:val="none"/>
              </w:rPr>
            </w:pPr>
            <w:r>
              <w:rPr>
                <w:color w:val="auto"/>
                <w:spacing w:val="9"/>
                <w:highlight w:val="none"/>
              </w:rPr>
              <w:t>管送风式空调机组能效限定值及能</w:t>
            </w:r>
          </w:p>
          <w:p w14:paraId="69BF1D2F">
            <w:pPr>
              <w:pStyle w:val="12"/>
              <w:spacing w:before="27" w:line="213" w:lineRule="auto"/>
              <w:ind w:left="742"/>
              <w:rPr>
                <w:color w:val="auto"/>
                <w:highlight w:val="none"/>
              </w:rPr>
            </w:pPr>
            <w:r>
              <w:rPr>
                <w:color w:val="auto"/>
                <w:spacing w:val="6"/>
                <w:highlight w:val="none"/>
              </w:rPr>
              <w:t>效等级》（</w:t>
            </w:r>
            <w:r>
              <w:rPr>
                <w:color w:val="auto"/>
                <w:highlight w:val="none"/>
              </w:rPr>
              <w:t>GB</w:t>
            </w:r>
            <w:r>
              <w:rPr>
                <w:color w:val="auto"/>
                <w:spacing w:val="6"/>
                <w:highlight w:val="none"/>
              </w:rPr>
              <w:t>37479）</w:t>
            </w:r>
          </w:p>
        </w:tc>
      </w:tr>
      <w:tr w14:paraId="59A87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5" w:type="dxa"/>
            <w:vMerge w:val="continue"/>
            <w:tcBorders>
              <w:top w:val="nil"/>
              <w:bottom w:val="nil"/>
            </w:tcBorders>
            <w:vAlign w:val="top"/>
          </w:tcPr>
          <w:p w14:paraId="1BE51672">
            <w:pPr>
              <w:rPr>
                <w:rFonts w:ascii="Arial"/>
                <w:color w:val="auto"/>
                <w:sz w:val="21"/>
                <w:highlight w:val="none"/>
              </w:rPr>
            </w:pPr>
          </w:p>
        </w:tc>
        <w:tc>
          <w:tcPr>
            <w:tcW w:w="1421" w:type="dxa"/>
            <w:vMerge w:val="continue"/>
            <w:tcBorders>
              <w:top w:val="nil"/>
              <w:bottom w:val="nil"/>
            </w:tcBorders>
            <w:vAlign w:val="top"/>
          </w:tcPr>
          <w:p w14:paraId="4EFE0C98">
            <w:pPr>
              <w:rPr>
                <w:rFonts w:ascii="Arial"/>
                <w:color w:val="auto"/>
                <w:sz w:val="21"/>
                <w:highlight w:val="none"/>
              </w:rPr>
            </w:pPr>
          </w:p>
        </w:tc>
        <w:tc>
          <w:tcPr>
            <w:tcW w:w="1495" w:type="dxa"/>
            <w:vAlign w:val="top"/>
          </w:tcPr>
          <w:p w14:paraId="31ECD292">
            <w:pPr>
              <w:pStyle w:val="12"/>
              <w:spacing w:before="66" w:line="232" w:lineRule="auto"/>
              <w:ind w:left="544" w:right="139" w:hanging="400"/>
              <w:rPr>
                <w:color w:val="auto"/>
                <w:highlight w:val="none"/>
              </w:rPr>
            </w:pPr>
            <w:r>
              <w:rPr>
                <w:color w:val="auto"/>
                <w:spacing w:val="4"/>
                <w:highlight w:val="none"/>
              </w:rPr>
              <w:t>A02061810</w:t>
            </w:r>
            <w:r>
              <w:rPr>
                <w:color w:val="auto"/>
                <w:spacing w:val="-36"/>
                <w:highlight w:val="none"/>
              </w:rPr>
              <w:t xml:space="preserve"> </w:t>
            </w:r>
            <w:r>
              <w:rPr>
                <w:color w:val="auto"/>
                <w:spacing w:val="4"/>
                <w:highlight w:val="none"/>
              </w:rPr>
              <w:t>洗衣机</w:t>
            </w:r>
          </w:p>
        </w:tc>
        <w:tc>
          <w:tcPr>
            <w:tcW w:w="1480" w:type="dxa"/>
            <w:vAlign w:val="top"/>
          </w:tcPr>
          <w:p w14:paraId="421684BE">
            <w:pPr>
              <w:rPr>
                <w:rFonts w:ascii="Arial"/>
                <w:color w:val="auto"/>
                <w:sz w:val="21"/>
                <w:highlight w:val="none"/>
              </w:rPr>
            </w:pPr>
          </w:p>
        </w:tc>
        <w:tc>
          <w:tcPr>
            <w:tcW w:w="3455" w:type="dxa"/>
            <w:vAlign w:val="top"/>
          </w:tcPr>
          <w:p w14:paraId="370713E1">
            <w:pPr>
              <w:pStyle w:val="12"/>
              <w:spacing w:before="66" w:line="232" w:lineRule="auto"/>
              <w:ind w:left="846" w:right="147" w:hanging="679"/>
              <w:rPr>
                <w:color w:val="auto"/>
                <w:highlight w:val="none"/>
              </w:rPr>
            </w:pPr>
            <w:r>
              <w:rPr>
                <w:color w:val="auto"/>
                <w:spacing w:val="9"/>
                <w:highlight w:val="none"/>
              </w:rPr>
              <w:t>《电动洗衣机能效水效限定值及等</w:t>
            </w:r>
            <w:r>
              <w:rPr>
                <w:color w:val="auto"/>
                <w:spacing w:val="5"/>
                <w:highlight w:val="none"/>
              </w:rPr>
              <w:t>级》（</w:t>
            </w:r>
            <w:r>
              <w:rPr>
                <w:color w:val="auto"/>
                <w:highlight w:val="none"/>
              </w:rPr>
              <w:t>GB</w:t>
            </w:r>
            <w:r>
              <w:rPr>
                <w:color w:val="auto"/>
                <w:spacing w:val="5"/>
                <w:highlight w:val="none"/>
              </w:rPr>
              <w:t>12021.4）</w:t>
            </w:r>
          </w:p>
        </w:tc>
      </w:tr>
      <w:tr w14:paraId="082AA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bottom w:val="nil"/>
            </w:tcBorders>
            <w:vAlign w:val="top"/>
          </w:tcPr>
          <w:p w14:paraId="70086CD4">
            <w:pPr>
              <w:rPr>
                <w:rFonts w:ascii="Arial"/>
                <w:color w:val="auto"/>
                <w:sz w:val="21"/>
                <w:highlight w:val="none"/>
              </w:rPr>
            </w:pPr>
          </w:p>
        </w:tc>
        <w:tc>
          <w:tcPr>
            <w:tcW w:w="1421" w:type="dxa"/>
            <w:vMerge w:val="continue"/>
            <w:tcBorders>
              <w:top w:val="nil"/>
              <w:bottom w:val="nil"/>
            </w:tcBorders>
            <w:vAlign w:val="top"/>
          </w:tcPr>
          <w:p w14:paraId="431B368A">
            <w:pPr>
              <w:rPr>
                <w:rFonts w:ascii="Arial"/>
                <w:color w:val="auto"/>
                <w:sz w:val="21"/>
                <w:highlight w:val="none"/>
              </w:rPr>
            </w:pPr>
          </w:p>
        </w:tc>
        <w:tc>
          <w:tcPr>
            <w:tcW w:w="1495" w:type="dxa"/>
            <w:vMerge w:val="restart"/>
            <w:tcBorders>
              <w:bottom w:val="nil"/>
            </w:tcBorders>
            <w:vAlign w:val="top"/>
          </w:tcPr>
          <w:p w14:paraId="41B356E1">
            <w:pPr>
              <w:spacing w:line="252" w:lineRule="auto"/>
              <w:rPr>
                <w:rFonts w:ascii="Arial"/>
                <w:color w:val="auto"/>
                <w:sz w:val="21"/>
                <w:highlight w:val="none"/>
              </w:rPr>
            </w:pPr>
          </w:p>
          <w:p w14:paraId="6E032C83">
            <w:pPr>
              <w:spacing w:line="252" w:lineRule="auto"/>
              <w:rPr>
                <w:rFonts w:ascii="Arial"/>
                <w:color w:val="auto"/>
                <w:sz w:val="21"/>
                <w:highlight w:val="none"/>
              </w:rPr>
            </w:pPr>
          </w:p>
          <w:p w14:paraId="48787F4E">
            <w:pPr>
              <w:spacing w:line="252" w:lineRule="auto"/>
              <w:rPr>
                <w:rFonts w:ascii="Arial"/>
                <w:color w:val="auto"/>
                <w:sz w:val="21"/>
                <w:highlight w:val="none"/>
              </w:rPr>
            </w:pPr>
          </w:p>
          <w:p w14:paraId="010A76A1">
            <w:pPr>
              <w:spacing w:line="253" w:lineRule="auto"/>
              <w:rPr>
                <w:rFonts w:ascii="Arial"/>
                <w:color w:val="auto"/>
                <w:sz w:val="21"/>
                <w:highlight w:val="none"/>
              </w:rPr>
            </w:pPr>
          </w:p>
          <w:p w14:paraId="50A0066A">
            <w:pPr>
              <w:pStyle w:val="12"/>
              <w:spacing w:before="65" w:line="252" w:lineRule="auto"/>
              <w:ind w:left="546" w:right="139" w:hanging="402"/>
              <w:rPr>
                <w:color w:val="auto"/>
                <w:highlight w:val="none"/>
              </w:rPr>
            </w:pPr>
            <w:r>
              <w:rPr>
                <w:color w:val="auto"/>
                <w:spacing w:val="3"/>
                <w:highlight w:val="none"/>
              </w:rPr>
              <w:t>A02061819</w:t>
            </w:r>
            <w:r>
              <w:rPr>
                <w:color w:val="auto"/>
                <w:spacing w:val="-26"/>
                <w:highlight w:val="none"/>
              </w:rPr>
              <w:t xml:space="preserve"> </w:t>
            </w:r>
            <w:r>
              <w:rPr>
                <w:color w:val="auto"/>
                <w:spacing w:val="3"/>
                <w:highlight w:val="none"/>
              </w:rPr>
              <w:t>热水器</w:t>
            </w:r>
          </w:p>
        </w:tc>
        <w:tc>
          <w:tcPr>
            <w:tcW w:w="1480" w:type="dxa"/>
            <w:vAlign w:val="top"/>
          </w:tcPr>
          <w:p w14:paraId="56949BC3">
            <w:pPr>
              <w:pStyle w:val="12"/>
              <w:spacing w:before="202" w:line="228" w:lineRule="auto"/>
              <w:ind w:left="229"/>
              <w:rPr>
                <w:color w:val="auto"/>
                <w:highlight w:val="none"/>
              </w:rPr>
            </w:pPr>
            <w:r>
              <w:rPr>
                <w:color w:val="auto"/>
                <w:spacing w:val="7"/>
                <w:highlight w:val="none"/>
              </w:rPr>
              <w:t>★电热水器</w:t>
            </w:r>
          </w:p>
        </w:tc>
        <w:tc>
          <w:tcPr>
            <w:tcW w:w="3455" w:type="dxa"/>
            <w:vAlign w:val="top"/>
          </w:tcPr>
          <w:p w14:paraId="3A4EC17E">
            <w:pPr>
              <w:pStyle w:val="12"/>
              <w:spacing w:before="67" w:line="232" w:lineRule="auto"/>
              <w:ind w:left="742" w:right="147" w:hanging="575"/>
              <w:rPr>
                <w:color w:val="auto"/>
                <w:highlight w:val="none"/>
              </w:rPr>
            </w:pPr>
            <w:r>
              <w:rPr>
                <w:color w:val="auto"/>
                <w:spacing w:val="9"/>
                <w:highlight w:val="none"/>
              </w:rPr>
              <w:t>《储水式电热水器能效限定值及能</w:t>
            </w:r>
            <w:r>
              <w:rPr>
                <w:color w:val="auto"/>
                <w:spacing w:val="6"/>
                <w:highlight w:val="none"/>
              </w:rPr>
              <w:t>效等级》（</w:t>
            </w:r>
            <w:r>
              <w:rPr>
                <w:color w:val="auto"/>
                <w:highlight w:val="none"/>
              </w:rPr>
              <w:t>GB</w:t>
            </w:r>
            <w:r>
              <w:rPr>
                <w:color w:val="auto"/>
                <w:spacing w:val="6"/>
                <w:highlight w:val="none"/>
              </w:rPr>
              <w:t>21519）</w:t>
            </w:r>
          </w:p>
        </w:tc>
      </w:tr>
      <w:tr w14:paraId="74259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675" w:type="dxa"/>
            <w:vMerge w:val="continue"/>
            <w:tcBorders>
              <w:top w:val="nil"/>
              <w:bottom w:val="nil"/>
            </w:tcBorders>
            <w:vAlign w:val="top"/>
          </w:tcPr>
          <w:p w14:paraId="17498F53">
            <w:pPr>
              <w:rPr>
                <w:rFonts w:ascii="Arial"/>
                <w:color w:val="auto"/>
                <w:sz w:val="21"/>
                <w:highlight w:val="none"/>
              </w:rPr>
            </w:pPr>
          </w:p>
        </w:tc>
        <w:tc>
          <w:tcPr>
            <w:tcW w:w="1421" w:type="dxa"/>
            <w:vMerge w:val="continue"/>
            <w:tcBorders>
              <w:top w:val="nil"/>
              <w:bottom w:val="nil"/>
            </w:tcBorders>
            <w:vAlign w:val="top"/>
          </w:tcPr>
          <w:p w14:paraId="58444306">
            <w:pPr>
              <w:rPr>
                <w:rFonts w:ascii="Arial"/>
                <w:color w:val="auto"/>
                <w:sz w:val="21"/>
                <w:highlight w:val="none"/>
              </w:rPr>
            </w:pPr>
          </w:p>
        </w:tc>
        <w:tc>
          <w:tcPr>
            <w:tcW w:w="1495" w:type="dxa"/>
            <w:vMerge w:val="continue"/>
            <w:tcBorders>
              <w:top w:val="nil"/>
              <w:bottom w:val="nil"/>
            </w:tcBorders>
            <w:vAlign w:val="top"/>
          </w:tcPr>
          <w:p w14:paraId="1C46BB0D">
            <w:pPr>
              <w:rPr>
                <w:rFonts w:ascii="Arial"/>
                <w:color w:val="auto"/>
                <w:sz w:val="21"/>
                <w:highlight w:val="none"/>
              </w:rPr>
            </w:pPr>
          </w:p>
        </w:tc>
        <w:tc>
          <w:tcPr>
            <w:tcW w:w="1480" w:type="dxa"/>
            <w:vAlign w:val="top"/>
          </w:tcPr>
          <w:p w14:paraId="7660BB9C">
            <w:pPr>
              <w:spacing w:line="272" w:lineRule="auto"/>
              <w:rPr>
                <w:rFonts w:ascii="Arial"/>
                <w:color w:val="auto"/>
                <w:sz w:val="21"/>
                <w:highlight w:val="none"/>
              </w:rPr>
            </w:pPr>
          </w:p>
          <w:p w14:paraId="71838B9F">
            <w:pPr>
              <w:pStyle w:val="12"/>
              <w:spacing w:before="65" w:line="228" w:lineRule="auto"/>
              <w:ind w:left="226"/>
              <w:rPr>
                <w:color w:val="auto"/>
                <w:highlight w:val="none"/>
              </w:rPr>
            </w:pPr>
            <w:r>
              <w:rPr>
                <w:color w:val="auto"/>
                <w:spacing w:val="7"/>
                <w:highlight w:val="none"/>
              </w:rPr>
              <w:t>燃气热水器</w:t>
            </w:r>
          </w:p>
        </w:tc>
        <w:tc>
          <w:tcPr>
            <w:tcW w:w="3455" w:type="dxa"/>
            <w:vAlign w:val="top"/>
          </w:tcPr>
          <w:p w14:paraId="5BBC6198">
            <w:pPr>
              <w:pStyle w:val="12"/>
              <w:spacing w:before="66" w:line="227" w:lineRule="auto"/>
              <w:ind w:left="167"/>
              <w:rPr>
                <w:color w:val="auto"/>
                <w:highlight w:val="none"/>
              </w:rPr>
            </w:pPr>
            <w:r>
              <w:rPr>
                <w:color w:val="auto"/>
                <w:spacing w:val="9"/>
                <w:highlight w:val="none"/>
              </w:rPr>
              <w:t>《家用燃气快速热水器和燃气采暖</w:t>
            </w:r>
          </w:p>
          <w:p w14:paraId="4AB3FAD9">
            <w:pPr>
              <w:pStyle w:val="12"/>
              <w:spacing w:before="27" w:line="228" w:lineRule="auto"/>
              <w:ind w:left="269"/>
              <w:rPr>
                <w:color w:val="auto"/>
                <w:highlight w:val="none"/>
              </w:rPr>
            </w:pPr>
            <w:r>
              <w:rPr>
                <w:color w:val="auto"/>
                <w:spacing w:val="8"/>
                <w:highlight w:val="none"/>
              </w:rPr>
              <w:t>热水炉能效限定值及能效等级》</w:t>
            </w:r>
          </w:p>
          <w:p w14:paraId="276416B3">
            <w:pPr>
              <w:pStyle w:val="12"/>
              <w:spacing w:before="24" w:line="213" w:lineRule="auto"/>
              <w:ind w:left="1167"/>
              <w:rPr>
                <w:color w:val="auto"/>
                <w:highlight w:val="none"/>
              </w:rPr>
            </w:pPr>
            <w:r>
              <w:rPr>
                <w:color w:val="auto"/>
                <w:spacing w:val="4"/>
                <w:highlight w:val="none"/>
              </w:rPr>
              <w:t>（</w:t>
            </w:r>
            <w:r>
              <w:rPr>
                <w:color w:val="auto"/>
                <w:highlight w:val="none"/>
              </w:rPr>
              <w:t>GB</w:t>
            </w:r>
            <w:r>
              <w:rPr>
                <w:color w:val="auto"/>
                <w:spacing w:val="4"/>
                <w:highlight w:val="none"/>
              </w:rPr>
              <w:t>20665）</w:t>
            </w:r>
          </w:p>
        </w:tc>
      </w:tr>
      <w:tr w14:paraId="528F6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bottom w:val="nil"/>
            </w:tcBorders>
            <w:vAlign w:val="top"/>
          </w:tcPr>
          <w:p w14:paraId="277F0377">
            <w:pPr>
              <w:rPr>
                <w:rFonts w:ascii="Arial"/>
                <w:color w:val="auto"/>
                <w:sz w:val="21"/>
                <w:highlight w:val="none"/>
              </w:rPr>
            </w:pPr>
          </w:p>
        </w:tc>
        <w:tc>
          <w:tcPr>
            <w:tcW w:w="1421" w:type="dxa"/>
            <w:vMerge w:val="continue"/>
            <w:tcBorders>
              <w:top w:val="nil"/>
              <w:bottom w:val="nil"/>
            </w:tcBorders>
            <w:vAlign w:val="top"/>
          </w:tcPr>
          <w:p w14:paraId="0ACCA823">
            <w:pPr>
              <w:rPr>
                <w:rFonts w:ascii="Arial"/>
                <w:color w:val="auto"/>
                <w:sz w:val="21"/>
                <w:highlight w:val="none"/>
              </w:rPr>
            </w:pPr>
          </w:p>
        </w:tc>
        <w:tc>
          <w:tcPr>
            <w:tcW w:w="1495" w:type="dxa"/>
            <w:vMerge w:val="continue"/>
            <w:tcBorders>
              <w:top w:val="nil"/>
              <w:bottom w:val="nil"/>
            </w:tcBorders>
            <w:vAlign w:val="top"/>
          </w:tcPr>
          <w:p w14:paraId="707ECD20">
            <w:pPr>
              <w:rPr>
                <w:rFonts w:ascii="Arial"/>
                <w:color w:val="auto"/>
                <w:sz w:val="21"/>
                <w:highlight w:val="none"/>
              </w:rPr>
            </w:pPr>
          </w:p>
        </w:tc>
        <w:tc>
          <w:tcPr>
            <w:tcW w:w="1480" w:type="dxa"/>
            <w:vAlign w:val="top"/>
          </w:tcPr>
          <w:p w14:paraId="270E2158">
            <w:pPr>
              <w:pStyle w:val="12"/>
              <w:spacing w:before="202" w:line="228" w:lineRule="auto"/>
              <w:ind w:left="229"/>
              <w:rPr>
                <w:color w:val="auto"/>
                <w:highlight w:val="none"/>
              </w:rPr>
            </w:pPr>
            <w:r>
              <w:rPr>
                <w:color w:val="auto"/>
                <w:spacing w:val="7"/>
                <w:highlight w:val="none"/>
              </w:rPr>
              <w:t>热泵热水器</w:t>
            </w:r>
          </w:p>
        </w:tc>
        <w:tc>
          <w:tcPr>
            <w:tcW w:w="3455" w:type="dxa"/>
            <w:vAlign w:val="top"/>
          </w:tcPr>
          <w:p w14:paraId="48459211">
            <w:pPr>
              <w:pStyle w:val="12"/>
              <w:spacing w:before="68" w:line="227" w:lineRule="auto"/>
              <w:ind w:left="167"/>
              <w:rPr>
                <w:color w:val="auto"/>
                <w:highlight w:val="none"/>
              </w:rPr>
            </w:pPr>
            <w:r>
              <w:rPr>
                <w:color w:val="auto"/>
                <w:spacing w:val="9"/>
                <w:highlight w:val="none"/>
              </w:rPr>
              <w:t>《热泵热水机（器）能效限定值及</w:t>
            </w:r>
          </w:p>
          <w:p w14:paraId="0F4FB7F9">
            <w:pPr>
              <w:pStyle w:val="12"/>
              <w:spacing w:before="24" w:line="213" w:lineRule="auto"/>
              <w:ind w:left="642"/>
              <w:rPr>
                <w:color w:val="auto"/>
                <w:highlight w:val="none"/>
              </w:rPr>
            </w:pPr>
            <w:r>
              <w:rPr>
                <w:color w:val="auto"/>
                <w:spacing w:val="6"/>
                <w:highlight w:val="none"/>
              </w:rPr>
              <w:t>能效等级》（</w:t>
            </w:r>
            <w:r>
              <w:rPr>
                <w:color w:val="auto"/>
                <w:highlight w:val="none"/>
              </w:rPr>
              <w:t>GB</w:t>
            </w:r>
            <w:r>
              <w:rPr>
                <w:color w:val="auto"/>
                <w:spacing w:val="6"/>
                <w:highlight w:val="none"/>
              </w:rPr>
              <w:t>29541）</w:t>
            </w:r>
          </w:p>
        </w:tc>
      </w:tr>
      <w:tr w14:paraId="09BE0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tcBorders>
            <w:vAlign w:val="top"/>
          </w:tcPr>
          <w:p w14:paraId="6AB874E9">
            <w:pPr>
              <w:rPr>
                <w:rFonts w:ascii="Arial"/>
                <w:color w:val="auto"/>
                <w:sz w:val="21"/>
                <w:highlight w:val="none"/>
              </w:rPr>
            </w:pPr>
          </w:p>
        </w:tc>
        <w:tc>
          <w:tcPr>
            <w:tcW w:w="1421" w:type="dxa"/>
            <w:vMerge w:val="continue"/>
            <w:tcBorders>
              <w:top w:val="nil"/>
            </w:tcBorders>
            <w:vAlign w:val="top"/>
          </w:tcPr>
          <w:p w14:paraId="59AEC8C9">
            <w:pPr>
              <w:rPr>
                <w:rFonts w:ascii="Arial"/>
                <w:color w:val="auto"/>
                <w:sz w:val="21"/>
                <w:highlight w:val="none"/>
              </w:rPr>
            </w:pPr>
          </w:p>
        </w:tc>
        <w:tc>
          <w:tcPr>
            <w:tcW w:w="1495" w:type="dxa"/>
            <w:vMerge w:val="continue"/>
            <w:tcBorders>
              <w:top w:val="nil"/>
            </w:tcBorders>
            <w:vAlign w:val="top"/>
          </w:tcPr>
          <w:p w14:paraId="7C9B66B1">
            <w:pPr>
              <w:rPr>
                <w:rFonts w:ascii="Arial"/>
                <w:color w:val="auto"/>
                <w:sz w:val="21"/>
                <w:highlight w:val="none"/>
              </w:rPr>
            </w:pPr>
          </w:p>
        </w:tc>
        <w:tc>
          <w:tcPr>
            <w:tcW w:w="1480" w:type="dxa"/>
            <w:vAlign w:val="top"/>
          </w:tcPr>
          <w:p w14:paraId="43C82677">
            <w:pPr>
              <w:pStyle w:val="12"/>
              <w:spacing w:before="67" w:line="232" w:lineRule="auto"/>
              <w:ind w:left="543" w:right="208" w:hanging="318"/>
              <w:rPr>
                <w:color w:val="auto"/>
                <w:highlight w:val="none"/>
              </w:rPr>
            </w:pPr>
            <w:r>
              <w:rPr>
                <w:color w:val="auto"/>
                <w:spacing w:val="8"/>
                <w:highlight w:val="none"/>
              </w:rPr>
              <w:t>太阳能热水</w:t>
            </w:r>
            <w:r>
              <w:rPr>
                <w:color w:val="auto"/>
                <w:spacing w:val="2"/>
                <w:highlight w:val="none"/>
              </w:rPr>
              <w:t>系统</w:t>
            </w:r>
          </w:p>
        </w:tc>
        <w:tc>
          <w:tcPr>
            <w:tcW w:w="3455" w:type="dxa"/>
            <w:vAlign w:val="top"/>
          </w:tcPr>
          <w:p w14:paraId="3D159F35">
            <w:pPr>
              <w:pStyle w:val="12"/>
              <w:spacing w:before="67" w:line="232" w:lineRule="auto"/>
              <w:ind w:left="528" w:right="147" w:hanging="361"/>
              <w:rPr>
                <w:color w:val="auto"/>
                <w:highlight w:val="none"/>
              </w:rPr>
            </w:pPr>
            <w:r>
              <w:rPr>
                <w:color w:val="auto"/>
                <w:spacing w:val="9"/>
                <w:highlight w:val="none"/>
              </w:rPr>
              <w:t>《家用太阳能热水系统能效限定值</w:t>
            </w:r>
            <w:r>
              <w:rPr>
                <w:color w:val="auto"/>
                <w:spacing w:val="7"/>
                <w:highlight w:val="none"/>
              </w:rPr>
              <w:t>及能效等级》（</w:t>
            </w:r>
            <w:r>
              <w:rPr>
                <w:color w:val="auto"/>
                <w:highlight w:val="none"/>
              </w:rPr>
              <w:t>GB</w:t>
            </w:r>
            <w:r>
              <w:rPr>
                <w:color w:val="auto"/>
                <w:spacing w:val="7"/>
                <w:highlight w:val="none"/>
              </w:rPr>
              <w:t>26969）</w:t>
            </w:r>
          </w:p>
        </w:tc>
      </w:tr>
      <w:tr w14:paraId="7495B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675" w:type="dxa"/>
            <w:vAlign w:val="top"/>
          </w:tcPr>
          <w:p w14:paraId="60AC398D">
            <w:pPr>
              <w:pStyle w:val="12"/>
              <w:spacing w:before="50" w:line="230" w:lineRule="auto"/>
              <w:ind w:left="253"/>
              <w:rPr>
                <w:color w:val="auto"/>
                <w:highlight w:val="none"/>
              </w:rPr>
            </w:pPr>
            <w:r>
              <w:rPr>
                <w:color w:val="auto"/>
                <w:spacing w:val="-7"/>
                <w:highlight w:val="none"/>
              </w:rPr>
              <w:t>11</w:t>
            </w:r>
          </w:p>
        </w:tc>
        <w:tc>
          <w:tcPr>
            <w:tcW w:w="1421" w:type="dxa"/>
            <w:vAlign w:val="top"/>
          </w:tcPr>
          <w:p w14:paraId="0B0F59F6">
            <w:pPr>
              <w:pStyle w:val="12"/>
              <w:spacing w:before="67" w:line="215" w:lineRule="auto"/>
              <w:ind w:left="238"/>
              <w:rPr>
                <w:color w:val="auto"/>
                <w:highlight w:val="none"/>
              </w:rPr>
            </w:pPr>
            <w:r>
              <w:rPr>
                <w:color w:val="auto"/>
                <w:spacing w:val="4"/>
                <w:highlight w:val="none"/>
              </w:rPr>
              <w:t>A02061900</w:t>
            </w:r>
          </w:p>
        </w:tc>
        <w:tc>
          <w:tcPr>
            <w:tcW w:w="1495" w:type="dxa"/>
            <w:vAlign w:val="top"/>
          </w:tcPr>
          <w:p w14:paraId="6B89D52F">
            <w:pPr>
              <w:pStyle w:val="12"/>
              <w:spacing w:before="67" w:line="215" w:lineRule="auto"/>
              <w:ind w:left="128"/>
              <w:rPr>
                <w:color w:val="auto"/>
                <w:highlight w:val="none"/>
              </w:rPr>
            </w:pPr>
            <w:r>
              <w:rPr>
                <w:color w:val="auto"/>
                <w:spacing w:val="8"/>
                <w:highlight w:val="none"/>
              </w:rPr>
              <w:t>★普通照明用</w:t>
            </w:r>
          </w:p>
        </w:tc>
        <w:tc>
          <w:tcPr>
            <w:tcW w:w="1480" w:type="dxa"/>
            <w:vAlign w:val="top"/>
          </w:tcPr>
          <w:p w14:paraId="4BF7B52A">
            <w:pPr>
              <w:rPr>
                <w:rFonts w:ascii="Arial"/>
                <w:color w:val="auto"/>
                <w:sz w:val="21"/>
                <w:highlight w:val="none"/>
              </w:rPr>
            </w:pPr>
          </w:p>
        </w:tc>
        <w:tc>
          <w:tcPr>
            <w:tcW w:w="3455" w:type="dxa"/>
            <w:vAlign w:val="top"/>
          </w:tcPr>
          <w:p w14:paraId="07F3CC1F">
            <w:pPr>
              <w:pStyle w:val="12"/>
              <w:spacing w:before="67" w:line="215" w:lineRule="auto"/>
              <w:ind w:left="167"/>
              <w:rPr>
                <w:color w:val="auto"/>
                <w:highlight w:val="none"/>
              </w:rPr>
            </w:pPr>
            <w:r>
              <w:rPr>
                <w:color w:val="auto"/>
                <w:spacing w:val="9"/>
                <w:highlight w:val="none"/>
              </w:rPr>
              <w:t>《普通照明用双端荧光灯能效限定</w:t>
            </w:r>
          </w:p>
        </w:tc>
      </w:tr>
    </w:tbl>
    <w:p w14:paraId="4B780D1A">
      <w:pPr>
        <w:rPr>
          <w:rFonts w:ascii="Arial"/>
          <w:color w:val="auto"/>
          <w:sz w:val="21"/>
          <w:highlight w:val="none"/>
        </w:rPr>
      </w:pPr>
    </w:p>
    <w:p w14:paraId="096F5F1F">
      <w:pPr>
        <w:rPr>
          <w:rFonts w:ascii="Arial" w:hAnsi="Arial" w:eastAsia="Arial" w:cs="Arial"/>
          <w:color w:val="auto"/>
          <w:sz w:val="21"/>
          <w:szCs w:val="21"/>
          <w:highlight w:val="none"/>
        </w:rPr>
        <w:sectPr>
          <w:footerReference r:id="rId31" w:type="default"/>
          <w:pgSz w:w="11910" w:h="16840"/>
          <w:pgMar w:top="1340" w:right="1786" w:bottom="1091" w:left="1459" w:header="0" w:footer="929" w:gutter="0"/>
          <w:pgNumType w:fmt="decimal"/>
          <w:cols w:space="720" w:num="1"/>
        </w:sectPr>
      </w:pPr>
    </w:p>
    <w:tbl>
      <w:tblPr>
        <w:tblStyle w:val="11"/>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421"/>
        <w:gridCol w:w="1495"/>
        <w:gridCol w:w="1480"/>
        <w:gridCol w:w="3455"/>
      </w:tblGrid>
      <w:tr w14:paraId="76FC6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75" w:type="dxa"/>
            <w:vMerge w:val="restart"/>
            <w:tcBorders>
              <w:bottom w:val="nil"/>
            </w:tcBorders>
            <w:vAlign w:val="top"/>
          </w:tcPr>
          <w:p w14:paraId="4F8F8EB3">
            <w:pPr>
              <w:rPr>
                <w:rFonts w:ascii="Arial"/>
                <w:color w:val="auto"/>
                <w:sz w:val="21"/>
                <w:highlight w:val="none"/>
              </w:rPr>
            </w:pPr>
          </w:p>
        </w:tc>
        <w:tc>
          <w:tcPr>
            <w:tcW w:w="1421" w:type="dxa"/>
            <w:vMerge w:val="restart"/>
            <w:tcBorders>
              <w:bottom w:val="nil"/>
            </w:tcBorders>
            <w:vAlign w:val="top"/>
          </w:tcPr>
          <w:p w14:paraId="1E72F923">
            <w:pPr>
              <w:pStyle w:val="12"/>
              <w:spacing w:before="36" w:line="228" w:lineRule="auto"/>
              <w:ind w:left="304"/>
              <w:rPr>
                <w:color w:val="auto"/>
                <w:highlight w:val="none"/>
              </w:rPr>
            </w:pPr>
            <w:r>
              <w:rPr>
                <w:color w:val="auto"/>
                <w:spacing w:val="5"/>
                <w:highlight w:val="none"/>
              </w:rPr>
              <w:t>照明设备</w:t>
            </w:r>
          </w:p>
        </w:tc>
        <w:tc>
          <w:tcPr>
            <w:tcW w:w="1495" w:type="dxa"/>
            <w:vAlign w:val="top"/>
          </w:tcPr>
          <w:p w14:paraId="25BF5214">
            <w:pPr>
              <w:pStyle w:val="12"/>
              <w:spacing w:before="36" w:line="216" w:lineRule="auto"/>
              <w:ind w:left="230"/>
              <w:rPr>
                <w:color w:val="auto"/>
                <w:highlight w:val="none"/>
              </w:rPr>
            </w:pPr>
            <w:r>
              <w:rPr>
                <w:color w:val="auto"/>
                <w:spacing w:val="8"/>
                <w:highlight w:val="none"/>
              </w:rPr>
              <w:t>双端荧光灯</w:t>
            </w:r>
          </w:p>
        </w:tc>
        <w:tc>
          <w:tcPr>
            <w:tcW w:w="1480" w:type="dxa"/>
            <w:vAlign w:val="top"/>
          </w:tcPr>
          <w:p w14:paraId="50BE5534">
            <w:pPr>
              <w:rPr>
                <w:rFonts w:ascii="Arial"/>
                <w:color w:val="auto"/>
                <w:sz w:val="21"/>
                <w:highlight w:val="none"/>
              </w:rPr>
            </w:pPr>
          </w:p>
        </w:tc>
        <w:tc>
          <w:tcPr>
            <w:tcW w:w="3455" w:type="dxa"/>
            <w:vAlign w:val="top"/>
          </w:tcPr>
          <w:p w14:paraId="26AA5E2A">
            <w:pPr>
              <w:pStyle w:val="12"/>
              <w:spacing w:before="36" w:line="216" w:lineRule="auto"/>
              <w:ind w:left="423"/>
              <w:rPr>
                <w:color w:val="auto"/>
                <w:highlight w:val="none"/>
              </w:rPr>
            </w:pPr>
            <w:r>
              <w:rPr>
                <w:color w:val="auto"/>
                <w:spacing w:val="7"/>
                <w:highlight w:val="none"/>
              </w:rPr>
              <w:t>值及能效等级》（</w:t>
            </w:r>
            <w:r>
              <w:rPr>
                <w:color w:val="auto"/>
                <w:highlight w:val="none"/>
              </w:rPr>
              <w:t>GB</w:t>
            </w:r>
            <w:r>
              <w:rPr>
                <w:color w:val="auto"/>
                <w:spacing w:val="7"/>
                <w:highlight w:val="none"/>
              </w:rPr>
              <w:t>19043）</w:t>
            </w:r>
          </w:p>
        </w:tc>
      </w:tr>
      <w:tr w14:paraId="03168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bottom w:val="nil"/>
            </w:tcBorders>
            <w:vAlign w:val="top"/>
          </w:tcPr>
          <w:p w14:paraId="7CDA850B">
            <w:pPr>
              <w:rPr>
                <w:rFonts w:ascii="Arial"/>
                <w:color w:val="auto"/>
                <w:sz w:val="21"/>
                <w:highlight w:val="none"/>
              </w:rPr>
            </w:pPr>
          </w:p>
        </w:tc>
        <w:tc>
          <w:tcPr>
            <w:tcW w:w="1421" w:type="dxa"/>
            <w:vMerge w:val="continue"/>
            <w:tcBorders>
              <w:top w:val="nil"/>
              <w:bottom w:val="nil"/>
            </w:tcBorders>
            <w:vAlign w:val="top"/>
          </w:tcPr>
          <w:p w14:paraId="0C32A61B">
            <w:pPr>
              <w:rPr>
                <w:rFonts w:ascii="Arial"/>
                <w:color w:val="auto"/>
                <w:sz w:val="21"/>
                <w:highlight w:val="none"/>
              </w:rPr>
            </w:pPr>
          </w:p>
        </w:tc>
        <w:tc>
          <w:tcPr>
            <w:tcW w:w="1495" w:type="dxa"/>
            <w:vAlign w:val="top"/>
          </w:tcPr>
          <w:p w14:paraId="1CC188EC">
            <w:pPr>
              <w:pStyle w:val="12"/>
              <w:spacing w:before="62" w:line="234" w:lineRule="auto"/>
              <w:ind w:left="229" w:right="192" w:hanging="27"/>
              <w:rPr>
                <w:color w:val="auto"/>
                <w:highlight w:val="none"/>
              </w:rPr>
            </w:pPr>
            <w:r>
              <w:rPr>
                <w:color w:val="auto"/>
                <w:highlight w:val="none"/>
              </w:rPr>
              <w:t>LED</w:t>
            </w:r>
            <w:r>
              <w:rPr>
                <w:color w:val="auto"/>
                <w:spacing w:val="-42"/>
                <w:highlight w:val="none"/>
              </w:rPr>
              <w:t xml:space="preserve"> </w:t>
            </w:r>
            <w:r>
              <w:rPr>
                <w:color w:val="auto"/>
                <w:spacing w:val="9"/>
                <w:highlight w:val="none"/>
              </w:rPr>
              <w:t>道路/隧</w:t>
            </w:r>
            <w:r>
              <w:rPr>
                <w:color w:val="auto"/>
                <w:spacing w:val="8"/>
                <w:highlight w:val="none"/>
              </w:rPr>
              <w:t>道照明产品</w:t>
            </w:r>
          </w:p>
        </w:tc>
        <w:tc>
          <w:tcPr>
            <w:tcW w:w="1480" w:type="dxa"/>
            <w:vAlign w:val="top"/>
          </w:tcPr>
          <w:p w14:paraId="09C829EC">
            <w:pPr>
              <w:rPr>
                <w:rFonts w:ascii="Arial"/>
                <w:color w:val="auto"/>
                <w:sz w:val="21"/>
                <w:highlight w:val="none"/>
              </w:rPr>
            </w:pPr>
          </w:p>
        </w:tc>
        <w:tc>
          <w:tcPr>
            <w:tcW w:w="3455" w:type="dxa"/>
            <w:vAlign w:val="top"/>
          </w:tcPr>
          <w:p w14:paraId="4266FA13">
            <w:pPr>
              <w:pStyle w:val="12"/>
              <w:spacing w:before="62" w:line="234" w:lineRule="auto"/>
              <w:ind w:left="229" w:right="149" w:hanging="62"/>
              <w:rPr>
                <w:color w:val="auto"/>
                <w:highlight w:val="none"/>
              </w:rPr>
            </w:pPr>
            <w:r>
              <w:rPr>
                <w:color w:val="auto"/>
                <w:spacing w:val="13"/>
                <w:highlight w:val="none"/>
              </w:rPr>
              <w:t>《道路和隧道照明用</w:t>
            </w:r>
            <w:r>
              <w:rPr>
                <w:color w:val="auto"/>
                <w:highlight w:val="none"/>
              </w:rPr>
              <w:t>LED</w:t>
            </w:r>
            <w:r>
              <w:rPr>
                <w:color w:val="auto"/>
                <w:spacing w:val="-37"/>
                <w:highlight w:val="none"/>
              </w:rPr>
              <w:t xml:space="preserve"> </w:t>
            </w:r>
            <w:r>
              <w:rPr>
                <w:color w:val="auto"/>
                <w:spacing w:val="13"/>
                <w:highlight w:val="none"/>
              </w:rPr>
              <w:t>灯具能效</w:t>
            </w:r>
            <w:r>
              <w:rPr>
                <w:color w:val="auto"/>
                <w:spacing w:val="7"/>
                <w:highlight w:val="none"/>
              </w:rPr>
              <w:t>限定值及能效等级》（</w:t>
            </w:r>
            <w:r>
              <w:rPr>
                <w:color w:val="auto"/>
                <w:highlight w:val="none"/>
              </w:rPr>
              <w:t>GB</w:t>
            </w:r>
            <w:r>
              <w:rPr>
                <w:color w:val="auto"/>
                <w:spacing w:val="7"/>
                <w:highlight w:val="none"/>
              </w:rPr>
              <w:t>37478）</w:t>
            </w:r>
          </w:p>
        </w:tc>
      </w:tr>
      <w:tr w14:paraId="5BE75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bottom w:val="nil"/>
            </w:tcBorders>
            <w:vAlign w:val="top"/>
          </w:tcPr>
          <w:p w14:paraId="05682463">
            <w:pPr>
              <w:rPr>
                <w:rFonts w:ascii="Arial"/>
                <w:color w:val="auto"/>
                <w:sz w:val="21"/>
                <w:highlight w:val="none"/>
              </w:rPr>
            </w:pPr>
          </w:p>
        </w:tc>
        <w:tc>
          <w:tcPr>
            <w:tcW w:w="1421" w:type="dxa"/>
            <w:vMerge w:val="continue"/>
            <w:tcBorders>
              <w:top w:val="nil"/>
              <w:bottom w:val="nil"/>
            </w:tcBorders>
            <w:vAlign w:val="top"/>
          </w:tcPr>
          <w:p w14:paraId="08DF6A25">
            <w:pPr>
              <w:rPr>
                <w:rFonts w:ascii="Arial"/>
                <w:color w:val="auto"/>
                <w:sz w:val="21"/>
                <w:highlight w:val="none"/>
              </w:rPr>
            </w:pPr>
          </w:p>
        </w:tc>
        <w:tc>
          <w:tcPr>
            <w:tcW w:w="1495" w:type="dxa"/>
            <w:vAlign w:val="top"/>
          </w:tcPr>
          <w:p w14:paraId="4F834546">
            <w:pPr>
              <w:pStyle w:val="12"/>
              <w:spacing w:before="197" w:line="228" w:lineRule="auto"/>
              <w:ind w:left="360"/>
              <w:rPr>
                <w:color w:val="auto"/>
                <w:highlight w:val="none"/>
              </w:rPr>
            </w:pPr>
            <w:r>
              <w:rPr>
                <w:color w:val="auto"/>
                <w:highlight w:val="none"/>
              </w:rPr>
              <w:t>LED</w:t>
            </w:r>
            <w:r>
              <w:rPr>
                <w:color w:val="auto"/>
                <w:spacing w:val="-37"/>
                <w:highlight w:val="none"/>
              </w:rPr>
              <w:t xml:space="preserve"> </w:t>
            </w:r>
            <w:r>
              <w:rPr>
                <w:color w:val="auto"/>
                <w:spacing w:val="7"/>
                <w:highlight w:val="none"/>
              </w:rPr>
              <w:t>筒灯</w:t>
            </w:r>
          </w:p>
        </w:tc>
        <w:tc>
          <w:tcPr>
            <w:tcW w:w="1480" w:type="dxa"/>
            <w:vAlign w:val="top"/>
          </w:tcPr>
          <w:p w14:paraId="35190A25">
            <w:pPr>
              <w:rPr>
                <w:rFonts w:ascii="Arial"/>
                <w:color w:val="auto"/>
                <w:sz w:val="21"/>
                <w:highlight w:val="none"/>
              </w:rPr>
            </w:pPr>
          </w:p>
        </w:tc>
        <w:tc>
          <w:tcPr>
            <w:tcW w:w="3455" w:type="dxa"/>
            <w:vAlign w:val="top"/>
          </w:tcPr>
          <w:p w14:paraId="5348BE04">
            <w:pPr>
              <w:pStyle w:val="12"/>
              <w:spacing w:before="62" w:line="234" w:lineRule="auto"/>
              <w:ind w:left="528" w:right="147" w:hanging="361"/>
              <w:rPr>
                <w:color w:val="auto"/>
                <w:highlight w:val="none"/>
              </w:rPr>
            </w:pPr>
            <w:r>
              <w:rPr>
                <w:color w:val="auto"/>
                <w:spacing w:val="13"/>
                <w:highlight w:val="none"/>
              </w:rPr>
              <w:t>《室内照明用</w:t>
            </w:r>
            <w:r>
              <w:rPr>
                <w:color w:val="auto"/>
                <w:highlight w:val="none"/>
              </w:rPr>
              <w:t>LED</w:t>
            </w:r>
            <w:r>
              <w:rPr>
                <w:color w:val="auto"/>
                <w:spacing w:val="-35"/>
                <w:highlight w:val="none"/>
              </w:rPr>
              <w:t xml:space="preserve"> </w:t>
            </w:r>
            <w:r>
              <w:rPr>
                <w:color w:val="auto"/>
                <w:spacing w:val="13"/>
                <w:highlight w:val="none"/>
              </w:rPr>
              <w:t>产品能效限定值</w:t>
            </w:r>
            <w:r>
              <w:rPr>
                <w:color w:val="auto"/>
                <w:spacing w:val="7"/>
                <w:highlight w:val="none"/>
              </w:rPr>
              <w:t>及能效等级》（</w:t>
            </w:r>
            <w:r>
              <w:rPr>
                <w:color w:val="auto"/>
                <w:highlight w:val="none"/>
              </w:rPr>
              <w:t>GB</w:t>
            </w:r>
            <w:r>
              <w:rPr>
                <w:color w:val="auto"/>
                <w:spacing w:val="7"/>
                <w:highlight w:val="none"/>
              </w:rPr>
              <w:t>30255）</w:t>
            </w:r>
          </w:p>
        </w:tc>
      </w:tr>
      <w:tr w14:paraId="4F332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675" w:type="dxa"/>
            <w:vMerge w:val="continue"/>
            <w:tcBorders>
              <w:top w:val="nil"/>
            </w:tcBorders>
            <w:vAlign w:val="top"/>
          </w:tcPr>
          <w:p w14:paraId="5F64BD64">
            <w:pPr>
              <w:rPr>
                <w:rFonts w:ascii="Arial"/>
                <w:color w:val="auto"/>
                <w:sz w:val="21"/>
                <w:highlight w:val="none"/>
              </w:rPr>
            </w:pPr>
          </w:p>
        </w:tc>
        <w:tc>
          <w:tcPr>
            <w:tcW w:w="1421" w:type="dxa"/>
            <w:vMerge w:val="continue"/>
            <w:tcBorders>
              <w:top w:val="nil"/>
            </w:tcBorders>
            <w:vAlign w:val="top"/>
          </w:tcPr>
          <w:p w14:paraId="3A26606B">
            <w:pPr>
              <w:rPr>
                <w:rFonts w:ascii="Arial"/>
                <w:color w:val="auto"/>
                <w:sz w:val="21"/>
                <w:highlight w:val="none"/>
              </w:rPr>
            </w:pPr>
          </w:p>
        </w:tc>
        <w:tc>
          <w:tcPr>
            <w:tcW w:w="1495" w:type="dxa"/>
            <w:vAlign w:val="top"/>
          </w:tcPr>
          <w:p w14:paraId="72A4A4BC">
            <w:pPr>
              <w:pStyle w:val="12"/>
              <w:spacing w:before="60" w:line="228" w:lineRule="auto"/>
              <w:ind w:left="123"/>
              <w:rPr>
                <w:color w:val="auto"/>
                <w:highlight w:val="none"/>
              </w:rPr>
            </w:pPr>
            <w:r>
              <w:rPr>
                <w:color w:val="auto"/>
                <w:spacing w:val="8"/>
                <w:highlight w:val="none"/>
              </w:rPr>
              <w:t>普通照明用非</w:t>
            </w:r>
          </w:p>
          <w:p w14:paraId="7F4982F6">
            <w:pPr>
              <w:pStyle w:val="12"/>
              <w:spacing w:before="24" w:line="228" w:lineRule="auto"/>
              <w:ind w:left="235"/>
              <w:rPr>
                <w:color w:val="auto"/>
                <w:highlight w:val="none"/>
              </w:rPr>
            </w:pPr>
            <w:r>
              <w:rPr>
                <w:color w:val="auto"/>
                <w:spacing w:val="7"/>
                <w:highlight w:val="none"/>
              </w:rPr>
              <w:t>定向自镇流</w:t>
            </w:r>
          </w:p>
          <w:p w14:paraId="50608931">
            <w:pPr>
              <w:pStyle w:val="12"/>
              <w:spacing w:before="26" w:line="217" w:lineRule="auto"/>
              <w:ind w:left="466"/>
              <w:rPr>
                <w:color w:val="auto"/>
                <w:highlight w:val="none"/>
              </w:rPr>
            </w:pPr>
            <w:r>
              <w:rPr>
                <w:color w:val="auto"/>
                <w:highlight w:val="none"/>
              </w:rPr>
              <w:t>LED</w:t>
            </w:r>
            <w:r>
              <w:rPr>
                <w:color w:val="auto"/>
                <w:spacing w:val="-42"/>
                <w:highlight w:val="none"/>
              </w:rPr>
              <w:t xml:space="preserve"> </w:t>
            </w:r>
            <w:r>
              <w:rPr>
                <w:color w:val="auto"/>
                <w:spacing w:val="9"/>
                <w:highlight w:val="none"/>
              </w:rPr>
              <w:t>灯</w:t>
            </w:r>
          </w:p>
        </w:tc>
        <w:tc>
          <w:tcPr>
            <w:tcW w:w="1480" w:type="dxa"/>
            <w:vAlign w:val="top"/>
          </w:tcPr>
          <w:p w14:paraId="3EE15BCA">
            <w:pPr>
              <w:rPr>
                <w:rFonts w:ascii="Arial"/>
                <w:color w:val="auto"/>
                <w:sz w:val="21"/>
                <w:highlight w:val="none"/>
              </w:rPr>
            </w:pPr>
          </w:p>
        </w:tc>
        <w:tc>
          <w:tcPr>
            <w:tcW w:w="3455" w:type="dxa"/>
            <w:vAlign w:val="top"/>
          </w:tcPr>
          <w:p w14:paraId="3119D4B9">
            <w:pPr>
              <w:pStyle w:val="12"/>
              <w:spacing w:before="60" w:line="252" w:lineRule="auto"/>
              <w:ind w:left="528" w:right="147" w:hanging="361"/>
              <w:rPr>
                <w:color w:val="auto"/>
                <w:highlight w:val="none"/>
              </w:rPr>
            </w:pPr>
            <w:r>
              <w:rPr>
                <w:color w:val="auto"/>
                <w:spacing w:val="13"/>
                <w:highlight w:val="none"/>
              </w:rPr>
              <w:t>《室内照明用</w:t>
            </w:r>
            <w:r>
              <w:rPr>
                <w:color w:val="auto"/>
                <w:highlight w:val="none"/>
              </w:rPr>
              <w:t>LED</w:t>
            </w:r>
            <w:r>
              <w:rPr>
                <w:color w:val="auto"/>
                <w:spacing w:val="-35"/>
                <w:highlight w:val="none"/>
              </w:rPr>
              <w:t xml:space="preserve"> </w:t>
            </w:r>
            <w:r>
              <w:rPr>
                <w:color w:val="auto"/>
                <w:spacing w:val="13"/>
                <w:highlight w:val="none"/>
              </w:rPr>
              <w:t>产品能效限定值</w:t>
            </w:r>
            <w:r>
              <w:rPr>
                <w:color w:val="auto"/>
                <w:spacing w:val="7"/>
                <w:highlight w:val="none"/>
              </w:rPr>
              <w:t>及能效等级》（</w:t>
            </w:r>
            <w:r>
              <w:rPr>
                <w:color w:val="auto"/>
                <w:highlight w:val="none"/>
              </w:rPr>
              <w:t>GB</w:t>
            </w:r>
            <w:r>
              <w:rPr>
                <w:color w:val="auto"/>
                <w:spacing w:val="7"/>
                <w:highlight w:val="none"/>
              </w:rPr>
              <w:t>30255）</w:t>
            </w:r>
          </w:p>
        </w:tc>
      </w:tr>
      <w:tr w14:paraId="33ED7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675" w:type="dxa"/>
            <w:vAlign w:val="top"/>
          </w:tcPr>
          <w:p w14:paraId="5460A57D">
            <w:pPr>
              <w:spacing w:line="252" w:lineRule="auto"/>
              <w:rPr>
                <w:rFonts w:ascii="Arial"/>
                <w:color w:val="auto"/>
                <w:sz w:val="21"/>
                <w:highlight w:val="none"/>
              </w:rPr>
            </w:pPr>
          </w:p>
          <w:p w14:paraId="7A960CFB">
            <w:pPr>
              <w:pStyle w:val="12"/>
              <w:spacing w:before="65" w:line="270" w:lineRule="exact"/>
              <w:ind w:left="253"/>
              <w:rPr>
                <w:color w:val="auto"/>
                <w:highlight w:val="none"/>
              </w:rPr>
            </w:pPr>
            <w:r>
              <w:rPr>
                <w:color w:val="auto"/>
                <w:spacing w:val="-7"/>
                <w:position w:val="1"/>
                <w:highlight w:val="none"/>
              </w:rPr>
              <w:t>12</w:t>
            </w:r>
          </w:p>
        </w:tc>
        <w:tc>
          <w:tcPr>
            <w:tcW w:w="1421" w:type="dxa"/>
            <w:vAlign w:val="top"/>
          </w:tcPr>
          <w:p w14:paraId="7CDD6E75">
            <w:pPr>
              <w:pStyle w:val="12"/>
              <w:spacing w:before="199" w:line="252" w:lineRule="auto"/>
              <w:ind w:left="322" w:right="129" w:hanging="177"/>
              <w:rPr>
                <w:color w:val="auto"/>
                <w:highlight w:val="none"/>
              </w:rPr>
            </w:pPr>
            <w:r>
              <w:rPr>
                <w:color w:val="auto"/>
                <w:spacing w:val="4"/>
                <w:highlight w:val="none"/>
              </w:rPr>
              <w:t>★A02091000</w:t>
            </w:r>
            <w:r>
              <w:rPr>
                <w:color w:val="auto"/>
                <w:spacing w:val="1"/>
                <w:highlight w:val="none"/>
              </w:rPr>
              <w:t>电视设备</w:t>
            </w:r>
          </w:p>
        </w:tc>
        <w:tc>
          <w:tcPr>
            <w:tcW w:w="1495" w:type="dxa"/>
            <w:vAlign w:val="top"/>
          </w:tcPr>
          <w:p w14:paraId="2DB04A32">
            <w:pPr>
              <w:pStyle w:val="12"/>
              <w:spacing w:before="63" w:line="251" w:lineRule="auto"/>
              <w:ind w:left="229" w:right="139" w:hanging="85"/>
              <w:rPr>
                <w:color w:val="auto"/>
                <w:highlight w:val="none"/>
              </w:rPr>
            </w:pPr>
            <w:r>
              <w:rPr>
                <w:color w:val="auto"/>
                <w:spacing w:val="4"/>
                <w:highlight w:val="none"/>
              </w:rPr>
              <w:t>A02091001</w:t>
            </w:r>
            <w:r>
              <w:rPr>
                <w:color w:val="auto"/>
                <w:spacing w:val="-36"/>
                <w:highlight w:val="none"/>
              </w:rPr>
              <w:t xml:space="preserve"> </w:t>
            </w:r>
            <w:r>
              <w:rPr>
                <w:color w:val="auto"/>
                <w:spacing w:val="4"/>
                <w:highlight w:val="none"/>
              </w:rPr>
              <w:t>普</w:t>
            </w:r>
            <w:r>
              <w:rPr>
                <w:color w:val="auto"/>
                <w:spacing w:val="8"/>
                <w:highlight w:val="none"/>
              </w:rPr>
              <w:t>通电视设备</w:t>
            </w:r>
          </w:p>
          <w:p w14:paraId="494DF229">
            <w:pPr>
              <w:pStyle w:val="12"/>
              <w:spacing w:line="216" w:lineRule="auto"/>
              <w:ind w:left="240"/>
              <w:rPr>
                <w:color w:val="auto"/>
                <w:highlight w:val="none"/>
              </w:rPr>
            </w:pPr>
            <w:r>
              <w:rPr>
                <w:color w:val="auto"/>
                <w:spacing w:val="3"/>
                <w:highlight w:val="none"/>
              </w:rPr>
              <w:t>（电视机）</w:t>
            </w:r>
          </w:p>
        </w:tc>
        <w:tc>
          <w:tcPr>
            <w:tcW w:w="1480" w:type="dxa"/>
            <w:vAlign w:val="top"/>
          </w:tcPr>
          <w:p w14:paraId="4C5BD94A">
            <w:pPr>
              <w:rPr>
                <w:rFonts w:ascii="Arial"/>
                <w:color w:val="auto"/>
                <w:sz w:val="21"/>
                <w:highlight w:val="none"/>
              </w:rPr>
            </w:pPr>
          </w:p>
        </w:tc>
        <w:tc>
          <w:tcPr>
            <w:tcW w:w="3455" w:type="dxa"/>
            <w:vAlign w:val="top"/>
          </w:tcPr>
          <w:p w14:paraId="3C473765">
            <w:pPr>
              <w:pStyle w:val="12"/>
              <w:spacing w:before="61" w:line="227" w:lineRule="auto"/>
              <w:ind w:left="270"/>
              <w:rPr>
                <w:color w:val="auto"/>
                <w:highlight w:val="none"/>
              </w:rPr>
            </w:pPr>
            <w:r>
              <w:rPr>
                <w:color w:val="auto"/>
                <w:spacing w:val="8"/>
                <w:highlight w:val="none"/>
              </w:rPr>
              <w:t>《平板电视能效限定值及能效等</w:t>
            </w:r>
          </w:p>
          <w:p w14:paraId="37249D05">
            <w:pPr>
              <w:pStyle w:val="12"/>
              <w:spacing w:before="25" w:line="230" w:lineRule="auto"/>
              <w:ind w:left="952"/>
              <w:rPr>
                <w:color w:val="auto"/>
                <w:highlight w:val="none"/>
              </w:rPr>
            </w:pPr>
            <w:r>
              <w:rPr>
                <w:color w:val="auto"/>
                <w:spacing w:val="5"/>
                <w:highlight w:val="none"/>
              </w:rPr>
              <w:t>级》（</w:t>
            </w:r>
            <w:r>
              <w:rPr>
                <w:color w:val="auto"/>
                <w:highlight w:val="none"/>
              </w:rPr>
              <w:t>GB</w:t>
            </w:r>
            <w:r>
              <w:rPr>
                <w:color w:val="auto"/>
                <w:spacing w:val="5"/>
                <w:highlight w:val="none"/>
              </w:rPr>
              <w:t>24850）</w:t>
            </w:r>
          </w:p>
        </w:tc>
      </w:tr>
      <w:tr w14:paraId="039FF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8" w:hRule="atLeast"/>
        </w:trPr>
        <w:tc>
          <w:tcPr>
            <w:tcW w:w="675" w:type="dxa"/>
            <w:vAlign w:val="top"/>
          </w:tcPr>
          <w:p w14:paraId="440D2691">
            <w:pPr>
              <w:spacing w:line="329" w:lineRule="auto"/>
              <w:rPr>
                <w:rFonts w:ascii="Arial"/>
                <w:color w:val="auto"/>
                <w:sz w:val="21"/>
                <w:highlight w:val="none"/>
              </w:rPr>
            </w:pPr>
          </w:p>
          <w:p w14:paraId="4498C2B5">
            <w:pPr>
              <w:spacing w:line="329" w:lineRule="auto"/>
              <w:rPr>
                <w:rFonts w:ascii="Arial"/>
                <w:color w:val="auto"/>
                <w:sz w:val="21"/>
                <w:highlight w:val="none"/>
              </w:rPr>
            </w:pPr>
          </w:p>
          <w:p w14:paraId="20B263C8">
            <w:pPr>
              <w:pStyle w:val="12"/>
              <w:spacing w:before="65" w:line="269" w:lineRule="exact"/>
              <w:ind w:left="253"/>
              <w:rPr>
                <w:color w:val="auto"/>
                <w:highlight w:val="none"/>
              </w:rPr>
            </w:pPr>
            <w:r>
              <w:rPr>
                <w:color w:val="auto"/>
                <w:spacing w:val="-7"/>
                <w:position w:val="1"/>
                <w:highlight w:val="none"/>
              </w:rPr>
              <w:t>13</w:t>
            </w:r>
          </w:p>
        </w:tc>
        <w:tc>
          <w:tcPr>
            <w:tcW w:w="1421" w:type="dxa"/>
            <w:vAlign w:val="top"/>
          </w:tcPr>
          <w:p w14:paraId="42976EAB">
            <w:pPr>
              <w:spacing w:line="269" w:lineRule="auto"/>
              <w:rPr>
                <w:rFonts w:ascii="Arial"/>
                <w:color w:val="auto"/>
                <w:sz w:val="21"/>
                <w:highlight w:val="none"/>
              </w:rPr>
            </w:pPr>
          </w:p>
          <w:p w14:paraId="79845914">
            <w:pPr>
              <w:spacing w:line="270" w:lineRule="auto"/>
              <w:rPr>
                <w:rFonts w:ascii="Arial"/>
                <w:color w:val="auto"/>
                <w:sz w:val="21"/>
                <w:highlight w:val="none"/>
              </w:rPr>
            </w:pPr>
          </w:p>
          <w:p w14:paraId="3794ABEB">
            <w:pPr>
              <w:pStyle w:val="12"/>
              <w:spacing w:before="65" w:line="252" w:lineRule="auto"/>
              <w:ind w:left="296" w:right="129" w:hanging="151"/>
              <w:rPr>
                <w:color w:val="auto"/>
                <w:highlight w:val="none"/>
              </w:rPr>
            </w:pPr>
            <w:r>
              <w:rPr>
                <w:color w:val="auto"/>
                <w:spacing w:val="4"/>
                <w:highlight w:val="none"/>
              </w:rPr>
              <w:t>★A02091100</w:t>
            </w:r>
            <w:r>
              <w:rPr>
                <w:color w:val="auto"/>
                <w:spacing w:val="7"/>
                <w:highlight w:val="none"/>
              </w:rPr>
              <w:t>视频设备</w:t>
            </w:r>
          </w:p>
        </w:tc>
        <w:tc>
          <w:tcPr>
            <w:tcW w:w="1495" w:type="dxa"/>
            <w:vAlign w:val="top"/>
          </w:tcPr>
          <w:p w14:paraId="50CB6CEC">
            <w:pPr>
              <w:spacing w:line="269" w:lineRule="auto"/>
              <w:rPr>
                <w:rFonts w:ascii="Arial"/>
                <w:color w:val="auto"/>
                <w:sz w:val="21"/>
                <w:highlight w:val="none"/>
              </w:rPr>
            </w:pPr>
          </w:p>
          <w:p w14:paraId="771C3035">
            <w:pPr>
              <w:spacing w:line="270" w:lineRule="auto"/>
              <w:rPr>
                <w:rFonts w:ascii="Arial"/>
                <w:color w:val="auto"/>
                <w:sz w:val="21"/>
                <w:highlight w:val="none"/>
              </w:rPr>
            </w:pPr>
          </w:p>
          <w:p w14:paraId="74E0AF77">
            <w:pPr>
              <w:pStyle w:val="12"/>
              <w:spacing w:before="65" w:line="252" w:lineRule="auto"/>
              <w:ind w:left="230" w:right="139" w:hanging="86"/>
              <w:rPr>
                <w:color w:val="auto"/>
                <w:highlight w:val="none"/>
              </w:rPr>
            </w:pPr>
            <w:r>
              <w:rPr>
                <w:color w:val="auto"/>
                <w:spacing w:val="4"/>
                <w:highlight w:val="none"/>
              </w:rPr>
              <w:t>A02091107</w:t>
            </w:r>
            <w:r>
              <w:rPr>
                <w:color w:val="auto"/>
                <w:spacing w:val="-36"/>
                <w:highlight w:val="none"/>
              </w:rPr>
              <w:t xml:space="preserve"> </w:t>
            </w:r>
            <w:r>
              <w:rPr>
                <w:color w:val="auto"/>
                <w:spacing w:val="4"/>
                <w:highlight w:val="none"/>
              </w:rPr>
              <w:t>视</w:t>
            </w:r>
            <w:r>
              <w:rPr>
                <w:color w:val="auto"/>
                <w:spacing w:val="7"/>
                <w:highlight w:val="none"/>
              </w:rPr>
              <w:t>频监控设备</w:t>
            </w:r>
          </w:p>
        </w:tc>
        <w:tc>
          <w:tcPr>
            <w:tcW w:w="1480" w:type="dxa"/>
            <w:vAlign w:val="top"/>
          </w:tcPr>
          <w:p w14:paraId="2E40993D">
            <w:pPr>
              <w:spacing w:line="337" w:lineRule="auto"/>
              <w:rPr>
                <w:rFonts w:ascii="Arial"/>
                <w:color w:val="auto"/>
                <w:sz w:val="21"/>
                <w:highlight w:val="none"/>
              </w:rPr>
            </w:pPr>
          </w:p>
          <w:p w14:paraId="785A6D8A">
            <w:pPr>
              <w:spacing w:line="338" w:lineRule="auto"/>
              <w:rPr>
                <w:rFonts w:ascii="Arial"/>
                <w:color w:val="auto"/>
                <w:sz w:val="21"/>
                <w:highlight w:val="none"/>
              </w:rPr>
            </w:pPr>
          </w:p>
          <w:p w14:paraId="2C56FA9D">
            <w:pPr>
              <w:pStyle w:val="12"/>
              <w:spacing w:before="65" w:line="228" w:lineRule="auto"/>
              <w:ind w:left="435"/>
              <w:rPr>
                <w:color w:val="auto"/>
                <w:highlight w:val="none"/>
              </w:rPr>
            </w:pPr>
            <w:r>
              <w:rPr>
                <w:color w:val="auto"/>
                <w:spacing w:val="6"/>
                <w:highlight w:val="none"/>
              </w:rPr>
              <w:t>监视器</w:t>
            </w:r>
          </w:p>
        </w:tc>
        <w:tc>
          <w:tcPr>
            <w:tcW w:w="3455" w:type="dxa"/>
            <w:vAlign w:val="top"/>
          </w:tcPr>
          <w:p w14:paraId="60168381">
            <w:pPr>
              <w:pStyle w:val="12"/>
              <w:spacing w:before="62" w:line="228" w:lineRule="auto"/>
              <w:ind w:left="185"/>
              <w:rPr>
                <w:color w:val="auto"/>
                <w:highlight w:val="none"/>
              </w:rPr>
            </w:pPr>
            <w:r>
              <w:rPr>
                <w:color w:val="auto"/>
                <w:spacing w:val="7"/>
                <w:highlight w:val="none"/>
              </w:rPr>
              <w:t>以射频信号为主要信号输入的监视</w:t>
            </w:r>
          </w:p>
          <w:p w14:paraId="1878925A">
            <w:pPr>
              <w:pStyle w:val="12"/>
              <w:spacing w:before="26" w:line="227" w:lineRule="auto"/>
              <w:ind w:left="161"/>
              <w:rPr>
                <w:color w:val="auto"/>
                <w:highlight w:val="none"/>
              </w:rPr>
            </w:pPr>
            <w:r>
              <w:rPr>
                <w:color w:val="auto"/>
                <w:spacing w:val="9"/>
                <w:highlight w:val="none"/>
              </w:rPr>
              <w:t>器应符合《平板电视能效限定值及</w:t>
            </w:r>
          </w:p>
          <w:p w14:paraId="1B94D1B8">
            <w:pPr>
              <w:pStyle w:val="12"/>
              <w:spacing w:before="24" w:line="228" w:lineRule="auto"/>
              <w:ind w:left="222"/>
              <w:rPr>
                <w:color w:val="auto"/>
                <w:highlight w:val="none"/>
              </w:rPr>
            </w:pPr>
            <w:r>
              <w:rPr>
                <w:color w:val="auto"/>
                <w:spacing w:val="5"/>
                <w:highlight w:val="none"/>
              </w:rPr>
              <w:t>能效等级》（</w:t>
            </w:r>
            <w:r>
              <w:rPr>
                <w:color w:val="auto"/>
                <w:highlight w:val="none"/>
              </w:rPr>
              <w:t>GB</w:t>
            </w:r>
            <w:r>
              <w:rPr>
                <w:color w:val="auto"/>
                <w:spacing w:val="5"/>
                <w:highlight w:val="none"/>
              </w:rPr>
              <w:t>24850</w:t>
            </w:r>
            <w:r>
              <w:rPr>
                <w:color w:val="auto"/>
                <w:spacing w:val="7"/>
                <w:highlight w:val="none"/>
              </w:rPr>
              <w:t>），</w:t>
            </w:r>
            <w:r>
              <w:rPr>
                <w:color w:val="auto"/>
                <w:spacing w:val="-58"/>
                <w:highlight w:val="none"/>
              </w:rPr>
              <w:t xml:space="preserve"> </w:t>
            </w:r>
            <w:r>
              <w:rPr>
                <w:color w:val="auto"/>
                <w:spacing w:val="5"/>
                <w:highlight w:val="none"/>
              </w:rPr>
              <w:t>以数字</w:t>
            </w:r>
          </w:p>
          <w:p w14:paraId="448BACE1">
            <w:pPr>
              <w:pStyle w:val="12"/>
              <w:spacing w:before="26" w:line="228" w:lineRule="auto"/>
              <w:ind w:left="161"/>
              <w:rPr>
                <w:color w:val="auto"/>
                <w:highlight w:val="none"/>
              </w:rPr>
            </w:pPr>
            <w:r>
              <w:rPr>
                <w:color w:val="auto"/>
                <w:spacing w:val="9"/>
                <w:highlight w:val="none"/>
              </w:rPr>
              <w:t>信号为主要信号输入的监视器应符</w:t>
            </w:r>
          </w:p>
          <w:p w14:paraId="14CE70F1">
            <w:pPr>
              <w:pStyle w:val="12"/>
              <w:spacing w:before="25" w:line="227" w:lineRule="auto"/>
              <w:ind w:left="162"/>
              <w:rPr>
                <w:color w:val="auto"/>
                <w:highlight w:val="none"/>
              </w:rPr>
            </w:pPr>
            <w:r>
              <w:rPr>
                <w:color w:val="auto"/>
                <w:spacing w:val="9"/>
                <w:highlight w:val="none"/>
              </w:rPr>
              <w:t>合《计算机显示器能效限定值及能</w:t>
            </w:r>
          </w:p>
          <w:p w14:paraId="4B61D34B">
            <w:pPr>
              <w:pStyle w:val="12"/>
              <w:spacing w:before="26" w:line="216" w:lineRule="auto"/>
              <w:ind w:left="742"/>
              <w:rPr>
                <w:color w:val="auto"/>
                <w:highlight w:val="none"/>
              </w:rPr>
            </w:pPr>
            <w:r>
              <w:rPr>
                <w:color w:val="auto"/>
                <w:spacing w:val="6"/>
                <w:highlight w:val="none"/>
              </w:rPr>
              <w:t>效等级》（</w:t>
            </w:r>
            <w:r>
              <w:rPr>
                <w:color w:val="auto"/>
                <w:highlight w:val="none"/>
              </w:rPr>
              <w:t>GB</w:t>
            </w:r>
            <w:r>
              <w:rPr>
                <w:color w:val="auto"/>
                <w:spacing w:val="6"/>
                <w:highlight w:val="none"/>
              </w:rPr>
              <w:t>21520）</w:t>
            </w:r>
          </w:p>
        </w:tc>
      </w:tr>
      <w:tr w14:paraId="2AFBC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675" w:type="dxa"/>
            <w:vAlign w:val="top"/>
          </w:tcPr>
          <w:p w14:paraId="6712A0AF">
            <w:pPr>
              <w:spacing w:line="255" w:lineRule="auto"/>
              <w:rPr>
                <w:rFonts w:ascii="Arial"/>
                <w:color w:val="auto"/>
                <w:sz w:val="21"/>
                <w:highlight w:val="none"/>
              </w:rPr>
            </w:pPr>
          </w:p>
          <w:p w14:paraId="0E6A0E0D">
            <w:pPr>
              <w:pStyle w:val="12"/>
              <w:spacing w:before="65" w:line="270" w:lineRule="exact"/>
              <w:ind w:left="253"/>
              <w:rPr>
                <w:color w:val="auto"/>
                <w:highlight w:val="none"/>
              </w:rPr>
            </w:pPr>
            <w:r>
              <w:rPr>
                <w:color w:val="auto"/>
                <w:spacing w:val="-7"/>
                <w:position w:val="1"/>
                <w:highlight w:val="none"/>
              </w:rPr>
              <w:t>14</w:t>
            </w:r>
          </w:p>
        </w:tc>
        <w:tc>
          <w:tcPr>
            <w:tcW w:w="1421" w:type="dxa"/>
            <w:vAlign w:val="top"/>
          </w:tcPr>
          <w:p w14:paraId="3222A892">
            <w:pPr>
              <w:pStyle w:val="12"/>
              <w:spacing w:before="65" w:line="268" w:lineRule="exact"/>
              <w:ind w:left="238"/>
              <w:rPr>
                <w:color w:val="auto"/>
                <w:highlight w:val="none"/>
              </w:rPr>
            </w:pPr>
            <w:r>
              <w:rPr>
                <w:color w:val="auto"/>
                <w:spacing w:val="4"/>
                <w:position w:val="1"/>
                <w:highlight w:val="none"/>
              </w:rPr>
              <w:t>A02241000</w:t>
            </w:r>
          </w:p>
          <w:p w14:paraId="0289D7A7">
            <w:pPr>
              <w:pStyle w:val="12"/>
              <w:spacing w:before="2" w:line="227" w:lineRule="auto"/>
              <w:ind w:left="192"/>
              <w:rPr>
                <w:color w:val="auto"/>
                <w:highlight w:val="none"/>
              </w:rPr>
            </w:pPr>
            <w:r>
              <w:rPr>
                <w:color w:val="auto"/>
                <w:spacing w:val="8"/>
                <w:highlight w:val="none"/>
              </w:rPr>
              <w:t>饮食炊事机</w:t>
            </w:r>
          </w:p>
          <w:p w14:paraId="1485D0FE">
            <w:pPr>
              <w:pStyle w:val="12"/>
              <w:spacing w:before="24" w:line="216" w:lineRule="auto"/>
              <w:ind w:left="611"/>
              <w:rPr>
                <w:color w:val="auto"/>
                <w:highlight w:val="none"/>
              </w:rPr>
            </w:pPr>
            <w:r>
              <w:rPr>
                <w:color w:val="auto"/>
                <w:spacing w:val="1"/>
                <w:highlight w:val="none"/>
              </w:rPr>
              <w:t>械</w:t>
            </w:r>
          </w:p>
        </w:tc>
        <w:tc>
          <w:tcPr>
            <w:tcW w:w="1495" w:type="dxa"/>
            <w:vAlign w:val="top"/>
          </w:tcPr>
          <w:p w14:paraId="099D4C53">
            <w:pPr>
              <w:spacing w:line="269" w:lineRule="auto"/>
              <w:rPr>
                <w:rFonts w:ascii="Arial"/>
                <w:color w:val="auto"/>
                <w:sz w:val="21"/>
                <w:highlight w:val="none"/>
              </w:rPr>
            </w:pPr>
          </w:p>
          <w:p w14:paraId="70420689">
            <w:pPr>
              <w:pStyle w:val="12"/>
              <w:spacing w:before="65" w:line="228" w:lineRule="auto"/>
              <w:ind w:left="128"/>
              <w:rPr>
                <w:color w:val="auto"/>
                <w:highlight w:val="none"/>
              </w:rPr>
            </w:pPr>
            <w:r>
              <w:rPr>
                <w:color w:val="auto"/>
                <w:spacing w:val="7"/>
                <w:highlight w:val="none"/>
              </w:rPr>
              <w:t>商用燃气灶具</w:t>
            </w:r>
          </w:p>
        </w:tc>
        <w:tc>
          <w:tcPr>
            <w:tcW w:w="1480" w:type="dxa"/>
            <w:vAlign w:val="top"/>
          </w:tcPr>
          <w:p w14:paraId="18B7A19D">
            <w:pPr>
              <w:rPr>
                <w:rFonts w:ascii="Arial"/>
                <w:color w:val="auto"/>
                <w:sz w:val="21"/>
                <w:highlight w:val="none"/>
              </w:rPr>
            </w:pPr>
          </w:p>
        </w:tc>
        <w:tc>
          <w:tcPr>
            <w:tcW w:w="3455" w:type="dxa"/>
            <w:vAlign w:val="top"/>
          </w:tcPr>
          <w:p w14:paraId="6BCBE844">
            <w:pPr>
              <w:pStyle w:val="12"/>
              <w:spacing w:before="64" w:line="252" w:lineRule="auto"/>
              <w:ind w:left="844" w:right="147" w:hanging="677"/>
              <w:rPr>
                <w:color w:val="auto"/>
                <w:highlight w:val="none"/>
              </w:rPr>
            </w:pPr>
            <w:r>
              <w:rPr>
                <w:color w:val="auto"/>
                <w:spacing w:val="9"/>
                <w:highlight w:val="none"/>
              </w:rPr>
              <w:t>《商用燃气灶具能效限定值及能效</w:t>
            </w:r>
            <w:r>
              <w:rPr>
                <w:color w:val="auto"/>
                <w:spacing w:val="6"/>
                <w:highlight w:val="none"/>
              </w:rPr>
              <w:t>等级》（</w:t>
            </w:r>
            <w:r>
              <w:rPr>
                <w:color w:val="auto"/>
                <w:highlight w:val="none"/>
              </w:rPr>
              <w:t>GB</w:t>
            </w:r>
            <w:r>
              <w:rPr>
                <w:color w:val="auto"/>
                <w:spacing w:val="6"/>
                <w:highlight w:val="none"/>
              </w:rPr>
              <w:t>30531）</w:t>
            </w:r>
          </w:p>
        </w:tc>
      </w:tr>
      <w:tr w14:paraId="067DE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675" w:type="dxa"/>
            <w:vMerge w:val="restart"/>
            <w:tcBorders>
              <w:bottom w:val="nil"/>
            </w:tcBorders>
            <w:vAlign w:val="top"/>
          </w:tcPr>
          <w:p w14:paraId="4A6E0D32">
            <w:pPr>
              <w:spacing w:line="358" w:lineRule="auto"/>
              <w:rPr>
                <w:rFonts w:ascii="Arial"/>
                <w:color w:val="auto"/>
                <w:sz w:val="21"/>
                <w:highlight w:val="none"/>
              </w:rPr>
            </w:pPr>
          </w:p>
          <w:p w14:paraId="278F39F4">
            <w:pPr>
              <w:spacing w:line="358" w:lineRule="auto"/>
              <w:rPr>
                <w:rFonts w:ascii="Arial"/>
                <w:color w:val="auto"/>
                <w:sz w:val="21"/>
                <w:highlight w:val="none"/>
              </w:rPr>
            </w:pPr>
          </w:p>
          <w:p w14:paraId="55D3E50D">
            <w:pPr>
              <w:pStyle w:val="12"/>
              <w:spacing w:before="65" w:line="268" w:lineRule="exact"/>
              <w:ind w:left="253"/>
              <w:rPr>
                <w:color w:val="auto"/>
                <w:highlight w:val="none"/>
              </w:rPr>
            </w:pPr>
            <w:r>
              <w:rPr>
                <w:color w:val="auto"/>
                <w:spacing w:val="-7"/>
                <w:position w:val="1"/>
                <w:highlight w:val="none"/>
              </w:rPr>
              <w:t>15</w:t>
            </w:r>
          </w:p>
        </w:tc>
        <w:tc>
          <w:tcPr>
            <w:tcW w:w="1421" w:type="dxa"/>
            <w:vMerge w:val="restart"/>
            <w:tcBorders>
              <w:bottom w:val="nil"/>
            </w:tcBorders>
            <w:vAlign w:val="top"/>
          </w:tcPr>
          <w:p w14:paraId="12968C93">
            <w:pPr>
              <w:spacing w:line="297" w:lineRule="auto"/>
              <w:rPr>
                <w:rFonts w:ascii="Arial"/>
                <w:color w:val="auto"/>
                <w:sz w:val="21"/>
                <w:highlight w:val="none"/>
              </w:rPr>
            </w:pPr>
          </w:p>
          <w:p w14:paraId="04177715">
            <w:pPr>
              <w:spacing w:line="297" w:lineRule="auto"/>
              <w:rPr>
                <w:rFonts w:ascii="Arial"/>
                <w:color w:val="auto"/>
                <w:sz w:val="21"/>
                <w:highlight w:val="none"/>
              </w:rPr>
            </w:pPr>
          </w:p>
          <w:p w14:paraId="6C68B8C9">
            <w:pPr>
              <w:pStyle w:val="12"/>
              <w:spacing w:before="65" w:line="254" w:lineRule="auto"/>
              <w:ind w:left="509" w:right="129" w:hanging="364"/>
              <w:rPr>
                <w:color w:val="auto"/>
                <w:highlight w:val="none"/>
              </w:rPr>
            </w:pPr>
            <w:r>
              <w:rPr>
                <w:color w:val="auto"/>
                <w:spacing w:val="4"/>
                <w:highlight w:val="none"/>
              </w:rPr>
              <w:t>★A05020105便器</w:t>
            </w:r>
          </w:p>
        </w:tc>
        <w:tc>
          <w:tcPr>
            <w:tcW w:w="1495" w:type="dxa"/>
            <w:vAlign w:val="top"/>
          </w:tcPr>
          <w:p w14:paraId="6231FCAF">
            <w:pPr>
              <w:pStyle w:val="12"/>
              <w:spacing w:before="214" w:line="228" w:lineRule="auto"/>
              <w:ind w:left="442"/>
              <w:rPr>
                <w:color w:val="auto"/>
                <w:highlight w:val="none"/>
              </w:rPr>
            </w:pPr>
            <w:r>
              <w:rPr>
                <w:color w:val="auto"/>
                <w:spacing w:val="6"/>
                <w:highlight w:val="none"/>
              </w:rPr>
              <w:t>坐便器</w:t>
            </w:r>
          </w:p>
        </w:tc>
        <w:tc>
          <w:tcPr>
            <w:tcW w:w="1480" w:type="dxa"/>
            <w:vAlign w:val="top"/>
          </w:tcPr>
          <w:p w14:paraId="28E2A2B1">
            <w:pPr>
              <w:rPr>
                <w:rFonts w:ascii="Arial"/>
                <w:color w:val="auto"/>
                <w:sz w:val="21"/>
                <w:highlight w:val="none"/>
              </w:rPr>
            </w:pPr>
          </w:p>
        </w:tc>
        <w:tc>
          <w:tcPr>
            <w:tcW w:w="3455" w:type="dxa"/>
            <w:vAlign w:val="top"/>
          </w:tcPr>
          <w:p w14:paraId="0B2F28A6">
            <w:pPr>
              <w:pStyle w:val="12"/>
              <w:spacing w:before="65" w:line="228" w:lineRule="auto"/>
              <w:ind w:left="167"/>
              <w:rPr>
                <w:color w:val="auto"/>
                <w:highlight w:val="none"/>
              </w:rPr>
            </w:pPr>
            <w:r>
              <w:rPr>
                <w:color w:val="auto"/>
                <w:spacing w:val="8"/>
                <w:highlight w:val="none"/>
              </w:rPr>
              <w:t>《坐便器水效限定值及水效等级》</w:t>
            </w:r>
          </w:p>
          <w:p w14:paraId="0ABA9345">
            <w:pPr>
              <w:pStyle w:val="12"/>
              <w:spacing w:before="55" w:line="214" w:lineRule="auto"/>
              <w:ind w:left="1167"/>
              <w:rPr>
                <w:color w:val="auto"/>
                <w:highlight w:val="none"/>
              </w:rPr>
            </w:pPr>
            <w:r>
              <w:rPr>
                <w:color w:val="auto"/>
                <w:spacing w:val="4"/>
                <w:highlight w:val="none"/>
              </w:rPr>
              <w:t>（</w:t>
            </w:r>
            <w:r>
              <w:rPr>
                <w:color w:val="auto"/>
                <w:highlight w:val="none"/>
              </w:rPr>
              <w:t>GB</w:t>
            </w:r>
            <w:r>
              <w:rPr>
                <w:color w:val="auto"/>
                <w:spacing w:val="4"/>
                <w:highlight w:val="none"/>
              </w:rPr>
              <w:t>25502）</w:t>
            </w:r>
          </w:p>
        </w:tc>
      </w:tr>
      <w:tr w14:paraId="5F203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5" w:type="dxa"/>
            <w:vMerge w:val="continue"/>
            <w:tcBorders>
              <w:top w:val="nil"/>
              <w:bottom w:val="nil"/>
            </w:tcBorders>
            <w:vAlign w:val="top"/>
          </w:tcPr>
          <w:p w14:paraId="5178989A">
            <w:pPr>
              <w:rPr>
                <w:rFonts w:ascii="Arial"/>
                <w:color w:val="auto"/>
                <w:sz w:val="21"/>
                <w:highlight w:val="none"/>
              </w:rPr>
            </w:pPr>
          </w:p>
        </w:tc>
        <w:tc>
          <w:tcPr>
            <w:tcW w:w="1421" w:type="dxa"/>
            <w:vMerge w:val="continue"/>
            <w:tcBorders>
              <w:top w:val="nil"/>
              <w:bottom w:val="nil"/>
            </w:tcBorders>
            <w:vAlign w:val="top"/>
          </w:tcPr>
          <w:p w14:paraId="5FEFB1E0">
            <w:pPr>
              <w:rPr>
                <w:rFonts w:ascii="Arial"/>
                <w:color w:val="auto"/>
                <w:sz w:val="21"/>
                <w:highlight w:val="none"/>
              </w:rPr>
            </w:pPr>
          </w:p>
        </w:tc>
        <w:tc>
          <w:tcPr>
            <w:tcW w:w="1495" w:type="dxa"/>
            <w:vAlign w:val="top"/>
          </w:tcPr>
          <w:p w14:paraId="475B9691">
            <w:pPr>
              <w:pStyle w:val="12"/>
              <w:spacing w:before="199" w:line="228" w:lineRule="auto"/>
              <w:ind w:left="440"/>
              <w:rPr>
                <w:color w:val="auto"/>
                <w:highlight w:val="none"/>
              </w:rPr>
            </w:pPr>
            <w:r>
              <w:rPr>
                <w:color w:val="auto"/>
                <w:spacing w:val="7"/>
                <w:highlight w:val="none"/>
              </w:rPr>
              <w:t>蹲便器</w:t>
            </w:r>
          </w:p>
        </w:tc>
        <w:tc>
          <w:tcPr>
            <w:tcW w:w="1480" w:type="dxa"/>
            <w:vAlign w:val="top"/>
          </w:tcPr>
          <w:p w14:paraId="12C9442A">
            <w:pPr>
              <w:rPr>
                <w:rFonts w:ascii="Arial"/>
                <w:color w:val="auto"/>
                <w:sz w:val="21"/>
                <w:highlight w:val="none"/>
              </w:rPr>
            </w:pPr>
          </w:p>
        </w:tc>
        <w:tc>
          <w:tcPr>
            <w:tcW w:w="3455" w:type="dxa"/>
            <w:vAlign w:val="top"/>
          </w:tcPr>
          <w:p w14:paraId="5EE43374">
            <w:pPr>
              <w:pStyle w:val="12"/>
              <w:spacing w:before="66" w:line="232" w:lineRule="auto"/>
              <w:ind w:left="739" w:right="147" w:hanging="572"/>
              <w:rPr>
                <w:color w:val="auto"/>
                <w:highlight w:val="none"/>
              </w:rPr>
            </w:pPr>
            <w:r>
              <w:rPr>
                <w:color w:val="auto"/>
                <w:spacing w:val="9"/>
                <w:highlight w:val="none"/>
              </w:rPr>
              <w:t>《蹲便器用水效率限定值及用水效</w:t>
            </w:r>
            <w:r>
              <w:rPr>
                <w:color w:val="auto"/>
                <w:spacing w:val="7"/>
                <w:highlight w:val="none"/>
              </w:rPr>
              <w:t>率等级》（</w:t>
            </w:r>
            <w:r>
              <w:rPr>
                <w:color w:val="auto"/>
                <w:highlight w:val="none"/>
              </w:rPr>
              <w:t>GB</w:t>
            </w:r>
            <w:r>
              <w:rPr>
                <w:color w:val="auto"/>
                <w:spacing w:val="7"/>
                <w:highlight w:val="none"/>
              </w:rPr>
              <w:t>30717）</w:t>
            </w:r>
          </w:p>
        </w:tc>
      </w:tr>
      <w:tr w14:paraId="729AB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Merge w:val="continue"/>
            <w:tcBorders>
              <w:top w:val="nil"/>
            </w:tcBorders>
            <w:vAlign w:val="top"/>
          </w:tcPr>
          <w:p w14:paraId="6E4AC3D5">
            <w:pPr>
              <w:rPr>
                <w:rFonts w:ascii="Arial"/>
                <w:color w:val="auto"/>
                <w:sz w:val="21"/>
                <w:highlight w:val="none"/>
              </w:rPr>
            </w:pPr>
          </w:p>
        </w:tc>
        <w:tc>
          <w:tcPr>
            <w:tcW w:w="1421" w:type="dxa"/>
            <w:vMerge w:val="continue"/>
            <w:tcBorders>
              <w:top w:val="nil"/>
            </w:tcBorders>
            <w:vAlign w:val="top"/>
          </w:tcPr>
          <w:p w14:paraId="257993E7">
            <w:pPr>
              <w:rPr>
                <w:rFonts w:ascii="Arial"/>
                <w:color w:val="auto"/>
                <w:sz w:val="21"/>
                <w:highlight w:val="none"/>
              </w:rPr>
            </w:pPr>
          </w:p>
        </w:tc>
        <w:tc>
          <w:tcPr>
            <w:tcW w:w="1495" w:type="dxa"/>
            <w:vAlign w:val="top"/>
          </w:tcPr>
          <w:p w14:paraId="1B37F764">
            <w:pPr>
              <w:pStyle w:val="12"/>
              <w:spacing w:before="200" w:line="228" w:lineRule="auto"/>
              <w:ind w:left="447"/>
              <w:rPr>
                <w:color w:val="auto"/>
                <w:highlight w:val="none"/>
              </w:rPr>
            </w:pPr>
            <w:r>
              <w:rPr>
                <w:color w:val="auto"/>
                <w:spacing w:val="5"/>
                <w:highlight w:val="none"/>
              </w:rPr>
              <w:t>小便器</w:t>
            </w:r>
          </w:p>
        </w:tc>
        <w:tc>
          <w:tcPr>
            <w:tcW w:w="1480" w:type="dxa"/>
            <w:vAlign w:val="top"/>
          </w:tcPr>
          <w:p w14:paraId="604534C5">
            <w:pPr>
              <w:rPr>
                <w:rFonts w:ascii="Arial"/>
                <w:color w:val="auto"/>
                <w:sz w:val="21"/>
                <w:highlight w:val="none"/>
              </w:rPr>
            </w:pPr>
          </w:p>
        </w:tc>
        <w:tc>
          <w:tcPr>
            <w:tcW w:w="3455" w:type="dxa"/>
            <w:vAlign w:val="top"/>
          </w:tcPr>
          <w:p w14:paraId="7A440EFF">
            <w:pPr>
              <w:pStyle w:val="12"/>
              <w:spacing w:before="67" w:line="232" w:lineRule="auto"/>
              <w:ind w:left="739" w:right="147" w:hanging="572"/>
              <w:rPr>
                <w:color w:val="auto"/>
                <w:highlight w:val="none"/>
              </w:rPr>
            </w:pPr>
            <w:r>
              <w:rPr>
                <w:color w:val="auto"/>
                <w:spacing w:val="9"/>
                <w:highlight w:val="none"/>
              </w:rPr>
              <w:t>《小便器用水效率限定值及用水效</w:t>
            </w:r>
            <w:r>
              <w:rPr>
                <w:color w:val="auto"/>
                <w:spacing w:val="7"/>
                <w:highlight w:val="none"/>
              </w:rPr>
              <w:t>率等级》（</w:t>
            </w:r>
            <w:r>
              <w:rPr>
                <w:color w:val="auto"/>
                <w:highlight w:val="none"/>
              </w:rPr>
              <w:t>GB</w:t>
            </w:r>
            <w:r>
              <w:rPr>
                <w:color w:val="auto"/>
                <w:spacing w:val="7"/>
                <w:highlight w:val="none"/>
              </w:rPr>
              <w:t>28377）</w:t>
            </w:r>
          </w:p>
        </w:tc>
      </w:tr>
      <w:tr w14:paraId="7F64F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75" w:type="dxa"/>
            <w:vAlign w:val="top"/>
          </w:tcPr>
          <w:p w14:paraId="53FA9560">
            <w:pPr>
              <w:pStyle w:val="12"/>
              <w:spacing w:before="185" w:line="268" w:lineRule="exact"/>
              <w:ind w:left="253"/>
              <w:rPr>
                <w:color w:val="auto"/>
                <w:highlight w:val="none"/>
              </w:rPr>
            </w:pPr>
            <w:r>
              <w:rPr>
                <w:color w:val="auto"/>
                <w:spacing w:val="-7"/>
                <w:position w:val="1"/>
                <w:highlight w:val="none"/>
              </w:rPr>
              <w:t>16</w:t>
            </w:r>
          </w:p>
        </w:tc>
        <w:tc>
          <w:tcPr>
            <w:tcW w:w="1421" w:type="dxa"/>
            <w:vAlign w:val="top"/>
          </w:tcPr>
          <w:p w14:paraId="1289A3B2">
            <w:pPr>
              <w:pStyle w:val="12"/>
              <w:spacing w:before="65" w:line="233" w:lineRule="auto"/>
              <w:ind w:left="511" w:right="129" w:hanging="366"/>
              <w:rPr>
                <w:color w:val="auto"/>
                <w:highlight w:val="none"/>
              </w:rPr>
            </w:pPr>
            <w:r>
              <w:rPr>
                <w:color w:val="auto"/>
                <w:spacing w:val="4"/>
                <w:highlight w:val="none"/>
              </w:rPr>
              <w:t>★A05020106</w:t>
            </w:r>
            <w:r>
              <w:rPr>
                <w:color w:val="auto"/>
                <w:spacing w:val="3"/>
                <w:highlight w:val="none"/>
              </w:rPr>
              <w:t>水嘴</w:t>
            </w:r>
          </w:p>
        </w:tc>
        <w:tc>
          <w:tcPr>
            <w:tcW w:w="1495" w:type="dxa"/>
            <w:vAlign w:val="top"/>
          </w:tcPr>
          <w:p w14:paraId="1739E498">
            <w:pPr>
              <w:rPr>
                <w:rFonts w:ascii="Arial"/>
                <w:color w:val="auto"/>
                <w:sz w:val="21"/>
                <w:highlight w:val="none"/>
              </w:rPr>
            </w:pPr>
          </w:p>
        </w:tc>
        <w:tc>
          <w:tcPr>
            <w:tcW w:w="1480" w:type="dxa"/>
            <w:vAlign w:val="top"/>
          </w:tcPr>
          <w:p w14:paraId="3E630781">
            <w:pPr>
              <w:rPr>
                <w:rFonts w:ascii="Arial"/>
                <w:color w:val="auto"/>
                <w:sz w:val="21"/>
                <w:highlight w:val="none"/>
              </w:rPr>
            </w:pPr>
          </w:p>
        </w:tc>
        <w:tc>
          <w:tcPr>
            <w:tcW w:w="3455" w:type="dxa"/>
            <w:vAlign w:val="top"/>
          </w:tcPr>
          <w:p w14:paraId="6FCA3608">
            <w:pPr>
              <w:pStyle w:val="12"/>
              <w:spacing w:before="65" w:line="233" w:lineRule="auto"/>
              <w:ind w:left="792" w:right="147" w:hanging="625"/>
              <w:rPr>
                <w:color w:val="auto"/>
                <w:highlight w:val="none"/>
              </w:rPr>
            </w:pPr>
            <w:r>
              <w:rPr>
                <w:color w:val="auto"/>
                <w:spacing w:val="9"/>
                <w:highlight w:val="none"/>
              </w:rPr>
              <w:t>《水嘴用水效率限定值及用水效率</w:t>
            </w:r>
            <w:r>
              <w:rPr>
                <w:color w:val="auto"/>
                <w:spacing w:val="6"/>
                <w:highlight w:val="none"/>
              </w:rPr>
              <w:t>等级》（</w:t>
            </w:r>
            <w:r>
              <w:rPr>
                <w:color w:val="auto"/>
                <w:highlight w:val="none"/>
              </w:rPr>
              <w:t>GB</w:t>
            </w:r>
            <w:r>
              <w:rPr>
                <w:color w:val="auto"/>
                <w:spacing w:val="6"/>
                <w:highlight w:val="none"/>
              </w:rPr>
              <w:t xml:space="preserve"> 25501）</w:t>
            </w:r>
          </w:p>
        </w:tc>
      </w:tr>
      <w:tr w14:paraId="36BB6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5" w:type="dxa"/>
            <w:vAlign w:val="top"/>
          </w:tcPr>
          <w:p w14:paraId="51DA59B5">
            <w:pPr>
              <w:pStyle w:val="12"/>
              <w:spacing w:before="185" w:line="269" w:lineRule="exact"/>
              <w:ind w:left="253"/>
              <w:rPr>
                <w:color w:val="auto"/>
                <w:highlight w:val="none"/>
              </w:rPr>
            </w:pPr>
            <w:r>
              <w:rPr>
                <w:color w:val="auto"/>
                <w:spacing w:val="-7"/>
                <w:position w:val="1"/>
                <w:highlight w:val="none"/>
              </w:rPr>
              <w:t>17</w:t>
            </w:r>
          </w:p>
        </w:tc>
        <w:tc>
          <w:tcPr>
            <w:tcW w:w="1421" w:type="dxa"/>
            <w:vAlign w:val="top"/>
          </w:tcPr>
          <w:p w14:paraId="7D82E99A">
            <w:pPr>
              <w:pStyle w:val="12"/>
              <w:spacing w:before="66" w:line="232" w:lineRule="auto"/>
              <w:ind w:left="192" w:right="183" w:firstLine="45"/>
              <w:rPr>
                <w:color w:val="auto"/>
                <w:highlight w:val="none"/>
              </w:rPr>
            </w:pPr>
            <w:r>
              <w:rPr>
                <w:color w:val="auto"/>
                <w:spacing w:val="4"/>
                <w:highlight w:val="none"/>
              </w:rPr>
              <w:t>A05020107</w:t>
            </w:r>
            <w:r>
              <w:rPr>
                <w:color w:val="auto"/>
                <w:spacing w:val="7"/>
                <w:highlight w:val="none"/>
              </w:rPr>
              <w:t>便器冲洗阀</w:t>
            </w:r>
          </w:p>
        </w:tc>
        <w:tc>
          <w:tcPr>
            <w:tcW w:w="1495" w:type="dxa"/>
            <w:vAlign w:val="top"/>
          </w:tcPr>
          <w:p w14:paraId="59A75BE2">
            <w:pPr>
              <w:rPr>
                <w:rFonts w:ascii="Arial"/>
                <w:color w:val="auto"/>
                <w:sz w:val="21"/>
                <w:highlight w:val="none"/>
              </w:rPr>
            </w:pPr>
          </w:p>
        </w:tc>
        <w:tc>
          <w:tcPr>
            <w:tcW w:w="1480" w:type="dxa"/>
            <w:vAlign w:val="top"/>
          </w:tcPr>
          <w:p w14:paraId="62804E77">
            <w:pPr>
              <w:rPr>
                <w:rFonts w:ascii="Arial"/>
                <w:color w:val="auto"/>
                <w:sz w:val="21"/>
                <w:highlight w:val="none"/>
              </w:rPr>
            </w:pPr>
          </w:p>
        </w:tc>
        <w:tc>
          <w:tcPr>
            <w:tcW w:w="3455" w:type="dxa"/>
            <w:vAlign w:val="top"/>
          </w:tcPr>
          <w:p w14:paraId="07D28048">
            <w:pPr>
              <w:pStyle w:val="12"/>
              <w:spacing w:before="66" w:line="232" w:lineRule="auto"/>
              <w:ind w:left="531" w:right="147" w:hanging="364"/>
              <w:rPr>
                <w:color w:val="auto"/>
                <w:highlight w:val="none"/>
              </w:rPr>
            </w:pPr>
            <w:r>
              <w:rPr>
                <w:color w:val="auto"/>
                <w:spacing w:val="9"/>
                <w:highlight w:val="none"/>
              </w:rPr>
              <w:t>《便器冲洗阀用水效率限定值及用</w:t>
            </w:r>
            <w:r>
              <w:rPr>
                <w:color w:val="auto"/>
                <w:spacing w:val="7"/>
                <w:highlight w:val="none"/>
              </w:rPr>
              <w:t>水效率等级》（</w:t>
            </w:r>
            <w:r>
              <w:rPr>
                <w:color w:val="auto"/>
                <w:highlight w:val="none"/>
              </w:rPr>
              <w:t>GB</w:t>
            </w:r>
            <w:r>
              <w:rPr>
                <w:color w:val="auto"/>
                <w:spacing w:val="7"/>
                <w:highlight w:val="none"/>
              </w:rPr>
              <w:t>28379）</w:t>
            </w:r>
          </w:p>
        </w:tc>
      </w:tr>
      <w:tr w14:paraId="79DCD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675" w:type="dxa"/>
            <w:vAlign w:val="top"/>
          </w:tcPr>
          <w:p w14:paraId="697719D2">
            <w:pPr>
              <w:pStyle w:val="12"/>
              <w:spacing w:before="187" w:line="268" w:lineRule="exact"/>
              <w:ind w:left="253"/>
              <w:rPr>
                <w:color w:val="auto"/>
                <w:highlight w:val="none"/>
              </w:rPr>
            </w:pPr>
            <w:r>
              <w:rPr>
                <w:color w:val="auto"/>
                <w:spacing w:val="-7"/>
                <w:position w:val="1"/>
                <w:highlight w:val="none"/>
              </w:rPr>
              <w:t>18</w:t>
            </w:r>
          </w:p>
        </w:tc>
        <w:tc>
          <w:tcPr>
            <w:tcW w:w="1421" w:type="dxa"/>
            <w:vAlign w:val="top"/>
          </w:tcPr>
          <w:p w14:paraId="5539B84A">
            <w:pPr>
              <w:pStyle w:val="12"/>
              <w:spacing w:before="67" w:line="234" w:lineRule="auto"/>
              <w:ind w:left="404" w:right="234" w:hanging="166"/>
              <w:rPr>
                <w:color w:val="auto"/>
                <w:highlight w:val="none"/>
              </w:rPr>
            </w:pPr>
            <w:r>
              <w:rPr>
                <w:color w:val="auto"/>
                <w:spacing w:val="4"/>
                <w:highlight w:val="none"/>
              </w:rPr>
              <w:t>A05020110</w:t>
            </w:r>
            <w:r>
              <w:rPr>
                <w:color w:val="auto"/>
                <w:spacing w:val="6"/>
                <w:highlight w:val="none"/>
              </w:rPr>
              <w:t>淋浴器</w:t>
            </w:r>
          </w:p>
        </w:tc>
        <w:tc>
          <w:tcPr>
            <w:tcW w:w="1495" w:type="dxa"/>
            <w:vAlign w:val="top"/>
          </w:tcPr>
          <w:p w14:paraId="48FBB00B">
            <w:pPr>
              <w:rPr>
                <w:rFonts w:ascii="Arial"/>
                <w:color w:val="auto"/>
                <w:sz w:val="21"/>
                <w:highlight w:val="none"/>
              </w:rPr>
            </w:pPr>
          </w:p>
        </w:tc>
        <w:tc>
          <w:tcPr>
            <w:tcW w:w="1480" w:type="dxa"/>
            <w:vAlign w:val="top"/>
          </w:tcPr>
          <w:p w14:paraId="3E9AD589">
            <w:pPr>
              <w:rPr>
                <w:rFonts w:ascii="Arial"/>
                <w:color w:val="auto"/>
                <w:sz w:val="21"/>
                <w:highlight w:val="none"/>
              </w:rPr>
            </w:pPr>
          </w:p>
        </w:tc>
        <w:tc>
          <w:tcPr>
            <w:tcW w:w="3455" w:type="dxa"/>
            <w:vAlign w:val="top"/>
          </w:tcPr>
          <w:p w14:paraId="0EC9CF8D">
            <w:pPr>
              <w:pStyle w:val="12"/>
              <w:spacing w:before="67" w:line="234" w:lineRule="auto"/>
              <w:ind w:left="739" w:right="147" w:hanging="572"/>
              <w:rPr>
                <w:color w:val="auto"/>
                <w:highlight w:val="none"/>
              </w:rPr>
            </w:pPr>
            <w:r>
              <w:rPr>
                <w:color w:val="auto"/>
                <w:spacing w:val="9"/>
                <w:highlight w:val="none"/>
              </w:rPr>
              <w:t>《淋浴器用水效率限定值及用水效</w:t>
            </w:r>
            <w:r>
              <w:rPr>
                <w:color w:val="auto"/>
                <w:spacing w:val="7"/>
                <w:highlight w:val="none"/>
              </w:rPr>
              <w:t>率等级》（</w:t>
            </w:r>
            <w:r>
              <w:rPr>
                <w:color w:val="auto"/>
                <w:highlight w:val="none"/>
              </w:rPr>
              <w:t>GB</w:t>
            </w:r>
            <w:r>
              <w:rPr>
                <w:color w:val="auto"/>
                <w:spacing w:val="7"/>
                <w:highlight w:val="none"/>
              </w:rPr>
              <w:t>28378）</w:t>
            </w:r>
          </w:p>
        </w:tc>
      </w:tr>
    </w:tbl>
    <w:p w14:paraId="535171AE">
      <w:pPr>
        <w:spacing w:before="31" w:line="227" w:lineRule="auto"/>
        <w:ind w:left="228"/>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注：1.节能产品认证应依据相关国家标准的最新版本，依据国家标准中二级能</w:t>
      </w:r>
      <w:r>
        <w:rPr>
          <w:rFonts w:ascii="宋体" w:hAnsi="宋体" w:eastAsia="宋体" w:cs="宋体"/>
          <w:color w:val="auto"/>
          <w:spacing w:val="3"/>
          <w:sz w:val="20"/>
          <w:szCs w:val="20"/>
          <w:highlight w:val="none"/>
        </w:rPr>
        <w:t>效（水效）指标。</w:t>
      </w:r>
    </w:p>
    <w:p w14:paraId="6871727A">
      <w:pPr>
        <w:spacing w:before="282" w:line="227" w:lineRule="auto"/>
        <w:ind w:left="69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2.以“★</w:t>
      </w:r>
      <w:r>
        <w:rPr>
          <w:rFonts w:ascii="宋体" w:hAnsi="宋体" w:eastAsia="宋体" w:cs="宋体"/>
          <w:color w:val="auto"/>
          <w:spacing w:val="-60"/>
          <w:sz w:val="20"/>
          <w:szCs w:val="20"/>
          <w:highlight w:val="none"/>
        </w:rPr>
        <w:t xml:space="preserve"> </w:t>
      </w:r>
      <w:r>
        <w:rPr>
          <w:rFonts w:ascii="宋体" w:hAnsi="宋体" w:eastAsia="宋体" w:cs="宋体"/>
          <w:color w:val="auto"/>
          <w:spacing w:val="6"/>
          <w:sz w:val="20"/>
          <w:szCs w:val="20"/>
          <w:highlight w:val="none"/>
        </w:rPr>
        <w:t>”标注的为政府强制采购产品。</w:t>
      </w:r>
    </w:p>
    <w:p w14:paraId="6E0AD0F6">
      <w:pPr>
        <w:spacing w:before="281" w:line="379" w:lineRule="auto"/>
        <w:ind w:left="239" w:firstLine="45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3.本表格原为《关于印发节能产品政府采购品目清单的通知》（财库〔2019〕1</w:t>
      </w:r>
      <w:r>
        <w:rPr>
          <w:rFonts w:ascii="宋体" w:hAnsi="宋体" w:eastAsia="宋体" w:cs="宋体"/>
          <w:color w:val="auto"/>
          <w:spacing w:val="8"/>
          <w:sz w:val="20"/>
          <w:szCs w:val="20"/>
          <w:highlight w:val="none"/>
        </w:rPr>
        <w:t>9</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号）规定</w:t>
      </w:r>
      <w:r>
        <w:rPr>
          <w:rFonts w:ascii="宋体" w:hAnsi="宋体" w:eastAsia="宋体" w:cs="宋体"/>
          <w:color w:val="auto"/>
          <w:spacing w:val="16"/>
          <w:sz w:val="20"/>
          <w:szCs w:val="20"/>
          <w:highlight w:val="none"/>
        </w:rPr>
        <w:t>的表格附件，其中名称及编码已根据《财政部关于印发〈政府采购品目分类目录〉</w:t>
      </w:r>
      <w:r>
        <w:rPr>
          <w:rFonts w:ascii="宋体" w:hAnsi="宋体" w:eastAsia="宋体" w:cs="宋体"/>
          <w:color w:val="auto"/>
          <w:spacing w:val="-44"/>
          <w:sz w:val="20"/>
          <w:szCs w:val="20"/>
          <w:highlight w:val="none"/>
        </w:rPr>
        <w:t xml:space="preserve"> </w:t>
      </w:r>
      <w:r>
        <w:rPr>
          <w:rFonts w:ascii="宋体" w:hAnsi="宋体" w:eastAsia="宋体" w:cs="宋体"/>
          <w:color w:val="auto"/>
          <w:spacing w:val="16"/>
          <w:sz w:val="20"/>
          <w:szCs w:val="20"/>
          <w:highlight w:val="none"/>
        </w:rPr>
        <w:t>的通知》</w:t>
      </w:r>
      <w:r>
        <w:rPr>
          <w:rFonts w:ascii="宋体" w:hAnsi="宋体" w:eastAsia="宋体" w:cs="宋体"/>
          <w:color w:val="auto"/>
          <w:sz w:val="20"/>
          <w:szCs w:val="20"/>
          <w:highlight w:val="none"/>
        </w:rPr>
        <w:t xml:space="preserve"> </w:t>
      </w:r>
      <w:r>
        <w:rPr>
          <w:rFonts w:ascii="宋体" w:hAnsi="宋体" w:eastAsia="宋体" w:cs="宋体"/>
          <w:color w:val="auto"/>
          <w:spacing w:val="5"/>
          <w:sz w:val="20"/>
          <w:szCs w:val="20"/>
          <w:highlight w:val="none"/>
        </w:rPr>
        <w:t>（财库〔2022〕31</w:t>
      </w:r>
      <w:r>
        <w:rPr>
          <w:rFonts w:ascii="宋体" w:hAnsi="宋体" w:eastAsia="宋体" w:cs="宋体"/>
          <w:color w:val="auto"/>
          <w:spacing w:val="-29"/>
          <w:sz w:val="20"/>
          <w:szCs w:val="20"/>
          <w:highlight w:val="none"/>
        </w:rPr>
        <w:t xml:space="preserve"> </w:t>
      </w:r>
      <w:r>
        <w:rPr>
          <w:rFonts w:ascii="宋体" w:hAnsi="宋体" w:eastAsia="宋体" w:cs="宋体"/>
          <w:color w:val="auto"/>
          <w:spacing w:val="5"/>
          <w:sz w:val="20"/>
          <w:szCs w:val="20"/>
          <w:highlight w:val="none"/>
        </w:rPr>
        <w:t>号）修改。</w:t>
      </w:r>
    </w:p>
    <w:p w14:paraId="6A79E6D7">
      <w:pPr>
        <w:spacing w:line="379" w:lineRule="auto"/>
        <w:rPr>
          <w:rFonts w:ascii="宋体" w:hAnsi="宋体" w:eastAsia="宋体" w:cs="宋体"/>
          <w:color w:val="auto"/>
          <w:sz w:val="20"/>
          <w:szCs w:val="20"/>
          <w:highlight w:val="none"/>
        </w:rPr>
        <w:sectPr>
          <w:footerReference r:id="rId32" w:type="default"/>
          <w:pgSz w:w="11910" w:h="16840"/>
          <w:pgMar w:top="1340" w:right="1503" w:bottom="1088" w:left="1459" w:header="0" w:footer="929" w:gutter="0"/>
          <w:pgNumType w:fmt="decimal"/>
          <w:cols w:space="720" w:num="1"/>
        </w:sectPr>
      </w:pPr>
    </w:p>
    <w:p w14:paraId="14BF4E65">
      <w:pPr>
        <w:spacing w:before="64" w:line="230" w:lineRule="auto"/>
        <w:ind w:left="22"/>
        <w:rPr>
          <w:rFonts w:ascii="黑体" w:hAnsi="黑体" w:eastAsia="黑体" w:cs="黑体"/>
          <w:color w:val="auto"/>
          <w:sz w:val="31"/>
          <w:szCs w:val="31"/>
          <w:highlight w:val="none"/>
        </w:rPr>
      </w:pPr>
      <w:r>
        <w:rPr>
          <w:rFonts w:ascii="黑体" w:hAnsi="黑体" w:eastAsia="黑体" w:cs="黑体"/>
          <w:color w:val="auto"/>
          <w:spacing w:val="-5"/>
          <w:sz w:val="31"/>
          <w:szCs w:val="31"/>
          <w:highlight w:val="none"/>
        </w:rPr>
        <w:t>附件</w:t>
      </w:r>
      <w:r>
        <w:rPr>
          <w:rFonts w:ascii="黑体" w:hAnsi="黑体" w:eastAsia="黑体" w:cs="黑体"/>
          <w:color w:val="auto"/>
          <w:spacing w:val="-62"/>
          <w:sz w:val="31"/>
          <w:szCs w:val="31"/>
          <w:highlight w:val="none"/>
        </w:rPr>
        <w:t xml:space="preserve"> </w:t>
      </w:r>
      <w:r>
        <w:rPr>
          <w:rFonts w:ascii="黑体" w:hAnsi="黑体" w:eastAsia="黑体" w:cs="黑体"/>
          <w:color w:val="auto"/>
          <w:spacing w:val="-5"/>
          <w:sz w:val="31"/>
          <w:szCs w:val="31"/>
          <w:highlight w:val="none"/>
        </w:rPr>
        <w:t>2：</w:t>
      </w:r>
    </w:p>
    <w:p w14:paraId="71EC9BCB">
      <w:pPr>
        <w:spacing w:before="22" w:line="221" w:lineRule="auto"/>
        <w:ind w:left="2989"/>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中小企业划型标准规定</w:t>
      </w:r>
    </w:p>
    <w:p w14:paraId="73BE4FE2">
      <w:pPr>
        <w:spacing w:before="137" w:line="228" w:lineRule="auto"/>
        <w:ind w:left="3029"/>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工信部联企业〔2011〕300</w:t>
      </w:r>
      <w:r>
        <w:rPr>
          <w:rFonts w:ascii="宋体" w:hAnsi="宋体" w:eastAsia="宋体" w:cs="宋体"/>
          <w:color w:val="auto"/>
          <w:spacing w:val="-28"/>
          <w:sz w:val="20"/>
          <w:szCs w:val="20"/>
          <w:highlight w:val="none"/>
        </w:rPr>
        <w:t xml:space="preserve"> </w:t>
      </w:r>
      <w:r>
        <w:rPr>
          <w:rFonts w:ascii="宋体" w:hAnsi="宋体" w:eastAsia="宋体" w:cs="宋体"/>
          <w:color w:val="auto"/>
          <w:spacing w:val="6"/>
          <w:sz w:val="20"/>
          <w:szCs w:val="20"/>
          <w:highlight w:val="none"/>
        </w:rPr>
        <w:t>号</w:t>
      </w:r>
    </w:p>
    <w:p w14:paraId="7CDB49E3">
      <w:pPr>
        <w:spacing w:line="440" w:lineRule="auto"/>
        <w:rPr>
          <w:rFonts w:ascii="Arial"/>
          <w:color w:val="auto"/>
          <w:sz w:val="21"/>
          <w:highlight w:val="none"/>
        </w:rPr>
      </w:pPr>
    </w:p>
    <w:p w14:paraId="1EFB8980">
      <w:pPr>
        <w:spacing w:before="65" w:line="251" w:lineRule="auto"/>
        <w:ind w:left="1" w:right="145" w:firstLine="427"/>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一、根据《中华人民共和国中小企业促进法》和</w:t>
      </w:r>
      <w:r>
        <w:rPr>
          <w:rFonts w:ascii="宋体" w:hAnsi="宋体" w:eastAsia="宋体" w:cs="宋体"/>
          <w:color w:val="auto"/>
          <w:spacing w:val="12"/>
          <w:sz w:val="20"/>
          <w:szCs w:val="20"/>
          <w:highlight w:val="none"/>
        </w:rPr>
        <w:t>《国务院关于进一步促进中小企业发展的</w:t>
      </w:r>
      <w:r>
        <w:rPr>
          <w:rFonts w:ascii="宋体" w:hAnsi="宋体" w:eastAsia="宋体" w:cs="宋体"/>
          <w:color w:val="auto"/>
          <w:spacing w:val="5"/>
          <w:sz w:val="20"/>
          <w:szCs w:val="20"/>
          <w:highlight w:val="none"/>
        </w:rPr>
        <w:t>若干意见》</w:t>
      </w:r>
      <w:r>
        <w:rPr>
          <w:rFonts w:ascii="宋体" w:hAnsi="宋体" w:eastAsia="宋体" w:cs="宋体"/>
          <w:color w:val="auto"/>
          <w:spacing w:val="-44"/>
          <w:sz w:val="20"/>
          <w:szCs w:val="20"/>
          <w:highlight w:val="none"/>
        </w:rPr>
        <w:t xml:space="preserve"> </w:t>
      </w:r>
      <w:r>
        <w:rPr>
          <w:rFonts w:ascii="宋体" w:hAnsi="宋体" w:eastAsia="宋体" w:cs="宋体"/>
          <w:color w:val="auto"/>
          <w:spacing w:val="5"/>
          <w:sz w:val="20"/>
          <w:szCs w:val="20"/>
          <w:highlight w:val="none"/>
        </w:rPr>
        <w:t>(国发〔2009〕36</w:t>
      </w:r>
      <w:r>
        <w:rPr>
          <w:rFonts w:ascii="宋体" w:hAnsi="宋体" w:eastAsia="宋体" w:cs="宋体"/>
          <w:color w:val="auto"/>
          <w:spacing w:val="-35"/>
          <w:sz w:val="20"/>
          <w:szCs w:val="20"/>
          <w:highlight w:val="none"/>
        </w:rPr>
        <w:t xml:space="preserve"> </w:t>
      </w:r>
      <w:r>
        <w:rPr>
          <w:rFonts w:ascii="宋体" w:hAnsi="宋体" w:eastAsia="宋体" w:cs="宋体"/>
          <w:color w:val="auto"/>
          <w:spacing w:val="5"/>
          <w:sz w:val="20"/>
          <w:szCs w:val="20"/>
          <w:highlight w:val="none"/>
        </w:rPr>
        <w:t>号)，</w:t>
      </w:r>
      <w:r>
        <w:rPr>
          <w:rFonts w:ascii="宋体" w:hAnsi="宋体" w:eastAsia="宋体" w:cs="宋体"/>
          <w:color w:val="auto"/>
          <w:spacing w:val="4"/>
          <w:sz w:val="20"/>
          <w:szCs w:val="20"/>
          <w:highlight w:val="none"/>
        </w:rPr>
        <w:t>制定本规定。</w:t>
      </w:r>
    </w:p>
    <w:p w14:paraId="4C8753F3">
      <w:pPr>
        <w:spacing w:before="1" w:line="251" w:lineRule="auto"/>
        <w:ind w:left="9" w:right="89" w:firstLine="41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二、中小企业划分为中型、小型、微型三种类型，具体标准根据企业</w:t>
      </w:r>
      <w:r>
        <w:rPr>
          <w:rFonts w:ascii="宋体" w:hAnsi="宋体" w:eastAsia="宋体" w:cs="宋体"/>
          <w:color w:val="auto"/>
          <w:spacing w:val="8"/>
          <w:sz w:val="20"/>
          <w:szCs w:val="20"/>
          <w:highlight w:val="none"/>
        </w:rPr>
        <w:t>从业人员、营业收入、资产总额等指标，结合行业特点制定。</w:t>
      </w:r>
    </w:p>
    <w:p w14:paraId="098D9A40">
      <w:pPr>
        <w:spacing w:before="2" w:line="251" w:lineRule="auto"/>
        <w:ind w:right="105" w:firstLine="425"/>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三、本规定适用的行业包括：农、林、牧、</w:t>
      </w:r>
      <w:r>
        <w:rPr>
          <w:rFonts w:ascii="宋体" w:hAnsi="宋体" w:eastAsia="宋体" w:cs="宋体"/>
          <w:color w:val="auto"/>
          <w:spacing w:val="11"/>
          <w:sz w:val="20"/>
          <w:szCs w:val="20"/>
          <w:highlight w:val="none"/>
        </w:rPr>
        <w:t>渔业，工业（包括采矿业，制造业，</w:t>
      </w:r>
      <w:r>
        <w:rPr>
          <w:rFonts w:ascii="宋体" w:hAnsi="宋体" w:eastAsia="宋体" w:cs="宋体"/>
          <w:color w:val="auto"/>
          <w:spacing w:val="-56"/>
          <w:sz w:val="20"/>
          <w:szCs w:val="20"/>
          <w:highlight w:val="none"/>
        </w:rPr>
        <w:t xml:space="preserve"> </w:t>
      </w:r>
      <w:r>
        <w:rPr>
          <w:rFonts w:ascii="宋体" w:hAnsi="宋体" w:eastAsia="宋体" w:cs="宋体"/>
          <w:color w:val="auto"/>
          <w:spacing w:val="11"/>
          <w:sz w:val="20"/>
          <w:szCs w:val="20"/>
          <w:highlight w:val="none"/>
        </w:rPr>
        <w:t>电力、热</w:t>
      </w:r>
      <w:r>
        <w:rPr>
          <w:rFonts w:ascii="宋体" w:hAnsi="宋体" w:eastAsia="宋体" w:cs="宋体"/>
          <w:color w:val="auto"/>
          <w:spacing w:val="12"/>
          <w:sz w:val="20"/>
          <w:szCs w:val="20"/>
          <w:highlight w:val="none"/>
        </w:rPr>
        <w:t>力、燃气及水生产和供应业</w:t>
      </w:r>
      <w:r>
        <w:rPr>
          <w:rFonts w:ascii="宋体" w:hAnsi="宋体" w:eastAsia="宋体" w:cs="宋体"/>
          <w:color w:val="auto"/>
          <w:spacing w:val="1"/>
          <w:sz w:val="20"/>
          <w:szCs w:val="20"/>
          <w:highlight w:val="none"/>
        </w:rPr>
        <w:t>）</w:t>
      </w:r>
      <w:r>
        <w:rPr>
          <w:rFonts w:ascii="宋体" w:hAnsi="宋体" w:eastAsia="宋体" w:cs="宋体"/>
          <w:color w:val="auto"/>
          <w:spacing w:val="-55"/>
          <w:sz w:val="20"/>
          <w:szCs w:val="20"/>
          <w:highlight w:val="none"/>
        </w:rPr>
        <w:t xml:space="preserve"> </w:t>
      </w:r>
      <w:r>
        <w:rPr>
          <w:rFonts w:ascii="宋体" w:hAnsi="宋体" w:eastAsia="宋体" w:cs="宋体"/>
          <w:color w:val="auto"/>
          <w:spacing w:val="1"/>
          <w:sz w:val="20"/>
          <w:szCs w:val="20"/>
          <w:highlight w:val="none"/>
        </w:rPr>
        <w:t>，</w:t>
      </w:r>
      <w:r>
        <w:rPr>
          <w:rFonts w:ascii="宋体" w:hAnsi="宋体" w:eastAsia="宋体" w:cs="宋体"/>
          <w:color w:val="auto"/>
          <w:spacing w:val="12"/>
          <w:sz w:val="20"/>
          <w:szCs w:val="20"/>
          <w:highlight w:val="none"/>
        </w:rPr>
        <w:t>建筑业，批发业，零售业，交通运输业（不含铁路运输业</w:t>
      </w:r>
      <w:r>
        <w:rPr>
          <w:rFonts w:ascii="宋体" w:hAnsi="宋体" w:eastAsia="宋体" w:cs="宋体"/>
          <w:color w:val="auto"/>
          <w:spacing w:val="1"/>
          <w:sz w:val="20"/>
          <w:szCs w:val="20"/>
          <w:highlight w:val="none"/>
        </w:rPr>
        <w:t>）</w:t>
      </w:r>
      <w:r>
        <w:rPr>
          <w:rFonts w:ascii="宋体" w:hAnsi="宋体" w:eastAsia="宋体" w:cs="宋体"/>
          <w:color w:val="auto"/>
          <w:spacing w:val="-57"/>
          <w:sz w:val="20"/>
          <w:szCs w:val="20"/>
          <w:highlight w:val="none"/>
        </w:rPr>
        <w:t xml:space="preserve"> </w:t>
      </w:r>
      <w:r>
        <w:rPr>
          <w:rFonts w:ascii="宋体" w:hAnsi="宋体" w:eastAsia="宋体" w:cs="宋体"/>
          <w:color w:val="auto"/>
          <w:spacing w:val="1"/>
          <w:sz w:val="20"/>
          <w:szCs w:val="20"/>
          <w:highlight w:val="none"/>
        </w:rPr>
        <w:t>，</w:t>
      </w:r>
      <w:r>
        <w:rPr>
          <w:rFonts w:ascii="宋体" w:hAnsi="宋体" w:eastAsia="宋体" w:cs="宋体"/>
          <w:color w:val="auto"/>
          <w:spacing w:val="12"/>
          <w:sz w:val="20"/>
          <w:szCs w:val="20"/>
          <w:highlight w:val="none"/>
        </w:rPr>
        <w:t>仓储业，邮政业，住宿业，餐饮业，信息传输业（包括电信、互联网和相关服务</w:t>
      </w:r>
      <w:r>
        <w:rPr>
          <w:rFonts w:ascii="宋体" w:hAnsi="宋体" w:eastAsia="宋体" w:cs="宋体"/>
          <w:color w:val="auto"/>
          <w:spacing w:val="4"/>
          <w:sz w:val="20"/>
          <w:szCs w:val="20"/>
          <w:highlight w:val="none"/>
        </w:rPr>
        <w:t>）</w:t>
      </w:r>
      <w:r>
        <w:rPr>
          <w:rFonts w:ascii="宋体" w:hAnsi="宋体" w:eastAsia="宋体" w:cs="宋体"/>
          <w:color w:val="auto"/>
          <w:spacing w:val="-56"/>
          <w:sz w:val="20"/>
          <w:szCs w:val="20"/>
          <w:highlight w:val="none"/>
        </w:rPr>
        <w:t xml:space="preserve"> </w:t>
      </w:r>
      <w:r>
        <w:rPr>
          <w:rFonts w:ascii="宋体" w:hAnsi="宋体" w:eastAsia="宋体" w:cs="宋体"/>
          <w:color w:val="auto"/>
          <w:spacing w:val="4"/>
          <w:sz w:val="20"/>
          <w:szCs w:val="20"/>
          <w:highlight w:val="none"/>
        </w:rPr>
        <w:t>，</w:t>
      </w:r>
      <w:r>
        <w:rPr>
          <w:rFonts w:ascii="宋体" w:hAnsi="宋体" w:eastAsia="宋体" w:cs="宋体"/>
          <w:color w:val="auto"/>
          <w:spacing w:val="12"/>
          <w:sz w:val="20"/>
          <w:szCs w:val="20"/>
          <w:highlight w:val="none"/>
        </w:rPr>
        <w:t>软件和信</w:t>
      </w:r>
      <w:r>
        <w:rPr>
          <w:rFonts w:ascii="宋体" w:hAnsi="宋体" w:eastAsia="宋体" w:cs="宋体"/>
          <w:color w:val="auto"/>
          <w:spacing w:val="13"/>
          <w:sz w:val="20"/>
          <w:szCs w:val="20"/>
          <w:highlight w:val="none"/>
        </w:rPr>
        <w:t>息技术服务业，房地产开发经营，物业管理，租赁和商务服务业</w:t>
      </w:r>
      <w:r>
        <w:rPr>
          <w:rFonts w:ascii="宋体" w:hAnsi="宋体" w:eastAsia="宋体" w:cs="宋体"/>
          <w:color w:val="auto"/>
          <w:spacing w:val="12"/>
          <w:sz w:val="20"/>
          <w:szCs w:val="20"/>
          <w:highlight w:val="none"/>
        </w:rPr>
        <w:t>，其他未列明行业（包括科学</w:t>
      </w:r>
      <w:r>
        <w:rPr>
          <w:rFonts w:ascii="宋体" w:hAnsi="宋体" w:eastAsia="宋体" w:cs="宋体"/>
          <w:color w:val="auto"/>
          <w:spacing w:val="9"/>
          <w:sz w:val="20"/>
          <w:szCs w:val="20"/>
          <w:highlight w:val="none"/>
        </w:rPr>
        <w:t>研究和技术服务业，水利、环境和公共设施管理业</w:t>
      </w:r>
      <w:r>
        <w:rPr>
          <w:rFonts w:ascii="宋体" w:hAnsi="宋体" w:eastAsia="宋体" w:cs="宋体"/>
          <w:color w:val="auto"/>
          <w:spacing w:val="8"/>
          <w:sz w:val="20"/>
          <w:szCs w:val="20"/>
          <w:highlight w:val="none"/>
        </w:rPr>
        <w:t>，居民服务、修理和其他服务业，社会工作，</w:t>
      </w:r>
      <w:r>
        <w:rPr>
          <w:rFonts w:ascii="宋体" w:hAnsi="宋体" w:eastAsia="宋体" w:cs="宋体"/>
          <w:color w:val="auto"/>
          <w:spacing w:val="7"/>
          <w:sz w:val="20"/>
          <w:szCs w:val="20"/>
          <w:highlight w:val="none"/>
        </w:rPr>
        <w:t>文化、体育和娱乐业等）。</w:t>
      </w:r>
    </w:p>
    <w:p w14:paraId="6FCCF141">
      <w:pPr>
        <w:spacing w:before="1" w:line="228" w:lineRule="auto"/>
        <w:ind w:left="44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四、各行业划型标准为：</w:t>
      </w:r>
    </w:p>
    <w:p w14:paraId="655D0639">
      <w:pPr>
        <w:spacing w:before="24" w:line="251" w:lineRule="auto"/>
        <w:ind w:left="5" w:right="143" w:firstLine="43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（一）农、林、牧、渔业。营业收入</w:t>
      </w:r>
      <w:r>
        <w:rPr>
          <w:rFonts w:ascii="宋体" w:hAnsi="宋体" w:eastAsia="宋体" w:cs="宋体"/>
          <w:color w:val="auto"/>
          <w:spacing w:val="-32"/>
          <w:sz w:val="20"/>
          <w:szCs w:val="20"/>
          <w:highlight w:val="none"/>
        </w:rPr>
        <w:t xml:space="preserve"> </w:t>
      </w:r>
      <w:r>
        <w:rPr>
          <w:rFonts w:ascii="宋体" w:hAnsi="宋体" w:eastAsia="宋体" w:cs="宋体"/>
          <w:color w:val="auto"/>
          <w:spacing w:val="11"/>
          <w:sz w:val="20"/>
          <w:szCs w:val="20"/>
          <w:highlight w:val="none"/>
        </w:rPr>
        <w:t>20000</w:t>
      </w:r>
      <w:r>
        <w:rPr>
          <w:rFonts w:ascii="宋体" w:hAnsi="宋体" w:eastAsia="宋体" w:cs="宋体"/>
          <w:color w:val="auto"/>
          <w:spacing w:val="-31"/>
          <w:sz w:val="20"/>
          <w:szCs w:val="20"/>
          <w:highlight w:val="none"/>
        </w:rPr>
        <w:t xml:space="preserve"> </w:t>
      </w:r>
      <w:r>
        <w:rPr>
          <w:rFonts w:ascii="宋体" w:hAnsi="宋体" w:eastAsia="宋体" w:cs="宋体"/>
          <w:color w:val="auto"/>
          <w:spacing w:val="11"/>
          <w:sz w:val="20"/>
          <w:szCs w:val="20"/>
          <w:highlight w:val="none"/>
        </w:rPr>
        <w:t>万元以下的为中小微型企业。其中，</w:t>
      </w:r>
      <w:r>
        <w:rPr>
          <w:rFonts w:ascii="宋体" w:hAnsi="宋体" w:eastAsia="宋体" w:cs="宋体"/>
          <w:color w:val="auto"/>
          <w:spacing w:val="10"/>
          <w:sz w:val="20"/>
          <w:szCs w:val="20"/>
          <w:highlight w:val="none"/>
        </w:rPr>
        <w:t>营业收入</w:t>
      </w:r>
      <w:r>
        <w:rPr>
          <w:rFonts w:ascii="宋体" w:hAnsi="宋体" w:eastAsia="宋体" w:cs="宋体"/>
          <w:color w:val="auto"/>
          <w:spacing w:val="11"/>
          <w:sz w:val="20"/>
          <w:szCs w:val="20"/>
          <w:highlight w:val="none"/>
        </w:rPr>
        <w:t>500</w:t>
      </w:r>
      <w:r>
        <w:rPr>
          <w:rFonts w:ascii="宋体" w:hAnsi="宋体" w:eastAsia="宋体" w:cs="宋体"/>
          <w:color w:val="auto"/>
          <w:spacing w:val="-31"/>
          <w:sz w:val="20"/>
          <w:szCs w:val="20"/>
          <w:highlight w:val="none"/>
        </w:rPr>
        <w:t xml:space="preserve"> </w:t>
      </w:r>
      <w:r>
        <w:rPr>
          <w:rFonts w:ascii="宋体" w:hAnsi="宋体" w:eastAsia="宋体" w:cs="宋体"/>
          <w:color w:val="auto"/>
          <w:spacing w:val="11"/>
          <w:sz w:val="20"/>
          <w:szCs w:val="20"/>
          <w:highlight w:val="none"/>
        </w:rPr>
        <w:t>万元及以上的为中型企业，营业收入</w:t>
      </w:r>
      <w:r>
        <w:rPr>
          <w:rFonts w:ascii="宋体" w:hAnsi="宋体" w:eastAsia="宋体" w:cs="宋体"/>
          <w:color w:val="auto"/>
          <w:spacing w:val="-30"/>
          <w:sz w:val="20"/>
          <w:szCs w:val="20"/>
          <w:highlight w:val="none"/>
        </w:rPr>
        <w:t xml:space="preserve"> </w:t>
      </w:r>
      <w:r>
        <w:rPr>
          <w:rFonts w:ascii="宋体" w:hAnsi="宋体" w:eastAsia="宋体" w:cs="宋体"/>
          <w:color w:val="auto"/>
          <w:spacing w:val="11"/>
          <w:sz w:val="20"/>
          <w:szCs w:val="20"/>
          <w:highlight w:val="none"/>
        </w:rPr>
        <w:t>50</w:t>
      </w:r>
      <w:r>
        <w:rPr>
          <w:rFonts w:ascii="宋体" w:hAnsi="宋体" w:eastAsia="宋体" w:cs="宋体"/>
          <w:color w:val="auto"/>
          <w:spacing w:val="-31"/>
          <w:sz w:val="20"/>
          <w:szCs w:val="20"/>
          <w:highlight w:val="none"/>
        </w:rPr>
        <w:t xml:space="preserve"> </w:t>
      </w:r>
      <w:r>
        <w:rPr>
          <w:rFonts w:ascii="宋体" w:hAnsi="宋体" w:eastAsia="宋体" w:cs="宋体"/>
          <w:color w:val="auto"/>
          <w:spacing w:val="11"/>
          <w:sz w:val="20"/>
          <w:szCs w:val="20"/>
          <w:highlight w:val="none"/>
        </w:rPr>
        <w:t>万元及以上的为小型企业，营业</w:t>
      </w:r>
      <w:r>
        <w:rPr>
          <w:rFonts w:ascii="宋体" w:hAnsi="宋体" w:eastAsia="宋体" w:cs="宋体"/>
          <w:color w:val="auto"/>
          <w:spacing w:val="10"/>
          <w:sz w:val="20"/>
          <w:szCs w:val="20"/>
          <w:highlight w:val="none"/>
        </w:rPr>
        <w:t>收入</w:t>
      </w:r>
      <w:r>
        <w:rPr>
          <w:rFonts w:ascii="宋体" w:hAnsi="宋体" w:eastAsia="宋体" w:cs="宋体"/>
          <w:color w:val="auto"/>
          <w:spacing w:val="-30"/>
          <w:sz w:val="20"/>
          <w:szCs w:val="20"/>
          <w:highlight w:val="none"/>
        </w:rPr>
        <w:t xml:space="preserve"> </w:t>
      </w:r>
      <w:r>
        <w:rPr>
          <w:rFonts w:ascii="宋体" w:hAnsi="宋体" w:eastAsia="宋体" w:cs="宋体"/>
          <w:color w:val="auto"/>
          <w:spacing w:val="10"/>
          <w:sz w:val="20"/>
          <w:szCs w:val="20"/>
          <w:highlight w:val="none"/>
        </w:rPr>
        <w:t>50</w:t>
      </w:r>
      <w:r>
        <w:rPr>
          <w:rFonts w:ascii="宋体" w:hAnsi="宋体" w:eastAsia="宋体" w:cs="宋体"/>
          <w:color w:val="auto"/>
          <w:spacing w:val="-30"/>
          <w:sz w:val="20"/>
          <w:szCs w:val="20"/>
          <w:highlight w:val="none"/>
        </w:rPr>
        <w:t xml:space="preserve"> </w:t>
      </w:r>
      <w:r>
        <w:rPr>
          <w:rFonts w:ascii="宋体" w:hAnsi="宋体" w:eastAsia="宋体" w:cs="宋体"/>
          <w:color w:val="auto"/>
          <w:spacing w:val="10"/>
          <w:sz w:val="20"/>
          <w:szCs w:val="20"/>
          <w:highlight w:val="none"/>
        </w:rPr>
        <w:t>万元以下</w:t>
      </w:r>
      <w:r>
        <w:rPr>
          <w:rFonts w:ascii="宋体" w:hAnsi="宋体" w:eastAsia="宋体" w:cs="宋体"/>
          <w:color w:val="auto"/>
          <w:spacing w:val="6"/>
          <w:sz w:val="20"/>
          <w:szCs w:val="20"/>
          <w:highlight w:val="none"/>
        </w:rPr>
        <w:t>的为微型企业。</w:t>
      </w:r>
    </w:p>
    <w:p w14:paraId="3E0674CC">
      <w:pPr>
        <w:spacing w:line="252" w:lineRule="auto"/>
        <w:ind w:right="143" w:firstLine="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（二）工业。从业人员</w:t>
      </w:r>
      <w:r>
        <w:rPr>
          <w:rFonts w:ascii="宋体" w:hAnsi="宋体" w:eastAsia="宋体" w:cs="宋体"/>
          <w:color w:val="auto"/>
          <w:spacing w:val="-22"/>
          <w:sz w:val="20"/>
          <w:szCs w:val="20"/>
          <w:highlight w:val="none"/>
        </w:rPr>
        <w:t xml:space="preserve"> </w:t>
      </w:r>
      <w:r>
        <w:rPr>
          <w:rFonts w:ascii="宋体" w:hAnsi="宋体" w:eastAsia="宋体" w:cs="宋体"/>
          <w:color w:val="auto"/>
          <w:spacing w:val="9"/>
          <w:sz w:val="20"/>
          <w:szCs w:val="20"/>
          <w:highlight w:val="none"/>
        </w:rPr>
        <w:t>1000</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人以下或营业收入40000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万元以下的为中小微</w:t>
      </w:r>
      <w:r>
        <w:rPr>
          <w:rFonts w:ascii="宋体" w:hAnsi="宋体" w:eastAsia="宋体" w:cs="宋体"/>
          <w:color w:val="auto"/>
          <w:spacing w:val="8"/>
          <w:sz w:val="20"/>
          <w:szCs w:val="20"/>
          <w:highlight w:val="none"/>
        </w:rPr>
        <w:t>型企业。其中，</w:t>
      </w:r>
      <w:r>
        <w:rPr>
          <w:rFonts w:ascii="宋体" w:hAnsi="宋体" w:eastAsia="宋体" w:cs="宋体"/>
          <w:color w:val="auto"/>
          <w:spacing w:val="10"/>
          <w:sz w:val="20"/>
          <w:szCs w:val="20"/>
          <w:highlight w:val="none"/>
        </w:rPr>
        <w:t>从业人员</w:t>
      </w:r>
      <w:r>
        <w:rPr>
          <w:rFonts w:ascii="宋体" w:hAnsi="宋体" w:eastAsia="宋体" w:cs="宋体"/>
          <w:color w:val="auto"/>
          <w:spacing w:val="-33"/>
          <w:sz w:val="20"/>
          <w:szCs w:val="20"/>
          <w:highlight w:val="none"/>
        </w:rPr>
        <w:t xml:space="preserve"> </w:t>
      </w:r>
      <w:r>
        <w:rPr>
          <w:rFonts w:ascii="宋体" w:hAnsi="宋体" w:eastAsia="宋体" w:cs="宋体"/>
          <w:color w:val="auto"/>
          <w:spacing w:val="10"/>
          <w:sz w:val="20"/>
          <w:szCs w:val="20"/>
          <w:highlight w:val="none"/>
        </w:rPr>
        <w:t>300</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人及以上，且营业收入</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2000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10"/>
          <w:sz w:val="20"/>
          <w:szCs w:val="20"/>
          <w:highlight w:val="none"/>
        </w:rPr>
        <w:t>万元</w:t>
      </w:r>
      <w:r>
        <w:rPr>
          <w:rFonts w:ascii="宋体" w:hAnsi="宋体" w:eastAsia="宋体" w:cs="宋体"/>
          <w:color w:val="auto"/>
          <w:spacing w:val="9"/>
          <w:sz w:val="20"/>
          <w:szCs w:val="20"/>
          <w:highlight w:val="none"/>
        </w:rPr>
        <w:t>及以上的为中型企业；从业人员</w:t>
      </w:r>
      <w:r>
        <w:rPr>
          <w:rFonts w:ascii="宋体" w:hAnsi="宋体" w:eastAsia="宋体" w:cs="宋体"/>
          <w:color w:val="auto"/>
          <w:spacing w:val="-32"/>
          <w:sz w:val="20"/>
          <w:szCs w:val="20"/>
          <w:highlight w:val="none"/>
        </w:rPr>
        <w:t xml:space="preserve"> </w:t>
      </w:r>
      <w:r>
        <w:rPr>
          <w:rFonts w:ascii="宋体" w:hAnsi="宋体" w:eastAsia="宋体" w:cs="宋体"/>
          <w:color w:val="auto"/>
          <w:spacing w:val="9"/>
          <w:sz w:val="20"/>
          <w:szCs w:val="20"/>
          <w:highlight w:val="none"/>
        </w:rPr>
        <w:t>20</w:t>
      </w:r>
      <w:r>
        <w:rPr>
          <w:rFonts w:ascii="宋体" w:hAnsi="宋体" w:eastAsia="宋体" w:cs="宋体"/>
          <w:color w:val="auto"/>
          <w:spacing w:val="-34"/>
          <w:sz w:val="20"/>
          <w:szCs w:val="20"/>
          <w:highlight w:val="none"/>
        </w:rPr>
        <w:t xml:space="preserve"> </w:t>
      </w:r>
      <w:r>
        <w:rPr>
          <w:rFonts w:ascii="宋体" w:hAnsi="宋体" w:eastAsia="宋体" w:cs="宋体"/>
          <w:color w:val="auto"/>
          <w:spacing w:val="9"/>
          <w:sz w:val="20"/>
          <w:szCs w:val="20"/>
          <w:highlight w:val="none"/>
        </w:rPr>
        <w:t>人及以上，</w:t>
      </w:r>
      <w:r>
        <w:rPr>
          <w:rFonts w:ascii="宋体" w:hAnsi="宋体" w:eastAsia="宋体" w:cs="宋体"/>
          <w:color w:val="auto"/>
          <w:spacing w:val="8"/>
          <w:sz w:val="20"/>
          <w:szCs w:val="20"/>
          <w:highlight w:val="none"/>
        </w:rPr>
        <w:t>且营业收入</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300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万元及以上的为小型企业；从业</w:t>
      </w:r>
      <w:r>
        <w:rPr>
          <w:rFonts w:ascii="宋体" w:hAnsi="宋体" w:eastAsia="宋体" w:cs="宋体"/>
          <w:color w:val="auto"/>
          <w:spacing w:val="7"/>
          <w:sz w:val="20"/>
          <w:szCs w:val="20"/>
          <w:highlight w:val="none"/>
        </w:rPr>
        <w:t>人员</w:t>
      </w:r>
      <w:r>
        <w:rPr>
          <w:rFonts w:ascii="宋体" w:hAnsi="宋体" w:eastAsia="宋体" w:cs="宋体"/>
          <w:color w:val="auto"/>
          <w:spacing w:val="-34"/>
          <w:sz w:val="20"/>
          <w:szCs w:val="20"/>
          <w:highlight w:val="none"/>
        </w:rPr>
        <w:t xml:space="preserve"> </w:t>
      </w:r>
      <w:r>
        <w:rPr>
          <w:rFonts w:ascii="宋体" w:hAnsi="宋体" w:eastAsia="宋体" w:cs="宋体"/>
          <w:color w:val="auto"/>
          <w:spacing w:val="7"/>
          <w:sz w:val="20"/>
          <w:szCs w:val="20"/>
          <w:highlight w:val="none"/>
        </w:rPr>
        <w:t>20</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人以下或营业收入</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万元以下的为微</w:t>
      </w:r>
      <w:r>
        <w:rPr>
          <w:rFonts w:ascii="宋体" w:hAnsi="宋体" w:eastAsia="宋体" w:cs="宋体"/>
          <w:color w:val="auto"/>
          <w:spacing w:val="5"/>
          <w:sz w:val="20"/>
          <w:szCs w:val="20"/>
          <w:highlight w:val="none"/>
        </w:rPr>
        <w:t>型企业。</w:t>
      </w:r>
    </w:p>
    <w:p w14:paraId="315A62AB">
      <w:pPr>
        <w:spacing w:before="4" w:line="250" w:lineRule="auto"/>
        <w:ind w:left="1" w:right="143" w:firstLine="43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（三）建筑业。营业收入</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80000</w:t>
      </w:r>
      <w:r>
        <w:rPr>
          <w:rFonts w:ascii="宋体" w:hAnsi="宋体" w:eastAsia="宋体" w:cs="宋体"/>
          <w:color w:val="auto"/>
          <w:spacing w:val="-31"/>
          <w:sz w:val="20"/>
          <w:szCs w:val="20"/>
          <w:highlight w:val="none"/>
        </w:rPr>
        <w:t xml:space="preserve"> </w:t>
      </w:r>
      <w:r>
        <w:rPr>
          <w:rFonts w:ascii="宋体" w:hAnsi="宋体" w:eastAsia="宋体" w:cs="宋体"/>
          <w:color w:val="auto"/>
          <w:spacing w:val="10"/>
          <w:sz w:val="20"/>
          <w:szCs w:val="20"/>
          <w:highlight w:val="none"/>
        </w:rPr>
        <w:t>万元以下或资产总额</w:t>
      </w:r>
      <w:r>
        <w:rPr>
          <w:rFonts w:ascii="宋体" w:hAnsi="宋体" w:eastAsia="宋体" w:cs="宋体"/>
          <w:color w:val="auto"/>
          <w:spacing w:val="-33"/>
          <w:sz w:val="20"/>
          <w:szCs w:val="20"/>
          <w:highlight w:val="none"/>
        </w:rPr>
        <w:t xml:space="preserve"> </w:t>
      </w:r>
      <w:r>
        <w:rPr>
          <w:rFonts w:ascii="宋体" w:hAnsi="宋体" w:eastAsia="宋体" w:cs="宋体"/>
          <w:color w:val="auto"/>
          <w:spacing w:val="10"/>
          <w:sz w:val="20"/>
          <w:szCs w:val="20"/>
          <w:highlight w:val="none"/>
        </w:rPr>
        <w:t>8</w:t>
      </w:r>
      <w:r>
        <w:rPr>
          <w:rFonts w:ascii="宋体" w:hAnsi="宋体" w:eastAsia="宋体" w:cs="宋体"/>
          <w:color w:val="auto"/>
          <w:spacing w:val="9"/>
          <w:sz w:val="20"/>
          <w:szCs w:val="20"/>
          <w:highlight w:val="none"/>
        </w:rPr>
        <w:t>0000</w:t>
      </w:r>
      <w:r>
        <w:rPr>
          <w:rFonts w:ascii="宋体" w:hAnsi="宋体" w:eastAsia="宋体" w:cs="宋体"/>
          <w:color w:val="auto"/>
          <w:spacing w:val="-31"/>
          <w:sz w:val="20"/>
          <w:szCs w:val="20"/>
          <w:highlight w:val="none"/>
        </w:rPr>
        <w:t xml:space="preserve"> </w:t>
      </w:r>
      <w:r>
        <w:rPr>
          <w:rFonts w:ascii="宋体" w:hAnsi="宋体" w:eastAsia="宋体" w:cs="宋体"/>
          <w:color w:val="auto"/>
          <w:spacing w:val="9"/>
          <w:sz w:val="20"/>
          <w:szCs w:val="20"/>
          <w:highlight w:val="none"/>
        </w:rPr>
        <w:t>万元以下的为中小微型企业。</w:t>
      </w:r>
      <w:r>
        <w:rPr>
          <w:rFonts w:ascii="宋体" w:hAnsi="宋体" w:eastAsia="宋体" w:cs="宋体"/>
          <w:color w:val="auto"/>
          <w:spacing w:val="11"/>
          <w:sz w:val="20"/>
          <w:szCs w:val="20"/>
          <w:highlight w:val="none"/>
        </w:rPr>
        <w:t>其中，营业收入</w:t>
      </w:r>
      <w:r>
        <w:rPr>
          <w:rFonts w:ascii="宋体" w:hAnsi="宋体" w:eastAsia="宋体" w:cs="宋体"/>
          <w:color w:val="auto"/>
          <w:spacing w:val="-33"/>
          <w:sz w:val="20"/>
          <w:szCs w:val="20"/>
          <w:highlight w:val="none"/>
        </w:rPr>
        <w:t xml:space="preserve"> </w:t>
      </w:r>
      <w:r>
        <w:rPr>
          <w:rFonts w:ascii="宋体" w:hAnsi="宋体" w:eastAsia="宋体" w:cs="宋体"/>
          <w:color w:val="auto"/>
          <w:spacing w:val="11"/>
          <w:sz w:val="20"/>
          <w:szCs w:val="20"/>
          <w:highlight w:val="none"/>
        </w:rPr>
        <w:t>6000</w:t>
      </w:r>
      <w:r>
        <w:rPr>
          <w:rFonts w:ascii="宋体" w:hAnsi="宋体" w:eastAsia="宋体" w:cs="宋体"/>
          <w:color w:val="auto"/>
          <w:spacing w:val="-30"/>
          <w:sz w:val="20"/>
          <w:szCs w:val="20"/>
          <w:highlight w:val="none"/>
        </w:rPr>
        <w:t xml:space="preserve"> </w:t>
      </w:r>
      <w:r>
        <w:rPr>
          <w:rFonts w:ascii="宋体" w:hAnsi="宋体" w:eastAsia="宋体" w:cs="宋体"/>
          <w:color w:val="auto"/>
          <w:spacing w:val="11"/>
          <w:sz w:val="20"/>
          <w:szCs w:val="20"/>
          <w:highlight w:val="none"/>
        </w:rPr>
        <w:t>万元及以上，且资</w:t>
      </w:r>
      <w:r>
        <w:rPr>
          <w:rFonts w:ascii="宋体" w:hAnsi="宋体" w:eastAsia="宋体" w:cs="宋体"/>
          <w:color w:val="auto"/>
          <w:spacing w:val="10"/>
          <w:sz w:val="20"/>
          <w:szCs w:val="20"/>
          <w:highlight w:val="none"/>
        </w:rPr>
        <w:t>产总额</w:t>
      </w:r>
      <w:r>
        <w:rPr>
          <w:rFonts w:ascii="宋体" w:hAnsi="宋体" w:eastAsia="宋体" w:cs="宋体"/>
          <w:color w:val="auto"/>
          <w:spacing w:val="-30"/>
          <w:sz w:val="20"/>
          <w:szCs w:val="20"/>
          <w:highlight w:val="none"/>
        </w:rPr>
        <w:t xml:space="preserve"> </w:t>
      </w:r>
      <w:r>
        <w:rPr>
          <w:rFonts w:ascii="宋体" w:hAnsi="宋体" w:eastAsia="宋体" w:cs="宋体"/>
          <w:color w:val="auto"/>
          <w:spacing w:val="10"/>
          <w:sz w:val="20"/>
          <w:szCs w:val="20"/>
          <w:highlight w:val="none"/>
        </w:rPr>
        <w:t>5000</w:t>
      </w:r>
      <w:r>
        <w:rPr>
          <w:rFonts w:ascii="宋体" w:hAnsi="宋体" w:eastAsia="宋体" w:cs="宋体"/>
          <w:color w:val="auto"/>
          <w:spacing w:val="-31"/>
          <w:sz w:val="20"/>
          <w:szCs w:val="20"/>
          <w:highlight w:val="none"/>
        </w:rPr>
        <w:t xml:space="preserve"> </w:t>
      </w:r>
      <w:r>
        <w:rPr>
          <w:rFonts w:ascii="宋体" w:hAnsi="宋体" w:eastAsia="宋体" w:cs="宋体"/>
          <w:color w:val="auto"/>
          <w:spacing w:val="10"/>
          <w:sz w:val="20"/>
          <w:szCs w:val="20"/>
          <w:highlight w:val="none"/>
        </w:rPr>
        <w:t>万元及以上的为中型企业；营业收入</w:t>
      </w:r>
      <w:r>
        <w:rPr>
          <w:rFonts w:ascii="宋体" w:hAnsi="宋体" w:eastAsia="宋体" w:cs="宋体"/>
          <w:color w:val="auto"/>
          <w:spacing w:val="-28"/>
          <w:sz w:val="20"/>
          <w:szCs w:val="20"/>
          <w:highlight w:val="none"/>
        </w:rPr>
        <w:t xml:space="preserve"> </w:t>
      </w:r>
      <w:r>
        <w:rPr>
          <w:rFonts w:ascii="宋体" w:hAnsi="宋体" w:eastAsia="宋体" w:cs="宋体"/>
          <w:color w:val="auto"/>
          <w:spacing w:val="10"/>
          <w:sz w:val="20"/>
          <w:szCs w:val="20"/>
          <w:highlight w:val="none"/>
        </w:rPr>
        <w:t>300</w:t>
      </w:r>
      <w:r>
        <w:rPr>
          <w:rFonts w:ascii="宋体" w:hAnsi="宋体" w:eastAsia="宋体" w:cs="宋体"/>
          <w:color w:val="auto"/>
          <w:spacing w:val="14"/>
          <w:sz w:val="20"/>
          <w:szCs w:val="20"/>
          <w:highlight w:val="none"/>
        </w:rPr>
        <w:t>万元及以上，且资产总额</w:t>
      </w:r>
      <w:r>
        <w:rPr>
          <w:rFonts w:ascii="宋体" w:hAnsi="宋体" w:eastAsia="宋体" w:cs="宋体"/>
          <w:color w:val="auto"/>
          <w:spacing w:val="-26"/>
          <w:sz w:val="20"/>
          <w:szCs w:val="20"/>
          <w:highlight w:val="none"/>
        </w:rPr>
        <w:t xml:space="preserve"> </w:t>
      </w:r>
      <w:r>
        <w:rPr>
          <w:rFonts w:ascii="宋体" w:hAnsi="宋体" w:eastAsia="宋体" w:cs="宋体"/>
          <w:color w:val="auto"/>
          <w:spacing w:val="14"/>
          <w:sz w:val="20"/>
          <w:szCs w:val="20"/>
          <w:highlight w:val="none"/>
        </w:rPr>
        <w:t>300</w:t>
      </w:r>
      <w:r>
        <w:rPr>
          <w:rFonts w:ascii="宋体" w:hAnsi="宋体" w:eastAsia="宋体" w:cs="宋体"/>
          <w:color w:val="auto"/>
          <w:spacing w:val="-25"/>
          <w:sz w:val="20"/>
          <w:szCs w:val="20"/>
          <w:highlight w:val="none"/>
        </w:rPr>
        <w:t xml:space="preserve"> </w:t>
      </w:r>
      <w:r>
        <w:rPr>
          <w:rFonts w:ascii="宋体" w:hAnsi="宋体" w:eastAsia="宋体" w:cs="宋体"/>
          <w:color w:val="auto"/>
          <w:spacing w:val="14"/>
          <w:sz w:val="20"/>
          <w:szCs w:val="20"/>
          <w:highlight w:val="none"/>
        </w:rPr>
        <w:t>万元及以上的为小型企业；</w:t>
      </w:r>
      <w:r>
        <w:rPr>
          <w:rFonts w:ascii="宋体" w:hAnsi="宋体" w:eastAsia="宋体" w:cs="宋体"/>
          <w:color w:val="auto"/>
          <w:spacing w:val="-55"/>
          <w:sz w:val="20"/>
          <w:szCs w:val="20"/>
          <w:highlight w:val="none"/>
        </w:rPr>
        <w:t xml:space="preserve"> </w:t>
      </w:r>
      <w:r>
        <w:rPr>
          <w:rFonts w:ascii="宋体" w:hAnsi="宋体" w:eastAsia="宋体" w:cs="宋体"/>
          <w:color w:val="auto"/>
          <w:spacing w:val="14"/>
          <w:sz w:val="20"/>
          <w:szCs w:val="20"/>
          <w:highlight w:val="none"/>
        </w:rPr>
        <w:t>营业收入</w:t>
      </w:r>
      <w:r>
        <w:rPr>
          <w:rFonts w:ascii="宋体" w:hAnsi="宋体" w:eastAsia="宋体" w:cs="宋体"/>
          <w:color w:val="auto"/>
          <w:spacing w:val="-26"/>
          <w:sz w:val="20"/>
          <w:szCs w:val="20"/>
          <w:highlight w:val="none"/>
        </w:rPr>
        <w:t xml:space="preserve"> </w:t>
      </w:r>
      <w:r>
        <w:rPr>
          <w:rFonts w:ascii="宋体" w:hAnsi="宋体" w:eastAsia="宋体" w:cs="宋体"/>
          <w:color w:val="auto"/>
          <w:spacing w:val="13"/>
          <w:sz w:val="20"/>
          <w:szCs w:val="20"/>
          <w:highlight w:val="none"/>
        </w:rPr>
        <w:t>300</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万元以下或资产总额</w:t>
      </w:r>
      <w:r>
        <w:rPr>
          <w:rFonts w:ascii="宋体" w:hAnsi="宋体" w:eastAsia="宋体" w:cs="宋体"/>
          <w:color w:val="auto"/>
          <w:spacing w:val="6"/>
          <w:sz w:val="20"/>
          <w:szCs w:val="20"/>
          <w:highlight w:val="none"/>
        </w:rPr>
        <w:t>300</w:t>
      </w:r>
      <w:r>
        <w:rPr>
          <w:rFonts w:ascii="宋体" w:hAnsi="宋体" w:eastAsia="宋体" w:cs="宋体"/>
          <w:color w:val="auto"/>
          <w:spacing w:val="-30"/>
          <w:sz w:val="20"/>
          <w:szCs w:val="20"/>
          <w:highlight w:val="none"/>
        </w:rPr>
        <w:t xml:space="preserve"> </w:t>
      </w:r>
      <w:r>
        <w:rPr>
          <w:rFonts w:ascii="宋体" w:hAnsi="宋体" w:eastAsia="宋体" w:cs="宋体"/>
          <w:color w:val="auto"/>
          <w:spacing w:val="6"/>
          <w:sz w:val="20"/>
          <w:szCs w:val="20"/>
          <w:highlight w:val="none"/>
        </w:rPr>
        <w:t>万元以下的为微型企业。</w:t>
      </w:r>
    </w:p>
    <w:p w14:paraId="7C1722F8">
      <w:pPr>
        <w:spacing w:before="2" w:line="251" w:lineRule="auto"/>
        <w:ind w:left="3" w:right="105" w:firstLine="42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（四）批发业。从业人员</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200</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人以下或营业收入40000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万元以下的为中</w:t>
      </w:r>
      <w:r>
        <w:rPr>
          <w:rFonts w:ascii="宋体" w:hAnsi="宋体" w:eastAsia="宋体" w:cs="宋体"/>
          <w:color w:val="auto"/>
          <w:spacing w:val="7"/>
          <w:sz w:val="20"/>
          <w:szCs w:val="20"/>
          <w:highlight w:val="none"/>
        </w:rPr>
        <w:t>小微型企业。其中，</w:t>
      </w:r>
      <w:r>
        <w:rPr>
          <w:rFonts w:ascii="宋体" w:hAnsi="宋体" w:eastAsia="宋体" w:cs="宋体"/>
          <w:color w:val="auto"/>
          <w:spacing w:val="10"/>
          <w:sz w:val="20"/>
          <w:szCs w:val="20"/>
          <w:highlight w:val="none"/>
        </w:rPr>
        <w:t>从业人员</w:t>
      </w:r>
      <w:r>
        <w:rPr>
          <w:rFonts w:ascii="宋体" w:hAnsi="宋体" w:eastAsia="宋体" w:cs="宋体"/>
          <w:color w:val="auto"/>
          <w:spacing w:val="-32"/>
          <w:sz w:val="20"/>
          <w:szCs w:val="20"/>
          <w:highlight w:val="none"/>
        </w:rPr>
        <w:t xml:space="preserve"> </w:t>
      </w:r>
      <w:r>
        <w:rPr>
          <w:rFonts w:ascii="宋体" w:hAnsi="宋体" w:eastAsia="宋体" w:cs="宋体"/>
          <w:color w:val="auto"/>
          <w:spacing w:val="10"/>
          <w:sz w:val="20"/>
          <w:szCs w:val="20"/>
          <w:highlight w:val="none"/>
        </w:rPr>
        <w:t>20</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人及以上，且营业收入</w:t>
      </w:r>
      <w:r>
        <w:rPr>
          <w:rFonts w:ascii="宋体" w:hAnsi="宋体" w:eastAsia="宋体" w:cs="宋体"/>
          <w:color w:val="auto"/>
          <w:spacing w:val="-31"/>
          <w:sz w:val="20"/>
          <w:szCs w:val="20"/>
          <w:highlight w:val="none"/>
        </w:rPr>
        <w:t xml:space="preserve"> </w:t>
      </w:r>
      <w:r>
        <w:rPr>
          <w:rFonts w:ascii="宋体" w:hAnsi="宋体" w:eastAsia="宋体" w:cs="宋体"/>
          <w:color w:val="auto"/>
          <w:spacing w:val="10"/>
          <w:sz w:val="20"/>
          <w:szCs w:val="20"/>
          <w:highlight w:val="none"/>
        </w:rPr>
        <w:t>5000</w:t>
      </w:r>
      <w:r>
        <w:rPr>
          <w:rFonts w:ascii="宋体" w:hAnsi="宋体" w:eastAsia="宋体" w:cs="宋体"/>
          <w:color w:val="auto"/>
          <w:spacing w:val="-30"/>
          <w:sz w:val="20"/>
          <w:szCs w:val="20"/>
          <w:highlight w:val="none"/>
        </w:rPr>
        <w:t xml:space="preserve"> </w:t>
      </w:r>
      <w:r>
        <w:rPr>
          <w:rFonts w:ascii="宋体" w:hAnsi="宋体" w:eastAsia="宋体" w:cs="宋体"/>
          <w:color w:val="auto"/>
          <w:spacing w:val="10"/>
          <w:sz w:val="20"/>
          <w:szCs w:val="20"/>
          <w:highlight w:val="none"/>
        </w:rPr>
        <w:t>万元及</w:t>
      </w:r>
      <w:r>
        <w:rPr>
          <w:rFonts w:ascii="宋体" w:hAnsi="宋体" w:eastAsia="宋体" w:cs="宋体"/>
          <w:color w:val="auto"/>
          <w:spacing w:val="9"/>
          <w:sz w:val="20"/>
          <w:szCs w:val="20"/>
          <w:highlight w:val="none"/>
        </w:rPr>
        <w:t>以上的为中型企业；从业人员</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5</w:t>
      </w:r>
      <w:r>
        <w:rPr>
          <w:rFonts w:ascii="宋体" w:hAnsi="宋体" w:eastAsia="宋体" w:cs="宋体"/>
          <w:color w:val="auto"/>
          <w:spacing w:val="-34"/>
          <w:sz w:val="20"/>
          <w:szCs w:val="20"/>
          <w:highlight w:val="none"/>
        </w:rPr>
        <w:t xml:space="preserve"> </w:t>
      </w:r>
      <w:r>
        <w:rPr>
          <w:rFonts w:ascii="宋体" w:hAnsi="宋体" w:eastAsia="宋体" w:cs="宋体"/>
          <w:color w:val="auto"/>
          <w:spacing w:val="9"/>
          <w:sz w:val="20"/>
          <w:szCs w:val="20"/>
          <w:highlight w:val="none"/>
        </w:rPr>
        <w:t>人及以上，且营业收入</w:t>
      </w:r>
      <w:r>
        <w:rPr>
          <w:rFonts w:ascii="宋体" w:hAnsi="宋体" w:eastAsia="宋体" w:cs="宋体"/>
          <w:color w:val="auto"/>
          <w:spacing w:val="-21"/>
          <w:sz w:val="20"/>
          <w:szCs w:val="20"/>
          <w:highlight w:val="none"/>
        </w:rPr>
        <w:t xml:space="preserve"> </w:t>
      </w:r>
      <w:r>
        <w:rPr>
          <w:rFonts w:ascii="宋体" w:hAnsi="宋体" w:eastAsia="宋体" w:cs="宋体"/>
          <w:color w:val="auto"/>
          <w:spacing w:val="9"/>
          <w:sz w:val="20"/>
          <w:szCs w:val="20"/>
          <w:highlight w:val="none"/>
        </w:rPr>
        <w:t>1000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万元及以上的为小型企业；从业人员</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5</w:t>
      </w:r>
      <w:r>
        <w:rPr>
          <w:rFonts w:ascii="宋体" w:hAnsi="宋体" w:eastAsia="宋体" w:cs="宋体"/>
          <w:color w:val="auto"/>
          <w:spacing w:val="-34"/>
          <w:sz w:val="20"/>
          <w:szCs w:val="20"/>
          <w:highlight w:val="none"/>
        </w:rPr>
        <w:t xml:space="preserve"> </w:t>
      </w:r>
      <w:r>
        <w:rPr>
          <w:rFonts w:ascii="宋体" w:hAnsi="宋体" w:eastAsia="宋体" w:cs="宋体"/>
          <w:color w:val="auto"/>
          <w:spacing w:val="9"/>
          <w:sz w:val="20"/>
          <w:szCs w:val="20"/>
          <w:highlight w:val="none"/>
        </w:rPr>
        <w:t>人以下或营业收入</w:t>
      </w:r>
      <w:r>
        <w:rPr>
          <w:rFonts w:ascii="宋体" w:hAnsi="宋体" w:eastAsia="宋体" w:cs="宋体"/>
          <w:color w:val="auto"/>
          <w:spacing w:val="-22"/>
          <w:sz w:val="20"/>
          <w:szCs w:val="20"/>
          <w:highlight w:val="none"/>
        </w:rPr>
        <w:t xml:space="preserve"> </w:t>
      </w:r>
      <w:r>
        <w:rPr>
          <w:rFonts w:ascii="宋体" w:hAnsi="宋体" w:eastAsia="宋体" w:cs="宋体"/>
          <w:color w:val="auto"/>
          <w:spacing w:val="9"/>
          <w:sz w:val="20"/>
          <w:szCs w:val="20"/>
          <w:highlight w:val="none"/>
        </w:rPr>
        <w:t>10</w:t>
      </w:r>
      <w:r>
        <w:rPr>
          <w:rFonts w:ascii="宋体" w:hAnsi="宋体" w:eastAsia="宋体" w:cs="宋体"/>
          <w:color w:val="auto"/>
          <w:spacing w:val="8"/>
          <w:sz w:val="20"/>
          <w:szCs w:val="20"/>
          <w:highlight w:val="none"/>
        </w:rPr>
        <w:t>00</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万元以下的为微</w:t>
      </w:r>
      <w:r>
        <w:rPr>
          <w:rFonts w:ascii="宋体" w:hAnsi="宋体" w:eastAsia="宋体" w:cs="宋体"/>
          <w:color w:val="auto"/>
          <w:spacing w:val="4"/>
          <w:sz w:val="20"/>
          <w:szCs w:val="20"/>
          <w:highlight w:val="none"/>
        </w:rPr>
        <w:t>型企业。</w:t>
      </w:r>
    </w:p>
    <w:p w14:paraId="29C46463">
      <w:pPr>
        <w:spacing w:before="1" w:line="251" w:lineRule="auto"/>
        <w:ind w:left="3" w:right="105" w:firstLine="42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（五）零售业。从业人员</w:t>
      </w:r>
      <w:r>
        <w:rPr>
          <w:rFonts w:ascii="宋体" w:hAnsi="宋体" w:eastAsia="宋体" w:cs="宋体"/>
          <w:color w:val="auto"/>
          <w:spacing w:val="-25"/>
          <w:sz w:val="20"/>
          <w:szCs w:val="20"/>
          <w:highlight w:val="none"/>
        </w:rPr>
        <w:t xml:space="preserve"> </w:t>
      </w:r>
      <w:r>
        <w:rPr>
          <w:rFonts w:ascii="宋体" w:hAnsi="宋体" w:eastAsia="宋体" w:cs="宋体"/>
          <w:color w:val="auto"/>
          <w:spacing w:val="6"/>
          <w:sz w:val="20"/>
          <w:szCs w:val="20"/>
          <w:highlight w:val="none"/>
        </w:rPr>
        <w:t>300</w:t>
      </w:r>
      <w:r>
        <w:rPr>
          <w:rFonts w:ascii="宋体" w:hAnsi="宋体" w:eastAsia="宋体" w:cs="宋体"/>
          <w:color w:val="auto"/>
          <w:spacing w:val="-39"/>
          <w:sz w:val="20"/>
          <w:szCs w:val="20"/>
          <w:highlight w:val="none"/>
        </w:rPr>
        <w:t xml:space="preserve"> </w:t>
      </w:r>
      <w:r>
        <w:rPr>
          <w:rFonts w:ascii="宋体" w:hAnsi="宋体" w:eastAsia="宋体" w:cs="宋体"/>
          <w:color w:val="auto"/>
          <w:spacing w:val="6"/>
          <w:sz w:val="20"/>
          <w:szCs w:val="20"/>
          <w:highlight w:val="none"/>
        </w:rPr>
        <w:t>人以下或营业收入</w:t>
      </w:r>
      <w:r>
        <w:rPr>
          <w:rFonts w:ascii="宋体" w:hAnsi="宋体" w:eastAsia="宋体" w:cs="宋体"/>
          <w:color w:val="auto"/>
          <w:spacing w:val="-34"/>
          <w:sz w:val="20"/>
          <w:szCs w:val="20"/>
          <w:highlight w:val="none"/>
        </w:rPr>
        <w:t xml:space="preserve"> </w:t>
      </w:r>
      <w:r>
        <w:rPr>
          <w:rFonts w:ascii="宋体" w:hAnsi="宋体" w:eastAsia="宋体" w:cs="宋体"/>
          <w:color w:val="auto"/>
          <w:spacing w:val="6"/>
          <w:sz w:val="20"/>
          <w:szCs w:val="20"/>
          <w:highlight w:val="none"/>
        </w:rPr>
        <w:t>20000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6"/>
          <w:sz w:val="20"/>
          <w:szCs w:val="20"/>
          <w:highlight w:val="none"/>
        </w:rPr>
        <w:t>万元以下的为中小微型企业。其中，</w:t>
      </w:r>
      <w:r>
        <w:rPr>
          <w:rFonts w:ascii="宋体" w:hAnsi="宋体" w:eastAsia="宋体" w:cs="宋体"/>
          <w:color w:val="auto"/>
          <w:spacing w:val="9"/>
          <w:sz w:val="20"/>
          <w:szCs w:val="20"/>
          <w:highlight w:val="none"/>
        </w:rPr>
        <w:t>从业人员</w:t>
      </w:r>
      <w:r>
        <w:rPr>
          <w:rFonts w:ascii="宋体" w:hAnsi="宋体" w:eastAsia="宋体" w:cs="宋体"/>
          <w:color w:val="auto"/>
          <w:spacing w:val="-20"/>
          <w:sz w:val="20"/>
          <w:szCs w:val="20"/>
          <w:highlight w:val="none"/>
        </w:rPr>
        <w:t xml:space="preserve"> </w:t>
      </w:r>
      <w:r>
        <w:rPr>
          <w:rFonts w:ascii="宋体" w:hAnsi="宋体" w:eastAsia="宋体" w:cs="宋体"/>
          <w:color w:val="auto"/>
          <w:spacing w:val="9"/>
          <w:sz w:val="20"/>
          <w:szCs w:val="20"/>
          <w:highlight w:val="none"/>
        </w:rPr>
        <w:t>50</w:t>
      </w:r>
      <w:r>
        <w:rPr>
          <w:rFonts w:ascii="宋体" w:hAnsi="宋体" w:eastAsia="宋体" w:cs="宋体"/>
          <w:color w:val="auto"/>
          <w:spacing w:val="-37"/>
          <w:sz w:val="20"/>
          <w:szCs w:val="20"/>
          <w:highlight w:val="none"/>
        </w:rPr>
        <w:t xml:space="preserve"> </w:t>
      </w:r>
      <w:r>
        <w:rPr>
          <w:rFonts w:ascii="宋体" w:hAnsi="宋体" w:eastAsia="宋体" w:cs="宋体"/>
          <w:color w:val="auto"/>
          <w:spacing w:val="9"/>
          <w:sz w:val="20"/>
          <w:szCs w:val="20"/>
          <w:highlight w:val="none"/>
        </w:rPr>
        <w:t>人及以上，且营业收入</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500</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万元及以上的为中型企业；从业人员</w:t>
      </w:r>
      <w:r>
        <w:rPr>
          <w:rFonts w:ascii="宋体" w:hAnsi="宋体" w:eastAsia="宋体" w:cs="宋体"/>
          <w:color w:val="auto"/>
          <w:spacing w:val="-19"/>
          <w:sz w:val="20"/>
          <w:szCs w:val="20"/>
          <w:highlight w:val="none"/>
        </w:rPr>
        <w:t xml:space="preserve"> </w:t>
      </w:r>
      <w:r>
        <w:rPr>
          <w:rFonts w:ascii="宋体" w:hAnsi="宋体" w:eastAsia="宋体" w:cs="宋体"/>
          <w:color w:val="auto"/>
          <w:spacing w:val="9"/>
          <w:sz w:val="20"/>
          <w:szCs w:val="20"/>
          <w:highlight w:val="none"/>
        </w:rPr>
        <w:t>10</w:t>
      </w:r>
      <w:r>
        <w:rPr>
          <w:rFonts w:ascii="宋体" w:hAnsi="宋体" w:eastAsia="宋体" w:cs="宋体"/>
          <w:color w:val="auto"/>
          <w:spacing w:val="-34"/>
          <w:sz w:val="20"/>
          <w:szCs w:val="20"/>
          <w:highlight w:val="none"/>
        </w:rPr>
        <w:t xml:space="preserve"> </w:t>
      </w:r>
      <w:r>
        <w:rPr>
          <w:rFonts w:ascii="宋体" w:hAnsi="宋体" w:eastAsia="宋体" w:cs="宋体"/>
          <w:color w:val="auto"/>
          <w:spacing w:val="9"/>
          <w:sz w:val="20"/>
          <w:szCs w:val="20"/>
          <w:highlight w:val="none"/>
        </w:rPr>
        <w:t>人及以上，且</w:t>
      </w:r>
      <w:r>
        <w:rPr>
          <w:rFonts w:ascii="宋体" w:hAnsi="宋体" w:eastAsia="宋体" w:cs="宋体"/>
          <w:color w:val="auto"/>
          <w:spacing w:val="7"/>
          <w:sz w:val="20"/>
          <w:szCs w:val="20"/>
          <w:highlight w:val="none"/>
        </w:rPr>
        <w:t>营业收入</w:t>
      </w:r>
      <w:r>
        <w:rPr>
          <w:rFonts w:ascii="宋体" w:hAnsi="宋体" w:eastAsia="宋体" w:cs="宋体"/>
          <w:color w:val="auto"/>
          <w:spacing w:val="-23"/>
          <w:sz w:val="20"/>
          <w:szCs w:val="20"/>
          <w:highlight w:val="none"/>
        </w:rPr>
        <w:t xml:space="preserve"> </w:t>
      </w:r>
      <w:r>
        <w:rPr>
          <w:rFonts w:ascii="宋体" w:hAnsi="宋体" w:eastAsia="宋体" w:cs="宋体"/>
          <w:color w:val="auto"/>
          <w:spacing w:val="7"/>
          <w:sz w:val="20"/>
          <w:szCs w:val="20"/>
          <w:highlight w:val="none"/>
        </w:rPr>
        <w:t>100</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万元及以上的为小型企业；从业人员</w:t>
      </w:r>
      <w:r>
        <w:rPr>
          <w:rFonts w:ascii="宋体" w:hAnsi="宋体" w:eastAsia="宋体" w:cs="宋体"/>
          <w:color w:val="auto"/>
          <w:spacing w:val="-21"/>
          <w:sz w:val="20"/>
          <w:szCs w:val="20"/>
          <w:highlight w:val="none"/>
        </w:rPr>
        <w:t xml:space="preserve"> </w:t>
      </w:r>
      <w:r>
        <w:rPr>
          <w:rFonts w:ascii="宋体" w:hAnsi="宋体" w:eastAsia="宋体" w:cs="宋体"/>
          <w:color w:val="auto"/>
          <w:spacing w:val="7"/>
          <w:sz w:val="20"/>
          <w:szCs w:val="20"/>
          <w:highlight w:val="none"/>
        </w:rPr>
        <w:t>10</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人以下</w:t>
      </w:r>
      <w:r>
        <w:rPr>
          <w:rFonts w:ascii="宋体" w:hAnsi="宋体" w:eastAsia="宋体" w:cs="宋体"/>
          <w:color w:val="auto"/>
          <w:spacing w:val="6"/>
          <w:sz w:val="20"/>
          <w:szCs w:val="20"/>
          <w:highlight w:val="none"/>
        </w:rPr>
        <w:t>或营业收入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6"/>
          <w:sz w:val="20"/>
          <w:szCs w:val="20"/>
          <w:highlight w:val="none"/>
        </w:rPr>
        <w:t>100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6"/>
          <w:sz w:val="20"/>
          <w:szCs w:val="20"/>
          <w:highlight w:val="none"/>
        </w:rPr>
        <w:t>万元以下的为微型</w:t>
      </w:r>
      <w:r>
        <w:rPr>
          <w:rFonts w:ascii="宋体" w:hAnsi="宋体" w:eastAsia="宋体" w:cs="宋体"/>
          <w:color w:val="auto"/>
          <w:spacing w:val="2"/>
          <w:sz w:val="20"/>
          <w:szCs w:val="20"/>
          <w:highlight w:val="none"/>
        </w:rPr>
        <w:t>企业。</w:t>
      </w:r>
    </w:p>
    <w:p w14:paraId="0B365FD4">
      <w:pPr>
        <w:spacing w:before="2" w:line="251" w:lineRule="auto"/>
        <w:ind w:left="1" w:right="143" w:firstLine="429"/>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（六）交通运输业。从业人员</w:t>
      </w:r>
      <w:r>
        <w:rPr>
          <w:rFonts w:ascii="宋体" w:hAnsi="宋体" w:eastAsia="宋体" w:cs="宋体"/>
          <w:color w:val="auto"/>
          <w:spacing w:val="-8"/>
          <w:sz w:val="20"/>
          <w:szCs w:val="20"/>
          <w:highlight w:val="none"/>
        </w:rPr>
        <w:t xml:space="preserve"> </w:t>
      </w:r>
      <w:r>
        <w:rPr>
          <w:rFonts w:ascii="宋体" w:hAnsi="宋体" w:eastAsia="宋体" w:cs="宋体"/>
          <w:color w:val="auto"/>
          <w:spacing w:val="7"/>
          <w:sz w:val="20"/>
          <w:szCs w:val="20"/>
          <w:highlight w:val="none"/>
        </w:rPr>
        <w:t>1000</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人以下或营业收入</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30000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万元以下的为中小微型企业。</w:t>
      </w:r>
      <w:r>
        <w:rPr>
          <w:rFonts w:ascii="宋体" w:hAnsi="宋体" w:eastAsia="宋体" w:cs="宋体"/>
          <w:color w:val="auto"/>
          <w:spacing w:val="10"/>
          <w:sz w:val="20"/>
          <w:szCs w:val="20"/>
          <w:highlight w:val="none"/>
        </w:rPr>
        <w:t>其中，从业人员</w:t>
      </w:r>
      <w:r>
        <w:rPr>
          <w:rFonts w:ascii="宋体" w:hAnsi="宋体" w:eastAsia="宋体" w:cs="宋体"/>
          <w:color w:val="auto"/>
          <w:spacing w:val="-30"/>
          <w:sz w:val="20"/>
          <w:szCs w:val="20"/>
          <w:highlight w:val="none"/>
        </w:rPr>
        <w:t xml:space="preserve"> </w:t>
      </w:r>
      <w:r>
        <w:rPr>
          <w:rFonts w:ascii="宋体" w:hAnsi="宋体" w:eastAsia="宋体" w:cs="宋体"/>
          <w:color w:val="auto"/>
          <w:spacing w:val="10"/>
          <w:sz w:val="20"/>
          <w:szCs w:val="20"/>
          <w:highlight w:val="none"/>
        </w:rPr>
        <w:t>300</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人及以上，且营业收入</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3000</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万元及以上的为中型企业；从业人员</w:t>
      </w:r>
      <w:r>
        <w:rPr>
          <w:rFonts w:ascii="宋体" w:hAnsi="宋体" w:eastAsia="宋体" w:cs="宋体"/>
          <w:color w:val="auto"/>
          <w:spacing w:val="-35"/>
          <w:sz w:val="20"/>
          <w:szCs w:val="20"/>
          <w:highlight w:val="none"/>
        </w:rPr>
        <w:t xml:space="preserve"> </w:t>
      </w:r>
      <w:r>
        <w:rPr>
          <w:rFonts w:ascii="宋体" w:hAnsi="宋体" w:eastAsia="宋体" w:cs="宋体"/>
          <w:color w:val="auto"/>
          <w:spacing w:val="9"/>
          <w:sz w:val="20"/>
          <w:szCs w:val="20"/>
          <w:highlight w:val="none"/>
        </w:rPr>
        <w:t>20</w:t>
      </w:r>
      <w:r>
        <w:rPr>
          <w:rFonts w:ascii="宋体" w:hAnsi="宋体" w:eastAsia="宋体" w:cs="宋体"/>
          <w:color w:val="auto"/>
          <w:spacing w:val="-34"/>
          <w:sz w:val="20"/>
          <w:szCs w:val="20"/>
          <w:highlight w:val="none"/>
        </w:rPr>
        <w:t xml:space="preserve"> </w:t>
      </w:r>
      <w:r>
        <w:rPr>
          <w:rFonts w:ascii="宋体" w:hAnsi="宋体" w:eastAsia="宋体" w:cs="宋体"/>
          <w:color w:val="auto"/>
          <w:spacing w:val="9"/>
          <w:sz w:val="20"/>
          <w:szCs w:val="20"/>
          <w:highlight w:val="none"/>
        </w:rPr>
        <w:t>人及</w:t>
      </w:r>
      <w:r>
        <w:rPr>
          <w:rFonts w:ascii="宋体" w:hAnsi="宋体" w:eastAsia="宋体" w:cs="宋体"/>
          <w:color w:val="auto"/>
          <w:spacing w:val="8"/>
          <w:sz w:val="20"/>
          <w:szCs w:val="20"/>
          <w:highlight w:val="none"/>
        </w:rPr>
        <w:t>以上，且营业收入</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200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万元及以上的为小型企业；从业</w:t>
      </w:r>
      <w:r>
        <w:rPr>
          <w:rFonts w:ascii="宋体" w:hAnsi="宋体" w:eastAsia="宋体" w:cs="宋体"/>
          <w:color w:val="auto"/>
          <w:spacing w:val="7"/>
          <w:sz w:val="20"/>
          <w:szCs w:val="20"/>
          <w:highlight w:val="none"/>
        </w:rPr>
        <w:t>人员</w:t>
      </w:r>
      <w:r>
        <w:rPr>
          <w:rFonts w:ascii="宋体" w:hAnsi="宋体" w:eastAsia="宋体" w:cs="宋体"/>
          <w:color w:val="auto"/>
          <w:spacing w:val="-34"/>
          <w:sz w:val="20"/>
          <w:szCs w:val="20"/>
          <w:highlight w:val="none"/>
        </w:rPr>
        <w:t xml:space="preserve"> </w:t>
      </w:r>
      <w:r>
        <w:rPr>
          <w:rFonts w:ascii="宋体" w:hAnsi="宋体" w:eastAsia="宋体" w:cs="宋体"/>
          <w:color w:val="auto"/>
          <w:spacing w:val="7"/>
          <w:sz w:val="20"/>
          <w:szCs w:val="20"/>
          <w:highlight w:val="none"/>
        </w:rPr>
        <w:t>20</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人以下或营业收入</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200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万元以下</w:t>
      </w:r>
      <w:r>
        <w:rPr>
          <w:rFonts w:ascii="宋体" w:hAnsi="宋体" w:eastAsia="宋体" w:cs="宋体"/>
          <w:color w:val="auto"/>
          <w:spacing w:val="6"/>
          <w:sz w:val="20"/>
          <w:szCs w:val="20"/>
          <w:highlight w:val="none"/>
        </w:rPr>
        <w:t>的为微型企业。</w:t>
      </w:r>
    </w:p>
    <w:p w14:paraId="2BFAE71A">
      <w:pPr>
        <w:spacing w:before="2" w:line="251" w:lineRule="auto"/>
        <w:ind w:right="105" w:firstLine="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（七）仓储业。从业人员</w:t>
      </w:r>
      <w:r>
        <w:rPr>
          <w:rFonts w:ascii="宋体" w:hAnsi="宋体" w:eastAsia="宋体" w:cs="宋体"/>
          <w:color w:val="auto"/>
          <w:spacing w:val="-27"/>
          <w:sz w:val="20"/>
          <w:szCs w:val="20"/>
          <w:highlight w:val="none"/>
        </w:rPr>
        <w:t xml:space="preserve"> </w:t>
      </w:r>
      <w:r>
        <w:rPr>
          <w:rFonts w:ascii="宋体" w:hAnsi="宋体" w:eastAsia="宋体" w:cs="宋体"/>
          <w:color w:val="auto"/>
          <w:spacing w:val="6"/>
          <w:sz w:val="20"/>
          <w:szCs w:val="20"/>
          <w:highlight w:val="none"/>
        </w:rPr>
        <w:t>200</w:t>
      </w:r>
      <w:r>
        <w:rPr>
          <w:rFonts w:ascii="宋体" w:hAnsi="宋体" w:eastAsia="宋体" w:cs="宋体"/>
          <w:color w:val="auto"/>
          <w:spacing w:val="-39"/>
          <w:sz w:val="20"/>
          <w:szCs w:val="20"/>
          <w:highlight w:val="none"/>
        </w:rPr>
        <w:t xml:space="preserve"> </w:t>
      </w:r>
      <w:r>
        <w:rPr>
          <w:rFonts w:ascii="宋体" w:hAnsi="宋体" w:eastAsia="宋体" w:cs="宋体"/>
          <w:color w:val="auto"/>
          <w:spacing w:val="6"/>
          <w:sz w:val="20"/>
          <w:szCs w:val="20"/>
          <w:highlight w:val="none"/>
        </w:rPr>
        <w:t>人以下或营业收入</w:t>
      </w:r>
      <w:r>
        <w:rPr>
          <w:rFonts w:ascii="宋体" w:hAnsi="宋体" w:eastAsia="宋体" w:cs="宋体"/>
          <w:color w:val="auto"/>
          <w:spacing w:val="-32"/>
          <w:sz w:val="20"/>
          <w:szCs w:val="20"/>
          <w:highlight w:val="none"/>
        </w:rPr>
        <w:t xml:space="preserve"> </w:t>
      </w:r>
      <w:r>
        <w:rPr>
          <w:rFonts w:ascii="宋体" w:hAnsi="宋体" w:eastAsia="宋体" w:cs="宋体"/>
          <w:color w:val="auto"/>
          <w:spacing w:val="6"/>
          <w:sz w:val="20"/>
          <w:szCs w:val="20"/>
          <w:highlight w:val="none"/>
        </w:rPr>
        <w:t>30000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6"/>
          <w:sz w:val="20"/>
          <w:szCs w:val="20"/>
          <w:highlight w:val="none"/>
        </w:rPr>
        <w:t>万元以下的为中小微型企业。其中，</w:t>
      </w:r>
      <w:r>
        <w:rPr>
          <w:rFonts w:ascii="宋体" w:hAnsi="宋体" w:eastAsia="宋体" w:cs="宋体"/>
          <w:color w:val="auto"/>
          <w:spacing w:val="9"/>
          <w:sz w:val="20"/>
          <w:szCs w:val="20"/>
          <w:highlight w:val="none"/>
        </w:rPr>
        <w:t>从业人员</w:t>
      </w:r>
      <w:r>
        <w:rPr>
          <w:rFonts w:ascii="宋体" w:hAnsi="宋体" w:eastAsia="宋体" w:cs="宋体"/>
          <w:color w:val="auto"/>
          <w:spacing w:val="-7"/>
          <w:sz w:val="20"/>
          <w:szCs w:val="20"/>
          <w:highlight w:val="none"/>
        </w:rPr>
        <w:t xml:space="preserve"> </w:t>
      </w:r>
      <w:r>
        <w:rPr>
          <w:rFonts w:ascii="宋体" w:hAnsi="宋体" w:eastAsia="宋体" w:cs="宋体"/>
          <w:color w:val="auto"/>
          <w:spacing w:val="9"/>
          <w:sz w:val="20"/>
          <w:szCs w:val="20"/>
          <w:highlight w:val="none"/>
        </w:rPr>
        <w:t>100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人及以上，且营业收入</w:t>
      </w:r>
      <w:r>
        <w:rPr>
          <w:rFonts w:ascii="宋体" w:hAnsi="宋体" w:eastAsia="宋体" w:cs="宋体"/>
          <w:color w:val="auto"/>
          <w:spacing w:val="-22"/>
          <w:sz w:val="20"/>
          <w:szCs w:val="20"/>
          <w:highlight w:val="none"/>
        </w:rPr>
        <w:t xml:space="preserve"> </w:t>
      </w:r>
      <w:r>
        <w:rPr>
          <w:rFonts w:ascii="宋体" w:hAnsi="宋体" w:eastAsia="宋体" w:cs="宋体"/>
          <w:color w:val="auto"/>
          <w:spacing w:val="9"/>
          <w:sz w:val="20"/>
          <w:szCs w:val="20"/>
          <w:highlight w:val="none"/>
        </w:rPr>
        <w:t>1000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万元及以上的为中型企业；从业人员</w:t>
      </w:r>
      <w:r>
        <w:rPr>
          <w:rFonts w:ascii="宋体" w:hAnsi="宋体" w:eastAsia="宋体" w:cs="宋体"/>
          <w:color w:val="auto"/>
          <w:spacing w:val="-32"/>
          <w:sz w:val="20"/>
          <w:szCs w:val="20"/>
          <w:highlight w:val="none"/>
        </w:rPr>
        <w:t xml:space="preserve"> </w:t>
      </w:r>
      <w:r>
        <w:rPr>
          <w:rFonts w:ascii="宋体" w:hAnsi="宋体" w:eastAsia="宋体" w:cs="宋体"/>
          <w:color w:val="auto"/>
          <w:spacing w:val="9"/>
          <w:sz w:val="20"/>
          <w:szCs w:val="20"/>
          <w:highlight w:val="none"/>
        </w:rPr>
        <w:t>20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人及以上，</w:t>
      </w:r>
      <w:r>
        <w:rPr>
          <w:rFonts w:ascii="宋体" w:hAnsi="宋体" w:eastAsia="宋体" w:cs="宋体"/>
          <w:color w:val="auto"/>
          <w:spacing w:val="7"/>
          <w:sz w:val="20"/>
          <w:szCs w:val="20"/>
          <w:highlight w:val="none"/>
        </w:rPr>
        <w:t>且营业收入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万元及以上的为小型企业；从业人员</w:t>
      </w:r>
      <w:r>
        <w:rPr>
          <w:rFonts w:ascii="宋体" w:hAnsi="宋体" w:eastAsia="宋体" w:cs="宋体"/>
          <w:color w:val="auto"/>
          <w:spacing w:val="-34"/>
          <w:sz w:val="20"/>
          <w:szCs w:val="20"/>
          <w:highlight w:val="none"/>
        </w:rPr>
        <w:t xml:space="preserve"> </w:t>
      </w:r>
      <w:r>
        <w:rPr>
          <w:rFonts w:ascii="宋体" w:hAnsi="宋体" w:eastAsia="宋体" w:cs="宋体"/>
          <w:color w:val="auto"/>
          <w:spacing w:val="7"/>
          <w:sz w:val="20"/>
          <w:szCs w:val="20"/>
          <w:highlight w:val="none"/>
        </w:rPr>
        <w:t>20</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人以下或营业收入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万元以下的为微</w:t>
      </w:r>
      <w:r>
        <w:rPr>
          <w:rFonts w:ascii="宋体" w:hAnsi="宋体" w:eastAsia="宋体" w:cs="宋体"/>
          <w:color w:val="auto"/>
          <w:spacing w:val="5"/>
          <w:sz w:val="20"/>
          <w:szCs w:val="20"/>
          <w:highlight w:val="none"/>
        </w:rPr>
        <w:t>型企业。</w:t>
      </w:r>
    </w:p>
    <w:p w14:paraId="24B61349">
      <w:pPr>
        <w:spacing w:before="1" w:line="251" w:lineRule="auto"/>
        <w:ind w:left="3" w:firstLine="42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（八）邮政业。从业人员</w:t>
      </w:r>
      <w:r>
        <w:rPr>
          <w:rFonts w:ascii="宋体" w:hAnsi="宋体" w:eastAsia="宋体" w:cs="宋体"/>
          <w:color w:val="auto"/>
          <w:spacing w:val="-23"/>
          <w:sz w:val="20"/>
          <w:szCs w:val="20"/>
          <w:highlight w:val="none"/>
        </w:rPr>
        <w:t xml:space="preserve"> </w:t>
      </w:r>
      <w:r>
        <w:rPr>
          <w:rFonts w:ascii="宋体" w:hAnsi="宋体" w:eastAsia="宋体" w:cs="宋体"/>
          <w:color w:val="auto"/>
          <w:spacing w:val="6"/>
          <w:sz w:val="20"/>
          <w:szCs w:val="20"/>
          <w:highlight w:val="none"/>
        </w:rPr>
        <w:t>1000</w:t>
      </w:r>
      <w:r>
        <w:rPr>
          <w:rFonts w:ascii="宋体" w:hAnsi="宋体" w:eastAsia="宋体" w:cs="宋体"/>
          <w:color w:val="auto"/>
          <w:spacing w:val="-39"/>
          <w:sz w:val="20"/>
          <w:szCs w:val="20"/>
          <w:highlight w:val="none"/>
        </w:rPr>
        <w:t xml:space="preserve"> </w:t>
      </w:r>
      <w:r>
        <w:rPr>
          <w:rFonts w:ascii="宋体" w:hAnsi="宋体" w:eastAsia="宋体" w:cs="宋体"/>
          <w:color w:val="auto"/>
          <w:spacing w:val="6"/>
          <w:sz w:val="20"/>
          <w:szCs w:val="20"/>
          <w:highlight w:val="none"/>
        </w:rPr>
        <w:t>人以下或营业收入</w:t>
      </w:r>
      <w:r>
        <w:rPr>
          <w:rFonts w:ascii="宋体" w:hAnsi="宋体" w:eastAsia="宋体" w:cs="宋体"/>
          <w:color w:val="auto"/>
          <w:spacing w:val="-33"/>
          <w:sz w:val="20"/>
          <w:szCs w:val="20"/>
          <w:highlight w:val="none"/>
        </w:rPr>
        <w:t xml:space="preserve"> </w:t>
      </w:r>
      <w:r>
        <w:rPr>
          <w:rFonts w:ascii="宋体" w:hAnsi="宋体" w:eastAsia="宋体" w:cs="宋体"/>
          <w:color w:val="auto"/>
          <w:spacing w:val="6"/>
          <w:sz w:val="20"/>
          <w:szCs w:val="20"/>
          <w:highlight w:val="none"/>
        </w:rPr>
        <w:t>30000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6"/>
          <w:sz w:val="20"/>
          <w:szCs w:val="20"/>
          <w:highlight w:val="none"/>
        </w:rPr>
        <w:t>万元以下的为中小微型企业</w:t>
      </w:r>
      <w:r>
        <w:rPr>
          <w:rFonts w:ascii="宋体" w:hAnsi="宋体" w:eastAsia="宋体" w:cs="宋体"/>
          <w:color w:val="auto"/>
          <w:spacing w:val="5"/>
          <w:sz w:val="20"/>
          <w:szCs w:val="20"/>
          <w:highlight w:val="none"/>
        </w:rPr>
        <w:t>。其中，</w:t>
      </w:r>
      <w:r>
        <w:rPr>
          <w:rFonts w:ascii="宋体" w:hAnsi="宋体" w:eastAsia="宋体" w:cs="宋体"/>
          <w:color w:val="auto"/>
          <w:spacing w:val="9"/>
          <w:sz w:val="20"/>
          <w:szCs w:val="20"/>
          <w:highlight w:val="none"/>
        </w:rPr>
        <w:t>从业人员</w:t>
      </w:r>
      <w:r>
        <w:rPr>
          <w:rFonts w:ascii="宋体" w:hAnsi="宋体" w:eastAsia="宋体" w:cs="宋体"/>
          <w:color w:val="auto"/>
          <w:spacing w:val="-24"/>
          <w:sz w:val="20"/>
          <w:szCs w:val="20"/>
          <w:highlight w:val="none"/>
        </w:rPr>
        <w:t xml:space="preserve"> </w:t>
      </w:r>
      <w:r>
        <w:rPr>
          <w:rFonts w:ascii="宋体" w:hAnsi="宋体" w:eastAsia="宋体" w:cs="宋体"/>
          <w:color w:val="auto"/>
          <w:spacing w:val="9"/>
          <w:sz w:val="20"/>
          <w:szCs w:val="20"/>
          <w:highlight w:val="none"/>
        </w:rPr>
        <w:t>300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人及以上，且营业收入</w:t>
      </w:r>
      <w:r>
        <w:rPr>
          <w:rFonts w:ascii="宋体" w:hAnsi="宋体" w:eastAsia="宋体" w:cs="宋体"/>
          <w:color w:val="auto"/>
          <w:spacing w:val="-35"/>
          <w:sz w:val="20"/>
          <w:szCs w:val="20"/>
          <w:highlight w:val="none"/>
        </w:rPr>
        <w:t xml:space="preserve"> </w:t>
      </w:r>
      <w:r>
        <w:rPr>
          <w:rFonts w:ascii="宋体" w:hAnsi="宋体" w:eastAsia="宋体" w:cs="宋体"/>
          <w:color w:val="auto"/>
          <w:spacing w:val="9"/>
          <w:sz w:val="20"/>
          <w:szCs w:val="20"/>
          <w:highlight w:val="none"/>
        </w:rPr>
        <w:t>2000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万元及以上的为中型企业；从业人员</w:t>
      </w:r>
      <w:r>
        <w:rPr>
          <w:rFonts w:ascii="宋体" w:hAnsi="宋体" w:eastAsia="宋体" w:cs="宋体"/>
          <w:color w:val="auto"/>
          <w:spacing w:val="-32"/>
          <w:sz w:val="20"/>
          <w:szCs w:val="20"/>
          <w:highlight w:val="none"/>
        </w:rPr>
        <w:t xml:space="preserve"> </w:t>
      </w:r>
      <w:r>
        <w:rPr>
          <w:rFonts w:ascii="宋体" w:hAnsi="宋体" w:eastAsia="宋体" w:cs="宋体"/>
          <w:color w:val="auto"/>
          <w:spacing w:val="9"/>
          <w:sz w:val="20"/>
          <w:szCs w:val="20"/>
          <w:highlight w:val="none"/>
        </w:rPr>
        <w:t>20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人及以上，</w:t>
      </w:r>
    </w:p>
    <w:p w14:paraId="7AC4B750">
      <w:pPr>
        <w:spacing w:before="1" w:line="251" w:lineRule="auto"/>
        <w:ind w:left="6" w:right="143" w:hanging="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且营业收入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万元及以上的为小型企业；从业人员</w:t>
      </w:r>
      <w:r>
        <w:rPr>
          <w:rFonts w:ascii="宋体" w:hAnsi="宋体" w:eastAsia="宋体" w:cs="宋体"/>
          <w:color w:val="auto"/>
          <w:spacing w:val="-34"/>
          <w:sz w:val="20"/>
          <w:szCs w:val="20"/>
          <w:highlight w:val="none"/>
        </w:rPr>
        <w:t xml:space="preserve"> </w:t>
      </w:r>
      <w:r>
        <w:rPr>
          <w:rFonts w:ascii="宋体" w:hAnsi="宋体" w:eastAsia="宋体" w:cs="宋体"/>
          <w:color w:val="auto"/>
          <w:spacing w:val="7"/>
          <w:sz w:val="20"/>
          <w:szCs w:val="20"/>
          <w:highlight w:val="none"/>
        </w:rPr>
        <w:t>20</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人以下或营业收入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万元以下的为微</w:t>
      </w:r>
      <w:r>
        <w:rPr>
          <w:rFonts w:ascii="宋体" w:hAnsi="宋体" w:eastAsia="宋体" w:cs="宋体"/>
          <w:color w:val="auto"/>
          <w:spacing w:val="3"/>
          <w:sz w:val="20"/>
          <w:szCs w:val="20"/>
          <w:highlight w:val="none"/>
        </w:rPr>
        <w:t>型企业。</w:t>
      </w:r>
    </w:p>
    <w:p w14:paraId="212672F6">
      <w:pPr>
        <w:spacing w:before="4" w:line="253" w:lineRule="auto"/>
        <w:ind w:right="105" w:firstLine="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（九）住宿业。从业人员</w:t>
      </w:r>
      <w:r>
        <w:rPr>
          <w:rFonts w:ascii="宋体" w:hAnsi="宋体" w:eastAsia="宋体" w:cs="宋体"/>
          <w:color w:val="auto"/>
          <w:spacing w:val="-35"/>
          <w:sz w:val="20"/>
          <w:szCs w:val="20"/>
          <w:highlight w:val="none"/>
        </w:rPr>
        <w:t xml:space="preserve"> </w:t>
      </w:r>
      <w:r>
        <w:rPr>
          <w:rFonts w:ascii="宋体" w:hAnsi="宋体" w:eastAsia="宋体" w:cs="宋体"/>
          <w:color w:val="auto"/>
          <w:spacing w:val="6"/>
          <w:sz w:val="20"/>
          <w:szCs w:val="20"/>
          <w:highlight w:val="none"/>
        </w:rPr>
        <w:t>300</w:t>
      </w:r>
      <w:r>
        <w:rPr>
          <w:rFonts w:ascii="宋体" w:hAnsi="宋体" w:eastAsia="宋体" w:cs="宋体"/>
          <w:color w:val="auto"/>
          <w:spacing w:val="-39"/>
          <w:sz w:val="20"/>
          <w:szCs w:val="20"/>
          <w:highlight w:val="none"/>
        </w:rPr>
        <w:t xml:space="preserve"> </w:t>
      </w:r>
      <w:r>
        <w:rPr>
          <w:rFonts w:ascii="宋体" w:hAnsi="宋体" w:eastAsia="宋体" w:cs="宋体"/>
          <w:color w:val="auto"/>
          <w:spacing w:val="6"/>
          <w:sz w:val="20"/>
          <w:szCs w:val="20"/>
          <w:highlight w:val="none"/>
        </w:rPr>
        <w:t>人以下或营业收入</w:t>
      </w:r>
      <w:r>
        <w:rPr>
          <w:rFonts w:ascii="宋体" w:hAnsi="宋体" w:eastAsia="宋体" w:cs="宋体"/>
          <w:color w:val="auto"/>
          <w:spacing w:val="-21"/>
          <w:sz w:val="20"/>
          <w:szCs w:val="20"/>
          <w:highlight w:val="none"/>
        </w:rPr>
        <w:t xml:space="preserve"> </w:t>
      </w:r>
      <w:r>
        <w:rPr>
          <w:rFonts w:ascii="宋体" w:hAnsi="宋体" w:eastAsia="宋体" w:cs="宋体"/>
          <w:color w:val="auto"/>
          <w:spacing w:val="6"/>
          <w:sz w:val="20"/>
          <w:szCs w:val="20"/>
          <w:highlight w:val="none"/>
        </w:rPr>
        <w:t>10000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6"/>
          <w:sz w:val="20"/>
          <w:szCs w:val="20"/>
          <w:highlight w:val="none"/>
        </w:rPr>
        <w:t>万元以下的为中小微型企业。</w:t>
      </w:r>
      <w:r>
        <w:rPr>
          <w:rFonts w:ascii="宋体" w:hAnsi="宋体" w:eastAsia="宋体" w:cs="宋体"/>
          <w:color w:val="auto"/>
          <w:spacing w:val="5"/>
          <w:sz w:val="20"/>
          <w:szCs w:val="20"/>
          <w:highlight w:val="none"/>
        </w:rPr>
        <w:t>其中，</w:t>
      </w:r>
      <w:r>
        <w:rPr>
          <w:rFonts w:ascii="宋体" w:hAnsi="宋体" w:eastAsia="宋体" w:cs="宋体"/>
          <w:color w:val="auto"/>
          <w:spacing w:val="9"/>
          <w:sz w:val="20"/>
          <w:szCs w:val="20"/>
          <w:highlight w:val="none"/>
        </w:rPr>
        <w:t>从业人员</w:t>
      </w:r>
      <w:r>
        <w:rPr>
          <w:rFonts w:ascii="宋体" w:hAnsi="宋体" w:eastAsia="宋体" w:cs="宋体"/>
          <w:color w:val="auto"/>
          <w:spacing w:val="-7"/>
          <w:sz w:val="20"/>
          <w:szCs w:val="20"/>
          <w:highlight w:val="none"/>
        </w:rPr>
        <w:t xml:space="preserve"> </w:t>
      </w:r>
      <w:r>
        <w:rPr>
          <w:rFonts w:ascii="宋体" w:hAnsi="宋体" w:eastAsia="宋体" w:cs="宋体"/>
          <w:color w:val="auto"/>
          <w:spacing w:val="9"/>
          <w:sz w:val="20"/>
          <w:szCs w:val="20"/>
          <w:highlight w:val="none"/>
        </w:rPr>
        <w:t>100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人及以上，且营业收入</w:t>
      </w:r>
      <w:r>
        <w:rPr>
          <w:rFonts w:ascii="宋体" w:hAnsi="宋体" w:eastAsia="宋体" w:cs="宋体"/>
          <w:color w:val="auto"/>
          <w:spacing w:val="-35"/>
          <w:sz w:val="20"/>
          <w:szCs w:val="20"/>
          <w:highlight w:val="none"/>
        </w:rPr>
        <w:t xml:space="preserve"> </w:t>
      </w:r>
      <w:r>
        <w:rPr>
          <w:rFonts w:ascii="宋体" w:hAnsi="宋体" w:eastAsia="宋体" w:cs="宋体"/>
          <w:color w:val="auto"/>
          <w:spacing w:val="9"/>
          <w:sz w:val="20"/>
          <w:szCs w:val="20"/>
          <w:highlight w:val="none"/>
        </w:rPr>
        <w:t>2000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万元及以上的为中型企业；从业人员</w:t>
      </w:r>
      <w:r>
        <w:rPr>
          <w:rFonts w:ascii="宋体" w:hAnsi="宋体" w:eastAsia="宋体" w:cs="宋体"/>
          <w:color w:val="auto"/>
          <w:spacing w:val="-19"/>
          <w:sz w:val="20"/>
          <w:szCs w:val="20"/>
          <w:highlight w:val="none"/>
        </w:rPr>
        <w:t xml:space="preserve"> </w:t>
      </w:r>
      <w:r>
        <w:rPr>
          <w:rFonts w:ascii="宋体" w:hAnsi="宋体" w:eastAsia="宋体" w:cs="宋体"/>
          <w:color w:val="auto"/>
          <w:spacing w:val="9"/>
          <w:sz w:val="20"/>
          <w:szCs w:val="20"/>
          <w:highlight w:val="none"/>
        </w:rPr>
        <w:t>10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人及以上，</w:t>
      </w:r>
      <w:r>
        <w:rPr>
          <w:rFonts w:ascii="宋体" w:hAnsi="宋体" w:eastAsia="宋体" w:cs="宋体"/>
          <w:color w:val="auto"/>
          <w:spacing w:val="7"/>
          <w:sz w:val="20"/>
          <w:szCs w:val="20"/>
          <w:highlight w:val="none"/>
        </w:rPr>
        <w:t>且营业收入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万元及以上的为小型企业；从业人员</w:t>
      </w:r>
      <w:r>
        <w:rPr>
          <w:rFonts w:ascii="宋体" w:hAnsi="宋体" w:eastAsia="宋体" w:cs="宋体"/>
          <w:color w:val="auto"/>
          <w:spacing w:val="-21"/>
          <w:sz w:val="20"/>
          <w:szCs w:val="20"/>
          <w:highlight w:val="none"/>
        </w:rPr>
        <w:t xml:space="preserve"> </w:t>
      </w:r>
      <w:r>
        <w:rPr>
          <w:rFonts w:ascii="宋体" w:hAnsi="宋体" w:eastAsia="宋体" w:cs="宋体"/>
          <w:color w:val="auto"/>
          <w:spacing w:val="7"/>
          <w:sz w:val="20"/>
          <w:szCs w:val="20"/>
          <w:highlight w:val="none"/>
        </w:rPr>
        <w:t>10</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人以下或营</w:t>
      </w:r>
      <w:r>
        <w:rPr>
          <w:rFonts w:ascii="宋体" w:hAnsi="宋体" w:eastAsia="宋体" w:cs="宋体"/>
          <w:color w:val="auto"/>
          <w:spacing w:val="6"/>
          <w:sz w:val="20"/>
          <w:szCs w:val="20"/>
          <w:highlight w:val="none"/>
        </w:rPr>
        <w:t>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6"/>
          <w:sz w:val="20"/>
          <w:szCs w:val="20"/>
          <w:highlight w:val="none"/>
        </w:rPr>
        <w:t>100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6"/>
          <w:sz w:val="20"/>
          <w:szCs w:val="20"/>
          <w:highlight w:val="none"/>
        </w:rPr>
        <w:t>万元以下的为微</w:t>
      </w:r>
      <w:r>
        <w:rPr>
          <w:rFonts w:ascii="宋体" w:hAnsi="宋体" w:eastAsia="宋体" w:cs="宋体"/>
          <w:color w:val="auto"/>
          <w:spacing w:val="5"/>
          <w:sz w:val="20"/>
          <w:szCs w:val="20"/>
          <w:highlight w:val="none"/>
        </w:rPr>
        <w:t>型企业。</w:t>
      </w:r>
    </w:p>
    <w:p w14:paraId="104DAF67">
      <w:pPr>
        <w:spacing w:line="253" w:lineRule="auto"/>
        <w:rPr>
          <w:rFonts w:ascii="宋体" w:hAnsi="宋体" w:eastAsia="宋体" w:cs="宋体"/>
          <w:color w:val="auto"/>
          <w:sz w:val="20"/>
          <w:szCs w:val="20"/>
          <w:highlight w:val="none"/>
        </w:rPr>
        <w:sectPr>
          <w:footerReference r:id="rId33" w:type="default"/>
          <w:pgSz w:w="11910" w:h="16840"/>
          <w:pgMar w:top="1323" w:right="1357" w:bottom="1091" w:left="1687" w:header="0" w:footer="929" w:gutter="0"/>
          <w:pgNumType w:fmt="decimal"/>
          <w:cols w:space="720" w:num="1"/>
        </w:sectPr>
      </w:pPr>
    </w:p>
    <w:p w14:paraId="19B3E409">
      <w:pPr>
        <w:spacing w:before="43" w:line="251" w:lineRule="auto"/>
        <w:ind w:firstLine="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（十）餐饮业。从业人员</w:t>
      </w:r>
      <w:r>
        <w:rPr>
          <w:rFonts w:ascii="宋体" w:hAnsi="宋体" w:eastAsia="宋体" w:cs="宋体"/>
          <w:color w:val="auto"/>
          <w:spacing w:val="-35"/>
          <w:sz w:val="20"/>
          <w:szCs w:val="20"/>
          <w:highlight w:val="none"/>
        </w:rPr>
        <w:t xml:space="preserve"> </w:t>
      </w:r>
      <w:r>
        <w:rPr>
          <w:rFonts w:ascii="宋体" w:hAnsi="宋体" w:eastAsia="宋体" w:cs="宋体"/>
          <w:color w:val="auto"/>
          <w:spacing w:val="6"/>
          <w:sz w:val="20"/>
          <w:szCs w:val="20"/>
          <w:highlight w:val="none"/>
        </w:rPr>
        <w:t>300</w:t>
      </w:r>
      <w:r>
        <w:rPr>
          <w:rFonts w:ascii="宋体" w:hAnsi="宋体" w:eastAsia="宋体" w:cs="宋体"/>
          <w:color w:val="auto"/>
          <w:spacing w:val="-39"/>
          <w:sz w:val="20"/>
          <w:szCs w:val="20"/>
          <w:highlight w:val="none"/>
        </w:rPr>
        <w:t xml:space="preserve"> </w:t>
      </w:r>
      <w:r>
        <w:rPr>
          <w:rFonts w:ascii="宋体" w:hAnsi="宋体" w:eastAsia="宋体" w:cs="宋体"/>
          <w:color w:val="auto"/>
          <w:spacing w:val="6"/>
          <w:sz w:val="20"/>
          <w:szCs w:val="20"/>
          <w:highlight w:val="none"/>
        </w:rPr>
        <w:t>人以下或营业收入</w:t>
      </w:r>
      <w:r>
        <w:rPr>
          <w:rFonts w:ascii="宋体" w:hAnsi="宋体" w:eastAsia="宋体" w:cs="宋体"/>
          <w:color w:val="auto"/>
          <w:spacing w:val="-21"/>
          <w:sz w:val="20"/>
          <w:szCs w:val="20"/>
          <w:highlight w:val="none"/>
        </w:rPr>
        <w:t xml:space="preserve"> </w:t>
      </w:r>
      <w:r>
        <w:rPr>
          <w:rFonts w:ascii="宋体" w:hAnsi="宋体" w:eastAsia="宋体" w:cs="宋体"/>
          <w:color w:val="auto"/>
          <w:spacing w:val="6"/>
          <w:sz w:val="20"/>
          <w:szCs w:val="20"/>
          <w:highlight w:val="none"/>
        </w:rPr>
        <w:t>10000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6"/>
          <w:sz w:val="20"/>
          <w:szCs w:val="20"/>
          <w:highlight w:val="none"/>
        </w:rPr>
        <w:t>万元以下的为中小微型企业。</w:t>
      </w:r>
      <w:r>
        <w:rPr>
          <w:rFonts w:ascii="宋体" w:hAnsi="宋体" w:eastAsia="宋体" w:cs="宋体"/>
          <w:color w:val="auto"/>
          <w:spacing w:val="5"/>
          <w:sz w:val="20"/>
          <w:szCs w:val="20"/>
          <w:highlight w:val="none"/>
        </w:rPr>
        <w:t>其中，</w:t>
      </w:r>
      <w:r>
        <w:rPr>
          <w:rFonts w:ascii="宋体" w:hAnsi="宋体" w:eastAsia="宋体" w:cs="宋体"/>
          <w:color w:val="auto"/>
          <w:spacing w:val="9"/>
          <w:sz w:val="20"/>
          <w:szCs w:val="20"/>
          <w:highlight w:val="none"/>
        </w:rPr>
        <w:t>从业人员</w:t>
      </w:r>
      <w:r>
        <w:rPr>
          <w:rFonts w:ascii="宋体" w:hAnsi="宋体" w:eastAsia="宋体" w:cs="宋体"/>
          <w:color w:val="auto"/>
          <w:spacing w:val="-7"/>
          <w:sz w:val="20"/>
          <w:szCs w:val="20"/>
          <w:highlight w:val="none"/>
        </w:rPr>
        <w:t xml:space="preserve"> </w:t>
      </w:r>
      <w:r>
        <w:rPr>
          <w:rFonts w:ascii="宋体" w:hAnsi="宋体" w:eastAsia="宋体" w:cs="宋体"/>
          <w:color w:val="auto"/>
          <w:spacing w:val="9"/>
          <w:sz w:val="20"/>
          <w:szCs w:val="20"/>
          <w:highlight w:val="none"/>
        </w:rPr>
        <w:t>100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人及以上，且营业收入</w:t>
      </w:r>
      <w:r>
        <w:rPr>
          <w:rFonts w:ascii="宋体" w:hAnsi="宋体" w:eastAsia="宋体" w:cs="宋体"/>
          <w:color w:val="auto"/>
          <w:spacing w:val="-35"/>
          <w:sz w:val="20"/>
          <w:szCs w:val="20"/>
          <w:highlight w:val="none"/>
        </w:rPr>
        <w:t xml:space="preserve"> </w:t>
      </w:r>
      <w:r>
        <w:rPr>
          <w:rFonts w:ascii="宋体" w:hAnsi="宋体" w:eastAsia="宋体" w:cs="宋体"/>
          <w:color w:val="auto"/>
          <w:spacing w:val="9"/>
          <w:sz w:val="20"/>
          <w:szCs w:val="20"/>
          <w:highlight w:val="none"/>
        </w:rPr>
        <w:t>2000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万元及以上的为中型企业；从业人员</w:t>
      </w:r>
      <w:r>
        <w:rPr>
          <w:rFonts w:ascii="宋体" w:hAnsi="宋体" w:eastAsia="宋体" w:cs="宋体"/>
          <w:color w:val="auto"/>
          <w:spacing w:val="-19"/>
          <w:sz w:val="20"/>
          <w:szCs w:val="20"/>
          <w:highlight w:val="none"/>
        </w:rPr>
        <w:t xml:space="preserve"> </w:t>
      </w:r>
      <w:r>
        <w:rPr>
          <w:rFonts w:ascii="宋体" w:hAnsi="宋体" w:eastAsia="宋体" w:cs="宋体"/>
          <w:color w:val="auto"/>
          <w:spacing w:val="9"/>
          <w:sz w:val="20"/>
          <w:szCs w:val="20"/>
          <w:highlight w:val="none"/>
        </w:rPr>
        <w:t>10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人及以上，</w:t>
      </w:r>
      <w:r>
        <w:rPr>
          <w:rFonts w:ascii="宋体" w:hAnsi="宋体" w:eastAsia="宋体" w:cs="宋体"/>
          <w:color w:val="auto"/>
          <w:spacing w:val="7"/>
          <w:sz w:val="20"/>
          <w:szCs w:val="20"/>
          <w:highlight w:val="none"/>
        </w:rPr>
        <w:t>且营业收入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万元及以上的为小型企业；从业人员</w:t>
      </w:r>
      <w:r>
        <w:rPr>
          <w:rFonts w:ascii="宋体" w:hAnsi="宋体" w:eastAsia="宋体" w:cs="宋体"/>
          <w:color w:val="auto"/>
          <w:spacing w:val="-21"/>
          <w:sz w:val="20"/>
          <w:szCs w:val="20"/>
          <w:highlight w:val="none"/>
        </w:rPr>
        <w:t xml:space="preserve"> </w:t>
      </w:r>
      <w:r>
        <w:rPr>
          <w:rFonts w:ascii="宋体" w:hAnsi="宋体" w:eastAsia="宋体" w:cs="宋体"/>
          <w:color w:val="auto"/>
          <w:spacing w:val="7"/>
          <w:sz w:val="20"/>
          <w:szCs w:val="20"/>
          <w:highlight w:val="none"/>
        </w:rPr>
        <w:t>10</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人以下或营</w:t>
      </w:r>
      <w:r>
        <w:rPr>
          <w:rFonts w:ascii="宋体" w:hAnsi="宋体" w:eastAsia="宋体" w:cs="宋体"/>
          <w:color w:val="auto"/>
          <w:spacing w:val="6"/>
          <w:sz w:val="20"/>
          <w:szCs w:val="20"/>
          <w:highlight w:val="none"/>
        </w:rPr>
        <w:t>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6"/>
          <w:sz w:val="20"/>
          <w:szCs w:val="20"/>
          <w:highlight w:val="none"/>
        </w:rPr>
        <w:t>100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6"/>
          <w:sz w:val="20"/>
          <w:szCs w:val="20"/>
          <w:highlight w:val="none"/>
        </w:rPr>
        <w:t>万元以下的为微</w:t>
      </w:r>
      <w:r>
        <w:rPr>
          <w:rFonts w:ascii="宋体" w:hAnsi="宋体" w:eastAsia="宋体" w:cs="宋体"/>
          <w:color w:val="auto"/>
          <w:spacing w:val="5"/>
          <w:sz w:val="20"/>
          <w:szCs w:val="20"/>
          <w:highlight w:val="none"/>
        </w:rPr>
        <w:t>型企业。</w:t>
      </w:r>
    </w:p>
    <w:p w14:paraId="4E06912C">
      <w:pPr>
        <w:spacing w:before="3" w:line="250" w:lineRule="auto"/>
        <w:ind w:right="37" w:firstLine="43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（十一）信息传输业。从业人员</w:t>
      </w:r>
      <w:r>
        <w:rPr>
          <w:rFonts w:ascii="宋体" w:hAnsi="宋体" w:eastAsia="宋体" w:cs="宋体"/>
          <w:color w:val="auto"/>
          <w:spacing w:val="-19"/>
          <w:sz w:val="20"/>
          <w:szCs w:val="20"/>
          <w:highlight w:val="none"/>
        </w:rPr>
        <w:t xml:space="preserve"> </w:t>
      </w:r>
      <w:r>
        <w:rPr>
          <w:rFonts w:ascii="宋体" w:hAnsi="宋体" w:eastAsia="宋体" w:cs="宋体"/>
          <w:color w:val="auto"/>
          <w:spacing w:val="9"/>
          <w:sz w:val="20"/>
          <w:szCs w:val="20"/>
          <w:highlight w:val="none"/>
        </w:rPr>
        <w:t>2000</w:t>
      </w:r>
      <w:r>
        <w:rPr>
          <w:rFonts w:ascii="宋体" w:hAnsi="宋体" w:eastAsia="宋体" w:cs="宋体"/>
          <w:color w:val="auto"/>
          <w:spacing w:val="-34"/>
          <w:sz w:val="20"/>
          <w:szCs w:val="20"/>
          <w:highlight w:val="none"/>
        </w:rPr>
        <w:t xml:space="preserve"> </w:t>
      </w:r>
      <w:r>
        <w:rPr>
          <w:rFonts w:ascii="宋体" w:hAnsi="宋体" w:eastAsia="宋体" w:cs="宋体"/>
          <w:color w:val="auto"/>
          <w:spacing w:val="9"/>
          <w:sz w:val="20"/>
          <w:szCs w:val="20"/>
          <w:highlight w:val="none"/>
        </w:rPr>
        <w:t>人以下或营业收入</w:t>
      </w:r>
      <w:r>
        <w:rPr>
          <w:rFonts w:ascii="宋体" w:hAnsi="宋体" w:eastAsia="宋体" w:cs="宋体"/>
          <w:color w:val="auto"/>
          <w:spacing w:val="-19"/>
          <w:sz w:val="20"/>
          <w:szCs w:val="20"/>
          <w:highlight w:val="none"/>
        </w:rPr>
        <w:t xml:space="preserve"> </w:t>
      </w:r>
      <w:r>
        <w:rPr>
          <w:rFonts w:ascii="宋体" w:hAnsi="宋体" w:eastAsia="宋体" w:cs="宋体"/>
          <w:color w:val="auto"/>
          <w:spacing w:val="9"/>
          <w:sz w:val="20"/>
          <w:szCs w:val="20"/>
          <w:highlight w:val="none"/>
        </w:rPr>
        <w:t>100000</w:t>
      </w:r>
      <w:r>
        <w:rPr>
          <w:rFonts w:ascii="宋体" w:hAnsi="宋体" w:eastAsia="宋体" w:cs="宋体"/>
          <w:color w:val="auto"/>
          <w:spacing w:val="-31"/>
          <w:sz w:val="20"/>
          <w:szCs w:val="20"/>
          <w:highlight w:val="none"/>
        </w:rPr>
        <w:t xml:space="preserve"> </w:t>
      </w:r>
      <w:r>
        <w:rPr>
          <w:rFonts w:ascii="宋体" w:hAnsi="宋体" w:eastAsia="宋体" w:cs="宋体"/>
          <w:color w:val="auto"/>
          <w:spacing w:val="9"/>
          <w:sz w:val="20"/>
          <w:szCs w:val="20"/>
          <w:highlight w:val="none"/>
        </w:rPr>
        <w:t>万元以下的为中小微型企</w:t>
      </w:r>
      <w:r>
        <w:rPr>
          <w:rFonts w:ascii="宋体" w:hAnsi="宋体" w:eastAsia="宋体" w:cs="宋体"/>
          <w:color w:val="auto"/>
          <w:spacing w:val="10"/>
          <w:sz w:val="20"/>
          <w:szCs w:val="20"/>
          <w:highlight w:val="none"/>
        </w:rPr>
        <w:t>业。其中，从业人员</w:t>
      </w:r>
      <w:r>
        <w:rPr>
          <w:rFonts w:ascii="宋体" w:hAnsi="宋体" w:eastAsia="宋体" w:cs="宋体"/>
          <w:color w:val="auto"/>
          <w:spacing w:val="-17"/>
          <w:sz w:val="20"/>
          <w:szCs w:val="20"/>
          <w:highlight w:val="none"/>
        </w:rPr>
        <w:t xml:space="preserve"> </w:t>
      </w:r>
      <w:r>
        <w:rPr>
          <w:rFonts w:ascii="宋体" w:hAnsi="宋体" w:eastAsia="宋体" w:cs="宋体"/>
          <w:color w:val="auto"/>
          <w:spacing w:val="10"/>
          <w:sz w:val="20"/>
          <w:szCs w:val="20"/>
          <w:highlight w:val="none"/>
        </w:rPr>
        <w:t>100</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人及以上，且营业收入</w:t>
      </w:r>
      <w:r>
        <w:rPr>
          <w:rFonts w:ascii="宋体" w:hAnsi="宋体" w:eastAsia="宋体" w:cs="宋体"/>
          <w:color w:val="auto"/>
          <w:spacing w:val="-19"/>
          <w:sz w:val="20"/>
          <w:szCs w:val="20"/>
          <w:highlight w:val="none"/>
        </w:rPr>
        <w:t xml:space="preserve"> </w:t>
      </w:r>
      <w:r>
        <w:rPr>
          <w:rFonts w:ascii="宋体" w:hAnsi="宋体" w:eastAsia="宋体" w:cs="宋体"/>
          <w:color w:val="auto"/>
          <w:spacing w:val="10"/>
          <w:sz w:val="20"/>
          <w:szCs w:val="20"/>
          <w:highlight w:val="none"/>
        </w:rPr>
        <w:t>1000</w:t>
      </w:r>
      <w:r>
        <w:rPr>
          <w:rFonts w:ascii="宋体" w:hAnsi="宋体" w:eastAsia="宋体" w:cs="宋体"/>
          <w:color w:val="auto"/>
          <w:spacing w:val="-30"/>
          <w:sz w:val="20"/>
          <w:szCs w:val="20"/>
          <w:highlight w:val="none"/>
        </w:rPr>
        <w:t xml:space="preserve"> </w:t>
      </w:r>
      <w:r>
        <w:rPr>
          <w:rFonts w:ascii="宋体" w:hAnsi="宋体" w:eastAsia="宋体" w:cs="宋体"/>
          <w:color w:val="auto"/>
          <w:spacing w:val="10"/>
          <w:sz w:val="20"/>
          <w:szCs w:val="20"/>
          <w:highlight w:val="none"/>
        </w:rPr>
        <w:t>万元及以上的为中型企业；从业人员</w:t>
      </w:r>
      <w:r>
        <w:rPr>
          <w:rFonts w:ascii="宋体" w:hAnsi="宋体" w:eastAsia="宋体" w:cs="宋体"/>
          <w:color w:val="auto"/>
          <w:spacing w:val="-19"/>
          <w:sz w:val="20"/>
          <w:szCs w:val="20"/>
          <w:highlight w:val="none"/>
        </w:rPr>
        <w:t xml:space="preserve"> </w:t>
      </w:r>
      <w:r>
        <w:rPr>
          <w:rFonts w:ascii="宋体" w:hAnsi="宋体" w:eastAsia="宋体" w:cs="宋体"/>
          <w:color w:val="auto"/>
          <w:spacing w:val="9"/>
          <w:sz w:val="20"/>
          <w:szCs w:val="20"/>
          <w:highlight w:val="none"/>
        </w:rPr>
        <w:t>10</w:t>
      </w:r>
      <w:r>
        <w:rPr>
          <w:rFonts w:ascii="宋体" w:hAnsi="宋体" w:eastAsia="宋体" w:cs="宋体"/>
          <w:color w:val="auto"/>
          <w:spacing w:val="7"/>
          <w:sz w:val="20"/>
          <w:szCs w:val="20"/>
          <w:highlight w:val="none"/>
        </w:rPr>
        <w:t>人及以上，且营业收入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万元及以上的为小型企业；从业人员</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10</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人</w:t>
      </w:r>
      <w:r>
        <w:rPr>
          <w:rFonts w:ascii="宋体" w:hAnsi="宋体" w:eastAsia="宋体" w:cs="宋体"/>
          <w:color w:val="auto"/>
          <w:spacing w:val="6"/>
          <w:sz w:val="20"/>
          <w:szCs w:val="20"/>
          <w:highlight w:val="none"/>
        </w:rPr>
        <w:t>以下或营业收入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6"/>
          <w:sz w:val="20"/>
          <w:szCs w:val="20"/>
          <w:highlight w:val="none"/>
        </w:rPr>
        <w:t>100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6"/>
          <w:sz w:val="20"/>
          <w:szCs w:val="20"/>
          <w:highlight w:val="none"/>
        </w:rPr>
        <w:t>万元</w:t>
      </w:r>
      <w:r>
        <w:rPr>
          <w:rFonts w:ascii="宋体" w:hAnsi="宋体" w:eastAsia="宋体" w:cs="宋体"/>
          <w:color w:val="auto"/>
          <w:spacing w:val="7"/>
          <w:sz w:val="20"/>
          <w:szCs w:val="20"/>
          <w:highlight w:val="none"/>
        </w:rPr>
        <w:t>以下的为微型企业。</w:t>
      </w:r>
    </w:p>
    <w:p w14:paraId="2BED5BE7">
      <w:pPr>
        <w:spacing w:before="1" w:line="251" w:lineRule="auto"/>
        <w:ind w:left="2" w:right="37" w:firstLine="433"/>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（十二）软件和信息技术服务业。从业人员</w:t>
      </w:r>
      <w:r>
        <w:rPr>
          <w:rFonts w:ascii="宋体" w:hAnsi="宋体" w:eastAsia="宋体" w:cs="宋体"/>
          <w:color w:val="auto"/>
          <w:spacing w:val="-30"/>
          <w:sz w:val="20"/>
          <w:szCs w:val="20"/>
          <w:highlight w:val="none"/>
        </w:rPr>
        <w:t xml:space="preserve"> </w:t>
      </w:r>
      <w:r>
        <w:rPr>
          <w:rFonts w:ascii="宋体" w:hAnsi="宋体" w:eastAsia="宋体" w:cs="宋体"/>
          <w:color w:val="auto"/>
          <w:spacing w:val="10"/>
          <w:sz w:val="20"/>
          <w:szCs w:val="20"/>
          <w:highlight w:val="none"/>
        </w:rPr>
        <w:t>3</w:t>
      </w:r>
      <w:r>
        <w:rPr>
          <w:rFonts w:ascii="宋体" w:hAnsi="宋体" w:eastAsia="宋体" w:cs="宋体"/>
          <w:color w:val="auto"/>
          <w:spacing w:val="9"/>
          <w:sz w:val="20"/>
          <w:szCs w:val="20"/>
          <w:highlight w:val="none"/>
        </w:rPr>
        <w:t>00</w:t>
      </w:r>
      <w:r>
        <w:rPr>
          <w:rFonts w:ascii="宋体" w:hAnsi="宋体" w:eastAsia="宋体" w:cs="宋体"/>
          <w:color w:val="auto"/>
          <w:spacing w:val="-34"/>
          <w:sz w:val="20"/>
          <w:szCs w:val="20"/>
          <w:highlight w:val="none"/>
        </w:rPr>
        <w:t xml:space="preserve"> </w:t>
      </w:r>
      <w:r>
        <w:rPr>
          <w:rFonts w:ascii="宋体" w:hAnsi="宋体" w:eastAsia="宋体" w:cs="宋体"/>
          <w:color w:val="auto"/>
          <w:spacing w:val="9"/>
          <w:sz w:val="20"/>
          <w:szCs w:val="20"/>
          <w:highlight w:val="none"/>
        </w:rPr>
        <w:t>人以下或营业收入</w:t>
      </w:r>
      <w:r>
        <w:rPr>
          <w:rFonts w:ascii="宋体" w:hAnsi="宋体" w:eastAsia="宋体" w:cs="宋体"/>
          <w:color w:val="auto"/>
          <w:spacing w:val="-19"/>
          <w:sz w:val="20"/>
          <w:szCs w:val="20"/>
          <w:highlight w:val="none"/>
        </w:rPr>
        <w:t xml:space="preserve"> </w:t>
      </w:r>
      <w:r>
        <w:rPr>
          <w:rFonts w:ascii="宋体" w:hAnsi="宋体" w:eastAsia="宋体" w:cs="宋体"/>
          <w:color w:val="auto"/>
          <w:spacing w:val="9"/>
          <w:sz w:val="20"/>
          <w:szCs w:val="20"/>
          <w:highlight w:val="none"/>
        </w:rPr>
        <w:t>10000</w:t>
      </w:r>
      <w:r>
        <w:rPr>
          <w:rFonts w:ascii="宋体" w:hAnsi="宋体" w:eastAsia="宋体" w:cs="宋体"/>
          <w:color w:val="auto"/>
          <w:spacing w:val="-31"/>
          <w:sz w:val="20"/>
          <w:szCs w:val="20"/>
          <w:highlight w:val="none"/>
        </w:rPr>
        <w:t xml:space="preserve"> </w:t>
      </w:r>
      <w:r>
        <w:rPr>
          <w:rFonts w:ascii="宋体" w:hAnsi="宋体" w:eastAsia="宋体" w:cs="宋体"/>
          <w:color w:val="auto"/>
          <w:spacing w:val="9"/>
          <w:sz w:val="20"/>
          <w:szCs w:val="20"/>
          <w:highlight w:val="none"/>
        </w:rPr>
        <w:t>万元以下的为中</w:t>
      </w:r>
      <w:r>
        <w:rPr>
          <w:rFonts w:ascii="宋体" w:hAnsi="宋体" w:eastAsia="宋体" w:cs="宋体"/>
          <w:color w:val="auto"/>
          <w:spacing w:val="8"/>
          <w:sz w:val="20"/>
          <w:szCs w:val="20"/>
          <w:highlight w:val="none"/>
        </w:rPr>
        <w:t>小微型企业。其中，从业人员</w:t>
      </w:r>
      <w:r>
        <w:rPr>
          <w:rFonts w:ascii="宋体" w:hAnsi="宋体" w:eastAsia="宋体" w:cs="宋体"/>
          <w:color w:val="auto"/>
          <w:spacing w:val="-24"/>
          <w:sz w:val="20"/>
          <w:szCs w:val="20"/>
          <w:highlight w:val="none"/>
        </w:rPr>
        <w:t xml:space="preserve"> </w:t>
      </w:r>
      <w:r>
        <w:rPr>
          <w:rFonts w:ascii="宋体" w:hAnsi="宋体" w:eastAsia="宋体" w:cs="宋体"/>
          <w:color w:val="auto"/>
          <w:spacing w:val="8"/>
          <w:sz w:val="20"/>
          <w:szCs w:val="20"/>
          <w:highlight w:val="none"/>
        </w:rPr>
        <w:t>100</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人及以上，且营业收入</w:t>
      </w:r>
      <w:r>
        <w:rPr>
          <w:rFonts w:ascii="宋体" w:hAnsi="宋体" w:eastAsia="宋体" w:cs="宋体"/>
          <w:color w:val="auto"/>
          <w:spacing w:val="-24"/>
          <w:sz w:val="20"/>
          <w:szCs w:val="20"/>
          <w:highlight w:val="none"/>
        </w:rPr>
        <w:t xml:space="preserve"> </w:t>
      </w:r>
      <w:r>
        <w:rPr>
          <w:rFonts w:ascii="宋体" w:hAnsi="宋体" w:eastAsia="宋体" w:cs="宋体"/>
          <w:color w:val="auto"/>
          <w:spacing w:val="8"/>
          <w:sz w:val="20"/>
          <w:szCs w:val="20"/>
          <w:highlight w:val="none"/>
        </w:rPr>
        <w:t>100</w:t>
      </w:r>
      <w:r>
        <w:rPr>
          <w:rFonts w:ascii="宋体" w:hAnsi="宋体" w:eastAsia="宋体" w:cs="宋体"/>
          <w:color w:val="auto"/>
          <w:spacing w:val="7"/>
          <w:sz w:val="20"/>
          <w:szCs w:val="20"/>
          <w:highlight w:val="none"/>
        </w:rPr>
        <w:t>0</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万元及以上的为中型企业；从业</w:t>
      </w:r>
      <w:r>
        <w:rPr>
          <w:rFonts w:ascii="宋体" w:hAnsi="宋体" w:eastAsia="宋体" w:cs="宋体"/>
          <w:color w:val="auto"/>
          <w:spacing w:val="11"/>
          <w:sz w:val="20"/>
          <w:szCs w:val="20"/>
          <w:highlight w:val="none"/>
        </w:rPr>
        <w:t>人员</w:t>
      </w:r>
      <w:r>
        <w:rPr>
          <w:rFonts w:ascii="宋体" w:hAnsi="宋体" w:eastAsia="宋体" w:cs="宋体"/>
          <w:color w:val="auto"/>
          <w:spacing w:val="-4"/>
          <w:sz w:val="20"/>
          <w:szCs w:val="20"/>
          <w:highlight w:val="none"/>
        </w:rPr>
        <w:t xml:space="preserve"> </w:t>
      </w:r>
      <w:r>
        <w:rPr>
          <w:rFonts w:ascii="宋体" w:hAnsi="宋体" w:eastAsia="宋体" w:cs="宋体"/>
          <w:color w:val="auto"/>
          <w:spacing w:val="11"/>
          <w:sz w:val="20"/>
          <w:szCs w:val="20"/>
          <w:highlight w:val="none"/>
        </w:rPr>
        <w:t>10</w:t>
      </w:r>
      <w:r>
        <w:rPr>
          <w:rFonts w:ascii="宋体" w:hAnsi="宋体" w:eastAsia="宋体" w:cs="宋体"/>
          <w:color w:val="auto"/>
          <w:spacing w:val="-34"/>
          <w:sz w:val="20"/>
          <w:szCs w:val="20"/>
          <w:highlight w:val="none"/>
        </w:rPr>
        <w:t xml:space="preserve"> </w:t>
      </w:r>
      <w:r>
        <w:rPr>
          <w:rFonts w:ascii="宋体" w:hAnsi="宋体" w:eastAsia="宋体" w:cs="宋体"/>
          <w:color w:val="auto"/>
          <w:spacing w:val="11"/>
          <w:sz w:val="20"/>
          <w:szCs w:val="20"/>
          <w:highlight w:val="none"/>
        </w:rPr>
        <w:t>人及以上，且营业收入</w:t>
      </w:r>
      <w:r>
        <w:rPr>
          <w:rFonts w:ascii="宋体" w:hAnsi="宋体" w:eastAsia="宋体" w:cs="宋体"/>
          <w:color w:val="auto"/>
          <w:spacing w:val="-28"/>
          <w:sz w:val="20"/>
          <w:szCs w:val="20"/>
          <w:highlight w:val="none"/>
        </w:rPr>
        <w:t xml:space="preserve"> </w:t>
      </w:r>
      <w:r>
        <w:rPr>
          <w:rFonts w:ascii="宋体" w:hAnsi="宋体" w:eastAsia="宋体" w:cs="宋体"/>
          <w:color w:val="auto"/>
          <w:spacing w:val="11"/>
          <w:sz w:val="20"/>
          <w:szCs w:val="20"/>
          <w:highlight w:val="none"/>
        </w:rPr>
        <w:t>50</w:t>
      </w:r>
      <w:r>
        <w:rPr>
          <w:rFonts w:ascii="宋体" w:hAnsi="宋体" w:eastAsia="宋体" w:cs="宋体"/>
          <w:color w:val="auto"/>
          <w:spacing w:val="-28"/>
          <w:sz w:val="20"/>
          <w:szCs w:val="20"/>
          <w:highlight w:val="none"/>
        </w:rPr>
        <w:t xml:space="preserve"> </w:t>
      </w:r>
      <w:r>
        <w:rPr>
          <w:rFonts w:ascii="宋体" w:hAnsi="宋体" w:eastAsia="宋体" w:cs="宋体"/>
          <w:color w:val="auto"/>
          <w:spacing w:val="11"/>
          <w:sz w:val="20"/>
          <w:szCs w:val="20"/>
          <w:highlight w:val="none"/>
        </w:rPr>
        <w:t>万元及以上的为小型企业；从业人员</w:t>
      </w:r>
      <w:r>
        <w:rPr>
          <w:rFonts w:ascii="宋体" w:hAnsi="宋体" w:eastAsia="宋体" w:cs="宋体"/>
          <w:color w:val="auto"/>
          <w:spacing w:val="-19"/>
          <w:sz w:val="20"/>
          <w:szCs w:val="20"/>
          <w:highlight w:val="none"/>
        </w:rPr>
        <w:t xml:space="preserve"> </w:t>
      </w:r>
      <w:r>
        <w:rPr>
          <w:rFonts w:ascii="宋体" w:hAnsi="宋体" w:eastAsia="宋体" w:cs="宋体"/>
          <w:color w:val="auto"/>
          <w:spacing w:val="11"/>
          <w:sz w:val="20"/>
          <w:szCs w:val="20"/>
          <w:highlight w:val="none"/>
        </w:rPr>
        <w:t>10</w:t>
      </w:r>
      <w:r>
        <w:rPr>
          <w:rFonts w:ascii="宋体" w:hAnsi="宋体" w:eastAsia="宋体" w:cs="宋体"/>
          <w:color w:val="auto"/>
          <w:spacing w:val="-31"/>
          <w:sz w:val="20"/>
          <w:szCs w:val="20"/>
          <w:highlight w:val="none"/>
        </w:rPr>
        <w:t xml:space="preserve"> </w:t>
      </w:r>
      <w:r>
        <w:rPr>
          <w:rFonts w:ascii="宋体" w:hAnsi="宋体" w:eastAsia="宋体" w:cs="宋体"/>
          <w:color w:val="auto"/>
          <w:spacing w:val="11"/>
          <w:sz w:val="20"/>
          <w:szCs w:val="20"/>
          <w:highlight w:val="none"/>
        </w:rPr>
        <w:t>人以下或营业收入</w:t>
      </w:r>
      <w:r>
        <w:rPr>
          <w:rFonts w:ascii="宋体" w:hAnsi="宋体" w:eastAsia="宋体" w:cs="宋体"/>
          <w:color w:val="auto"/>
          <w:spacing w:val="6"/>
          <w:sz w:val="20"/>
          <w:szCs w:val="20"/>
          <w:highlight w:val="none"/>
        </w:rPr>
        <w:t>50</w:t>
      </w:r>
      <w:r>
        <w:rPr>
          <w:rFonts w:ascii="宋体" w:hAnsi="宋体" w:eastAsia="宋体" w:cs="宋体"/>
          <w:color w:val="auto"/>
          <w:spacing w:val="-30"/>
          <w:sz w:val="20"/>
          <w:szCs w:val="20"/>
          <w:highlight w:val="none"/>
        </w:rPr>
        <w:t xml:space="preserve"> </w:t>
      </w:r>
      <w:r>
        <w:rPr>
          <w:rFonts w:ascii="宋体" w:hAnsi="宋体" w:eastAsia="宋体" w:cs="宋体"/>
          <w:color w:val="auto"/>
          <w:spacing w:val="6"/>
          <w:sz w:val="20"/>
          <w:szCs w:val="20"/>
          <w:highlight w:val="none"/>
        </w:rPr>
        <w:t>万元以下的为微型企业。</w:t>
      </w:r>
    </w:p>
    <w:p w14:paraId="6122D8C2">
      <w:pPr>
        <w:spacing w:before="2" w:line="251" w:lineRule="auto"/>
        <w:ind w:right="37" w:firstLine="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（十三）房地产开发经营。营业收入</w:t>
      </w:r>
      <w:r>
        <w:rPr>
          <w:rFonts w:ascii="宋体" w:hAnsi="宋体" w:eastAsia="宋体" w:cs="宋体"/>
          <w:color w:val="auto"/>
          <w:spacing w:val="-29"/>
          <w:sz w:val="20"/>
          <w:szCs w:val="20"/>
          <w:highlight w:val="none"/>
        </w:rPr>
        <w:t xml:space="preserve"> </w:t>
      </w:r>
      <w:r>
        <w:rPr>
          <w:rFonts w:ascii="宋体" w:hAnsi="宋体" w:eastAsia="宋体" w:cs="宋体"/>
          <w:color w:val="auto"/>
          <w:spacing w:val="7"/>
          <w:sz w:val="20"/>
          <w:szCs w:val="20"/>
          <w:highlight w:val="none"/>
        </w:rPr>
        <w:t>200000</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万元以下或资产总额</w:t>
      </w:r>
      <w:r>
        <w:rPr>
          <w:rFonts w:ascii="宋体" w:hAnsi="宋体" w:eastAsia="宋体" w:cs="宋体"/>
          <w:color w:val="auto"/>
          <w:spacing w:val="-21"/>
          <w:sz w:val="20"/>
          <w:szCs w:val="20"/>
          <w:highlight w:val="none"/>
        </w:rPr>
        <w:t xml:space="preserve"> </w:t>
      </w:r>
      <w:r>
        <w:rPr>
          <w:rFonts w:ascii="宋体" w:hAnsi="宋体" w:eastAsia="宋体" w:cs="宋体"/>
          <w:color w:val="auto"/>
          <w:spacing w:val="7"/>
          <w:sz w:val="20"/>
          <w:szCs w:val="20"/>
          <w:highlight w:val="none"/>
        </w:rPr>
        <w:t>10000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万元以下的为中小</w:t>
      </w:r>
      <w:r>
        <w:rPr>
          <w:rFonts w:ascii="宋体" w:hAnsi="宋体" w:eastAsia="宋体" w:cs="宋体"/>
          <w:color w:val="auto"/>
          <w:spacing w:val="10"/>
          <w:sz w:val="20"/>
          <w:szCs w:val="20"/>
          <w:highlight w:val="none"/>
        </w:rPr>
        <w:t>微型企业。其中，营业收入</w:t>
      </w:r>
      <w:r>
        <w:rPr>
          <w:rFonts w:ascii="宋体" w:hAnsi="宋体" w:eastAsia="宋体" w:cs="宋体"/>
          <w:color w:val="auto"/>
          <w:spacing w:val="-19"/>
          <w:sz w:val="20"/>
          <w:szCs w:val="20"/>
          <w:highlight w:val="none"/>
        </w:rPr>
        <w:t xml:space="preserve"> </w:t>
      </w:r>
      <w:r>
        <w:rPr>
          <w:rFonts w:ascii="宋体" w:hAnsi="宋体" w:eastAsia="宋体" w:cs="宋体"/>
          <w:color w:val="auto"/>
          <w:spacing w:val="10"/>
          <w:sz w:val="20"/>
          <w:szCs w:val="20"/>
          <w:highlight w:val="none"/>
        </w:rPr>
        <w:t>1000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10"/>
          <w:sz w:val="20"/>
          <w:szCs w:val="20"/>
          <w:highlight w:val="none"/>
        </w:rPr>
        <w:t>万元及以上，且资产总额</w:t>
      </w:r>
      <w:r>
        <w:rPr>
          <w:rFonts w:ascii="宋体" w:hAnsi="宋体" w:eastAsia="宋体" w:cs="宋体"/>
          <w:color w:val="auto"/>
          <w:spacing w:val="-32"/>
          <w:sz w:val="20"/>
          <w:szCs w:val="20"/>
          <w:highlight w:val="none"/>
        </w:rPr>
        <w:t xml:space="preserve"> </w:t>
      </w:r>
      <w:r>
        <w:rPr>
          <w:rFonts w:ascii="宋体" w:hAnsi="宋体" w:eastAsia="宋体" w:cs="宋体"/>
          <w:color w:val="auto"/>
          <w:spacing w:val="10"/>
          <w:sz w:val="20"/>
          <w:szCs w:val="20"/>
          <w:highlight w:val="none"/>
        </w:rPr>
        <w:t>5000</w:t>
      </w:r>
      <w:r>
        <w:rPr>
          <w:rFonts w:ascii="宋体" w:hAnsi="宋体" w:eastAsia="宋体" w:cs="宋体"/>
          <w:color w:val="auto"/>
          <w:spacing w:val="-31"/>
          <w:sz w:val="20"/>
          <w:szCs w:val="20"/>
          <w:highlight w:val="none"/>
        </w:rPr>
        <w:t xml:space="preserve"> </w:t>
      </w:r>
      <w:r>
        <w:rPr>
          <w:rFonts w:ascii="宋体" w:hAnsi="宋体" w:eastAsia="宋体" w:cs="宋体"/>
          <w:color w:val="auto"/>
          <w:spacing w:val="10"/>
          <w:sz w:val="20"/>
          <w:szCs w:val="20"/>
          <w:highlight w:val="none"/>
        </w:rPr>
        <w:t>万元及以上的为中</w:t>
      </w:r>
      <w:r>
        <w:rPr>
          <w:rFonts w:ascii="宋体" w:hAnsi="宋体" w:eastAsia="宋体" w:cs="宋体"/>
          <w:color w:val="auto"/>
          <w:spacing w:val="9"/>
          <w:sz w:val="20"/>
          <w:szCs w:val="20"/>
          <w:highlight w:val="none"/>
        </w:rPr>
        <w:t>型企业；营</w:t>
      </w:r>
      <w:r>
        <w:rPr>
          <w:rFonts w:ascii="宋体" w:hAnsi="宋体" w:eastAsia="宋体" w:cs="宋体"/>
          <w:color w:val="auto"/>
          <w:spacing w:val="7"/>
          <w:sz w:val="20"/>
          <w:szCs w:val="20"/>
          <w:highlight w:val="none"/>
        </w:rPr>
        <w:t>业收入</w:t>
      </w:r>
      <w:r>
        <w:rPr>
          <w:rFonts w:ascii="宋体" w:hAnsi="宋体" w:eastAsia="宋体" w:cs="宋体"/>
          <w:color w:val="auto"/>
          <w:spacing w:val="-21"/>
          <w:sz w:val="20"/>
          <w:szCs w:val="20"/>
          <w:highlight w:val="none"/>
        </w:rPr>
        <w:t xml:space="preserve"> </w:t>
      </w:r>
      <w:r>
        <w:rPr>
          <w:rFonts w:ascii="宋体" w:hAnsi="宋体" w:eastAsia="宋体" w:cs="宋体"/>
          <w:color w:val="auto"/>
          <w:spacing w:val="7"/>
          <w:sz w:val="20"/>
          <w:szCs w:val="20"/>
          <w:highlight w:val="none"/>
        </w:rPr>
        <w:t>100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万元及以上，且资产总额</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2000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万元及以上的为小型企业；营业</w:t>
      </w:r>
      <w:r>
        <w:rPr>
          <w:rFonts w:ascii="宋体" w:hAnsi="宋体" w:eastAsia="宋体" w:cs="宋体"/>
          <w:color w:val="auto"/>
          <w:spacing w:val="6"/>
          <w:sz w:val="20"/>
          <w:szCs w:val="20"/>
          <w:highlight w:val="none"/>
        </w:rPr>
        <w:t>收入</w:t>
      </w:r>
      <w:r>
        <w:rPr>
          <w:rFonts w:ascii="宋体" w:hAnsi="宋体" w:eastAsia="宋体" w:cs="宋体"/>
          <w:color w:val="auto"/>
          <w:spacing w:val="-22"/>
          <w:sz w:val="20"/>
          <w:szCs w:val="20"/>
          <w:highlight w:val="none"/>
        </w:rPr>
        <w:t xml:space="preserve"> </w:t>
      </w:r>
      <w:r>
        <w:rPr>
          <w:rFonts w:ascii="宋体" w:hAnsi="宋体" w:eastAsia="宋体" w:cs="宋体"/>
          <w:color w:val="auto"/>
          <w:spacing w:val="6"/>
          <w:sz w:val="20"/>
          <w:szCs w:val="20"/>
          <w:highlight w:val="none"/>
        </w:rPr>
        <w:t>100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6"/>
          <w:sz w:val="20"/>
          <w:szCs w:val="20"/>
          <w:highlight w:val="none"/>
        </w:rPr>
        <w:t>万元以下或资产总额</w:t>
      </w:r>
      <w:r>
        <w:rPr>
          <w:rFonts w:ascii="宋体" w:hAnsi="宋体" w:eastAsia="宋体" w:cs="宋体"/>
          <w:color w:val="auto"/>
          <w:spacing w:val="-27"/>
          <w:sz w:val="20"/>
          <w:szCs w:val="20"/>
          <w:highlight w:val="none"/>
        </w:rPr>
        <w:t xml:space="preserve"> </w:t>
      </w:r>
      <w:r>
        <w:rPr>
          <w:rFonts w:ascii="宋体" w:hAnsi="宋体" w:eastAsia="宋体" w:cs="宋体"/>
          <w:color w:val="auto"/>
          <w:spacing w:val="6"/>
          <w:sz w:val="20"/>
          <w:szCs w:val="20"/>
          <w:highlight w:val="none"/>
        </w:rPr>
        <w:t>2000</w:t>
      </w:r>
      <w:r>
        <w:rPr>
          <w:rFonts w:ascii="宋体" w:hAnsi="宋体" w:eastAsia="宋体" w:cs="宋体"/>
          <w:color w:val="auto"/>
          <w:spacing w:val="-32"/>
          <w:sz w:val="20"/>
          <w:szCs w:val="20"/>
          <w:highlight w:val="none"/>
        </w:rPr>
        <w:t xml:space="preserve"> </w:t>
      </w:r>
      <w:r>
        <w:rPr>
          <w:rFonts w:ascii="宋体" w:hAnsi="宋体" w:eastAsia="宋体" w:cs="宋体"/>
          <w:color w:val="auto"/>
          <w:spacing w:val="6"/>
          <w:sz w:val="20"/>
          <w:szCs w:val="20"/>
          <w:highlight w:val="none"/>
        </w:rPr>
        <w:t>万元以下的为微型企业。</w:t>
      </w:r>
    </w:p>
    <w:p w14:paraId="39E34E1C">
      <w:pPr>
        <w:spacing w:before="2" w:line="251" w:lineRule="auto"/>
        <w:ind w:left="1" w:right="37" w:firstLine="43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（十四）物业管理。从业人员</w:t>
      </w:r>
      <w:r>
        <w:rPr>
          <w:rFonts w:ascii="宋体" w:hAnsi="宋体" w:eastAsia="宋体" w:cs="宋体"/>
          <w:color w:val="auto"/>
          <w:spacing w:val="-17"/>
          <w:sz w:val="20"/>
          <w:szCs w:val="20"/>
          <w:highlight w:val="none"/>
        </w:rPr>
        <w:t xml:space="preserve"> </w:t>
      </w:r>
      <w:r>
        <w:rPr>
          <w:rFonts w:ascii="宋体" w:hAnsi="宋体" w:eastAsia="宋体" w:cs="宋体"/>
          <w:color w:val="auto"/>
          <w:spacing w:val="10"/>
          <w:sz w:val="20"/>
          <w:szCs w:val="20"/>
          <w:highlight w:val="none"/>
        </w:rPr>
        <w:t>1000</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人以下</w:t>
      </w:r>
      <w:r>
        <w:rPr>
          <w:rFonts w:ascii="宋体" w:hAnsi="宋体" w:eastAsia="宋体" w:cs="宋体"/>
          <w:color w:val="auto"/>
          <w:spacing w:val="9"/>
          <w:sz w:val="20"/>
          <w:szCs w:val="20"/>
          <w:highlight w:val="none"/>
        </w:rPr>
        <w:t>或营业收入</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5000</w:t>
      </w:r>
      <w:r>
        <w:rPr>
          <w:rFonts w:ascii="宋体" w:hAnsi="宋体" w:eastAsia="宋体" w:cs="宋体"/>
          <w:color w:val="auto"/>
          <w:spacing w:val="-31"/>
          <w:sz w:val="20"/>
          <w:szCs w:val="20"/>
          <w:highlight w:val="none"/>
        </w:rPr>
        <w:t xml:space="preserve"> </w:t>
      </w:r>
      <w:r>
        <w:rPr>
          <w:rFonts w:ascii="宋体" w:hAnsi="宋体" w:eastAsia="宋体" w:cs="宋体"/>
          <w:color w:val="auto"/>
          <w:spacing w:val="9"/>
          <w:sz w:val="20"/>
          <w:szCs w:val="20"/>
          <w:highlight w:val="none"/>
        </w:rPr>
        <w:t>万元以下的为中小微型企业。</w:t>
      </w:r>
      <w:r>
        <w:rPr>
          <w:rFonts w:ascii="宋体" w:hAnsi="宋体" w:eastAsia="宋体" w:cs="宋体"/>
          <w:color w:val="auto"/>
          <w:spacing w:val="7"/>
          <w:sz w:val="20"/>
          <w:szCs w:val="20"/>
          <w:highlight w:val="none"/>
        </w:rPr>
        <w:t>其中，从业人员</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300</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人及以上，且营业收入</w:t>
      </w:r>
      <w:r>
        <w:rPr>
          <w:rFonts w:ascii="宋体" w:hAnsi="宋体" w:eastAsia="宋体" w:cs="宋体"/>
          <w:color w:val="auto"/>
          <w:spacing w:val="-23"/>
          <w:sz w:val="20"/>
          <w:szCs w:val="20"/>
          <w:highlight w:val="none"/>
        </w:rPr>
        <w:t xml:space="preserve"> </w:t>
      </w:r>
      <w:r>
        <w:rPr>
          <w:rFonts w:ascii="宋体" w:hAnsi="宋体" w:eastAsia="宋体" w:cs="宋体"/>
          <w:color w:val="auto"/>
          <w:spacing w:val="7"/>
          <w:sz w:val="20"/>
          <w:szCs w:val="20"/>
          <w:highlight w:val="none"/>
        </w:rPr>
        <w:t>1000</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万元及以上的为中型企业；从业人</w:t>
      </w:r>
      <w:r>
        <w:rPr>
          <w:rFonts w:ascii="宋体" w:hAnsi="宋体" w:eastAsia="宋体" w:cs="宋体"/>
          <w:color w:val="auto"/>
          <w:spacing w:val="6"/>
          <w:sz w:val="20"/>
          <w:szCs w:val="20"/>
          <w:highlight w:val="none"/>
        </w:rPr>
        <w:t>员</w:t>
      </w:r>
      <w:r>
        <w:rPr>
          <w:rFonts w:ascii="宋体" w:hAnsi="宋体" w:eastAsia="宋体" w:cs="宋体"/>
          <w:color w:val="auto"/>
          <w:spacing w:val="-21"/>
          <w:sz w:val="20"/>
          <w:szCs w:val="20"/>
          <w:highlight w:val="none"/>
        </w:rPr>
        <w:t xml:space="preserve"> </w:t>
      </w:r>
      <w:r>
        <w:rPr>
          <w:rFonts w:ascii="宋体" w:hAnsi="宋体" w:eastAsia="宋体" w:cs="宋体"/>
          <w:color w:val="auto"/>
          <w:spacing w:val="6"/>
          <w:sz w:val="20"/>
          <w:szCs w:val="20"/>
          <w:highlight w:val="none"/>
        </w:rPr>
        <w:t>100</w:t>
      </w:r>
      <w:r>
        <w:rPr>
          <w:rFonts w:ascii="宋体" w:hAnsi="宋体" w:eastAsia="宋体" w:cs="宋体"/>
          <w:color w:val="auto"/>
          <w:spacing w:val="-38"/>
          <w:sz w:val="20"/>
          <w:szCs w:val="20"/>
          <w:highlight w:val="none"/>
        </w:rPr>
        <w:t xml:space="preserve"> </w:t>
      </w:r>
      <w:r>
        <w:rPr>
          <w:rFonts w:ascii="宋体" w:hAnsi="宋体" w:eastAsia="宋体" w:cs="宋体"/>
          <w:color w:val="auto"/>
          <w:spacing w:val="6"/>
          <w:sz w:val="20"/>
          <w:szCs w:val="20"/>
          <w:highlight w:val="none"/>
        </w:rPr>
        <w:t>人及</w:t>
      </w:r>
      <w:r>
        <w:rPr>
          <w:rFonts w:ascii="宋体" w:hAnsi="宋体" w:eastAsia="宋体" w:cs="宋体"/>
          <w:color w:val="auto"/>
          <w:spacing w:val="9"/>
          <w:sz w:val="20"/>
          <w:szCs w:val="20"/>
          <w:highlight w:val="none"/>
        </w:rPr>
        <w:t>以上，且营业收入</w:t>
      </w:r>
      <w:r>
        <w:rPr>
          <w:rFonts w:ascii="宋体" w:hAnsi="宋体" w:eastAsia="宋体" w:cs="宋体"/>
          <w:color w:val="auto"/>
          <w:spacing w:val="-29"/>
          <w:sz w:val="20"/>
          <w:szCs w:val="20"/>
          <w:highlight w:val="none"/>
        </w:rPr>
        <w:t xml:space="preserve"> </w:t>
      </w:r>
      <w:r>
        <w:rPr>
          <w:rFonts w:ascii="宋体" w:hAnsi="宋体" w:eastAsia="宋体" w:cs="宋体"/>
          <w:color w:val="auto"/>
          <w:spacing w:val="9"/>
          <w:sz w:val="20"/>
          <w:szCs w:val="20"/>
          <w:highlight w:val="none"/>
        </w:rPr>
        <w:t>500</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万元及以上的为小型企业；从业人员</w:t>
      </w:r>
      <w:r>
        <w:rPr>
          <w:rFonts w:ascii="宋体" w:hAnsi="宋体" w:eastAsia="宋体" w:cs="宋体"/>
          <w:color w:val="auto"/>
          <w:spacing w:val="-21"/>
          <w:sz w:val="20"/>
          <w:szCs w:val="20"/>
          <w:highlight w:val="none"/>
        </w:rPr>
        <w:t xml:space="preserve"> </w:t>
      </w:r>
      <w:r>
        <w:rPr>
          <w:rFonts w:ascii="宋体" w:hAnsi="宋体" w:eastAsia="宋体" w:cs="宋体"/>
          <w:color w:val="auto"/>
          <w:spacing w:val="9"/>
          <w:sz w:val="20"/>
          <w:szCs w:val="20"/>
          <w:highlight w:val="none"/>
        </w:rPr>
        <w:t>100</w:t>
      </w:r>
      <w:r>
        <w:rPr>
          <w:rFonts w:ascii="宋体" w:hAnsi="宋体" w:eastAsia="宋体" w:cs="宋体"/>
          <w:color w:val="auto"/>
          <w:spacing w:val="-34"/>
          <w:sz w:val="20"/>
          <w:szCs w:val="20"/>
          <w:highlight w:val="none"/>
        </w:rPr>
        <w:t xml:space="preserve"> </w:t>
      </w:r>
      <w:r>
        <w:rPr>
          <w:rFonts w:ascii="宋体" w:hAnsi="宋体" w:eastAsia="宋体" w:cs="宋体"/>
          <w:color w:val="auto"/>
          <w:spacing w:val="9"/>
          <w:sz w:val="20"/>
          <w:szCs w:val="20"/>
          <w:highlight w:val="none"/>
        </w:rPr>
        <w:t>人以下或营业收入</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500</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万元以</w:t>
      </w:r>
      <w:r>
        <w:rPr>
          <w:rFonts w:ascii="宋体" w:hAnsi="宋体" w:eastAsia="宋体" w:cs="宋体"/>
          <w:color w:val="auto"/>
          <w:spacing w:val="7"/>
          <w:sz w:val="20"/>
          <w:szCs w:val="20"/>
          <w:highlight w:val="none"/>
        </w:rPr>
        <w:t>下的为微型企业。</w:t>
      </w:r>
    </w:p>
    <w:p w14:paraId="24AE43E3">
      <w:pPr>
        <w:spacing w:before="2" w:line="251" w:lineRule="auto"/>
        <w:ind w:left="5" w:right="37" w:firstLine="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（十五）租赁和商务服务业。从业人员</w:t>
      </w:r>
      <w:r>
        <w:rPr>
          <w:rFonts w:ascii="宋体" w:hAnsi="宋体" w:eastAsia="宋体" w:cs="宋体"/>
          <w:color w:val="auto"/>
          <w:spacing w:val="-19"/>
          <w:sz w:val="20"/>
          <w:szCs w:val="20"/>
          <w:highlight w:val="none"/>
        </w:rPr>
        <w:t xml:space="preserve"> </w:t>
      </w:r>
      <w:r>
        <w:rPr>
          <w:rFonts w:ascii="宋体" w:hAnsi="宋体" w:eastAsia="宋体" w:cs="宋体"/>
          <w:color w:val="auto"/>
          <w:spacing w:val="7"/>
          <w:sz w:val="20"/>
          <w:szCs w:val="20"/>
          <w:highlight w:val="none"/>
        </w:rPr>
        <w:t>300</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人以下或资产总额</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120000</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万元以下的为中小微</w:t>
      </w:r>
      <w:r>
        <w:rPr>
          <w:rFonts w:ascii="宋体" w:hAnsi="宋体" w:eastAsia="宋体" w:cs="宋体"/>
          <w:color w:val="auto"/>
          <w:spacing w:val="8"/>
          <w:sz w:val="20"/>
          <w:szCs w:val="20"/>
          <w:highlight w:val="none"/>
        </w:rPr>
        <w:t>型企业。其中，从业人员</w:t>
      </w:r>
      <w:r>
        <w:rPr>
          <w:rFonts w:ascii="宋体" w:hAnsi="宋体" w:eastAsia="宋体" w:cs="宋体"/>
          <w:color w:val="auto"/>
          <w:spacing w:val="-24"/>
          <w:sz w:val="20"/>
          <w:szCs w:val="20"/>
          <w:highlight w:val="none"/>
        </w:rPr>
        <w:t xml:space="preserve"> </w:t>
      </w:r>
      <w:r>
        <w:rPr>
          <w:rFonts w:ascii="宋体" w:hAnsi="宋体" w:eastAsia="宋体" w:cs="宋体"/>
          <w:color w:val="auto"/>
          <w:spacing w:val="8"/>
          <w:sz w:val="20"/>
          <w:szCs w:val="20"/>
          <w:highlight w:val="none"/>
        </w:rPr>
        <w:t>100</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人及以上，且资产总额</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8000</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万元及以上的为中型企业；</w:t>
      </w:r>
      <w:r>
        <w:rPr>
          <w:rFonts w:ascii="宋体" w:hAnsi="宋体" w:eastAsia="宋体" w:cs="宋体"/>
          <w:color w:val="auto"/>
          <w:spacing w:val="7"/>
          <w:sz w:val="20"/>
          <w:szCs w:val="20"/>
          <w:highlight w:val="none"/>
        </w:rPr>
        <w:t>从业人员</w:t>
      </w:r>
      <w:r>
        <w:rPr>
          <w:rFonts w:ascii="宋体" w:hAnsi="宋体" w:eastAsia="宋体" w:cs="宋体"/>
          <w:color w:val="auto"/>
          <w:spacing w:val="10"/>
          <w:sz w:val="20"/>
          <w:szCs w:val="20"/>
          <w:highlight w:val="none"/>
        </w:rPr>
        <w:t>10</w:t>
      </w:r>
      <w:r>
        <w:rPr>
          <w:rFonts w:ascii="宋体" w:hAnsi="宋体" w:eastAsia="宋体" w:cs="宋体"/>
          <w:color w:val="auto"/>
          <w:spacing w:val="-15"/>
          <w:sz w:val="20"/>
          <w:szCs w:val="20"/>
          <w:highlight w:val="none"/>
        </w:rPr>
        <w:t xml:space="preserve"> </w:t>
      </w:r>
      <w:r>
        <w:rPr>
          <w:rFonts w:ascii="宋体" w:hAnsi="宋体" w:eastAsia="宋体" w:cs="宋体"/>
          <w:color w:val="auto"/>
          <w:spacing w:val="10"/>
          <w:sz w:val="20"/>
          <w:szCs w:val="20"/>
          <w:highlight w:val="none"/>
        </w:rPr>
        <w:t>人及以上，且资产总额</w:t>
      </w:r>
      <w:r>
        <w:rPr>
          <w:rFonts w:ascii="宋体" w:hAnsi="宋体" w:eastAsia="宋体" w:cs="宋体"/>
          <w:color w:val="auto"/>
          <w:spacing w:val="-17"/>
          <w:sz w:val="20"/>
          <w:szCs w:val="20"/>
          <w:highlight w:val="none"/>
        </w:rPr>
        <w:t xml:space="preserve"> </w:t>
      </w:r>
      <w:r>
        <w:rPr>
          <w:rFonts w:ascii="宋体" w:hAnsi="宋体" w:eastAsia="宋体" w:cs="宋体"/>
          <w:color w:val="auto"/>
          <w:spacing w:val="10"/>
          <w:sz w:val="20"/>
          <w:szCs w:val="20"/>
          <w:highlight w:val="none"/>
        </w:rPr>
        <w:t>100</w:t>
      </w:r>
      <w:r>
        <w:rPr>
          <w:rFonts w:ascii="宋体" w:hAnsi="宋体" w:eastAsia="宋体" w:cs="宋体"/>
          <w:color w:val="auto"/>
          <w:spacing w:val="-28"/>
          <w:sz w:val="20"/>
          <w:szCs w:val="20"/>
          <w:highlight w:val="none"/>
        </w:rPr>
        <w:t xml:space="preserve"> </w:t>
      </w:r>
      <w:r>
        <w:rPr>
          <w:rFonts w:ascii="宋体" w:hAnsi="宋体" w:eastAsia="宋体" w:cs="宋体"/>
          <w:color w:val="auto"/>
          <w:spacing w:val="10"/>
          <w:sz w:val="20"/>
          <w:szCs w:val="20"/>
          <w:highlight w:val="none"/>
        </w:rPr>
        <w:t>万元及以上的为小型企业；从业人员</w:t>
      </w:r>
      <w:r>
        <w:rPr>
          <w:rFonts w:ascii="宋体" w:hAnsi="宋体" w:eastAsia="宋体" w:cs="宋体"/>
          <w:color w:val="auto"/>
          <w:spacing w:val="-19"/>
          <w:sz w:val="20"/>
          <w:szCs w:val="20"/>
          <w:highlight w:val="none"/>
        </w:rPr>
        <w:t xml:space="preserve"> </w:t>
      </w:r>
      <w:r>
        <w:rPr>
          <w:rFonts w:ascii="宋体" w:hAnsi="宋体" w:eastAsia="宋体" w:cs="宋体"/>
          <w:color w:val="auto"/>
          <w:spacing w:val="10"/>
          <w:sz w:val="20"/>
          <w:szCs w:val="20"/>
          <w:highlight w:val="none"/>
        </w:rPr>
        <w:t>10</w:t>
      </w:r>
      <w:r>
        <w:rPr>
          <w:rFonts w:ascii="宋体" w:hAnsi="宋体" w:eastAsia="宋体" w:cs="宋体"/>
          <w:color w:val="auto"/>
          <w:spacing w:val="-31"/>
          <w:sz w:val="20"/>
          <w:szCs w:val="20"/>
          <w:highlight w:val="none"/>
        </w:rPr>
        <w:t xml:space="preserve"> </w:t>
      </w:r>
      <w:r>
        <w:rPr>
          <w:rFonts w:ascii="宋体" w:hAnsi="宋体" w:eastAsia="宋体" w:cs="宋体"/>
          <w:color w:val="auto"/>
          <w:spacing w:val="10"/>
          <w:sz w:val="20"/>
          <w:szCs w:val="20"/>
          <w:highlight w:val="none"/>
        </w:rPr>
        <w:t>人以下或资产总额</w:t>
      </w:r>
      <w:r>
        <w:rPr>
          <w:rFonts w:ascii="宋体" w:hAnsi="宋体" w:eastAsia="宋体" w:cs="宋体"/>
          <w:color w:val="auto"/>
          <w:spacing w:val="-17"/>
          <w:sz w:val="20"/>
          <w:szCs w:val="20"/>
          <w:highlight w:val="none"/>
        </w:rPr>
        <w:t xml:space="preserve"> </w:t>
      </w:r>
      <w:r>
        <w:rPr>
          <w:rFonts w:ascii="宋体" w:hAnsi="宋体" w:eastAsia="宋体" w:cs="宋体"/>
          <w:color w:val="auto"/>
          <w:spacing w:val="10"/>
          <w:sz w:val="20"/>
          <w:szCs w:val="20"/>
          <w:highlight w:val="none"/>
        </w:rPr>
        <w:t>100</w:t>
      </w:r>
      <w:r>
        <w:rPr>
          <w:rFonts w:ascii="宋体" w:hAnsi="宋体" w:eastAsia="宋体" w:cs="宋体"/>
          <w:color w:val="auto"/>
          <w:spacing w:val="7"/>
          <w:sz w:val="20"/>
          <w:szCs w:val="20"/>
          <w:highlight w:val="none"/>
        </w:rPr>
        <w:t>万元以下的为微型企业。</w:t>
      </w:r>
    </w:p>
    <w:p w14:paraId="701A301D">
      <w:pPr>
        <w:spacing w:before="2" w:line="251" w:lineRule="auto"/>
        <w:ind w:right="38" w:firstLine="44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（十六）其他未列明行业。从业人员</w:t>
      </w:r>
      <w:r>
        <w:rPr>
          <w:rFonts w:ascii="宋体" w:hAnsi="宋体" w:eastAsia="宋体" w:cs="宋体"/>
          <w:color w:val="auto"/>
          <w:spacing w:val="-22"/>
          <w:sz w:val="20"/>
          <w:szCs w:val="20"/>
          <w:highlight w:val="none"/>
        </w:rPr>
        <w:t xml:space="preserve"> </w:t>
      </w:r>
      <w:r>
        <w:rPr>
          <w:rFonts w:ascii="宋体" w:hAnsi="宋体" w:eastAsia="宋体" w:cs="宋体"/>
          <w:color w:val="auto"/>
          <w:spacing w:val="11"/>
          <w:sz w:val="20"/>
          <w:szCs w:val="20"/>
          <w:highlight w:val="none"/>
        </w:rPr>
        <w:t>300</w:t>
      </w:r>
      <w:r>
        <w:rPr>
          <w:rFonts w:ascii="宋体" w:hAnsi="宋体" w:eastAsia="宋体" w:cs="宋体"/>
          <w:color w:val="auto"/>
          <w:spacing w:val="-32"/>
          <w:sz w:val="20"/>
          <w:szCs w:val="20"/>
          <w:highlight w:val="none"/>
        </w:rPr>
        <w:t xml:space="preserve"> </w:t>
      </w:r>
      <w:r>
        <w:rPr>
          <w:rFonts w:ascii="宋体" w:hAnsi="宋体" w:eastAsia="宋体" w:cs="宋体"/>
          <w:color w:val="auto"/>
          <w:spacing w:val="11"/>
          <w:sz w:val="20"/>
          <w:szCs w:val="20"/>
          <w:highlight w:val="none"/>
        </w:rPr>
        <w:t>人以下的为中小微型企业。其中，从业人员</w:t>
      </w:r>
      <w:r>
        <w:rPr>
          <w:rFonts w:ascii="宋体" w:hAnsi="宋体" w:eastAsia="宋体" w:cs="宋体"/>
          <w:color w:val="auto"/>
          <w:spacing w:val="-19"/>
          <w:sz w:val="20"/>
          <w:szCs w:val="20"/>
          <w:highlight w:val="none"/>
        </w:rPr>
        <w:t xml:space="preserve"> </w:t>
      </w:r>
      <w:r>
        <w:rPr>
          <w:rFonts w:ascii="宋体" w:hAnsi="宋体" w:eastAsia="宋体" w:cs="宋体"/>
          <w:color w:val="auto"/>
          <w:spacing w:val="11"/>
          <w:sz w:val="20"/>
          <w:szCs w:val="20"/>
          <w:highlight w:val="none"/>
        </w:rPr>
        <w:t>100</w:t>
      </w:r>
      <w:r>
        <w:rPr>
          <w:rFonts w:ascii="宋体" w:hAnsi="宋体" w:eastAsia="宋体" w:cs="宋体"/>
          <w:color w:val="auto"/>
          <w:spacing w:val="10"/>
          <w:sz w:val="20"/>
          <w:szCs w:val="20"/>
          <w:highlight w:val="none"/>
        </w:rPr>
        <w:t>人及以上的为中型企业；从业人员</w:t>
      </w:r>
      <w:r>
        <w:rPr>
          <w:rFonts w:ascii="宋体" w:hAnsi="宋体" w:eastAsia="宋体" w:cs="宋体"/>
          <w:color w:val="auto"/>
          <w:spacing w:val="-13"/>
          <w:sz w:val="20"/>
          <w:szCs w:val="20"/>
          <w:highlight w:val="none"/>
        </w:rPr>
        <w:t xml:space="preserve"> </w:t>
      </w:r>
      <w:r>
        <w:rPr>
          <w:rFonts w:ascii="宋体" w:hAnsi="宋体" w:eastAsia="宋体" w:cs="宋体"/>
          <w:color w:val="auto"/>
          <w:spacing w:val="10"/>
          <w:sz w:val="20"/>
          <w:szCs w:val="20"/>
          <w:highlight w:val="none"/>
        </w:rPr>
        <w:t>10</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人及以上的为小型企业；从业人员</w:t>
      </w:r>
      <w:r>
        <w:rPr>
          <w:rFonts w:ascii="宋体" w:hAnsi="宋体" w:eastAsia="宋体" w:cs="宋体"/>
          <w:color w:val="auto"/>
          <w:spacing w:val="-21"/>
          <w:sz w:val="20"/>
          <w:szCs w:val="20"/>
          <w:highlight w:val="none"/>
        </w:rPr>
        <w:t xml:space="preserve"> </w:t>
      </w:r>
      <w:r>
        <w:rPr>
          <w:rFonts w:ascii="宋体" w:hAnsi="宋体" w:eastAsia="宋体" w:cs="宋体"/>
          <w:color w:val="auto"/>
          <w:spacing w:val="10"/>
          <w:sz w:val="20"/>
          <w:szCs w:val="20"/>
          <w:highlight w:val="none"/>
        </w:rPr>
        <w:t>10</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人以下的为微型企</w:t>
      </w:r>
      <w:r>
        <w:rPr>
          <w:rFonts w:ascii="宋体" w:hAnsi="宋体" w:eastAsia="宋体" w:cs="宋体"/>
          <w:color w:val="auto"/>
          <w:sz w:val="20"/>
          <w:szCs w:val="20"/>
          <w:highlight w:val="none"/>
        </w:rPr>
        <w:t>业。</w:t>
      </w:r>
    </w:p>
    <w:p w14:paraId="701E1DA3">
      <w:pPr>
        <w:spacing w:before="1" w:line="226" w:lineRule="auto"/>
        <w:ind w:left="42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五、企业类型的划分以统计部门的统计数据为依</w:t>
      </w:r>
      <w:r>
        <w:rPr>
          <w:rFonts w:ascii="宋体" w:hAnsi="宋体" w:eastAsia="宋体" w:cs="宋体"/>
          <w:color w:val="auto"/>
          <w:spacing w:val="8"/>
          <w:sz w:val="20"/>
          <w:szCs w:val="20"/>
          <w:highlight w:val="none"/>
        </w:rPr>
        <w:t>据。</w:t>
      </w:r>
    </w:p>
    <w:p w14:paraId="154C82FC">
      <w:pPr>
        <w:spacing w:before="27" w:line="251" w:lineRule="auto"/>
        <w:ind w:right="75" w:firstLine="426"/>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六、本规定适用于在中华人民共和国境内依法设立的各类所</w:t>
      </w:r>
      <w:r>
        <w:rPr>
          <w:rFonts w:ascii="宋体" w:hAnsi="宋体" w:eastAsia="宋体" w:cs="宋体"/>
          <w:color w:val="auto"/>
          <w:spacing w:val="11"/>
          <w:sz w:val="20"/>
          <w:szCs w:val="20"/>
          <w:highlight w:val="none"/>
        </w:rPr>
        <w:t>有制和各种组织形式的企业。</w:t>
      </w:r>
      <w:r>
        <w:rPr>
          <w:rFonts w:ascii="宋体" w:hAnsi="宋体" w:eastAsia="宋体" w:cs="宋体"/>
          <w:color w:val="auto"/>
          <w:spacing w:val="9"/>
          <w:sz w:val="20"/>
          <w:szCs w:val="20"/>
          <w:highlight w:val="none"/>
        </w:rPr>
        <w:t>个体工商户和本规定以外的行业，参照本规定进行划型。</w:t>
      </w:r>
    </w:p>
    <w:p w14:paraId="440F4077">
      <w:pPr>
        <w:spacing w:line="251" w:lineRule="auto"/>
        <w:ind w:right="37" w:firstLine="424"/>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七、本规定的中型企业标准上限即为大型企业标准的下限</w:t>
      </w:r>
      <w:r>
        <w:rPr>
          <w:rFonts w:ascii="宋体" w:hAnsi="宋体" w:eastAsia="宋体" w:cs="宋体"/>
          <w:color w:val="auto"/>
          <w:spacing w:val="12"/>
          <w:sz w:val="20"/>
          <w:szCs w:val="20"/>
          <w:highlight w:val="none"/>
        </w:rPr>
        <w:t>，国家统计部门据此制定大中小</w:t>
      </w:r>
      <w:r>
        <w:rPr>
          <w:rFonts w:ascii="宋体" w:hAnsi="宋体" w:eastAsia="宋体" w:cs="宋体"/>
          <w:color w:val="auto"/>
          <w:spacing w:val="13"/>
          <w:sz w:val="20"/>
          <w:szCs w:val="20"/>
          <w:highlight w:val="none"/>
        </w:rPr>
        <w:t>微型企业的统计分类。国务院有关部门据此进行相关数据分析，</w:t>
      </w:r>
      <w:r>
        <w:rPr>
          <w:rFonts w:ascii="宋体" w:hAnsi="宋体" w:eastAsia="宋体" w:cs="宋体"/>
          <w:color w:val="auto"/>
          <w:spacing w:val="12"/>
          <w:sz w:val="20"/>
          <w:szCs w:val="20"/>
          <w:highlight w:val="none"/>
        </w:rPr>
        <w:t>不得制定与本规定不一致的企</w:t>
      </w:r>
      <w:r>
        <w:rPr>
          <w:rFonts w:ascii="宋体" w:hAnsi="宋体" w:eastAsia="宋体" w:cs="宋体"/>
          <w:color w:val="auto"/>
          <w:spacing w:val="6"/>
          <w:sz w:val="20"/>
          <w:szCs w:val="20"/>
          <w:highlight w:val="none"/>
        </w:rPr>
        <w:t>业划型标准。</w:t>
      </w:r>
    </w:p>
    <w:p w14:paraId="4F452C6E">
      <w:pPr>
        <w:spacing w:before="1" w:line="251" w:lineRule="auto"/>
        <w:ind w:left="1" w:right="40" w:firstLine="427"/>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八、本规定由工业和信息化部、国家统计局会同</w:t>
      </w:r>
      <w:r>
        <w:rPr>
          <w:rFonts w:ascii="宋体" w:hAnsi="宋体" w:eastAsia="宋体" w:cs="宋体"/>
          <w:color w:val="auto"/>
          <w:spacing w:val="12"/>
          <w:sz w:val="20"/>
          <w:szCs w:val="20"/>
          <w:highlight w:val="none"/>
        </w:rPr>
        <w:t>有关部门根据《国民经济行业分类》修订</w:t>
      </w:r>
      <w:r>
        <w:rPr>
          <w:rFonts w:ascii="宋体" w:hAnsi="宋体" w:eastAsia="宋体" w:cs="宋体"/>
          <w:color w:val="auto"/>
          <w:spacing w:val="8"/>
          <w:sz w:val="20"/>
          <w:szCs w:val="20"/>
          <w:highlight w:val="none"/>
        </w:rPr>
        <w:t>情况和企业发展变化情况适时修订。</w:t>
      </w:r>
    </w:p>
    <w:p w14:paraId="2C5FB0FD">
      <w:pPr>
        <w:spacing w:before="1" w:line="226"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九、本规定由工业和信息化部、国家统计局会同有关部门负责解释。</w:t>
      </w:r>
    </w:p>
    <w:p w14:paraId="4C19C0D0">
      <w:pPr>
        <w:spacing w:before="29" w:line="251" w:lineRule="auto"/>
        <w:ind w:right="37"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十、本规定自发布之日起执行，原国家经贸委、原国家计委、财政部和国家统计局</w:t>
      </w:r>
      <w:r>
        <w:rPr>
          <w:rFonts w:ascii="宋体" w:hAnsi="宋体" w:eastAsia="宋体" w:cs="宋体"/>
          <w:color w:val="auto"/>
          <w:spacing w:val="-31"/>
          <w:sz w:val="20"/>
          <w:szCs w:val="20"/>
          <w:highlight w:val="none"/>
        </w:rPr>
        <w:t xml:space="preserve"> </w:t>
      </w:r>
      <w:r>
        <w:rPr>
          <w:rFonts w:ascii="宋体" w:hAnsi="宋体" w:eastAsia="宋体" w:cs="宋体"/>
          <w:color w:val="auto"/>
          <w:spacing w:val="9"/>
          <w:sz w:val="20"/>
          <w:szCs w:val="20"/>
          <w:highlight w:val="none"/>
        </w:rPr>
        <w:t>2003</w:t>
      </w:r>
      <w:r>
        <w:rPr>
          <w:rFonts w:ascii="宋体" w:hAnsi="宋体" w:eastAsia="宋体" w:cs="宋体"/>
          <w:color w:val="auto"/>
          <w:spacing w:val="-39"/>
          <w:sz w:val="20"/>
          <w:szCs w:val="20"/>
          <w:highlight w:val="none"/>
        </w:rPr>
        <w:t xml:space="preserve"> </w:t>
      </w:r>
      <w:r>
        <w:rPr>
          <w:rFonts w:ascii="宋体" w:hAnsi="宋体" w:eastAsia="宋体" w:cs="宋体"/>
          <w:color w:val="auto"/>
          <w:spacing w:val="9"/>
          <w:sz w:val="20"/>
          <w:szCs w:val="20"/>
          <w:highlight w:val="none"/>
        </w:rPr>
        <w:t>年颁布的《中小企业标准暂行规定》同时废止。</w:t>
      </w:r>
    </w:p>
    <w:p w14:paraId="5840F19C">
      <w:pPr>
        <w:spacing w:line="251" w:lineRule="auto"/>
        <w:rPr>
          <w:rFonts w:ascii="宋体" w:hAnsi="宋体" w:eastAsia="宋体" w:cs="宋体"/>
          <w:color w:val="auto"/>
          <w:sz w:val="20"/>
          <w:szCs w:val="20"/>
          <w:highlight w:val="none"/>
        </w:rPr>
        <w:sectPr>
          <w:footerReference r:id="rId34" w:type="default"/>
          <w:pgSz w:w="11910" w:h="16840"/>
          <w:pgMar w:top="1330" w:right="1463" w:bottom="1091" w:left="1687" w:header="0" w:footer="929" w:gutter="0"/>
          <w:pgNumType w:fmt="decimal"/>
          <w:cols w:space="720" w:num="1"/>
        </w:sectPr>
      </w:pPr>
    </w:p>
    <w:p w14:paraId="57B1612D">
      <w:pPr>
        <w:spacing w:before="88" w:line="222" w:lineRule="auto"/>
        <w:ind w:left="851"/>
        <w:outlineLvl w:val="0"/>
        <w:rPr>
          <w:rFonts w:ascii="宋体" w:hAnsi="宋体" w:eastAsia="宋体" w:cs="宋体"/>
          <w:color w:val="auto"/>
          <w:sz w:val="43"/>
          <w:szCs w:val="43"/>
          <w:highlight w:val="none"/>
        </w:rPr>
      </w:pPr>
      <w:bookmarkStart w:id="7" w:name="_Toc32403"/>
      <w:r>
        <w:rPr>
          <w:rFonts w:ascii="宋体" w:hAnsi="宋体" w:eastAsia="宋体" w:cs="宋体"/>
          <w:b/>
          <w:bCs/>
          <w:color w:val="auto"/>
          <w:spacing w:val="5"/>
          <w:sz w:val="43"/>
          <w:szCs w:val="43"/>
          <w:highlight w:val="none"/>
        </w:rPr>
        <w:t>第四章</w:t>
      </w:r>
      <w:r>
        <w:rPr>
          <w:rFonts w:ascii="宋体" w:hAnsi="宋体" w:eastAsia="宋体" w:cs="宋体"/>
          <w:color w:val="auto"/>
          <w:spacing w:val="5"/>
          <w:sz w:val="43"/>
          <w:szCs w:val="43"/>
          <w:highlight w:val="none"/>
        </w:rPr>
        <w:t xml:space="preserve">  </w:t>
      </w:r>
      <w:r>
        <w:rPr>
          <w:rFonts w:ascii="宋体" w:hAnsi="宋体" w:eastAsia="宋体" w:cs="宋体"/>
          <w:b/>
          <w:bCs/>
          <w:color w:val="auto"/>
          <w:spacing w:val="5"/>
          <w:sz w:val="43"/>
          <w:szCs w:val="43"/>
          <w:highlight w:val="none"/>
        </w:rPr>
        <w:t>评审程序和评定成交的标准</w:t>
      </w:r>
      <w:bookmarkEnd w:id="7"/>
    </w:p>
    <w:p w14:paraId="0F34FF60">
      <w:pPr>
        <w:spacing w:before="36" w:line="225" w:lineRule="auto"/>
        <w:ind w:left="3420"/>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一、评审程序</w:t>
      </w:r>
    </w:p>
    <w:p w14:paraId="68443A79">
      <w:pPr>
        <w:spacing w:before="231" w:line="220" w:lineRule="auto"/>
        <w:ind w:left="505"/>
        <w:rPr>
          <w:rFonts w:ascii="黑体" w:hAnsi="黑体" w:eastAsia="黑体" w:cs="黑体"/>
          <w:color w:val="auto"/>
          <w:sz w:val="24"/>
          <w:szCs w:val="24"/>
          <w:highlight w:val="none"/>
        </w:rPr>
      </w:pPr>
      <w:r>
        <w:rPr>
          <w:rFonts w:ascii="黑体" w:hAnsi="黑体" w:eastAsia="黑体" w:cs="黑体"/>
          <w:b/>
          <w:bCs/>
          <w:color w:val="auto"/>
          <w:spacing w:val="-5"/>
          <w:sz w:val="24"/>
          <w:szCs w:val="24"/>
          <w:highlight w:val="none"/>
        </w:rPr>
        <w:t>1.确认谈判文件</w:t>
      </w:r>
    </w:p>
    <w:p w14:paraId="5D313389">
      <w:pPr>
        <w:spacing w:before="174" w:line="228" w:lineRule="auto"/>
        <w:ind w:left="45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由谈判小组确认谈判文件。</w:t>
      </w:r>
    </w:p>
    <w:p w14:paraId="6D5AA2A4">
      <w:pPr>
        <w:spacing w:before="166" w:line="222" w:lineRule="auto"/>
        <w:ind w:left="491"/>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2.资格审查</w:t>
      </w:r>
    </w:p>
    <w:p w14:paraId="4A28C352">
      <w:pPr>
        <w:spacing w:before="175" w:line="227" w:lineRule="auto"/>
        <w:ind w:left="43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2.1</w:t>
      </w:r>
      <w:r>
        <w:rPr>
          <w:rFonts w:ascii="宋体" w:hAnsi="宋体" w:eastAsia="宋体" w:cs="宋体"/>
          <w:color w:val="auto"/>
          <w:spacing w:val="-20"/>
          <w:sz w:val="20"/>
          <w:szCs w:val="20"/>
          <w:highlight w:val="none"/>
        </w:rPr>
        <w:t xml:space="preserve"> </w:t>
      </w:r>
      <w:r>
        <w:rPr>
          <w:rFonts w:ascii="宋体" w:hAnsi="宋体" w:eastAsia="宋体" w:cs="宋体"/>
          <w:color w:val="auto"/>
          <w:spacing w:val="8"/>
          <w:sz w:val="20"/>
          <w:szCs w:val="20"/>
          <w:highlight w:val="none"/>
        </w:rPr>
        <w:t>响应文件开启后，谈判小组依法对供应商的资格证明文件进行审查。</w:t>
      </w:r>
    </w:p>
    <w:p w14:paraId="2C4E6C1D">
      <w:pPr>
        <w:spacing w:before="16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注：谈判小组在资格审查结束前，对供应商进行信用查询。</w:t>
      </w:r>
    </w:p>
    <w:p w14:paraId="43C59F9F">
      <w:pPr>
        <w:spacing w:before="163" w:line="375" w:lineRule="auto"/>
        <w:ind w:left="20" w:right="37"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w:t>
      </w:r>
      <w:r>
        <w:rPr>
          <w:rFonts w:ascii="宋体" w:hAnsi="宋体" w:eastAsia="宋体" w:cs="宋体"/>
          <w:color w:val="auto"/>
          <w:spacing w:val="-31"/>
          <w:sz w:val="20"/>
          <w:szCs w:val="20"/>
          <w:highlight w:val="none"/>
        </w:rPr>
        <w:t xml:space="preserve"> </w:t>
      </w:r>
      <w:r>
        <w:rPr>
          <w:rFonts w:ascii="宋体" w:hAnsi="宋体" w:eastAsia="宋体" w:cs="宋体"/>
          <w:color w:val="auto"/>
          <w:spacing w:val="9"/>
          <w:sz w:val="20"/>
          <w:szCs w:val="20"/>
          <w:highlight w:val="none"/>
        </w:rPr>
        <w:t>）</w:t>
      </w:r>
      <w:r>
        <w:rPr>
          <w:rFonts w:ascii="宋体" w:hAnsi="宋体" w:eastAsia="宋体" w:cs="宋体"/>
          <w:color w:val="auto"/>
          <w:spacing w:val="-59"/>
          <w:sz w:val="20"/>
          <w:szCs w:val="20"/>
          <w:highlight w:val="none"/>
        </w:rPr>
        <w:t xml:space="preserve"> </w:t>
      </w:r>
      <w:r>
        <w:rPr>
          <w:rFonts w:ascii="宋体" w:hAnsi="宋体" w:eastAsia="宋体" w:cs="宋体"/>
          <w:color w:val="auto"/>
          <w:spacing w:val="9"/>
          <w:sz w:val="20"/>
          <w:szCs w:val="20"/>
          <w:highlight w:val="none"/>
        </w:rPr>
        <w:t>查询渠道</w:t>
      </w:r>
      <w:r>
        <w:rPr>
          <w:rFonts w:ascii="宋体" w:hAnsi="宋体" w:eastAsia="宋体" w:cs="宋体"/>
          <w:color w:val="auto"/>
          <w:spacing w:val="-47"/>
          <w:sz w:val="20"/>
          <w:szCs w:val="20"/>
          <w:highlight w:val="none"/>
        </w:rPr>
        <w:t xml:space="preserve"> </w:t>
      </w:r>
      <w:r>
        <w:rPr>
          <w:rFonts w:ascii="宋体" w:hAnsi="宋体" w:eastAsia="宋体" w:cs="宋体"/>
          <w:color w:val="auto"/>
          <w:spacing w:val="9"/>
          <w:sz w:val="20"/>
          <w:szCs w:val="20"/>
          <w:highlight w:val="none"/>
        </w:rPr>
        <w:t>：</w:t>
      </w:r>
      <w:r>
        <w:rPr>
          <w:rFonts w:ascii="宋体" w:hAnsi="宋体" w:eastAsia="宋体" w:cs="宋体"/>
          <w:color w:val="auto"/>
          <w:spacing w:val="-59"/>
          <w:sz w:val="20"/>
          <w:szCs w:val="20"/>
          <w:highlight w:val="none"/>
        </w:rPr>
        <w:t xml:space="preserve"> </w:t>
      </w:r>
      <w:r>
        <w:rPr>
          <w:rFonts w:ascii="宋体" w:hAnsi="宋体" w:eastAsia="宋体" w:cs="宋体"/>
          <w:color w:val="auto"/>
          <w:spacing w:val="9"/>
          <w:sz w:val="20"/>
          <w:szCs w:val="20"/>
          <w:highlight w:val="none"/>
        </w:rPr>
        <w:t>“</w:t>
      </w:r>
      <w:r>
        <w:rPr>
          <w:rFonts w:ascii="宋体" w:hAnsi="宋体" w:eastAsia="宋体" w:cs="宋体"/>
          <w:color w:val="auto"/>
          <w:spacing w:val="-65"/>
          <w:sz w:val="20"/>
          <w:szCs w:val="20"/>
          <w:highlight w:val="none"/>
        </w:rPr>
        <w:t xml:space="preserve"> </w:t>
      </w:r>
      <w:r>
        <w:rPr>
          <w:rFonts w:ascii="宋体" w:hAnsi="宋体" w:eastAsia="宋体" w:cs="宋体"/>
          <w:color w:val="auto"/>
          <w:spacing w:val="9"/>
          <w:sz w:val="20"/>
          <w:szCs w:val="20"/>
          <w:highlight w:val="none"/>
        </w:rPr>
        <w:t>信用</w:t>
      </w:r>
      <w:r>
        <w:rPr>
          <w:rFonts w:ascii="宋体" w:hAnsi="宋体" w:eastAsia="宋体" w:cs="宋体"/>
          <w:color w:val="auto"/>
          <w:spacing w:val="-46"/>
          <w:sz w:val="20"/>
          <w:szCs w:val="20"/>
          <w:highlight w:val="none"/>
        </w:rPr>
        <w:t xml:space="preserve"> </w:t>
      </w:r>
      <w:r>
        <w:rPr>
          <w:rFonts w:ascii="宋体" w:hAnsi="宋体" w:eastAsia="宋体" w:cs="宋体"/>
          <w:color w:val="auto"/>
          <w:spacing w:val="9"/>
          <w:sz w:val="20"/>
          <w:szCs w:val="20"/>
          <w:highlight w:val="none"/>
        </w:rPr>
        <w:t>中</w:t>
      </w:r>
      <w:r>
        <w:rPr>
          <w:rFonts w:ascii="宋体" w:hAnsi="宋体" w:eastAsia="宋体" w:cs="宋体"/>
          <w:color w:val="auto"/>
          <w:spacing w:val="-45"/>
          <w:sz w:val="20"/>
          <w:szCs w:val="20"/>
          <w:highlight w:val="none"/>
        </w:rPr>
        <w:t xml:space="preserve"> </w:t>
      </w:r>
      <w:r>
        <w:rPr>
          <w:rFonts w:ascii="宋体" w:hAnsi="宋体" w:eastAsia="宋体" w:cs="宋体"/>
          <w:color w:val="auto"/>
          <w:spacing w:val="9"/>
          <w:sz w:val="20"/>
          <w:szCs w:val="20"/>
          <w:highlight w:val="none"/>
        </w:rPr>
        <w:t>国”</w:t>
      </w:r>
      <w:r>
        <w:rPr>
          <w:rFonts w:ascii="宋体" w:hAnsi="宋体" w:eastAsia="宋体" w:cs="宋体"/>
          <w:color w:val="auto"/>
          <w:spacing w:val="-50"/>
          <w:sz w:val="20"/>
          <w:szCs w:val="20"/>
          <w:highlight w:val="none"/>
        </w:rPr>
        <w:t xml:space="preserve"> </w:t>
      </w:r>
      <w:r>
        <w:rPr>
          <w:rFonts w:ascii="宋体" w:hAnsi="宋体" w:eastAsia="宋体" w:cs="宋体"/>
          <w:color w:val="auto"/>
          <w:spacing w:val="9"/>
          <w:sz w:val="20"/>
          <w:szCs w:val="20"/>
          <w:highlight w:val="none"/>
        </w:rPr>
        <w:t>网站（</w:t>
      </w:r>
      <w:r>
        <w:rPr>
          <w:rFonts w:ascii="宋体" w:hAnsi="宋体" w:eastAsia="宋体" w:cs="宋体"/>
          <w:color w:val="auto"/>
          <w:spacing w:val="-45"/>
          <w:sz w:val="20"/>
          <w:szCs w:val="20"/>
          <w:highlight w:val="none"/>
        </w:rPr>
        <w:t xml:space="preserve"> </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9"/>
          <w:sz w:val="20"/>
          <w:szCs w:val="20"/>
          <w:highlight w:val="none"/>
        </w:rPr>
        <w:t>.</w:t>
      </w:r>
      <w:r>
        <w:rPr>
          <w:rFonts w:ascii="宋体" w:hAnsi="宋体" w:eastAsia="宋体" w:cs="宋体"/>
          <w:color w:val="auto"/>
          <w:sz w:val="20"/>
          <w:szCs w:val="20"/>
          <w:highlight w:val="none"/>
        </w:rPr>
        <w:t>creditchina</w:t>
      </w:r>
      <w:r>
        <w:rPr>
          <w:rFonts w:ascii="宋体" w:hAnsi="宋体" w:eastAsia="宋体" w:cs="宋体"/>
          <w:color w:val="auto"/>
          <w:spacing w:val="9"/>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9"/>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44"/>
          <w:sz w:val="20"/>
          <w:szCs w:val="20"/>
          <w:highlight w:val="none"/>
        </w:rPr>
        <w:t xml:space="preserve"> </w:t>
      </w:r>
      <w:r>
        <w:rPr>
          <w:rFonts w:ascii="宋体" w:hAnsi="宋体" w:eastAsia="宋体" w:cs="宋体"/>
          <w:color w:val="auto"/>
          <w:spacing w:val="9"/>
          <w:sz w:val="20"/>
          <w:szCs w:val="20"/>
          <w:highlight w:val="none"/>
        </w:rPr>
        <w:t>）</w:t>
      </w:r>
      <w:r>
        <w:rPr>
          <w:rFonts w:ascii="宋体" w:hAnsi="宋体" w:eastAsia="宋体" w:cs="宋体"/>
          <w:color w:val="auto"/>
          <w:spacing w:val="-46"/>
          <w:sz w:val="20"/>
          <w:szCs w:val="20"/>
          <w:highlight w:val="none"/>
        </w:rPr>
        <w:t xml:space="preserve"> </w:t>
      </w:r>
      <w:r>
        <w:rPr>
          <w:rFonts w:ascii="宋体" w:hAnsi="宋体" w:eastAsia="宋体" w:cs="宋体"/>
          <w:color w:val="auto"/>
          <w:spacing w:val="9"/>
          <w:sz w:val="20"/>
          <w:szCs w:val="20"/>
          <w:highlight w:val="none"/>
        </w:rPr>
        <w:t>、</w:t>
      </w:r>
      <w:r>
        <w:rPr>
          <w:rFonts w:ascii="宋体" w:hAnsi="宋体" w:eastAsia="宋体" w:cs="宋体"/>
          <w:color w:val="auto"/>
          <w:spacing w:val="-40"/>
          <w:sz w:val="20"/>
          <w:szCs w:val="20"/>
          <w:highlight w:val="none"/>
        </w:rPr>
        <w:t xml:space="preserve"> </w:t>
      </w:r>
      <w:r>
        <w:rPr>
          <w:rFonts w:ascii="宋体" w:hAnsi="宋体" w:eastAsia="宋体" w:cs="宋体"/>
          <w:color w:val="auto"/>
          <w:spacing w:val="9"/>
          <w:sz w:val="20"/>
          <w:szCs w:val="20"/>
          <w:highlight w:val="none"/>
        </w:rPr>
        <w:t>中</w:t>
      </w:r>
      <w:r>
        <w:rPr>
          <w:rFonts w:ascii="宋体" w:hAnsi="宋体" w:eastAsia="宋体" w:cs="宋体"/>
          <w:color w:val="auto"/>
          <w:spacing w:val="-46"/>
          <w:sz w:val="20"/>
          <w:szCs w:val="20"/>
          <w:highlight w:val="none"/>
        </w:rPr>
        <w:t xml:space="preserve"> </w:t>
      </w:r>
      <w:r>
        <w:rPr>
          <w:rFonts w:ascii="宋体" w:hAnsi="宋体" w:eastAsia="宋体" w:cs="宋体"/>
          <w:color w:val="auto"/>
          <w:spacing w:val="9"/>
          <w:sz w:val="20"/>
          <w:szCs w:val="20"/>
          <w:highlight w:val="none"/>
        </w:rPr>
        <w:t>国政府采购</w:t>
      </w:r>
      <w:r>
        <w:rPr>
          <w:rFonts w:ascii="宋体" w:hAnsi="宋体" w:eastAsia="宋体" w:cs="宋体"/>
          <w:color w:val="auto"/>
          <w:spacing w:val="-49"/>
          <w:sz w:val="20"/>
          <w:szCs w:val="20"/>
          <w:highlight w:val="none"/>
        </w:rPr>
        <w:t xml:space="preserve"> </w:t>
      </w:r>
      <w:r>
        <w:rPr>
          <w:rFonts w:ascii="宋体" w:hAnsi="宋体" w:eastAsia="宋体" w:cs="宋体"/>
          <w:color w:val="auto"/>
          <w:spacing w:val="9"/>
          <w:sz w:val="20"/>
          <w:szCs w:val="20"/>
          <w:highlight w:val="none"/>
        </w:rPr>
        <w:t>网</w:t>
      </w:r>
      <w:r>
        <w:rPr>
          <w:rFonts w:ascii="宋体" w:hAnsi="宋体" w:eastAsia="宋体" w:cs="宋体"/>
          <w:color w:val="auto"/>
          <w:spacing w:val="11"/>
          <w:sz w:val="20"/>
          <w:szCs w:val="20"/>
          <w:highlight w:val="none"/>
        </w:rPr>
        <w:t>（</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1"/>
          <w:sz w:val="20"/>
          <w:szCs w:val="20"/>
          <w:highlight w:val="none"/>
        </w:rPr>
        <w:t>）</w:t>
      </w:r>
      <w:r>
        <w:rPr>
          <w:rFonts w:hint="eastAsia" w:ascii="宋体" w:hAnsi="宋体" w:eastAsia="宋体" w:cs="宋体"/>
          <w:color w:val="auto"/>
          <w:spacing w:val="11"/>
          <w:sz w:val="20"/>
          <w:szCs w:val="20"/>
          <w:highlight w:val="none"/>
          <w:lang w:eastAsia="zh-CN"/>
        </w:rPr>
        <w:t>、</w:t>
      </w:r>
      <w:r>
        <w:rPr>
          <w:rFonts w:hint="eastAsia" w:ascii="宋体" w:hAnsi="宋体" w:cs="宋体"/>
          <w:color w:val="auto"/>
          <w:szCs w:val="21"/>
          <w:highlight w:val="none"/>
        </w:rPr>
        <w:t>中国执行信息公开网（https://zxgk.court.gov.cn/）</w:t>
      </w:r>
      <w:r>
        <w:rPr>
          <w:rFonts w:ascii="宋体" w:hAnsi="宋体" w:eastAsia="宋体" w:cs="宋体"/>
          <w:color w:val="auto"/>
          <w:spacing w:val="11"/>
          <w:sz w:val="20"/>
          <w:szCs w:val="20"/>
          <w:highlight w:val="none"/>
        </w:rPr>
        <w:t>。</w:t>
      </w:r>
    </w:p>
    <w:p w14:paraId="721CE41D">
      <w:pPr>
        <w:spacing w:before="5" w:line="228" w:lineRule="auto"/>
        <w:ind w:left="44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（2）信用查询截止时点：资格审查结束前。</w:t>
      </w:r>
    </w:p>
    <w:p w14:paraId="27798F61">
      <w:pPr>
        <w:spacing w:before="161" w:line="378" w:lineRule="auto"/>
        <w:ind w:left="10" w:right="40" w:firstLine="43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（3）查询记录和证据留存方式：在查询网站中直接查询，</w:t>
      </w:r>
      <w:r>
        <w:rPr>
          <w:rFonts w:ascii="宋体" w:hAnsi="宋体" w:eastAsia="宋体" w:cs="宋体"/>
          <w:color w:val="auto"/>
          <w:spacing w:val="9"/>
          <w:sz w:val="20"/>
          <w:szCs w:val="20"/>
          <w:highlight w:val="none"/>
        </w:rPr>
        <w:t>截图另存为电子文档作为评审资</w:t>
      </w:r>
      <w:r>
        <w:rPr>
          <w:rFonts w:ascii="宋体" w:hAnsi="宋体" w:eastAsia="宋体" w:cs="宋体"/>
          <w:color w:val="auto"/>
          <w:spacing w:val="5"/>
          <w:sz w:val="20"/>
          <w:szCs w:val="20"/>
          <w:highlight w:val="none"/>
        </w:rPr>
        <w:t>料保存。</w:t>
      </w:r>
    </w:p>
    <w:p w14:paraId="3D257CB7">
      <w:pPr>
        <w:spacing w:before="7" w:line="376" w:lineRule="auto"/>
        <w:ind w:left="9" w:firstLine="430"/>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（4）信用信息使用规则：对在“信用中国”网站（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creditchina</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2"/>
          <w:sz w:val="20"/>
          <w:szCs w:val="20"/>
          <w:highlight w:val="none"/>
        </w:rPr>
        <w:t>）、中国政府</w:t>
      </w:r>
      <w:r>
        <w:rPr>
          <w:rFonts w:ascii="宋体" w:hAnsi="宋体" w:eastAsia="宋体" w:cs="宋体"/>
          <w:color w:val="auto"/>
          <w:spacing w:val="11"/>
          <w:sz w:val="20"/>
          <w:szCs w:val="20"/>
          <w:highlight w:val="none"/>
        </w:rPr>
        <w:t>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11"/>
          <w:sz w:val="20"/>
          <w:szCs w:val="20"/>
          <w:highlight w:val="none"/>
        </w:rPr>
        <w:t>）</w:t>
      </w:r>
      <w:r>
        <w:rPr>
          <w:rFonts w:hint="eastAsia" w:ascii="宋体" w:hAnsi="宋体" w:eastAsia="宋体" w:cs="宋体"/>
          <w:color w:val="auto"/>
          <w:spacing w:val="11"/>
          <w:sz w:val="20"/>
          <w:szCs w:val="20"/>
          <w:highlight w:val="none"/>
          <w:lang w:eastAsia="zh-CN"/>
        </w:rPr>
        <w:t>、</w:t>
      </w:r>
      <w:r>
        <w:rPr>
          <w:rFonts w:hint="eastAsia" w:ascii="宋体" w:hAnsi="宋体" w:cs="宋体"/>
          <w:color w:val="auto"/>
          <w:szCs w:val="21"/>
          <w:highlight w:val="none"/>
        </w:rPr>
        <w:t>中国执行信息公开网（https://zxgk.court.gov.cn/）</w:t>
      </w:r>
      <w:r>
        <w:rPr>
          <w:rFonts w:ascii="宋体" w:hAnsi="宋体" w:eastAsia="宋体" w:cs="宋体"/>
          <w:color w:val="auto"/>
          <w:spacing w:val="11"/>
          <w:sz w:val="20"/>
          <w:szCs w:val="20"/>
          <w:highlight w:val="none"/>
        </w:rPr>
        <w:t>被列入失信被执行人、重大税收违法失信主体、政府采购严重违法</w:t>
      </w:r>
      <w:r>
        <w:rPr>
          <w:rFonts w:ascii="宋体" w:hAnsi="宋体" w:eastAsia="宋体" w:cs="宋体"/>
          <w:color w:val="auto"/>
          <w:spacing w:val="9"/>
          <w:sz w:val="20"/>
          <w:szCs w:val="20"/>
          <w:highlight w:val="none"/>
        </w:rPr>
        <w:t>失信行为记录名单及其他不符合《中华人民共和国</w:t>
      </w:r>
      <w:r>
        <w:rPr>
          <w:rFonts w:ascii="宋体" w:hAnsi="宋体" w:eastAsia="宋体" w:cs="宋体"/>
          <w:color w:val="auto"/>
          <w:spacing w:val="8"/>
          <w:sz w:val="20"/>
          <w:szCs w:val="20"/>
          <w:highlight w:val="none"/>
        </w:rPr>
        <w:t>政府采购法》第二十二条规定条件的供应商，</w:t>
      </w:r>
      <w:r>
        <w:rPr>
          <w:rFonts w:ascii="宋体" w:hAnsi="宋体" w:eastAsia="宋体" w:cs="宋体"/>
          <w:color w:val="auto"/>
          <w:spacing w:val="13"/>
          <w:sz w:val="20"/>
          <w:szCs w:val="20"/>
          <w:highlight w:val="none"/>
        </w:rPr>
        <w:t>资格审查不通过，不得参与政府采购活动。两个以上的自然人、</w:t>
      </w:r>
      <w:r>
        <w:rPr>
          <w:rFonts w:ascii="宋体" w:hAnsi="宋体" w:eastAsia="宋体" w:cs="宋体"/>
          <w:color w:val="auto"/>
          <w:spacing w:val="12"/>
          <w:sz w:val="20"/>
          <w:szCs w:val="20"/>
          <w:highlight w:val="none"/>
        </w:rPr>
        <w:t>法人或者其他组织组成一个联合体，</w:t>
      </w:r>
      <w:r>
        <w:rPr>
          <w:rFonts w:ascii="宋体" w:hAnsi="宋体" w:eastAsia="宋体" w:cs="宋体"/>
          <w:color w:val="auto"/>
          <w:spacing w:val="-57"/>
          <w:sz w:val="20"/>
          <w:szCs w:val="20"/>
          <w:highlight w:val="none"/>
        </w:rPr>
        <w:t xml:space="preserve"> </w:t>
      </w:r>
      <w:r>
        <w:rPr>
          <w:rFonts w:ascii="宋体" w:hAnsi="宋体" w:eastAsia="宋体" w:cs="宋体"/>
          <w:color w:val="auto"/>
          <w:spacing w:val="12"/>
          <w:sz w:val="20"/>
          <w:szCs w:val="20"/>
          <w:highlight w:val="none"/>
        </w:rPr>
        <w:t>以一个供应商的身份共同参加政府采购活动的，应当</w:t>
      </w:r>
      <w:r>
        <w:rPr>
          <w:rFonts w:ascii="宋体" w:hAnsi="宋体" w:eastAsia="宋体" w:cs="宋体"/>
          <w:color w:val="auto"/>
          <w:spacing w:val="11"/>
          <w:sz w:val="20"/>
          <w:szCs w:val="20"/>
          <w:highlight w:val="none"/>
        </w:rPr>
        <w:t>对所有联合体成员进行信用记录查</w:t>
      </w:r>
      <w:r>
        <w:rPr>
          <w:rFonts w:ascii="宋体" w:hAnsi="宋体" w:eastAsia="宋体" w:cs="宋体"/>
          <w:color w:val="auto"/>
          <w:spacing w:val="13"/>
          <w:sz w:val="20"/>
          <w:szCs w:val="20"/>
          <w:highlight w:val="none"/>
        </w:rPr>
        <w:t>询，联合体成员存在不良信用记录（被列入失信被执行人、重大</w:t>
      </w:r>
      <w:r>
        <w:rPr>
          <w:rFonts w:ascii="宋体" w:hAnsi="宋体" w:eastAsia="宋体" w:cs="宋体"/>
          <w:color w:val="auto"/>
          <w:spacing w:val="12"/>
          <w:sz w:val="20"/>
          <w:szCs w:val="20"/>
          <w:highlight w:val="none"/>
        </w:rPr>
        <w:t>税收违法失信主体、政府采购</w:t>
      </w:r>
      <w:r>
        <w:rPr>
          <w:rFonts w:ascii="宋体" w:hAnsi="宋体" w:eastAsia="宋体" w:cs="宋体"/>
          <w:color w:val="auto"/>
          <w:spacing w:val="13"/>
          <w:sz w:val="20"/>
          <w:szCs w:val="20"/>
          <w:highlight w:val="none"/>
        </w:rPr>
        <w:t>严重违法失信行为记录名单及其他不符合《中华人民共和国政府</w:t>
      </w:r>
      <w:r>
        <w:rPr>
          <w:rFonts w:ascii="宋体" w:hAnsi="宋体" w:eastAsia="宋体" w:cs="宋体"/>
          <w:color w:val="auto"/>
          <w:spacing w:val="12"/>
          <w:sz w:val="20"/>
          <w:szCs w:val="20"/>
          <w:highlight w:val="none"/>
        </w:rPr>
        <w:t>采购法》第二十二条规定条件</w:t>
      </w:r>
      <w:r>
        <w:rPr>
          <w:rFonts w:ascii="宋体" w:hAnsi="宋体" w:eastAsia="宋体" w:cs="宋体"/>
          <w:color w:val="auto"/>
          <w:spacing w:val="9"/>
          <w:sz w:val="20"/>
          <w:szCs w:val="20"/>
          <w:highlight w:val="none"/>
        </w:rPr>
        <w:t>的供应商）的，视同联合体存在不良信用记录。</w:t>
      </w:r>
    </w:p>
    <w:p w14:paraId="18FE921D">
      <w:pPr>
        <w:spacing w:before="2" w:line="377" w:lineRule="auto"/>
        <w:ind w:left="10" w:right="37" w:firstLine="422"/>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2.2</w:t>
      </w:r>
      <w:r>
        <w:rPr>
          <w:rFonts w:ascii="宋体" w:hAnsi="宋体" w:eastAsia="宋体" w:cs="宋体"/>
          <w:color w:val="auto"/>
          <w:spacing w:val="-23"/>
          <w:sz w:val="20"/>
          <w:szCs w:val="20"/>
          <w:highlight w:val="none"/>
        </w:rPr>
        <w:t xml:space="preserve"> </w:t>
      </w:r>
      <w:r>
        <w:rPr>
          <w:rFonts w:ascii="宋体" w:hAnsi="宋体" w:eastAsia="宋体" w:cs="宋体"/>
          <w:color w:val="auto"/>
          <w:spacing w:val="13"/>
          <w:sz w:val="20"/>
          <w:szCs w:val="20"/>
          <w:highlight w:val="none"/>
        </w:rPr>
        <w:t>资格审查标准为本谈判文件中载明对供应商资格要求的条件。本项目资格审查采用合</w:t>
      </w:r>
      <w:r>
        <w:rPr>
          <w:rFonts w:ascii="宋体" w:hAnsi="宋体" w:eastAsia="宋体" w:cs="宋体"/>
          <w:color w:val="auto"/>
          <w:spacing w:val="9"/>
          <w:sz w:val="20"/>
          <w:szCs w:val="20"/>
          <w:highlight w:val="none"/>
        </w:rPr>
        <w:t>格制，凡符合谈判文件规定的供应商资格要求的供应商均通过资格审查。</w:t>
      </w:r>
    </w:p>
    <w:p w14:paraId="0176D426">
      <w:pPr>
        <w:spacing w:line="227" w:lineRule="auto"/>
        <w:ind w:left="435"/>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2.3</w:t>
      </w:r>
      <w:r>
        <w:rPr>
          <w:rFonts w:ascii="宋体" w:hAnsi="宋体" w:eastAsia="宋体" w:cs="宋体"/>
          <w:color w:val="auto"/>
          <w:spacing w:val="7"/>
          <w:sz w:val="20"/>
          <w:szCs w:val="20"/>
          <w:highlight w:val="none"/>
        </w:rPr>
        <w:t xml:space="preserve"> </w:t>
      </w:r>
      <w:r>
        <w:rPr>
          <w:rFonts w:ascii="宋体" w:hAnsi="宋体" w:eastAsia="宋体" w:cs="宋体"/>
          <w:b/>
          <w:bCs/>
          <w:color w:val="auto"/>
          <w:spacing w:val="7"/>
          <w:sz w:val="20"/>
          <w:szCs w:val="20"/>
          <w:highlight w:val="none"/>
        </w:rPr>
        <w:t>供应商有下列情形之一的，资格审查不通过，其响应文件按无效处理：</w:t>
      </w:r>
    </w:p>
    <w:p w14:paraId="17B8FFF5">
      <w:pPr>
        <w:spacing w:before="162" w:line="228" w:lineRule="auto"/>
        <w:ind w:left="44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（1）不具备谈判文件中规定的资格要求的；</w:t>
      </w:r>
    </w:p>
    <w:p w14:paraId="62AA713B">
      <w:pPr>
        <w:spacing w:before="161" w:line="227" w:lineRule="auto"/>
        <w:ind w:left="44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（2）未按谈判文件规定的方式获取本谈判文件的供应商；</w:t>
      </w:r>
    </w:p>
    <w:p w14:paraId="03BFC7BF">
      <w:pPr>
        <w:spacing w:before="162" w:line="378" w:lineRule="auto"/>
        <w:ind w:right="37" w:firstLine="440"/>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（3）</w:t>
      </w:r>
      <w:r>
        <w:rPr>
          <w:rFonts w:ascii="宋体" w:hAnsi="宋体" w:eastAsia="宋体" w:cs="宋体"/>
          <w:color w:val="auto"/>
          <w:spacing w:val="-53"/>
          <w:sz w:val="20"/>
          <w:szCs w:val="20"/>
          <w:highlight w:val="none"/>
        </w:rPr>
        <w:t xml:space="preserve"> </w:t>
      </w:r>
      <w:r>
        <w:rPr>
          <w:rFonts w:ascii="宋体" w:hAnsi="宋体" w:eastAsia="宋体" w:cs="宋体"/>
          <w:color w:val="auto"/>
          <w:spacing w:val="13"/>
          <w:sz w:val="20"/>
          <w:szCs w:val="20"/>
          <w:highlight w:val="none"/>
        </w:rPr>
        <w:t>响应文件中的资格证明文件缺少任一项“供应商须知前附表</w:t>
      </w:r>
      <w:r>
        <w:rPr>
          <w:rFonts w:ascii="宋体" w:hAnsi="宋体" w:eastAsia="宋体" w:cs="宋体"/>
          <w:color w:val="auto"/>
          <w:spacing w:val="-65"/>
          <w:sz w:val="20"/>
          <w:szCs w:val="20"/>
          <w:highlight w:val="none"/>
        </w:rPr>
        <w:t xml:space="preserve"> </w:t>
      </w:r>
      <w:r>
        <w:rPr>
          <w:rFonts w:ascii="宋体" w:hAnsi="宋体" w:eastAsia="宋体" w:cs="宋体"/>
          <w:color w:val="auto"/>
          <w:spacing w:val="13"/>
          <w:sz w:val="20"/>
          <w:szCs w:val="20"/>
          <w:highlight w:val="none"/>
        </w:rPr>
        <w:t>”资格证明文件规定的</w:t>
      </w:r>
      <w:r>
        <w:rPr>
          <w:rFonts w:ascii="宋体" w:hAnsi="宋体" w:eastAsia="宋体" w:cs="宋体"/>
          <w:color w:val="auto"/>
          <w:spacing w:val="6"/>
          <w:sz w:val="20"/>
          <w:szCs w:val="20"/>
          <w:highlight w:val="none"/>
        </w:rPr>
        <w:t>“必须提供</w:t>
      </w:r>
      <w:r>
        <w:rPr>
          <w:rFonts w:ascii="宋体" w:hAnsi="宋体" w:eastAsia="宋体" w:cs="宋体"/>
          <w:color w:val="auto"/>
          <w:spacing w:val="-60"/>
          <w:sz w:val="20"/>
          <w:szCs w:val="20"/>
          <w:highlight w:val="none"/>
        </w:rPr>
        <w:t xml:space="preserve"> </w:t>
      </w:r>
      <w:r>
        <w:rPr>
          <w:rFonts w:ascii="宋体" w:hAnsi="宋体" w:eastAsia="宋体" w:cs="宋体"/>
          <w:color w:val="auto"/>
          <w:spacing w:val="6"/>
          <w:sz w:val="20"/>
          <w:szCs w:val="20"/>
          <w:highlight w:val="none"/>
        </w:rPr>
        <w:t>”的文件资料的；</w:t>
      </w:r>
    </w:p>
    <w:p w14:paraId="75B7C98D">
      <w:pPr>
        <w:spacing w:before="1" w:line="376" w:lineRule="auto"/>
        <w:ind w:left="15" w:right="37" w:firstLine="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（4）响应文件中的资格证明文件出现任一项不符合“供应商须知前附表</w:t>
      </w:r>
      <w:r>
        <w:rPr>
          <w:rFonts w:ascii="宋体" w:hAnsi="宋体" w:eastAsia="宋体" w:cs="宋体"/>
          <w:color w:val="auto"/>
          <w:spacing w:val="-71"/>
          <w:sz w:val="20"/>
          <w:szCs w:val="20"/>
          <w:highlight w:val="none"/>
        </w:rPr>
        <w:t xml:space="preserve"> </w:t>
      </w:r>
      <w:r>
        <w:rPr>
          <w:rFonts w:ascii="宋体" w:hAnsi="宋体" w:eastAsia="宋体" w:cs="宋体"/>
          <w:color w:val="auto"/>
          <w:spacing w:val="9"/>
          <w:sz w:val="20"/>
          <w:szCs w:val="20"/>
          <w:highlight w:val="none"/>
        </w:rPr>
        <w:t>”资格证明文件规</w:t>
      </w:r>
      <w:r>
        <w:rPr>
          <w:rFonts w:ascii="宋体" w:hAnsi="宋体" w:eastAsia="宋体" w:cs="宋体"/>
          <w:color w:val="auto"/>
          <w:spacing w:val="7"/>
          <w:sz w:val="20"/>
          <w:szCs w:val="20"/>
          <w:highlight w:val="none"/>
        </w:rPr>
        <w:t>定的“必须提供</w:t>
      </w:r>
      <w:r>
        <w:rPr>
          <w:rFonts w:ascii="宋体" w:hAnsi="宋体" w:eastAsia="宋体" w:cs="宋体"/>
          <w:color w:val="auto"/>
          <w:spacing w:val="-64"/>
          <w:sz w:val="20"/>
          <w:szCs w:val="20"/>
          <w:highlight w:val="none"/>
        </w:rPr>
        <w:t xml:space="preserve"> </w:t>
      </w:r>
      <w:r>
        <w:rPr>
          <w:rFonts w:ascii="宋体" w:hAnsi="宋体" w:eastAsia="宋体" w:cs="宋体"/>
          <w:color w:val="auto"/>
          <w:spacing w:val="7"/>
          <w:sz w:val="20"/>
          <w:szCs w:val="20"/>
          <w:highlight w:val="none"/>
        </w:rPr>
        <w:t>”的文件资料要求或者无效的；</w:t>
      </w:r>
    </w:p>
    <w:p w14:paraId="76159479">
      <w:pPr>
        <w:spacing w:before="1" w:line="377" w:lineRule="auto"/>
        <w:ind w:left="8" w:right="37" w:firstLine="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w:t>
      </w:r>
      <w:r>
        <w:rPr>
          <w:rFonts w:ascii="宋体" w:hAnsi="宋体" w:eastAsia="宋体" w:cs="宋体"/>
          <w:color w:val="auto"/>
          <w:spacing w:val="-42"/>
          <w:sz w:val="20"/>
          <w:szCs w:val="20"/>
          <w:highlight w:val="none"/>
        </w:rPr>
        <w:t xml:space="preserve"> </w:t>
      </w:r>
      <w:r>
        <w:rPr>
          <w:rFonts w:ascii="宋体" w:hAnsi="宋体" w:eastAsia="宋体" w:cs="宋体"/>
          <w:color w:val="auto"/>
          <w:spacing w:val="8"/>
          <w:sz w:val="20"/>
          <w:szCs w:val="20"/>
          <w:highlight w:val="none"/>
        </w:rPr>
        <w:t>同一合同项下的不同供应商，单位负责人为同一人或者存在直接控股、管理关系的；</w:t>
      </w:r>
      <w:r>
        <w:rPr>
          <w:rFonts w:ascii="宋体" w:hAnsi="宋体" w:eastAsia="宋体" w:cs="宋体"/>
          <w:color w:val="auto"/>
          <w:spacing w:val="13"/>
          <w:sz w:val="20"/>
          <w:szCs w:val="20"/>
          <w:highlight w:val="none"/>
        </w:rPr>
        <w:t>为本项目提供过整体设计、规范编制或者项目管理、监理、检测等</w:t>
      </w:r>
      <w:r>
        <w:rPr>
          <w:rFonts w:ascii="宋体" w:hAnsi="宋体" w:eastAsia="宋体" w:cs="宋体"/>
          <w:color w:val="auto"/>
          <w:spacing w:val="12"/>
          <w:sz w:val="20"/>
          <w:szCs w:val="20"/>
          <w:highlight w:val="none"/>
        </w:rPr>
        <w:t>服务的供应商，再参加该采</w:t>
      </w:r>
      <w:r>
        <w:rPr>
          <w:rFonts w:ascii="宋体" w:hAnsi="宋体" w:eastAsia="宋体" w:cs="宋体"/>
          <w:color w:val="auto"/>
          <w:spacing w:val="8"/>
          <w:sz w:val="20"/>
          <w:szCs w:val="20"/>
          <w:highlight w:val="none"/>
        </w:rPr>
        <w:t>购项目的其他采购活动的。</w:t>
      </w:r>
    </w:p>
    <w:p w14:paraId="6EABD6C9">
      <w:pPr>
        <w:spacing w:line="370" w:lineRule="auto"/>
        <w:ind w:left="12" w:right="39" w:firstLine="4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2.4</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通过资格审查的合格供应商不足</w:t>
      </w:r>
      <w:r>
        <w:rPr>
          <w:rFonts w:ascii="宋体" w:hAnsi="宋体" w:eastAsia="宋体" w:cs="宋体"/>
          <w:color w:val="auto"/>
          <w:spacing w:val="-28"/>
          <w:sz w:val="20"/>
          <w:szCs w:val="20"/>
          <w:highlight w:val="none"/>
        </w:rPr>
        <w:t xml:space="preserve"> </w:t>
      </w:r>
      <w:r>
        <w:rPr>
          <w:rFonts w:ascii="宋体" w:hAnsi="宋体" w:eastAsia="宋体" w:cs="宋体"/>
          <w:color w:val="auto"/>
          <w:spacing w:val="10"/>
          <w:sz w:val="20"/>
          <w:szCs w:val="20"/>
          <w:highlight w:val="none"/>
        </w:rPr>
        <w:t>3</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家（本章</w:t>
      </w:r>
      <w:r>
        <w:rPr>
          <w:rFonts w:ascii="宋体" w:hAnsi="宋体" w:eastAsia="宋体" w:cs="宋体"/>
          <w:color w:val="auto"/>
          <w:spacing w:val="-28"/>
          <w:sz w:val="20"/>
          <w:szCs w:val="20"/>
          <w:highlight w:val="none"/>
        </w:rPr>
        <w:t xml:space="preserve"> </w:t>
      </w:r>
      <w:r>
        <w:rPr>
          <w:rFonts w:ascii="宋体" w:hAnsi="宋体" w:eastAsia="宋体" w:cs="宋体"/>
          <w:color w:val="auto"/>
          <w:spacing w:val="10"/>
          <w:sz w:val="20"/>
          <w:szCs w:val="20"/>
          <w:highlight w:val="none"/>
        </w:rPr>
        <w:t>3.7</w:t>
      </w:r>
      <w:r>
        <w:rPr>
          <w:rFonts w:ascii="宋体" w:hAnsi="宋体" w:eastAsia="宋体" w:cs="宋体"/>
          <w:color w:val="auto"/>
          <w:spacing w:val="-33"/>
          <w:sz w:val="20"/>
          <w:szCs w:val="20"/>
          <w:highlight w:val="none"/>
        </w:rPr>
        <w:t xml:space="preserve"> </w:t>
      </w:r>
      <w:r>
        <w:rPr>
          <w:rFonts w:ascii="宋体" w:hAnsi="宋体" w:eastAsia="宋体" w:cs="宋体"/>
          <w:color w:val="auto"/>
          <w:spacing w:val="10"/>
          <w:sz w:val="20"/>
          <w:szCs w:val="20"/>
          <w:highlight w:val="none"/>
        </w:rPr>
        <w:t>条规定除外）</w:t>
      </w:r>
      <w:r>
        <w:rPr>
          <w:rFonts w:ascii="宋体" w:hAnsi="宋体" w:eastAsia="宋体" w:cs="宋体"/>
          <w:color w:val="auto"/>
          <w:spacing w:val="-55"/>
          <w:sz w:val="20"/>
          <w:szCs w:val="20"/>
          <w:highlight w:val="none"/>
        </w:rPr>
        <w:t xml:space="preserve"> </w:t>
      </w:r>
      <w:r>
        <w:rPr>
          <w:rFonts w:ascii="宋体" w:hAnsi="宋体" w:eastAsia="宋体" w:cs="宋体"/>
          <w:color w:val="auto"/>
          <w:spacing w:val="10"/>
          <w:sz w:val="20"/>
          <w:szCs w:val="20"/>
          <w:highlight w:val="none"/>
        </w:rPr>
        <w:t>的，不得进入符</w:t>
      </w:r>
      <w:r>
        <w:rPr>
          <w:rFonts w:ascii="宋体" w:hAnsi="宋体" w:eastAsia="宋体" w:cs="宋体"/>
          <w:color w:val="auto"/>
          <w:spacing w:val="9"/>
          <w:sz w:val="20"/>
          <w:szCs w:val="20"/>
          <w:highlight w:val="none"/>
        </w:rPr>
        <w:t>合性审</w:t>
      </w:r>
      <w:r>
        <w:rPr>
          <w:rFonts w:ascii="宋体" w:hAnsi="宋体" w:eastAsia="宋体" w:cs="宋体"/>
          <w:color w:val="auto"/>
          <w:spacing w:val="8"/>
          <w:sz w:val="20"/>
          <w:szCs w:val="20"/>
          <w:highlight w:val="none"/>
        </w:rPr>
        <w:t>查环节，应当重新开展采购活动。</w:t>
      </w:r>
    </w:p>
    <w:p w14:paraId="4A481A6C">
      <w:pPr>
        <w:spacing w:before="48" w:line="222" w:lineRule="auto"/>
        <w:ind w:left="485"/>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3.符合性审查</w:t>
      </w:r>
    </w:p>
    <w:p w14:paraId="79AE513A">
      <w:pPr>
        <w:spacing w:before="172" w:line="377" w:lineRule="auto"/>
        <w:ind w:left="3" w:right="1" w:firstLine="422"/>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3.1</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谈判小组应当对符合资格的供应商的响应文件进行竞标报价、商务、技术等实质性要</w:t>
      </w:r>
      <w:r>
        <w:rPr>
          <w:rFonts w:ascii="宋体" w:hAnsi="宋体" w:eastAsia="宋体" w:cs="宋体"/>
          <w:color w:val="auto"/>
          <w:spacing w:val="9"/>
          <w:sz w:val="20"/>
          <w:szCs w:val="20"/>
          <w:highlight w:val="none"/>
        </w:rPr>
        <w:t>求符合性审查，以确定其是否满足谈判文件的实质性要求。</w:t>
      </w:r>
    </w:p>
    <w:p w14:paraId="407ED3F8">
      <w:pPr>
        <w:spacing w:before="1" w:line="377" w:lineRule="auto"/>
        <w:ind w:left="1" w:firstLine="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3.2</w:t>
      </w:r>
      <w:r>
        <w:rPr>
          <w:rFonts w:ascii="宋体" w:hAnsi="宋体" w:eastAsia="宋体" w:cs="宋体"/>
          <w:color w:val="auto"/>
          <w:spacing w:val="-32"/>
          <w:sz w:val="20"/>
          <w:szCs w:val="20"/>
          <w:highlight w:val="none"/>
        </w:rPr>
        <w:t xml:space="preserve"> </w:t>
      </w:r>
      <w:r>
        <w:rPr>
          <w:rFonts w:ascii="宋体" w:hAnsi="宋体" w:eastAsia="宋体" w:cs="宋体"/>
          <w:color w:val="auto"/>
          <w:spacing w:val="8"/>
          <w:sz w:val="20"/>
          <w:szCs w:val="20"/>
          <w:highlight w:val="none"/>
        </w:rPr>
        <w:t>谈判小组在对响应文件进行符合性审查时，可以要求供应商对响应文件中含义不明确、</w:t>
      </w:r>
      <w:r>
        <w:rPr>
          <w:rFonts w:ascii="宋体" w:hAnsi="宋体" w:eastAsia="宋体" w:cs="宋体"/>
          <w:color w:val="auto"/>
          <w:spacing w:val="13"/>
          <w:sz w:val="20"/>
          <w:szCs w:val="20"/>
          <w:highlight w:val="none"/>
        </w:rPr>
        <w:t>同类问题表述不一致或者有明显文字和计算错误的内容等作出</w:t>
      </w:r>
      <w:r>
        <w:rPr>
          <w:rFonts w:ascii="宋体" w:hAnsi="宋体" w:eastAsia="宋体" w:cs="宋体"/>
          <w:color w:val="auto"/>
          <w:spacing w:val="12"/>
          <w:sz w:val="20"/>
          <w:szCs w:val="20"/>
          <w:highlight w:val="none"/>
        </w:rPr>
        <w:t>必要的澄清、说明或者更正。供</w:t>
      </w:r>
      <w:r>
        <w:rPr>
          <w:rFonts w:ascii="宋体" w:hAnsi="宋体" w:eastAsia="宋体" w:cs="宋体"/>
          <w:color w:val="auto"/>
          <w:spacing w:val="9"/>
          <w:sz w:val="20"/>
          <w:szCs w:val="20"/>
          <w:highlight w:val="none"/>
        </w:rPr>
        <w:t>应商的澄清、说明或者更正不得超出响应文件的范围或者改变响应文件的实质性内容。</w:t>
      </w:r>
    </w:p>
    <w:p w14:paraId="468AB9E0">
      <w:pPr>
        <w:spacing w:line="377" w:lineRule="auto"/>
        <w:ind w:right="1" w:firstLine="425"/>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3.3</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谈判小组要求供应商澄清、说明或者更正响应文件应当以电子澄清函形式作出。供应商的澄清、说明或者更正应当以电子回函形式按照谈判小组的要求</w:t>
      </w:r>
      <w:r>
        <w:rPr>
          <w:rFonts w:ascii="宋体" w:hAnsi="宋体" w:eastAsia="宋体" w:cs="宋体"/>
          <w:color w:val="auto"/>
          <w:spacing w:val="12"/>
          <w:sz w:val="20"/>
          <w:szCs w:val="20"/>
          <w:highlight w:val="none"/>
        </w:rPr>
        <w:t>作出明确的澄清、说明或者</w:t>
      </w:r>
      <w:r>
        <w:rPr>
          <w:rFonts w:ascii="宋体" w:hAnsi="宋体" w:eastAsia="宋体" w:cs="宋体"/>
          <w:color w:val="auto"/>
          <w:spacing w:val="13"/>
          <w:sz w:val="20"/>
          <w:szCs w:val="20"/>
          <w:highlight w:val="none"/>
        </w:rPr>
        <w:t>更正，未按谈判小组的要求作出明确澄清、说明或者更正的供应商</w:t>
      </w:r>
      <w:r>
        <w:rPr>
          <w:rFonts w:ascii="宋体" w:hAnsi="宋体" w:eastAsia="宋体" w:cs="宋体"/>
          <w:color w:val="auto"/>
          <w:spacing w:val="12"/>
          <w:sz w:val="20"/>
          <w:szCs w:val="20"/>
          <w:highlight w:val="none"/>
        </w:rPr>
        <w:t>的响应文件将按照有利于采</w:t>
      </w:r>
      <w:r>
        <w:rPr>
          <w:rFonts w:ascii="宋体" w:hAnsi="宋体" w:eastAsia="宋体" w:cs="宋体"/>
          <w:color w:val="auto"/>
          <w:spacing w:val="9"/>
          <w:sz w:val="20"/>
          <w:szCs w:val="20"/>
          <w:highlight w:val="none"/>
        </w:rPr>
        <w:t>购人的原则由谈判小组进行判定。供应商的澄清、说明或者更正必须加盖电子签章。</w:t>
      </w:r>
    </w:p>
    <w:p w14:paraId="26418546">
      <w:pPr>
        <w:spacing w:line="377" w:lineRule="auto"/>
        <w:ind w:left="2" w:right="1" w:firstLine="421"/>
        <w:jc w:val="both"/>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异常情况处理：如遇无法正常使用线上发送澄清函的情况，将启动</w:t>
      </w:r>
      <w:r>
        <w:rPr>
          <w:rFonts w:ascii="宋体" w:hAnsi="宋体" w:eastAsia="宋体" w:cs="宋体"/>
          <w:color w:val="auto"/>
          <w:spacing w:val="12"/>
          <w:sz w:val="20"/>
          <w:szCs w:val="20"/>
          <w:highlight w:val="none"/>
        </w:rPr>
        <w:t>书面形式办理。启动书</w:t>
      </w:r>
      <w:r>
        <w:rPr>
          <w:rFonts w:ascii="宋体" w:hAnsi="宋体" w:eastAsia="宋体" w:cs="宋体"/>
          <w:color w:val="auto"/>
          <w:spacing w:val="13"/>
          <w:sz w:val="20"/>
          <w:szCs w:val="20"/>
          <w:highlight w:val="none"/>
        </w:rPr>
        <w:t>面形式办理的情况下，谈判小组以书面形式要求供应商在规</w:t>
      </w:r>
      <w:r>
        <w:rPr>
          <w:rFonts w:ascii="宋体" w:hAnsi="宋体" w:eastAsia="宋体" w:cs="宋体"/>
          <w:color w:val="auto"/>
          <w:spacing w:val="12"/>
          <w:sz w:val="20"/>
          <w:szCs w:val="20"/>
          <w:highlight w:val="none"/>
        </w:rPr>
        <w:t>定时间内作出必要的澄清、说明或</w:t>
      </w:r>
      <w:r>
        <w:rPr>
          <w:rFonts w:ascii="宋体" w:hAnsi="宋体" w:eastAsia="宋体" w:cs="宋体"/>
          <w:color w:val="auto"/>
          <w:spacing w:val="13"/>
          <w:sz w:val="20"/>
          <w:szCs w:val="20"/>
          <w:highlight w:val="none"/>
        </w:rPr>
        <w:t>者补正。供应商的澄清、说明或者补正必须采用书面形式，</w:t>
      </w:r>
      <w:r>
        <w:rPr>
          <w:rFonts w:ascii="宋体" w:hAnsi="宋体" w:eastAsia="宋体" w:cs="宋体"/>
          <w:color w:val="auto"/>
          <w:spacing w:val="12"/>
          <w:sz w:val="20"/>
          <w:szCs w:val="20"/>
          <w:highlight w:val="none"/>
        </w:rPr>
        <w:t>并加盖公章，或者由法定代表人或</w:t>
      </w:r>
      <w:r>
        <w:rPr>
          <w:rFonts w:ascii="宋体" w:hAnsi="宋体" w:eastAsia="宋体" w:cs="宋体"/>
          <w:color w:val="auto"/>
          <w:spacing w:val="7"/>
          <w:sz w:val="20"/>
          <w:szCs w:val="20"/>
          <w:highlight w:val="none"/>
        </w:rPr>
        <w:t>者其授权的代表签字。</w:t>
      </w:r>
    </w:p>
    <w:p w14:paraId="274A1E07">
      <w:pPr>
        <w:spacing w:line="226" w:lineRule="auto"/>
        <w:ind w:left="40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3.4</w:t>
      </w:r>
      <w:r>
        <w:rPr>
          <w:rFonts w:ascii="宋体" w:hAnsi="宋体" w:eastAsia="宋体" w:cs="宋体"/>
          <w:color w:val="auto"/>
          <w:spacing w:val="-49"/>
          <w:sz w:val="20"/>
          <w:szCs w:val="20"/>
          <w:highlight w:val="none"/>
        </w:rPr>
        <w:t xml:space="preserve"> </w:t>
      </w:r>
      <w:r>
        <w:rPr>
          <w:rFonts w:ascii="宋体" w:hAnsi="宋体" w:eastAsia="宋体" w:cs="宋体"/>
          <w:color w:val="auto"/>
          <w:spacing w:val="8"/>
          <w:sz w:val="20"/>
          <w:szCs w:val="20"/>
          <w:highlight w:val="none"/>
        </w:rPr>
        <w:t>首次响应文件报价出现前后不一致的，按照下列规定修</w:t>
      </w:r>
      <w:r>
        <w:rPr>
          <w:rFonts w:ascii="宋体" w:hAnsi="宋体" w:eastAsia="宋体" w:cs="宋体"/>
          <w:color w:val="auto"/>
          <w:spacing w:val="7"/>
          <w:sz w:val="20"/>
          <w:szCs w:val="20"/>
          <w:highlight w:val="none"/>
        </w:rPr>
        <w:t>正：</w:t>
      </w:r>
    </w:p>
    <w:p w14:paraId="2AE28CD9">
      <w:pPr>
        <w:spacing w:before="163" w:line="226"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（1）响应文件中报价表内容与响应文件中相应内容不一致的</w:t>
      </w:r>
      <w:r>
        <w:rPr>
          <w:rFonts w:ascii="宋体" w:hAnsi="宋体" w:eastAsia="宋体" w:cs="宋体"/>
          <w:color w:val="auto"/>
          <w:spacing w:val="7"/>
          <w:sz w:val="20"/>
          <w:szCs w:val="20"/>
          <w:highlight w:val="none"/>
        </w:rPr>
        <w:t>，</w:t>
      </w:r>
      <w:r>
        <w:rPr>
          <w:rFonts w:ascii="宋体" w:hAnsi="宋体" w:eastAsia="宋体" w:cs="宋体"/>
          <w:color w:val="auto"/>
          <w:spacing w:val="-60"/>
          <w:sz w:val="20"/>
          <w:szCs w:val="20"/>
          <w:highlight w:val="none"/>
        </w:rPr>
        <w:t xml:space="preserve"> </w:t>
      </w:r>
      <w:r>
        <w:rPr>
          <w:rFonts w:ascii="宋体" w:hAnsi="宋体" w:eastAsia="宋体" w:cs="宋体"/>
          <w:color w:val="auto"/>
          <w:spacing w:val="7"/>
          <w:sz w:val="20"/>
          <w:szCs w:val="20"/>
          <w:highlight w:val="none"/>
        </w:rPr>
        <w:t>以报价表为准；</w:t>
      </w:r>
    </w:p>
    <w:p w14:paraId="65370531">
      <w:pPr>
        <w:spacing w:before="162" w:line="228"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（2）大写金额和小写金额不一致的，以大写金额为准；</w:t>
      </w:r>
    </w:p>
    <w:p w14:paraId="7BB01E82">
      <w:pPr>
        <w:spacing w:before="164" w:line="226"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（3）单价金额小数点或者百分比有明显错位的，</w:t>
      </w:r>
      <w:r>
        <w:rPr>
          <w:rFonts w:ascii="宋体" w:hAnsi="宋体" w:eastAsia="宋体" w:cs="宋体"/>
          <w:color w:val="auto"/>
          <w:spacing w:val="-60"/>
          <w:sz w:val="20"/>
          <w:szCs w:val="20"/>
          <w:highlight w:val="none"/>
        </w:rPr>
        <w:t xml:space="preserve"> </w:t>
      </w:r>
      <w:r>
        <w:rPr>
          <w:rFonts w:ascii="宋体" w:hAnsi="宋体" w:eastAsia="宋体" w:cs="宋体"/>
          <w:color w:val="auto"/>
          <w:spacing w:val="8"/>
          <w:sz w:val="20"/>
          <w:szCs w:val="20"/>
          <w:highlight w:val="none"/>
        </w:rPr>
        <w:t>以报价表的总价为准，并修改单价；</w:t>
      </w:r>
    </w:p>
    <w:p w14:paraId="5A8A4529">
      <w:pPr>
        <w:spacing w:before="164" w:line="226"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（4）总价金额与按单价汇总金额不一致的</w:t>
      </w:r>
      <w:r>
        <w:rPr>
          <w:rFonts w:ascii="宋体" w:hAnsi="宋体" w:eastAsia="宋体" w:cs="宋体"/>
          <w:color w:val="auto"/>
          <w:spacing w:val="7"/>
          <w:sz w:val="20"/>
          <w:szCs w:val="20"/>
          <w:highlight w:val="none"/>
        </w:rPr>
        <w:t>，</w:t>
      </w:r>
      <w:r>
        <w:rPr>
          <w:rFonts w:ascii="宋体" w:hAnsi="宋体" w:eastAsia="宋体" w:cs="宋体"/>
          <w:color w:val="auto"/>
          <w:spacing w:val="-60"/>
          <w:sz w:val="20"/>
          <w:szCs w:val="20"/>
          <w:highlight w:val="none"/>
        </w:rPr>
        <w:t xml:space="preserve"> </w:t>
      </w:r>
      <w:r>
        <w:rPr>
          <w:rFonts w:ascii="宋体" w:hAnsi="宋体" w:eastAsia="宋体" w:cs="宋体"/>
          <w:color w:val="auto"/>
          <w:spacing w:val="7"/>
          <w:sz w:val="20"/>
          <w:szCs w:val="20"/>
          <w:highlight w:val="none"/>
        </w:rPr>
        <w:t>以单价金额计算结果为准。</w:t>
      </w:r>
    </w:p>
    <w:p w14:paraId="4CE92EE1">
      <w:pPr>
        <w:spacing w:before="163" w:line="377" w:lineRule="auto"/>
        <w:ind w:left="2" w:right="1" w:firstLine="43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同时出现两种以上不一致的，按照以上（1）-（4）规定的顺序逐条进行修正。修正后的报价经供应商确认后产生约束力，供应商不确认的，其响应文件按无效响应处理。</w:t>
      </w:r>
    </w:p>
    <w:p w14:paraId="2B12FF61">
      <w:pPr>
        <w:spacing w:before="1" w:line="226" w:lineRule="auto"/>
        <w:ind w:left="42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3.5</w:t>
      </w:r>
      <w:r>
        <w:rPr>
          <w:rFonts w:ascii="宋体" w:hAnsi="宋体" w:eastAsia="宋体" w:cs="宋体"/>
          <w:color w:val="auto"/>
          <w:spacing w:val="-34"/>
          <w:sz w:val="20"/>
          <w:szCs w:val="20"/>
          <w:highlight w:val="none"/>
        </w:rPr>
        <w:t xml:space="preserve"> </w:t>
      </w:r>
      <w:r>
        <w:rPr>
          <w:rFonts w:ascii="宋体" w:hAnsi="宋体" w:eastAsia="宋体" w:cs="宋体"/>
          <w:color w:val="auto"/>
          <w:spacing w:val="6"/>
          <w:sz w:val="20"/>
          <w:szCs w:val="20"/>
          <w:highlight w:val="none"/>
        </w:rPr>
        <w:t>商务技术报价评审</w:t>
      </w:r>
    </w:p>
    <w:p w14:paraId="6ED90E8A">
      <w:pPr>
        <w:spacing w:before="163" w:line="228" w:lineRule="auto"/>
        <w:ind w:left="423"/>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在评审时，如发现下列情形之一的，将被视为响应文件无效处理：</w:t>
      </w:r>
    </w:p>
    <w:p w14:paraId="719745BA">
      <w:pPr>
        <w:spacing w:before="161" w:line="228" w:lineRule="auto"/>
        <w:ind w:left="43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（1）商务技术评审</w:t>
      </w:r>
    </w:p>
    <w:p w14:paraId="633DEC3E">
      <w:pPr>
        <w:spacing w:before="161" w:line="227"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1）响应文件未按谈判文件要求签署、盖章的；</w:t>
      </w:r>
    </w:p>
    <w:p w14:paraId="5E07B31B">
      <w:pPr>
        <w:spacing w:before="162" w:line="227" w:lineRule="auto"/>
        <w:ind w:left="42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2）委托代理人未能出具有效身份证或者出具的身份证与授权委托书中的信息不符的；</w:t>
      </w:r>
    </w:p>
    <w:p w14:paraId="0AFC5DB9">
      <w:pPr>
        <w:spacing w:before="162" w:line="228"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3）提交的竞标保证金无效的或者未按照谈判文件的规定提交竞标保证金；</w:t>
      </w:r>
    </w:p>
    <w:p w14:paraId="58306D5E">
      <w:pPr>
        <w:spacing w:before="165" w:line="377" w:lineRule="auto"/>
        <w:ind w:left="1" w:firstLine="419"/>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4）响应文件未提供任一项“供应商须知前附表</w:t>
      </w:r>
      <w:r>
        <w:rPr>
          <w:rFonts w:ascii="宋体" w:hAnsi="宋体" w:eastAsia="宋体" w:cs="宋体"/>
          <w:color w:val="auto"/>
          <w:spacing w:val="-67"/>
          <w:sz w:val="20"/>
          <w:szCs w:val="20"/>
          <w:highlight w:val="none"/>
        </w:rPr>
        <w:t xml:space="preserve"> </w:t>
      </w:r>
      <w:r>
        <w:rPr>
          <w:rFonts w:ascii="宋体" w:hAnsi="宋体" w:eastAsia="宋体" w:cs="宋体"/>
          <w:color w:val="auto"/>
          <w:spacing w:val="11"/>
          <w:sz w:val="20"/>
          <w:szCs w:val="20"/>
          <w:highlight w:val="none"/>
        </w:rPr>
        <w:t>”商务技术文件中 “必须提供</w:t>
      </w:r>
      <w:r>
        <w:rPr>
          <w:rFonts w:ascii="宋体" w:hAnsi="宋体" w:eastAsia="宋体" w:cs="宋体"/>
          <w:color w:val="auto"/>
          <w:spacing w:val="-68"/>
          <w:sz w:val="20"/>
          <w:szCs w:val="20"/>
          <w:highlight w:val="none"/>
        </w:rPr>
        <w:t xml:space="preserve"> </w:t>
      </w:r>
      <w:r>
        <w:rPr>
          <w:rFonts w:ascii="宋体" w:hAnsi="宋体" w:eastAsia="宋体" w:cs="宋体"/>
          <w:color w:val="auto"/>
          <w:spacing w:val="10"/>
          <w:sz w:val="20"/>
          <w:szCs w:val="20"/>
          <w:highlight w:val="none"/>
        </w:rPr>
        <w:t>”或者“委</w:t>
      </w:r>
      <w:r>
        <w:rPr>
          <w:rFonts w:ascii="宋体" w:hAnsi="宋体" w:eastAsia="宋体" w:cs="宋体"/>
          <w:color w:val="auto"/>
          <w:spacing w:val="12"/>
          <w:sz w:val="20"/>
          <w:szCs w:val="20"/>
          <w:highlight w:val="none"/>
        </w:rPr>
        <w:t>托时必须提供</w:t>
      </w:r>
      <w:r>
        <w:rPr>
          <w:rFonts w:ascii="宋体" w:hAnsi="宋体" w:eastAsia="宋体" w:cs="宋体"/>
          <w:color w:val="auto"/>
          <w:spacing w:val="-70"/>
          <w:sz w:val="20"/>
          <w:szCs w:val="20"/>
          <w:highlight w:val="none"/>
        </w:rPr>
        <w:t xml:space="preserve"> </w:t>
      </w:r>
      <w:r>
        <w:rPr>
          <w:rFonts w:ascii="宋体" w:hAnsi="宋体" w:eastAsia="宋体" w:cs="宋体"/>
          <w:color w:val="auto"/>
          <w:spacing w:val="12"/>
          <w:sz w:val="20"/>
          <w:szCs w:val="20"/>
          <w:highlight w:val="none"/>
        </w:rPr>
        <w:t>”的文件资料；响应文件提供的商务技术文件出现任一项不符合“供应商</w:t>
      </w:r>
      <w:r>
        <w:rPr>
          <w:rFonts w:ascii="宋体" w:hAnsi="宋体" w:eastAsia="宋体" w:cs="宋体"/>
          <w:color w:val="auto"/>
          <w:spacing w:val="11"/>
          <w:sz w:val="20"/>
          <w:szCs w:val="20"/>
          <w:highlight w:val="none"/>
        </w:rPr>
        <w:t>须知前</w:t>
      </w:r>
      <w:r>
        <w:rPr>
          <w:rFonts w:ascii="宋体" w:hAnsi="宋体" w:eastAsia="宋体" w:cs="宋体"/>
          <w:color w:val="auto"/>
          <w:spacing w:val="8"/>
          <w:sz w:val="20"/>
          <w:szCs w:val="20"/>
          <w:highlight w:val="none"/>
        </w:rPr>
        <w:t>附表</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”商务技术文件中 “必须提供</w:t>
      </w:r>
      <w:r>
        <w:rPr>
          <w:rFonts w:ascii="宋体" w:hAnsi="宋体" w:eastAsia="宋体" w:cs="宋体"/>
          <w:color w:val="auto"/>
          <w:spacing w:val="-73"/>
          <w:sz w:val="20"/>
          <w:szCs w:val="20"/>
          <w:highlight w:val="none"/>
        </w:rPr>
        <w:t xml:space="preserve"> </w:t>
      </w:r>
      <w:r>
        <w:rPr>
          <w:rFonts w:ascii="宋体" w:hAnsi="宋体" w:eastAsia="宋体" w:cs="宋体"/>
          <w:color w:val="auto"/>
          <w:spacing w:val="8"/>
          <w:sz w:val="20"/>
          <w:szCs w:val="20"/>
          <w:highlight w:val="none"/>
        </w:rPr>
        <w:t>”或者“委托时必须提供</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”文件资料要求的规定或者提</w:t>
      </w:r>
      <w:r>
        <w:rPr>
          <w:rFonts w:ascii="宋体" w:hAnsi="宋体" w:eastAsia="宋体" w:cs="宋体"/>
          <w:color w:val="auto"/>
          <w:spacing w:val="7"/>
          <w:sz w:val="20"/>
          <w:szCs w:val="20"/>
          <w:highlight w:val="none"/>
        </w:rPr>
        <w:t>供的商务技术文件无效；</w:t>
      </w:r>
    </w:p>
    <w:p w14:paraId="3DA99CD4">
      <w:pPr>
        <w:spacing w:before="1" w:line="226"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5）商务要求允许负偏离的条款数超过“供应商须知前附表</w:t>
      </w:r>
      <w:r>
        <w:rPr>
          <w:rFonts w:ascii="宋体" w:hAnsi="宋体" w:eastAsia="宋体" w:cs="宋体"/>
          <w:color w:val="auto"/>
          <w:spacing w:val="-63"/>
          <w:sz w:val="20"/>
          <w:szCs w:val="20"/>
          <w:highlight w:val="none"/>
        </w:rPr>
        <w:t xml:space="preserve"> </w:t>
      </w:r>
      <w:r>
        <w:rPr>
          <w:rFonts w:ascii="宋体" w:hAnsi="宋体" w:eastAsia="宋体" w:cs="宋体"/>
          <w:color w:val="auto"/>
          <w:spacing w:val="8"/>
          <w:sz w:val="20"/>
          <w:szCs w:val="20"/>
          <w:highlight w:val="none"/>
        </w:rPr>
        <w:t>”规定项数的；</w:t>
      </w:r>
    </w:p>
    <w:p w14:paraId="5FA2E261">
      <w:pPr>
        <w:spacing w:before="161" w:line="228" w:lineRule="auto"/>
        <w:ind w:left="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6）未对竞标有效期作出响应或者响应文件承诺的竞标有效期不满足谈判文件要求；</w:t>
      </w:r>
    </w:p>
    <w:p w14:paraId="1CD21FE4">
      <w:pPr>
        <w:spacing w:before="161" w:line="228" w:lineRule="auto"/>
        <w:ind w:left="42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7）响应文件的实质性内容未使用中文表述、使用计量单位不符合谈判文件要求的；</w:t>
      </w:r>
    </w:p>
    <w:p w14:paraId="5A8854DA">
      <w:pPr>
        <w:spacing w:before="162" w:line="227" w:lineRule="auto"/>
        <w:ind w:right="1"/>
        <w:jc w:val="right"/>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8）响应文件中的文件资料因填写不齐全或者内容虚假或者出现其他情形而导致被谈判</w:t>
      </w:r>
      <w:r>
        <w:rPr>
          <w:rFonts w:ascii="宋体" w:hAnsi="宋体" w:eastAsia="宋体" w:cs="宋体"/>
          <w:color w:val="auto"/>
          <w:spacing w:val="9"/>
          <w:sz w:val="20"/>
          <w:szCs w:val="20"/>
          <w:highlight w:val="none"/>
        </w:rPr>
        <w:t>小组</w:t>
      </w:r>
    </w:p>
    <w:p w14:paraId="4F12008E">
      <w:pPr>
        <w:spacing w:before="42" w:line="228" w:lineRule="auto"/>
        <w:ind w:left="1"/>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认定无效的；</w:t>
      </w:r>
    </w:p>
    <w:p w14:paraId="579F974A">
      <w:pPr>
        <w:spacing w:before="160" w:line="227" w:lineRule="auto"/>
        <w:ind w:left="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9）响应文件含有采购人不能接受的附加条件的；</w:t>
      </w:r>
    </w:p>
    <w:p w14:paraId="3DCF2743">
      <w:pPr>
        <w:spacing w:before="162" w:line="227" w:lineRule="auto"/>
        <w:ind w:left="437"/>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10）属于“供应商须知正文</w:t>
      </w:r>
      <w:r>
        <w:rPr>
          <w:rFonts w:ascii="宋体" w:hAnsi="宋体" w:eastAsia="宋体" w:cs="宋体"/>
          <w:color w:val="auto"/>
          <w:spacing w:val="-66"/>
          <w:sz w:val="20"/>
          <w:szCs w:val="20"/>
          <w:highlight w:val="none"/>
        </w:rPr>
        <w:t xml:space="preserve"> </w:t>
      </w:r>
      <w:r>
        <w:rPr>
          <w:rFonts w:ascii="宋体" w:hAnsi="宋体" w:eastAsia="宋体" w:cs="宋体"/>
          <w:color w:val="auto"/>
          <w:spacing w:val="5"/>
          <w:sz w:val="20"/>
          <w:szCs w:val="20"/>
          <w:highlight w:val="none"/>
        </w:rPr>
        <w:t>”第</w:t>
      </w:r>
      <w:r>
        <w:rPr>
          <w:rFonts w:ascii="宋体" w:hAnsi="宋体" w:eastAsia="宋体" w:cs="宋体"/>
          <w:color w:val="auto"/>
          <w:spacing w:val="-31"/>
          <w:sz w:val="20"/>
          <w:szCs w:val="20"/>
          <w:highlight w:val="none"/>
        </w:rPr>
        <w:t xml:space="preserve"> </w:t>
      </w:r>
      <w:r>
        <w:rPr>
          <w:rFonts w:ascii="宋体" w:hAnsi="宋体" w:eastAsia="宋体" w:cs="宋体"/>
          <w:color w:val="auto"/>
          <w:spacing w:val="5"/>
          <w:sz w:val="20"/>
          <w:szCs w:val="20"/>
          <w:highlight w:val="none"/>
        </w:rPr>
        <w:t>7.5</w:t>
      </w:r>
      <w:r>
        <w:rPr>
          <w:rFonts w:ascii="宋体" w:hAnsi="宋体" w:eastAsia="宋体" w:cs="宋体"/>
          <w:color w:val="auto"/>
          <w:spacing w:val="-39"/>
          <w:sz w:val="20"/>
          <w:szCs w:val="20"/>
          <w:highlight w:val="none"/>
        </w:rPr>
        <w:t xml:space="preserve"> </w:t>
      </w:r>
      <w:r>
        <w:rPr>
          <w:rFonts w:ascii="宋体" w:hAnsi="宋体" w:eastAsia="宋体" w:cs="宋体"/>
          <w:color w:val="auto"/>
          <w:spacing w:val="5"/>
          <w:sz w:val="20"/>
          <w:szCs w:val="20"/>
          <w:highlight w:val="none"/>
        </w:rPr>
        <w:t>条的情形的；</w:t>
      </w:r>
    </w:p>
    <w:p w14:paraId="5724A4CF">
      <w:pPr>
        <w:spacing w:before="162" w:line="227"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11）技术评审允许负偏离的条款数超过“供应商须知前</w:t>
      </w:r>
      <w:r>
        <w:rPr>
          <w:rFonts w:ascii="宋体" w:hAnsi="宋体" w:eastAsia="宋体" w:cs="宋体"/>
          <w:color w:val="auto"/>
          <w:spacing w:val="7"/>
          <w:sz w:val="20"/>
          <w:szCs w:val="20"/>
          <w:highlight w:val="none"/>
        </w:rPr>
        <w:t>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”规定项数的；</w:t>
      </w:r>
    </w:p>
    <w:p w14:paraId="38658494">
      <w:pPr>
        <w:spacing w:before="164" w:line="227"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12）虚假竞标，或者出现其他情形而导致被谈判小组认定无效的；</w:t>
      </w:r>
    </w:p>
    <w:p w14:paraId="30903011">
      <w:pPr>
        <w:spacing w:before="161" w:line="377" w:lineRule="auto"/>
        <w:ind w:left="2" w:right="159" w:firstLine="434"/>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13）谈判文件未载明允许提供备选（替代）竞标方案或明确不允许提供备选（替代）竞标</w:t>
      </w:r>
      <w:r>
        <w:rPr>
          <w:rFonts w:ascii="宋体" w:hAnsi="宋体" w:eastAsia="宋体" w:cs="宋体"/>
          <w:color w:val="auto"/>
          <w:spacing w:val="9"/>
          <w:sz w:val="20"/>
          <w:szCs w:val="20"/>
          <w:highlight w:val="none"/>
        </w:rPr>
        <w:t>方案时，供应商提供了备选（替代）竞标方案的；</w:t>
      </w:r>
    </w:p>
    <w:p w14:paraId="782D1BC1">
      <w:pPr>
        <w:spacing w:before="1" w:line="376" w:lineRule="auto"/>
        <w:ind w:left="1" w:right="159" w:firstLine="435"/>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14）响应文件标注的项目名称或者项目编号与谈判文件标注的项目名称或者项目编号不一</w:t>
      </w:r>
      <w:r>
        <w:rPr>
          <w:rFonts w:ascii="宋体" w:hAnsi="宋体" w:eastAsia="宋体" w:cs="宋体"/>
          <w:color w:val="auto"/>
          <w:spacing w:val="3"/>
          <w:sz w:val="20"/>
          <w:szCs w:val="20"/>
          <w:highlight w:val="none"/>
        </w:rPr>
        <w:t>致的；</w:t>
      </w:r>
    </w:p>
    <w:p w14:paraId="3B36A4FC">
      <w:pPr>
        <w:spacing w:line="226"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15）谈判文件明确不允许分包，响应文件拟分包的；</w:t>
      </w:r>
    </w:p>
    <w:p w14:paraId="37F9FB0C">
      <w:pPr>
        <w:spacing w:before="165" w:line="228"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16）未响应谈判文件实质性要求；</w:t>
      </w:r>
    </w:p>
    <w:p w14:paraId="4CC4D944">
      <w:pPr>
        <w:spacing w:before="161" w:line="228"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17）法律、法规和谈判文件规定的其他无效</w:t>
      </w:r>
      <w:r>
        <w:rPr>
          <w:rFonts w:ascii="宋体" w:hAnsi="宋体" w:eastAsia="宋体" w:cs="宋体"/>
          <w:color w:val="auto"/>
          <w:spacing w:val="7"/>
          <w:sz w:val="20"/>
          <w:szCs w:val="20"/>
          <w:highlight w:val="none"/>
        </w:rPr>
        <w:t>情形。</w:t>
      </w:r>
    </w:p>
    <w:p w14:paraId="0E9ED38F">
      <w:pPr>
        <w:spacing w:before="161" w:line="226" w:lineRule="auto"/>
        <w:ind w:left="431"/>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（2）报价评审</w:t>
      </w:r>
    </w:p>
    <w:p w14:paraId="66A39C8F">
      <w:pPr>
        <w:spacing w:before="163" w:line="226"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1）响应文件未提供“供应商须知前附表</w:t>
      </w:r>
      <w:r>
        <w:rPr>
          <w:rFonts w:ascii="宋体" w:hAnsi="宋体" w:eastAsia="宋体" w:cs="宋体"/>
          <w:color w:val="auto"/>
          <w:spacing w:val="-63"/>
          <w:sz w:val="20"/>
          <w:szCs w:val="20"/>
          <w:highlight w:val="none"/>
        </w:rPr>
        <w:t xml:space="preserve"> </w:t>
      </w:r>
      <w:r>
        <w:rPr>
          <w:rFonts w:ascii="宋体" w:hAnsi="宋体" w:eastAsia="宋体" w:cs="宋体"/>
          <w:color w:val="auto"/>
          <w:spacing w:val="7"/>
          <w:sz w:val="20"/>
          <w:szCs w:val="20"/>
          <w:highlight w:val="none"/>
        </w:rPr>
        <w:t>” 报价文件中规定的“竞标报价表</w:t>
      </w:r>
      <w:r>
        <w:rPr>
          <w:rFonts w:ascii="宋体" w:hAnsi="宋体" w:eastAsia="宋体" w:cs="宋体"/>
          <w:color w:val="auto"/>
          <w:spacing w:val="-72"/>
          <w:sz w:val="20"/>
          <w:szCs w:val="20"/>
          <w:highlight w:val="none"/>
        </w:rPr>
        <w:t xml:space="preserve"> </w:t>
      </w:r>
      <w:r>
        <w:rPr>
          <w:rFonts w:ascii="宋体" w:hAnsi="宋体" w:eastAsia="宋体" w:cs="宋体"/>
          <w:color w:val="auto"/>
          <w:spacing w:val="7"/>
          <w:sz w:val="20"/>
          <w:szCs w:val="20"/>
          <w:highlight w:val="none"/>
        </w:rPr>
        <w:t>”的；</w:t>
      </w:r>
    </w:p>
    <w:p w14:paraId="0491FFC0">
      <w:pPr>
        <w:spacing w:before="166" w:line="226" w:lineRule="auto"/>
        <w:ind w:left="42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2）未采用人民币报价或者未按照谈判文件标明的币种报价的；</w:t>
      </w:r>
    </w:p>
    <w:p w14:paraId="7C17951F">
      <w:pPr>
        <w:spacing w:before="163" w:line="377" w:lineRule="auto"/>
        <w:ind w:left="2" w:right="159" w:firstLine="423"/>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3）供应商未就所竞标分标进行报价或者存在漏项报价；供应商未就所竞标分标</w:t>
      </w:r>
      <w:r>
        <w:rPr>
          <w:rFonts w:ascii="宋体" w:hAnsi="宋体" w:eastAsia="宋体" w:cs="宋体"/>
          <w:color w:val="auto"/>
          <w:spacing w:val="9"/>
          <w:sz w:val="20"/>
          <w:szCs w:val="20"/>
          <w:highlight w:val="none"/>
        </w:rPr>
        <w:t>的单项内容</w:t>
      </w:r>
      <w:r>
        <w:rPr>
          <w:rFonts w:ascii="宋体" w:hAnsi="宋体" w:eastAsia="宋体" w:cs="宋体"/>
          <w:color w:val="auto"/>
          <w:spacing w:val="13"/>
          <w:sz w:val="20"/>
          <w:szCs w:val="20"/>
          <w:highlight w:val="none"/>
        </w:rPr>
        <w:t>作唯一报价；供应商未就所竞标分标的全部内容作完整唯一</w:t>
      </w:r>
      <w:r>
        <w:rPr>
          <w:rFonts w:ascii="宋体" w:hAnsi="宋体" w:eastAsia="宋体" w:cs="宋体"/>
          <w:color w:val="auto"/>
          <w:spacing w:val="12"/>
          <w:sz w:val="20"/>
          <w:szCs w:val="20"/>
          <w:highlight w:val="none"/>
        </w:rPr>
        <w:t>总价报价；供应商响应文件中存在</w:t>
      </w:r>
      <w:r>
        <w:rPr>
          <w:rFonts w:ascii="宋体" w:hAnsi="宋体" w:eastAsia="宋体" w:cs="宋体"/>
          <w:color w:val="auto"/>
          <w:spacing w:val="10"/>
          <w:sz w:val="20"/>
          <w:szCs w:val="20"/>
          <w:highlight w:val="none"/>
        </w:rPr>
        <w:t>有选择、有条件报价的（谈判文件允许有备</w:t>
      </w:r>
      <w:r>
        <w:rPr>
          <w:rFonts w:ascii="宋体" w:hAnsi="宋体" w:eastAsia="宋体" w:cs="宋体"/>
          <w:color w:val="auto"/>
          <w:spacing w:val="9"/>
          <w:sz w:val="20"/>
          <w:szCs w:val="20"/>
          <w:highlight w:val="none"/>
        </w:rPr>
        <w:t>选方案或者其他约定的除外</w:t>
      </w:r>
      <w:r>
        <w:rPr>
          <w:rFonts w:ascii="宋体" w:hAnsi="宋体" w:eastAsia="宋体" w:cs="宋体"/>
          <w:color w:val="auto"/>
          <w:sz w:val="20"/>
          <w:szCs w:val="20"/>
          <w:highlight w:val="none"/>
        </w:rPr>
        <w:t>）；</w:t>
      </w:r>
    </w:p>
    <w:p w14:paraId="150F2264">
      <w:pPr>
        <w:spacing w:line="377" w:lineRule="auto"/>
        <w:ind w:left="16" w:right="159" w:firstLine="40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4）竞标报价（包含首次报价、最后报价）超过所竞分标规定的采购预算金额或者单价最高</w:t>
      </w:r>
      <w:r>
        <w:rPr>
          <w:rFonts w:ascii="宋体" w:hAnsi="宋体" w:eastAsia="宋体" w:cs="宋体"/>
          <w:color w:val="auto"/>
          <w:spacing w:val="-2"/>
          <w:sz w:val="20"/>
          <w:szCs w:val="20"/>
          <w:highlight w:val="none"/>
        </w:rPr>
        <w:t>限价；</w:t>
      </w:r>
    </w:p>
    <w:p w14:paraId="50B5BD18">
      <w:pPr>
        <w:spacing w:before="2" w:line="376" w:lineRule="auto"/>
        <w:ind w:left="4" w:firstLine="42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5）修正后的报价，供应商不确认的；或者经供应商确认修</w:t>
      </w:r>
      <w:r>
        <w:rPr>
          <w:rFonts w:ascii="宋体" w:hAnsi="宋体" w:eastAsia="宋体" w:cs="宋体"/>
          <w:color w:val="auto"/>
          <w:spacing w:val="8"/>
          <w:sz w:val="20"/>
          <w:szCs w:val="20"/>
          <w:highlight w:val="none"/>
        </w:rPr>
        <w:t>正后的竞标报价（包含首次报价、</w:t>
      </w:r>
      <w:r>
        <w:rPr>
          <w:rFonts w:ascii="宋体" w:hAnsi="宋体" w:eastAsia="宋体" w:cs="宋体"/>
          <w:color w:val="auto"/>
          <w:spacing w:val="9"/>
          <w:sz w:val="20"/>
          <w:szCs w:val="20"/>
          <w:highlight w:val="none"/>
        </w:rPr>
        <w:t>最后报价）超过所竞分标规定的采购预算金额或者单价最高限价。</w:t>
      </w:r>
    </w:p>
    <w:p w14:paraId="013B63C2">
      <w:pPr>
        <w:spacing w:before="1" w:line="226" w:lineRule="auto"/>
        <w:ind w:left="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6）响应文件响应的标的数量及单位与竞争性谈判采购文件要求实质性不一致的。</w:t>
      </w:r>
    </w:p>
    <w:p w14:paraId="1607D791">
      <w:pPr>
        <w:spacing w:before="163" w:line="377" w:lineRule="auto"/>
        <w:ind w:left="7" w:right="159" w:firstLine="418"/>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3.6</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谈判小组对响应文件进行评审，未实质性响应谈判文件的响应文件按无效处理。谈判小组应当将资格和符合性不通过的情况告知有关</w:t>
      </w:r>
      <w:r>
        <w:rPr>
          <w:rFonts w:ascii="宋体" w:hAnsi="宋体" w:eastAsia="宋体" w:cs="宋体"/>
          <w:color w:val="auto"/>
          <w:spacing w:val="12"/>
          <w:sz w:val="20"/>
          <w:szCs w:val="20"/>
          <w:highlight w:val="none"/>
        </w:rPr>
        <w:t>供应商。谈判小组从符合谈判文件规定的相应</w:t>
      </w:r>
      <w:r>
        <w:rPr>
          <w:rFonts w:ascii="宋体" w:hAnsi="宋体" w:eastAsia="宋体" w:cs="宋体"/>
          <w:color w:val="auto"/>
          <w:spacing w:val="8"/>
          <w:sz w:val="20"/>
          <w:szCs w:val="20"/>
          <w:highlight w:val="none"/>
        </w:rPr>
        <w:t>资格条件的供应商名单中确定不少于</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家的供应商参加谈</w:t>
      </w:r>
      <w:r>
        <w:rPr>
          <w:rFonts w:ascii="宋体" w:hAnsi="宋体" w:eastAsia="宋体" w:cs="宋体"/>
          <w:color w:val="auto"/>
          <w:spacing w:val="7"/>
          <w:sz w:val="20"/>
          <w:szCs w:val="20"/>
          <w:highlight w:val="none"/>
        </w:rPr>
        <w:t>判。</w:t>
      </w:r>
    </w:p>
    <w:p w14:paraId="11FCF0C1">
      <w:pPr>
        <w:spacing w:before="1" w:line="377" w:lineRule="auto"/>
        <w:ind w:right="159" w:firstLine="425"/>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3.7</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公开招标的货物、服务采购项目，招标过程中提交响应文件或者经评审实质性响应谈判文件要求的供应商只有两家时，采购人、采购代理机构按照《政</w:t>
      </w:r>
      <w:r>
        <w:rPr>
          <w:rFonts w:ascii="宋体" w:hAnsi="宋体" w:eastAsia="宋体" w:cs="宋体"/>
          <w:color w:val="auto"/>
          <w:spacing w:val="12"/>
          <w:sz w:val="20"/>
          <w:szCs w:val="20"/>
          <w:highlight w:val="none"/>
        </w:rPr>
        <w:t>府采购非招标采购方式管理</w:t>
      </w:r>
      <w:r>
        <w:rPr>
          <w:rFonts w:ascii="宋体" w:hAnsi="宋体" w:eastAsia="宋体" w:cs="宋体"/>
          <w:color w:val="auto"/>
          <w:spacing w:val="9"/>
          <w:sz w:val="20"/>
          <w:szCs w:val="20"/>
          <w:highlight w:val="none"/>
        </w:rPr>
        <w:t>办法》（财政部</w:t>
      </w:r>
      <w:r>
        <w:rPr>
          <w:rFonts w:ascii="宋体" w:hAnsi="宋体" w:eastAsia="宋体" w:cs="宋体"/>
          <w:color w:val="auto"/>
          <w:spacing w:val="-24"/>
          <w:sz w:val="20"/>
          <w:szCs w:val="20"/>
          <w:highlight w:val="none"/>
        </w:rPr>
        <w:t xml:space="preserve"> </w:t>
      </w:r>
      <w:r>
        <w:rPr>
          <w:rFonts w:ascii="宋体" w:hAnsi="宋体" w:eastAsia="宋体" w:cs="宋体"/>
          <w:color w:val="auto"/>
          <w:spacing w:val="9"/>
          <w:sz w:val="20"/>
          <w:szCs w:val="20"/>
          <w:highlight w:val="none"/>
        </w:rPr>
        <w:t>74</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号令）第四条经本级财政部门批准后可以与该两家供应商进行竞争性谈判采</w:t>
      </w:r>
      <w:r>
        <w:rPr>
          <w:rFonts w:ascii="宋体" w:hAnsi="宋体" w:eastAsia="宋体" w:cs="宋体"/>
          <w:color w:val="auto"/>
          <w:spacing w:val="1"/>
          <w:sz w:val="20"/>
          <w:szCs w:val="20"/>
          <w:highlight w:val="none"/>
        </w:rPr>
        <w:t>购。</w:t>
      </w:r>
    </w:p>
    <w:p w14:paraId="4E7D2B58">
      <w:pPr>
        <w:spacing w:before="1" w:line="377" w:lineRule="auto"/>
        <w:ind w:left="1" w:right="161" w:firstLine="424"/>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3.8</w:t>
      </w:r>
      <w:r>
        <w:rPr>
          <w:rFonts w:ascii="宋体" w:hAnsi="宋体" w:eastAsia="宋体" w:cs="宋体"/>
          <w:color w:val="auto"/>
          <w:spacing w:val="-23"/>
          <w:sz w:val="20"/>
          <w:szCs w:val="20"/>
          <w:highlight w:val="none"/>
        </w:rPr>
        <w:t xml:space="preserve"> </w:t>
      </w:r>
      <w:r>
        <w:rPr>
          <w:rFonts w:ascii="宋体" w:hAnsi="宋体" w:eastAsia="宋体" w:cs="宋体"/>
          <w:color w:val="auto"/>
          <w:spacing w:val="11"/>
          <w:sz w:val="20"/>
          <w:szCs w:val="20"/>
          <w:highlight w:val="none"/>
        </w:rPr>
        <w:t>除本章</w:t>
      </w:r>
      <w:r>
        <w:rPr>
          <w:rFonts w:ascii="宋体" w:hAnsi="宋体" w:eastAsia="宋体" w:cs="宋体"/>
          <w:color w:val="auto"/>
          <w:spacing w:val="-31"/>
          <w:sz w:val="20"/>
          <w:szCs w:val="20"/>
          <w:highlight w:val="none"/>
        </w:rPr>
        <w:t xml:space="preserve"> </w:t>
      </w:r>
      <w:r>
        <w:rPr>
          <w:rFonts w:ascii="宋体" w:hAnsi="宋体" w:eastAsia="宋体" w:cs="宋体"/>
          <w:color w:val="auto"/>
          <w:spacing w:val="11"/>
          <w:sz w:val="20"/>
          <w:szCs w:val="20"/>
          <w:highlight w:val="none"/>
        </w:rPr>
        <w:t>3.7</w:t>
      </w:r>
      <w:r>
        <w:rPr>
          <w:rFonts w:ascii="宋体" w:hAnsi="宋体" w:eastAsia="宋体" w:cs="宋体"/>
          <w:color w:val="auto"/>
          <w:spacing w:val="-34"/>
          <w:sz w:val="20"/>
          <w:szCs w:val="20"/>
          <w:highlight w:val="none"/>
        </w:rPr>
        <w:t xml:space="preserve"> </w:t>
      </w:r>
      <w:r>
        <w:rPr>
          <w:rFonts w:ascii="宋体" w:hAnsi="宋体" w:eastAsia="宋体" w:cs="宋体"/>
          <w:color w:val="auto"/>
          <w:spacing w:val="11"/>
          <w:sz w:val="20"/>
          <w:szCs w:val="20"/>
          <w:highlight w:val="none"/>
        </w:rPr>
        <w:t>条规定的情形外，通过符合性审查的合格供应商不足</w:t>
      </w:r>
      <w:r>
        <w:rPr>
          <w:rFonts w:ascii="宋体" w:hAnsi="宋体" w:eastAsia="宋体" w:cs="宋体"/>
          <w:color w:val="auto"/>
          <w:spacing w:val="-30"/>
          <w:sz w:val="20"/>
          <w:szCs w:val="20"/>
          <w:highlight w:val="none"/>
        </w:rPr>
        <w:t xml:space="preserve"> </w:t>
      </w:r>
      <w:r>
        <w:rPr>
          <w:rFonts w:ascii="宋体" w:hAnsi="宋体" w:eastAsia="宋体" w:cs="宋体"/>
          <w:color w:val="auto"/>
          <w:spacing w:val="10"/>
          <w:sz w:val="20"/>
          <w:szCs w:val="20"/>
          <w:highlight w:val="none"/>
        </w:rPr>
        <w:t>3</w:t>
      </w:r>
      <w:r>
        <w:rPr>
          <w:rFonts w:ascii="宋体" w:hAnsi="宋体" w:eastAsia="宋体" w:cs="宋体"/>
          <w:color w:val="auto"/>
          <w:spacing w:val="-31"/>
          <w:sz w:val="20"/>
          <w:szCs w:val="20"/>
          <w:highlight w:val="none"/>
        </w:rPr>
        <w:t xml:space="preserve"> </w:t>
      </w:r>
      <w:r>
        <w:rPr>
          <w:rFonts w:ascii="宋体" w:hAnsi="宋体" w:eastAsia="宋体" w:cs="宋体"/>
          <w:color w:val="auto"/>
          <w:spacing w:val="10"/>
          <w:sz w:val="20"/>
          <w:szCs w:val="20"/>
          <w:highlight w:val="none"/>
        </w:rPr>
        <w:t>家的，不得进入谈</w:t>
      </w:r>
      <w:r>
        <w:rPr>
          <w:rFonts w:ascii="宋体" w:hAnsi="宋体" w:eastAsia="宋体" w:cs="宋体"/>
          <w:color w:val="auto"/>
          <w:spacing w:val="8"/>
          <w:sz w:val="20"/>
          <w:szCs w:val="20"/>
          <w:highlight w:val="none"/>
        </w:rPr>
        <w:t>判环节，应当重新开展采购活动。</w:t>
      </w:r>
    </w:p>
    <w:p w14:paraId="48AA1B50">
      <w:pPr>
        <w:spacing w:before="3" w:line="220" w:lineRule="auto"/>
        <w:ind w:left="478"/>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4.谈判程序</w:t>
      </w:r>
    </w:p>
    <w:p w14:paraId="7D51F815">
      <w:pPr>
        <w:spacing w:before="41" w:line="228" w:lineRule="auto"/>
        <w:ind w:left="1"/>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4.1</w:t>
      </w:r>
      <w:r>
        <w:rPr>
          <w:rFonts w:ascii="宋体" w:hAnsi="宋体" w:eastAsia="宋体" w:cs="宋体"/>
          <w:color w:val="auto"/>
          <w:spacing w:val="-20"/>
          <w:sz w:val="20"/>
          <w:szCs w:val="20"/>
          <w:highlight w:val="none"/>
        </w:rPr>
        <w:t xml:space="preserve"> </w:t>
      </w:r>
      <w:r>
        <w:rPr>
          <w:rFonts w:ascii="宋体" w:hAnsi="宋体" w:eastAsia="宋体" w:cs="宋体"/>
          <w:color w:val="auto"/>
          <w:spacing w:val="13"/>
          <w:sz w:val="20"/>
          <w:szCs w:val="20"/>
          <w:highlight w:val="none"/>
        </w:rPr>
        <w:t>谈判小组集中与单一供应商分别进行谈判，并给予所有参加谈判的供应商平等的谈判机会。符合谈判资格的供应商必须在接到谈判通知后规定时间内</w:t>
      </w:r>
      <w:r>
        <w:rPr>
          <w:rFonts w:ascii="宋体" w:hAnsi="宋体" w:eastAsia="宋体" w:cs="宋体"/>
          <w:color w:val="auto"/>
          <w:spacing w:val="12"/>
          <w:sz w:val="20"/>
          <w:szCs w:val="20"/>
          <w:highlight w:val="none"/>
        </w:rPr>
        <w:t>参加谈判，未在规定时间内参</w:t>
      </w:r>
      <w:r>
        <w:rPr>
          <w:rFonts w:ascii="宋体" w:hAnsi="宋体" w:eastAsia="宋体" w:cs="宋体"/>
          <w:color w:val="auto"/>
          <w:spacing w:val="8"/>
          <w:sz w:val="20"/>
          <w:szCs w:val="20"/>
          <w:highlight w:val="none"/>
        </w:rPr>
        <w:t>加谈判的，</w:t>
      </w:r>
      <w:r>
        <w:rPr>
          <w:rFonts w:ascii="宋体" w:hAnsi="宋体" w:eastAsia="宋体" w:cs="宋体"/>
          <w:b/>
          <w:bCs/>
          <w:color w:val="auto"/>
          <w:spacing w:val="8"/>
          <w:sz w:val="20"/>
          <w:szCs w:val="20"/>
          <w:highlight w:val="none"/>
        </w:rPr>
        <w:t>视同放弃参加谈判权利，其响应文件按无效处理。</w:t>
      </w:r>
    </w:p>
    <w:p w14:paraId="027D08E7">
      <w:pPr>
        <w:spacing w:before="162" w:line="377" w:lineRule="auto"/>
        <w:ind w:left="1" w:right="41" w:firstLine="4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4.2</w:t>
      </w:r>
      <w:r>
        <w:rPr>
          <w:rFonts w:ascii="宋体" w:hAnsi="宋体" w:eastAsia="宋体" w:cs="宋体"/>
          <w:color w:val="auto"/>
          <w:spacing w:val="-27"/>
          <w:sz w:val="20"/>
          <w:szCs w:val="20"/>
          <w:highlight w:val="none"/>
        </w:rPr>
        <w:t xml:space="preserve"> </w:t>
      </w:r>
      <w:r>
        <w:rPr>
          <w:rFonts w:ascii="宋体" w:hAnsi="宋体" w:eastAsia="宋体" w:cs="宋体"/>
          <w:color w:val="auto"/>
          <w:spacing w:val="8"/>
          <w:sz w:val="20"/>
          <w:szCs w:val="20"/>
          <w:highlight w:val="none"/>
        </w:rPr>
        <w:t>在谈判过程中，谈判小组可以根据谈判文件和谈判情况实质性变动采购需求中的技术、</w:t>
      </w:r>
      <w:r>
        <w:rPr>
          <w:rFonts w:ascii="宋体" w:hAnsi="宋体" w:eastAsia="宋体" w:cs="宋体"/>
          <w:color w:val="auto"/>
          <w:spacing w:val="13"/>
          <w:sz w:val="20"/>
          <w:szCs w:val="20"/>
          <w:highlight w:val="none"/>
        </w:rPr>
        <w:t>服务要求以及合同草案条款，但不得变动谈判文件中的其他内</w:t>
      </w:r>
      <w:r>
        <w:rPr>
          <w:rFonts w:ascii="宋体" w:hAnsi="宋体" w:eastAsia="宋体" w:cs="宋体"/>
          <w:color w:val="auto"/>
          <w:spacing w:val="12"/>
          <w:sz w:val="20"/>
          <w:szCs w:val="20"/>
          <w:highlight w:val="none"/>
        </w:rPr>
        <w:t>容，实质性变动的内容须经采购</w:t>
      </w:r>
      <w:r>
        <w:rPr>
          <w:rFonts w:ascii="宋体" w:hAnsi="宋体" w:eastAsia="宋体" w:cs="宋体"/>
          <w:color w:val="auto"/>
          <w:spacing w:val="9"/>
          <w:sz w:val="20"/>
          <w:szCs w:val="20"/>
          <w:highlight w:val="none"/>
        </w:rPr>
        <w:t>人代表确认。可能实质性变动的内容为采购需求中的技术、服务要求以及合同草案条款。</w:t>
      </w:r>
    </w:p>
    <w:p w14:paraId="7B58355C">
      <w:pPr>
        <w:spacing w:before="1" w:line="376" w:lineRule="auto"/>
        <w:ind w:left="4" w:right="42" w:firstLine="416"/>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4.3</w:t>
      </w:r>
      <w:r>
        <w:rPr>
          <w:rFonts w:ascii="宋体" w:hAnsi="宋体" w:eastAsia="宋体" w:cs="宋体"/>
          <w:color w:val="auto"/>
          <w:spacing w:val="-25"/>
          <w:sz w:val="20"/>
          <w:szCs w:val="20"/>
          <w:highlight w:val="none"/>
        </w:rPr>
        <w:t xml:space="preserve"> </w:t>
      </w:r>
      <w:r>
        <w:rPr>
          <w:rFonts w:ascii="宋体" w:hAnsi="宋体" w:eastAsia="宋体" w:cs="宋体"/>
          <w:color w:val="auto"/>
          <w:spacing w:val="12"/>
          <w:sz w:val="20"/>
          <w:szCs w:val="20"/>
          <w:highlight w:val="none"/>
        </w:rPr>
        <w:t>对谈判文件作出的实质性变动是谈判文件的有效组成部分，</w:t>
      </w:r>
      <w:r>
        <w:rPr>
          <w:rFonts w:ascii="宋体" w:hAnsi="宋体" w:eastAsia="宋体" w:cs="宋体"/>
          <w:color w:val="auto"/>
          <w:spacing w:val="-55"/>
          <w:sz w:val="20"/>
          <w:szCs w:val="20"/>
          <w:highlight w:val="none"/>
        </w:rPr>
        <w:t xml:space="preserve"> </w:t>
      </w:r>
      <w:r>
        <w:rPr>
          <w:rFonts w:ascii="宋体" w:hAnsi="宋体" w:eastAsia="宋体" w:cs="宋体"/>
          <w:color w:val="auto"/>
          <w:spacing w:val="12"/>
          <w:sz w:val="20"/>
          <w:szCs w:val="20"/>
          <w:highlight w:val="none"/>
        </w:rPr>
        <w:t>由谈判小组以电子澄清函</w:t>
      </w:r>
      <w:r>
        <w:rPr>
          <w:rFonts w:ascii="宋体" w:hAnsi="宋体" w:eastAsia="宋体" w:cs="宋体"/>
          <w:color w:val="auto"/>
          <w:spacing w:val="8"/>
          <w:sz w:val="20"/>
          <w:szCs w:val="20"/>
          <w:highlight w:val="none"/>
        </w:rPr>
        <w:t>形式同时通知所有参加谈判的供应商。</w:t>
      </w:r>
    </w:p>
    <w:p w14:paraId="5E5558D8">
      <w:pPr>
        <w:spacing w:before="2" w:line="376" w:lineRule="auto"/>
        <w:ind w:firstLine="420"/>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4.4</w:t>
      </w:r>
      <w:r>
        <w:rPr>
          <w:rFonts w:ascii="宋体" w:hAnsi="宋体" w:eastAsia="宋体" w:cs="宋体"/>
          <w:color w:val="auto"/>
          <w:spacing w:val="-20"/>
          <w:sz w:val="20"/>
          <w:szCs w:val="20"/>
          <w:highlight w:val="none"/>
        </w:rPr>
        <w:t xml:space="preserve"> </w:t>
      </w:r>
      <w:r>
        <w:rPr>
          <w:rFonts w:ascii="宋体" w:hAnsi="宋体" w:eastAsia="宋体" w:cs="宋体"/>
          <w:color w:val="auto"/>
          <w:spacing w:val="13"/>
          <w:sz w:val="20"/>
          <w:szCs w:val="20"/>
          <w:highlight w:val="none"/>
        </w:rPr>
        <w:t>供应商必须按照谈判文件的变动情况和谈判小组的要求以回函的形式重新提交响应文</w:t>
      </w:r>
      <w:r>
        <w:rPr>
          <w:rFonts w:ascii="宋体" w:hAnsi="宋体" w:eastAsia="宋体" w:cs="宋体"/>
          <w:color w:val="auto"/>
          <w:spacing w:val="8"/>
          <w:sz w:val="20"/>
          <w:szCs w:val="20"/>
          <w:highlight w:val="none"/>
        </w:rPr>
        <w:t>件，并加盖电子签章。参加谈判的供应商未在规定时间内重新提交响应文件的，</w:t>
      </w:r>
      <w:r>
        <w:rPr>
          <w:rFonts w:ascii="宋体" w:hAnsi="宋体" w:eastAsia="宋体" w:cs="宋体"/>
          <w:b/>
          <w:bCs/>
          <w:color w:val="auto"/>
          <w:spacing w:val="8"/>
          <w:sz w:val="20"/>
          <w:szCs w:val="20"/>
          <w:highlight w:val="none"/>
        </w:rPr>
        <w:t>视同退出谈判，</w:t>
      </w:r>
      <w:r>
        <w:rPr>
          <w:rFonts w:ascii="宋体" w:hAnsi="宋体" w:eastAsia="宋体" w:cs="宋体"/>
          <w:b/>
          <w:bCs/>
          <w:color w:val="auto"/>
          <w:spacing w:val="6"/>
          <w:sz w:val="20"/>
          <w:szCs w:val="20"/>
          <w:highlight w:val="none"/>
        </w:rPr>
        <w:t>其响应文件按无效处理。</w:t>
      </w:r>
    </w:p>
    <w:p w14:paraId="76D4653F">
      <w:pPr>
        <w:spacing w:before="1" w:line="377" w:lineRule="auto"/>
        <w:ind w:left="1" w:right="42" w:firstLine="419"/>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4.5</w:t>
      </w:r>
      <w:r>
        <w:rPr>
          <w:rFonts w:ascii="宋体" w:hAnsi="宋体" w:eastAsia="宋体" w:cs="宋体"/>
          <w:color w:val="auto"/>
          <w:spacing w:val="-20"/>
          <w:sz w:val="20"/>
          <w:szCs w:val="20"/>
          <w:highlight w:val="none"/>
        </w:rPr>
        <w:t xml:space="preserve"> </w:t>
      </w:r>
      <w:r>
        <w:rPr>
          <w:rFonts w:ascii="宋体" w:hAnsi="宋体" w:eastAsia="宋体" w:cs="宋体"/>
          <w:color w:val="auto"/>
          <w:spacing w:val="13"/>
          <w:sz w:val="20"/>
          <w:szCs w:val="20"/>
          <w:highlight w:val="none"/>
        </w:rPr>
        <w:t>谈判中，谈判的任何一方不得透露与谈判有关的其他供应商的技术资料、价格和其他</w:t>
      </w:r>
      <w:r>
        <w:rPr>
          <w:rFonts w:ascii="宋体" w:hAnsi="宋体" w:eastAsia="宋体" w:cs="宋体"/>
          <w:color w:val="auto"/>
          <w:spacing w:val="3"/>
          <w:sz w:val="20"/>
          <w:szCs w:val="20"/>
          <w:highlight w:val="none"/>
        </w:rPr>
        <w:t>信息。</w:t>
      </w:r>
    </w:p>
    <w:p w14:paraId="0FAB7C20">
      <w:pPr>
        <w:spacing w:line="226" w:lineRule="auto"/>
        <w:ind w:left="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4.6</w:t>
      </w:r>
      <w:r>
        <w:rPr>
          <w:rFonts w:ascii="宋体" w:hAnsi="宋体" w:eastAsia="宋体" w:cs="宋体"/>
          <w:color w:val="auto"/>
          <w:spacing w:val="-32"/>
          <w:sz w:val="20"/>
          <w:szCs w:val="20"/>
          <w:highlight w:val="none"/>
        </w:rPr>
        <w:t xml:space="preserve"> </w:t>
      </w:r>
      <w:r>
        <w:rPr>
          <w:rFonts w:ascii="宋体" w:hAnsi="宋体" w:eastAsia="宋体" w:cs="宋体"/>
          <w:color w:val="auto"/>
          <w:spacing w:val="8"/>
          <w:sz w:val="20"/>
          <w:szCs w:val="20"/>
          <w:highlight w:val="none"/>
        </w:rPr>
        <w:t>采购代理机构对谈判过程和重要谈判内容进行记录。</w:t>
      </w:r>
    </w:p>
    <w:p w14:paraId="4C7E6AA5">
      <w:pPr>
        <w:spacing w:before="162" w:line="378" w:lineRule="auto"/>
        <w:ind w:left="1" w:right="57" w:firstLine="419"/>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4.7</w:t>
      </w:r>
      <w:r>
        <w:rPr>
          <w:rFonts w:ascii="宋体" w:hAnsi="宋体" w:eastAsia="宋体" w:cs="宋体"/>
          <w:color w:val="auto"/>
          <w:spacing w:val="-28"/>
          <w:sz w:val="20"/>
          <w:szCs w:val="20"/>
          <w:highlight w:val="none"/>
        </w:rPr>
        <w:t xml:space="preserve"> </w:t>
      </w:r>
      <w:r>
        <w:rPr>
          <w:rFonts w:ascii="宋体" w:hAnsi="宋体" w:eastAsia="宋体" w:cs="宋体"/>
          <w:color w:val="auto"/>
          <w:spacing w:val="7"/>
          <w:sz w:val="20"/>
          <w:szCs w:val="20"/>
          <w:highlight w:val="none"/>
        </w:rPr>
        <w:t>除本章第</w:t>
      </w:r>
      <w:r>
        <w:rPr>
          <w:rFonts w:ascii="宋体" w:hAnsi="宋体" w:eastAsia="宋体" w:cs="宋体"/>
          <w:color w:val="auto"/>
          <w:spacing w:val="-32"/>
          <w:sz w:val="20"/>
          <w:szCs w:val="20"/>
          <w:highlight w:val="none"/>
        </w:rPr>
        <w:t xml:space="preserve"> </w:t>
      </w:r>
      <w:r>
        <w:rPr>
          <w:rFonts w:ascii="宋体" w:hAnsi="宋体" w:eastAsia="宋体" w:cs="宋体"/>
          <w:color w:val="auto"/>
          <w:spacing w:val="7"/>
          <w:sz w:val="20"/>
          <w:szCs w:val="20"/>
          <w:highlight w:val="none"/>
        </w:rPr>
        <w:t>3.7</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条外，对谈判过程提交的响应文件进行有效性、完</w:t>
      </w:r>
      <w:r>
        <w:rPr>
          <w:rFonts w:ascii="宋体" w:hAnsi="宋体" w:eastAsia="宋体" w:cs="宋体"/>
          <w:color w:val="auto"/>
          <w:spacing w:val="6"/>
          <w:sz w:val="20"/>
          <w:szCs w:val="20"/>
          <w:highlight w:val="none"/>
        </w:rPr>
        <w:t>整性和响应程度审查，</w:t>
      </w:r>
      <w:r>
        <w:rPr>
          <w:rFonts w:ascii="宋体" w:hAnsi="宋体" w:eastAsia="宋体" w:cs="宋体"/>
          <w:color w:val="auto"/>
          <w:spacing w:val="9"/>
          <w:sz w:val="20"/>
          <w:szCs w:val="20"/>
          <w:highlight w:val="none"/>
        </w:rPr>
        <w:t>通过审查的合格供应商不足</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3</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家的，采购人或者采购代</w:t>
      </w:r>
      <w:r>
        <w:rPr>
          <w:rFonts w:ascii="宋体" w:hAnsi="宋体" w:eastAsia="宋体" w:cs="宋体"/>
          <w:color w:val="auto"/>
          <w:spacing w:val="8"/>
          <w:sz w:val="20"/>
          <w:szCs w:val="20"/>
          <w:highlight w:val="none"/>
        </w:rPr>
        <w:t>理机构应当重新开展采购活动。</w:t>
      </w:r>
    </w:p>
    <w:p w14:paraId="003BC281">
      <w:pPr>
        <w:spacing w:before="4" w:line="222" w:lineRule="auto"/>
        <w:ind w:left="479"/>
        <w:rPr>
          <w:rFonts w:ascii="黑体" w:hAnsi="黑体" w:eastAsia="黑体" w:cs="黑体"/>
          <w:color w:val="auto"/>
          <w:sz w:val="24"/>
          <w:szCs w:val="24"/>
          <w:highlight w:val="none"/>
        </w:rPr>
      </w:pPr>
      <w:r>
        <w:rPr>
          <w:rFonts w:ascii="黑体" w:hAnsi="黑体" w:eastAsia="黑体" w:cs="黑体"/>
          <w:b/>
          <w:bCs/>
          <w:color w:val="auto"/>
          <w:spacing w:val="-6"/>
          <w:sz w:val="24"/>
          <w:szCs w:val="24"/>
          <w:highlight w:val="none"/>
        </w:rPr>
        <w:t>5.</w:t>
      </w:r>
      <w:r>
        <w:rPr>
          <w:rFonts w:ascii="黑体" w:hAnsi="黑体" w:eastAsia="黑体" w:cs="黑体"/>
          <w:color w:val="auto"/>
          <w:spacing w:val="20"/>
          <w:sz w:val="24"/>
          <w:szCs w:val="24"/>
          <w:highlight w:val="none"/>
        </w:rPr>
        <w:t xml:space="preserve"> </w:t>
      </w:r>
      <w:r>
        <w:rPr>
          <w:rFonts w:ascii="黑体" w:hAnsi="黑体" w:eastAsia="黑体" w:cs="黑体"/>
          <w:b/>
          <w:bCs/>
          <w:color w:val="auto"/>
          <w:spacing w:val="-6"/>
          <w:sz w:val="24"/>
          <w:szCs w:val="24"/>
          <w:highlight w:val="none"/>
        </w:rPr>
        <w:t>最后报价</w:t>
      </w:r>
    </w:p>
    <w:p w14:paraId="07596D78">
      <w:pPr>
        <w:spacing w:before="174" w:line="377" w:lineRule="auto"/>
        <w:ind w:left="2" w:right="42" w:firstLine="423"/>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5.1</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谈判文件能够详细列明采购标的的技术、服务要求的，谈判结束后，谈判小组应当要求所有继续参加谈判的供应商在规定时间内在广西政府采购</w:t>
      </w:r>
      <w:r>
        <w:rPr>
          <w:rFonts w:ascii="宋体" w:hAnsi="宋体" w:eastAsia="宋体" w:cs="宋体"/>
          <w:color w:val="auto"/>
          <w:spacing w:val="12"/>
          <w:sz w:val="20"/>
          <w:szCs w:val="20"/>
          <w:highlight w:val="none"/>
        </w:rPr>
        <w:t>云平台开标大厅提交最后报价，除</w:t>
      </w:r>
      <w:r>
        <w:rPr>
          <w:rFonts w:ascii="宋体" w:hAnsi="宋体" w:eastAsia="宋体" w:cs="宋体"/>
          <w:color w:val="auto"/>
          <w:spacing w:val="7"/>
          <w:sz w:val="20"/>
          <w:szCs w:val="20"/>
          <w:highlight w:val="none"/>
        </w:rPr>
        <w:t>本章第</w:t>
      </w:r>
      <w:r>
        <w:rPr>
          <w:rFonts w:ascii="宋体" w:hAnsi="宋体" w:eastAsia="宋体" w:cs="宋体"/>
          <w:color w:val="auto"/>
          <w:spacing w:val="-19"/>
          <w:sz w:val="20"/>
          <w:szCs w:val="20"/>
          <w:highlight w:val="none"/>
        </w:rPr>
        <w:t xml:space="preserve"> </w:t>
      </w:r>
      <w:r>
        <w:rPr>
          <w:rFonts w:ascii="宋体" w:hAnsi="宋体" w:eastAsia="宋体" w:cs="宋体"/>
          <w:color w:val="auto"/>
          <w:spacing w:val="7"/>
          <w:sz w:val="20"/>
          <w:szCs w:val="20"/>
          <w:highlight w:val="none"/>
        </w:rPr>
        <w:t>3.7</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条外，提交最后报价的供应商不得少于</w:t>
      </w:r>
      <w:r>
        <w:rPr>
          <w:rFonts w:ascii="宋体" w:hAnsi="宋体" w:eastAsia="宋体" w:cs="宋体"/>
          <w:color w:val="auto"/>
          <w:spacing w:val="-32"/>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家，否则应当重新采购。</w:t>
      </w:r>
    </w:p>
    <w:p w14:paraId="4A6E52A0">
      <w:pPr>
        <w:spacing w:before="1" w:line="377" w:lineRule="auto"/>
        <w:ind w:left="1" w:right="42" w:firstLine="424"/>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5.2</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谈判文件不能详细列明采购标的的技术、服务要求，需经谈判由供应商提供最后设计</w:t>
      </w:r>
      <w:r>
        <w:rPr>
          <w:rFonts w:ascii="宋体" w:hAnsi="宋体" w:eastAsia="宋体" w:cs="宋体"/>
          <w:color w:val="auto"/>
          <w:spacing w:val="12"/>
          <w:sz w:val="20"/>
          <w:szCs w:val="20"/>
          <w:highlight w:val="none"/>
        </w:rPr>
        <w:t>方案或者解决方案的，谈判结束后，谈判小组应当按照少数服从多数的原</w:t>
      </w:r>
      <w:r>
        <w:rPr>
          <w:rFonts w:ascii="宋体" w:hAnsi="宋体" w:eastAsia="宋体" w:cs="宋体"/>
          <w:color w:val="auto"/>
          <w:spacing w:val="11"/>
          <w:sz w:val="20"/>
          <w:szCs w:val="20"/>
          <w:highlight w:val="none"/>
        </w:rPr>
        <w:t>则投票推荐</w:t>
      </w:r>
      <w:r>
        <w:rPr>
          <w:rFonts w:ascii="宋体" w:hAnsi="宋体" w:eastAsia="宋体" w:cs="宋体"/>
          <w:color w:val="auto"/>
          <w:spacing w:val="-32"/>
          <w:sz w:val="20"/>
          <w:szCs w:val="20"/>
          <w:highlight w:val="none"/>
        </w:rPr>
        <w:t xml:space="preserve"> </w:t>
      </w:r>
      <w:r>
        <w:rPr>
          <w:rFonts w:ascii="宋体" w:hAnsi="宋体" w:eastAsia="宋体" w:cs="宋体"/>
          <w:color w:val="auto"/>
          <w:spacing w:val="11"/>
          <w:sz w:val="20"/>
          <w:szCs w:val="20"/>
          <w:highlight w:val="none"/>
        </w:rPr>
        <w:t>3</w:t>
      </w:r>
      <w:r>
        <w:rPr>
          <w:rFonts w:ascii="宋体" w:hAnsi="宋体" w:eastAsia="宋体" w:cs="宋体"/>
          <w:color w:val="auto"/>
          <w:spacing w:val="-34"/>
          <w:sz w:val="20"/>
          <w:szCs w:val="20"/>
          <w:highlight w:val="none"/>
        </w:rPr>
        <w:t xml:space="preserve"> </w:t>
      </w:r>
      <w:r>
        <w:rPr>
          <w:rFonts w:ascii="宋体" w:hAnsi="宋体" w:eastAsia="宋体" w:cs="宋体"/>
          <w:color w:val="auto"/>
          <w:spacing w:val="11"/>
          <w:sz w:val="20"/>
          <w:szCs w:val="20"/>
          <w:highlight w:val="none"/>
        </w:rPr>
        <w:t>家以上</w:t>
      </w:r>
      <w:r>
        <w:rPr>
          <w:rFonts w:ascii="宋体" w:hAnsi="宋体" w:eastAsia="宋体" w:cs="宋体"/>
          <w:color w:val="auto"/>
          <w:spacing w:val="13"/>
          <w:sz w:val="20"/>
          <w:szCs w:val="20"/>
          <w:highlight w:val="none"/>
        </w:rPr>
        <w:t>供应商的设计方案或者解决方案，并要求其在规定时间内在广</w:t>
      </w:r>
      <w:r>
        <w:rPr>
          <w:rFonts w:ascii="宋体" w:hAnsi="宋体" w:eastAsia="宋体" w:cs="宋体"/>
          <w:color w:val="auto"/>
          <w:spacing w:val="12"/>
          <w:sz w:val="20"/>
          <w:szCs w:val="20"/>
          <w:highlight w:val="none"/>
        </w:rPr>
        <w:t>西政府采购云平台开标大厅提交</w:t>
      </w:r>
      <w:r>
        <w:rPr>
          <w:rFonts w:ascii="宋体" w:hAnsi="宋体" w:eastAsia="宋体" w:cs="宋体"/>
          <w:color w:val="auto"/>
          <w:spacing w:val="5"/>
          <w:sz w:val="20"/>
          <w:szCs w:val="20"/>
          <w:highlight w:val="none"/>
        </w:rPr>
        <w:t>最后报价。</w:t>
      </w:r>
    </w:p>
    <w:p w14:paraId="05BA744E">
      <w:pPr>
        <w:spacing w:line="226"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5.3</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最后报价是供应商响应文件的有效组</w:t>
      </w:r>
      <w:r>
        <w:rPr>
          <w:rFonts w:ascii="宋体" w:hAnsi="宋体" w:eastAsia="宋体" w:cs="宋体"/>
          <w:color w:val="auto"/>
          <w:spacing w:val="7"/>
          <w:sz w:val="20"/>
          <w:szCs w:val="20"/>
          <w:highlight w:val="none"/>
        </w:rPr>
        <w:t>成部分。</w:t>
      </w:r>
    </w:p>
    <w:p w14:paraId="6392A871">
      <w:pPr>
        <w:spacing w:before="162" w:line="377" w:lineRule="auto"/>
        <w:ind w:left="18" w:right="42" w:firstLine="407"/>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5.4</w:t>
      </w:r>
      <w:r>
        <w:rPr>
          <w:rFonts w:ascii="宋体" w:hAnsi="宋体" w:eastAsia="宋体" w:cs="宋体"/>
          <w:color w:val="auto"/>
          <w:spacing w:val="-13"/>
          <w:sz w:val="20"/>
          <w:szCs w:val="20"/>
          <w:highlight w:val="none"/>
        </w:rPr>
        <w:t xml:space="preserve"> </w:t>
      </w:r>
      <w:r>
        <w:rPr>
          <w:rFonts w:ascii="宋体" w:hAnsi="宋体" w:eastAsia="宋体" w:cs="宋体"/>
          <w:color w:val="auto"/>
          <w:spacing w:val="13"/>
          <w:sz w:val="20"/>
          <w:szCs w:val="20"/>
          <w:highlight w:val="none"/>
        </w:rPr>
        <w:t>已经提交响应文件的供应商，在提交最后报价之前，可以</w:t>
      </w:r>
      <w:r>
        <w:rPr>
          <w:rFonts w:ascii="宋体" w:hAnsi="宋体" w:eastAsia="宋体" w:cs="宋体"/>
          <w:color w:val="auto"/>
          <w:spacing w:val="12"/>
          <w:sz w:val="20"/>
          <w:szCs w:val="20"/>
          <w:highlight w:val="none"/>
        </w:rPr>
        <w:t>根据谈判情况退出谈判，退出谈判的供应商的响应文件按无效响应处理。采购人、采购代理机构将退还退出谈判的供应商</w:t>
      </w:r>
      <w:r>
        <w:rPr>
          <w:rFonts w:ascii="宋体" w:hAnsi="宋体" w:eastAsia="宋体" w:cs="宋体"/>
          <w:color w:val="auto"/>
          <w:spacing w:val="2"/>
          <w:sz w:val="20"/>
          <w:szCs w:val="20"/>
          <w:highlight w:val="none"/>
        </w:rPr>
        <w:t>的保证金。</w:t>
      </w:r>
    </w:p>
    <w:p w14:paraId="6BD8E7EC">
      <w:pPr>
        <w:spacing w:line="226" w:lineRule="auto"/>
        <w:ind w:left="428"/>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5.5</w:t>
      </w:r>
      <w:r>
        <w:rPr>
          <w:rFonts w:ascii="宋体" w:hAnsi="宋体" w:eastAsia="宋体" w:cs="宋体"/>
          <w:color w:val="auto"/>
          <w:spacing w:val="-41"/>
          <w:sz w:val="20"/>
          <w:szCs w:val="20"/>
          <w:highlight w:val="none"/>
        </w:rPr>
        <w:t xml:space="preserve"> </w:t>
      </w:r>
      <w:r>
        <w:rPr>
          <w:rFonts w:ascii="宋体" w:hAnsi="宋体" w:eastAsia="宋体" w:cs="宋体"/>
          <w:b/>
          <w:bCs/>
          <w:color w:val="auto"/>
          <w:spacing w:val="8"/>
          <w:sz w:val="20"/>
          <w:szCs w:val="20"/>
          <w:highlight w:val="none"/>
        </w:rPr>
        <w:t>供应商未在规定时间内提交最后报价</w:t>
      </w:r>
      <w:r>
        <w:rPr>
          <w:rFonts w:ascii="宋体" w:hAnsi="宋体" w:eastAsia="宋体" w:cs="宋体"/>
          <w:b/>
          <w:bCs/>
          <w:color w:val="auto"/>
          <w:spacing w:val="7"/>
          <w:sz w:val="20"/>
          <w:szCs w:val="20"/>
          <w:highlight w:val="none"/>
        </w:rPr>
        <w:t>的，视为退出谈判，其响应文件按无效处理。</w:t>
      </w:r>
    </w:p>
    <w:p w14:paraId="7FA88E72">
      <w:pPr>
        <w:spacing w:before="165" w:line="226"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5.6</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最后报价统一开启后，谈判小组对最后报价进行有效性、完</w:t>
      </w:r>
      <w:r>
        <w:rPr>
          <w:rFonts w:ascii="宋体" w:hAnsi="宋体" w:eastAsia="宋体" w:cs="宋体"/>
          <w:color w:val="auto"/>
          <w:spacing w:val="8"/>
          <w:sz w:val="20"/>
          <w:szCs w:val="20"/>
          <w:highlight w:val="none"/>
        </w:rPr>
        <w:t>整性和响应程度的审查。</w:t>
      </w:r>
    </w:p>
    <w:p w14:paraId="20E580E5">
      <w:pPr>
        <w:spacing w:before="164" w:line="226"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5.7</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最后报价出现前后不一致的，按照本章第</w:t>
      </w:r>
      <w:r>
        <w:rPr>
          <w:rFonts w:ascii="宋体" w:hAnsi="宋体" w:eastAsia="宋体" w:cs="宋体"/>
          <w:color w:val="auto"/>
          <w:spacing w:val="-32"/>
          <w:sz w:val="20"/>
          <w:szCs w:val="20"/>
          <w:highlight w:val="none"/>
        </w:rPr>
        <w:t xml:space="preserve"> </w:t>
      </w:r>
      <w:r>
        <w:rPr>
          <w:rFonts w:ascii="宋体" w:hAnsi="宋体" w:eastAsia="宋体" w:cs="宋体"/>
          <w:color w:val="auto"/>
          <w:spacing w:val="7"/>
          <w:sz w:val="20"/>
          <w:szCs w:val="20"/>
          <w:highlight w:val="none"/>
        </w:rPr>
        <w:t>3.4</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条的规定修正。</w:t>
      </w:r>
    </w:p>
    <w:p w14:paraId="0C1DDE5D">
      <w:pPr>
        <w:spacing w:before="163" w:line="226" w:lineRule="auto"/>
        <w:ind w:left="428"/>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5.8</w:t>
      </w:r>
      <w:r>
        <w:rPr>
          <w:rFonts w:ascii="宋体" w:hAnsi="宋体" w:eastAsia="宋体" w:cs="宋体"/>
          <w:color w:val="auto"/>
          <w:spacing w:val="-40"/>
          <w:sz w:val="20"/>
          <w:szCs w:val="20"/>
          <w:highlight w:val="none"/>
        </w:rPr>
        <w:t xml:space="preserve"> </w:t>
      </w:r>
      <w:r>
        <w:rPr>
          <w:rFonts w:ascii="宋体" w:hAnsi="宋体" w:eastAsia="宋体" w:cs="宋体"/>
          <w:b/>
          <w:bCs/>
          <w:color w:val="auto"/>
          <w:spacing w:val="7"/>
          <w:sz w:val="20"/>
          <w:szCs w:val="20"/>
          <w:highlight w:val="none"/>
        </w:rPr>
        <w:t>修正后的报价出现下列情形的，按无</w:t>
      </w:r>
      <w:r>
        <w:rPr>
          <w:rFonts w:ascii="宋体" w:hAnsi="宋体" w:eastAsia="宋体" w:cs="宋体"/>
          <w:b/>
          <w:bCs/>
          <w:color w:val="auto"/>
          <w:spacing w:val="6"/>
          <w:sz w:val="20"/>
          <w:szCs w:val="20"/>
          <w:highlight w:val="none"/>
        </w:rPr>
        <w:t>效响应处理：</w:t>
      </w:r>
    </w:p>
    <w:p w14:paraId="2C3E5825">
      <w:pPr>
        <w:spacing w:before="163" w:line="227" w:lineRule="auto"/>
        <w:ind w:left="4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（1）供应商不确认的（全流程电子化评标采取在线</w:t>
      </w:r>
      <w:r>
        <w:rPr>
          <w:rFonts w:ascii="宋体" w:hAnsi="宋体" w:eastAsia="宋体" w:cs="宋体"/>
          <w:color w:val="auto"/>
          <w:spacing w:val="8"/>
          <w:sz w:val="20"/>
          <w:szCs w:val="20"/>
          <w:highlight w:val="none"/>
        </w:rPr>
        <w:t>确认</w:t>
      </w:r>
      <w:r>
        <w:rPr>
          <w:rFonts w:ascii="宋体" w:hAnsi="宋体" w:eastAsia="宋体" w:cs="宋体"/>
          <w:color w:val="auto"/>
          <w:sz w:val="20"/>
          <w:szCs w:val="20"/>
          <w:highlight w:val="none"/>
        </w:rPr>
        <w:t>）；</w:t>
      </w:r>
    </w:p>
    <w:p w14:paraId="4A578774">
      <w:pPr>
        <w:spacing w:before="163" w:line="377" w:lineRule="auto"/>
        <w:ind w:right="45" w:firstLine="431"/>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（2）经供应商确认修正后的竞标报价（包含首次报价、最</w:t>
      </w:r>
      <w:r>
        <w:rPr>
          <w:rFonts w:ascii="宋体" w:hAnsi="宋体" w:eastAsia="宋体" w:cs="宋体"/>
          <w:color w:val="auto"/>
          <w:spacing w:val="9"/>
          <w:sz w:val="20"/>
          <w:szCs w:val="20"/>
          <w:highlight w:val="none"/>
        </w:rPr>
        <w:t>后报价）超过所竞分标规定的采</w:t>
      </w:r>
      <w:r>
        <w:rPr>
          <w:rFonts w:ascii="宋体" w:hAnsi="宋体" w:eastAsia="宋体" w:cs="宋体"/>
          <w:color w:val="auto"/>
          <w:spacing w:val="8"/>
          <w:sz w:val="20"/>
          <w:szCs w:val="20"/>
          <w:highlight w:val="none"/>
        </w:rPr>
        <w:t>购预算金额或者单价最高限价的；</w:t>
      </w:r>
    </w:p>
    <w:p w14:paraId="73AEB316">
      <w:pPr>
        <w:spacing w:before="1" w:line="226"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5.9</w:t>
      </w:r>
      <w:r>
        <w:rPr>
          <w:rFonts w:ascii="宋体" w:hAnsi="宋体" w:eastAsia="宋体" w:cs="宋体"/>
          <w:color w:val="auto"/>
          <w:spacing w:val="-29"/>
          <w:sz w:val="20"/>
          <w:szCs w:val="20"/>
          <w:highlight w:val="none"/>
        </w:rPr>
        <w:t xml:space="preserve"> </w:t>
      </w:r>
      <w:r>
        <w:rPr>
          <w:rFonts w:ascii="宋体" w:hAnsi="宋体" w:eastAsia="宋体" w:cs="宋体"/>
          <w:color w:val="auto"/>
          <w:spacing w:val="8"/>
          <w:sz w:val="20"/>
          <w:szCs w:val="20"/>
          <w:highlight w:val="none"/>
        </w:rPr>
        <w:t>经供应商确认修正后的最后报价作为评审及签订合同的依据。</w:t>
      </w:r>
    </w:p>
    <w:p w14:paraId="64D86ACF">
      <w:pPr>
        <w:spacing w:before="41" w:line="227" w:lineRule="auto"/>
        <w:ind w:left="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5.10</w:t>
      </w:r>
      <w:r>
        <w:rPr>
          <w:rFonts w:ascii="宋体" w:hAnsi="宋体" w:eastAsia="宋体" w:cs="宋体"/>
          <w:color w:val="auto"/>
          <w:spacing w:val="-41"/>
          <w:sz w:val="20"/>
          <w:szCs w:val="20"/>
          <w:highlight w:val="none"/>
        </w:rPr>
        <w:t xml:space="preserve"> </w:t>
      </w:r>
      <w:r>
        <w:rPr>
          <w:rFonts w:ascii="宋体" w:hAnsi="宋体" w:eastAsia="宋体" w:cs="宋体"/>
          <w:color w:val="auto"/>
          <w:spacing w:val="11"/>
          <w:sz w:val="20"/>
          <w:szCs w:val="20"/>
          <w:highlight w:val="none"/>
        </w:rPr>
        <w:t>供应商出现最后报价按无效响应处理或者响</w:t>
      </w:r>
      <w:r>
        <w:rPr>
          <w:rFonts w:ascii="宋体" w:hAnsi="宋体" w:eastAsia="宋体" w:cs="宋体"/>
          <w:color w:val="auto"/>
          <w:spacing w:val="10"/>
          <w:sz w:val="20"/>
          <w:szCs w:val="20"/>
          <w:highlight w:val="none"/>
        </w:rPr>
        <w:t>应文件按无效处理时，谈判小组应当告知</w:t>
      </w:r>
      <w:r>
        <w:rPr>
          <w:rFonts w:ascii="宋体" w:hAnsi="宋体" w:eastAsia="宋体" w:cs="宋体"/>
          <w:color w:val="auto"/>
          <w:spacing w:val="6"/>
          <w:sz w:val="20"/>
          <w:szCs w:val="20"/>
          <w:highlight w:val="none"/>
        </w:rPr>
        <w:t>有关供应商。</w:t>
      </w:r>
    </w:p>
    <w:p w14:paraId="2943A902">
      <w:pPr>
        <w:spacing w:before="162" w:line="226" w:lineRule="auto"/>
        <w:ind w:left="42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5.11最后报价结束后，谈判小组不得再与供应商进行任何形式的商谈。</w:t>
      </w:r>
    </w:p>
    <w:p w14:paraId="25C4AD9E">
      <w:pPr>
        <w:spacing w:before="166" w:line="222" w:lineRule="auto"/>
        <w:ind w:left="473"/>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6.</w:t>
      </w:r>
      <w:r>
        <w:rPr>
          <w:rFonts w:ascii="黑体" w:hAnsi="黑体" w:eastAsia="黑体" w:cs="黑体"/>
          <w:color w:val="auto"/>
          <w:spacing w:val="-3"/>
          <w:sz w:val="24"/>
          <w:szCs w:val="24"/>
          <w:highlight w:val="none"/>
        </w:rPr>
        <w:t xml:space="preserve"> </w:t>
      </w:r>
      <w:r>
        <w:rPr>
          <w:rFonts w:ascii="黑体" w:hAnsi="黑体" w:eastAsia="黑体" w:cs="黑体"/>
          <w:b/>
          <w:bCs/>
          <w:color w:val="auto"/>
          <w:spacing w:val="-3"/>
          <w:sz w:val="24"/>
          <w:szCs w:val="24"/>
          <w:highlight w:val="none"/>
        </w:rPr>
        <w:t>最后报价政府采购政策性扣除</w:t>
      </w:r>
    </w:p>
    <w:p w14:paraId="7D3EDDAF">
      <w:pPr>
        <w:spacing w:before="172" w:line="378" w:lineRule="auto"/>
        <w:ind w:left="3" w:right="34" w:firstLine="419"/>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6.1</w:t>
      </w:r>
      <w:r>
        <w:rPr>
          <w:rFonts w:ascii="宋体" w:hAnsi="宋体" w:eastAsia="宋体" w:cs="宋体"/>
          <w:color w:val="auto"/>
          <w:spacing w:val="-36"/>
          <w:sz w:val="20"/>
          <w:szCs w:val="20"/>
          <w:highlight w:val="none"/>
        </w:rPr>
        <w:t xml:space="preserve"> </w:t>
      </w:r>
      <w:r>
        <w:rPr>
          <w:rFonts w:ascii="宋体" w:hAnsi="宋体" w:eastAsia="宋体" w:cs="宋体"/>
          <w:color w:val="auto"/>
          <w:spacing w:val="13"/>
          <w:sz w:val="20"/>
          <w:szCs w:val="20"/>
          <w:highlight w:val="none"/>
        </w:rPr>
        <w:t>评审价为供应商的最后报价进行政策</w:t>
      </w:r>
      <w:r>
        <w:rPr>
          <w:rFonts w:ascii="宋体" w:hAnsi="宋体" w:eastAsia="宋体" w:cs="宋体"/>
          <w:color w:val="auto"/>
          <w:spacing w:val="12"/>
          <w:sz w:val="20"/>
          <w:szCs w:val="20"/>
          <w:highlight w:val="none"/>
        </w:rPr>
        <w:t>性扣除后的价格，评审价只是作为评审时使用。</w:t>
      </w:r>
      <w:r>
        <w:rPr>
          <w:rFonts w:ascii="宋体" w:hAnsi="宋体" w:eastAsia="宋体" w:cs="宋体"/>
          <w:color w:val="auto"/>
          <w:spacing w:val="8"/>
          <w:sz w:val="20"/>
          <w:szCs w:val="20"/>
          <w:highlight w:val="none"/>
        </w:rPr>
        <w:t>最终成交供应商的成交金额等于最后报价（如有修正，</w:t>
      </w:r>
      <w:r>
        <w:rPr>
          <w:rFonts w:ascii="宋体" w:hAnsi="宋体" w:eastAsia="宋体" w:cs="宋体"/>
          <w:color w:val="auto"/>
          <w:spacing w:val="-55"/>
          <w:sz w:val="20"/>
          <w:szCs w:val="20"/>
          <w:highlight w:val="none"/>
        </w:rPr>
        <w:t xml:space="preserve"> </w:t>
      </w:r>
      <w:r>
        <w:rPr>
          <w:rFonts w:ascii="宋体" w:hAnsi="宋体" w:eastAsia="宋体" w:cs="宋体"/>
          <w:color w:val="auto"/>
          <w:spacing w:val="8"/>
          <w:sz w:val="20"/>
          <w:szCs w:val="20"/>
          <w:highlight w:val="none"/>
        </w:rPr>
        <w:t>以确认修正后的最后报价为准）。</w:t>
      </w:r>
    </w:p>
    <w:p w14:paraId="33E05CC7">
      <w:pPr>
        <w:spacing w:line="226" w:lineRule="auto"/>
        <w:ind w:left="42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6.2</w:t>
      </w:r>
      <w:r>
        <w:rPr>
          <w:rFonts w:ascii="宋体" w:hAnsi="宋体" w:eastAsia="宋体" w:cs="宋体"/>
          <w:color w:val="auto"/>
          <w:spacing w:val="-32"/>
          <w:sz w:val="20"/>
          <w:szCs w:val="20"/>
          <w:highlight w:val="none"/>
        </w:rPr>
        <w:t xml:space="preserve"> </w:t>
      </w:r>
      <w:r>
        <w:rPr>
          <w:rFonts w:ascii="宋体" w:hAnsi="宋体" w:eastAsia="宋体" w:cs="宋体"/>
          <w:color w:val="auto"/>
          <w:spacing w:val="6"/>
          <w:sz w:val="20"/>
          <w:szCs w:val="20"/>
          <w:highlight w:val="none"/>
        </w:rPr>
        <w:t>异常低价响应审查</w:t>
      </w:r>
    </w:p>
    <w:p w14:paraId="125F1B32">
      <w:pPr>
        <w:spacing w:before="164" w:line="377" w:lineRule="auto"/>
        <w:ind w:left="1" w:firstLine="420"/>
        <w:jc w:val="both"/>
        <w:rPr>
          <w:rFonts w:ascii="宋体" w:hAnsi="宋体" w:eastAsia="宋体" w:cs="宋体"/>
          <w:color w:val="auto"/>
          <w:sz w:val="20"/>
          <w:szCs w:val="20"/>
          <w:highlight w:val="none"/>
        </w:rPr>
      </w:pPr>
      <w:r>
        <w:rPr>
          <w:rFonts w:ascii="宋体" w:hAnsi="宋体" w:eastAsia="宋体" w:cs="宋体"/>
          <w:b/>
          <w:bCs/>
          <w:color w:val="auto"/>
          <w:spacing w:val="11"/>
          <w:sz w:val="20"/>
          <w:szCs w:val="20"/>
          <w:highlight w:val="none"/>
        </w:rPr>
        <w:t>谈判小组认为供应商的报价明显低于其他通过符合性审查供</w:t>
      </w:r>
      <w:r>
        <w:rPr>
          <w:rFonts w:ascii="宋体" w:hAnsi="宋体" w:eastAsia="宋体" w:cs="宋体"/>
          <w:b/>
          <w:bCs/>
          <w:color w:val="auto"/>
          <w:spacing w:val="10"/>
          <w:sz w:val="20"/>
          <w:szCs w:val="20"/>
          <w:highlight w:val="none"/>
        </w:rPr>
        <w:t>应商的报价，有可能影响产品</w:t>
      </w:r>
      <w:r>
        <w:rPr>
          <w:rFonts w:ascii="宋体" w:hAnsi="宋体" w:eastAsia="宋体" w:cs="宋体"/>
          <w:b/>
          <w:bCs/>
          <w:color w:val="auto"/>
          <w:spacing w:val="11"/>
          <w:sz w:val="20"/>
          <w:szCs w:val="20"/>
          <w:highlight w:val="none"/>
        </w:rPr>
        <w:t>质量或者不能诚信履约的，根据《北海市财政局关</w:t>
      </w:r>
      <w:r>
        <w:rPr>
          <w:rFonts w:ascii="宋体" w:hAnsi="宋体" w:eastAsia="宋体" w:cs="宋体"/>
          <w:b/>
          <w:bCs/>
          <w:color w:val="auto"/>
          <w:spacing w:val="10"/>
          <w:sz w:val="20"/>
          <w:szCs w:val="20"/>
          <w:highlight w:val="none"/>
        </w:rPr>
        <w:t>于开展推动解决政府采购异常低价问题试点</w:t>
      </w:r>
      <w:r>
        <w:rPr>
          <w:rFonts w:ascii="宋体" w:hAnsi="宋体" w:eastAsia="宋体" w:cs="宋体"/>
          <w:b/>
          <w:bCs/>
          <w:color w:val="auto"/>
          <w:spacing w:val="4"/>
          <w:sz w:val="20"/>
          <w:szCs w:val="20"/>
          <w:highlight w:val="none"/>
        </w:rPr>
        <w:t>工作的通知》（北财采〔2025〕25</w:t>
      </w:r>
      <w:r>
        <w:rPr>
          <w:rFonts w:ascii="宋体" w:hAnsi="宋体" w:eastAsia="宋体" w:cs="宋体"/>
          <w:color w:val="auto"/>
          <w:spacing w:val="-21"/>
          <w:sz w:val="20"/>
          <w:szCs w:val="20"/>
          <w:highlight w:val="none"/>
        </w:rPr>
        <w:t xml:space="preserve"> </w:t>
      </w:r>
      <w:r>
        <w:rPr>
          <w:rFonts w:ascii="宋体" w:hAnsi="宋体" w:eastAsia="宋体" w:cs="宋体"/>
          <w:b/>
          <w:bCs/>
          <w:color w:val="auto"/>
          <w:spacing w:val="4"/>
          <w:sz w:val="20"/>
          <w:szCs w:val="20"/>
          <w:highlight w:val="none"/>
        </w:rPr>
        <w:t>号）</w:t>
      </w:r>
      <w:r>
        <w:rPr>
          <w:rFonts w:ascii="宋体" w:hAnsi="宋体" w:eastAsia="宋体" w:cs="宋体"/>
          <w:color w:val="auto"/>
          <w:spacing w:val="-58"/>
          <w:sz w:val="20"/>
          <w:szCs w:val="20"/>
          <w:highlight w:val="none"/>
        </w:rPr>
        <w:t xml:space="preserve"> </w:t>
      </w:r>
      <w:r>
        <w:rPr>
          <w:rFonts w:ascii="宋体" w:hAnsi="宋体" w:eastAsia="宋体" w:cs="宋体"/>
          <w:b/>
          <w:bCs/>
          <w:color w:val="auto"/>
          <w:spacing w:val="4"/>
          <w:sz w:val="20"/>
          <w:szCs w:val="20"/>
          <w:highlight w:val="none"/>
        </w:rPr>
        <w:t>中规定执行：</w:t>
      </w:r>
    </w:p>
    <w:p w14:paraId="3EFF4439">
      <w:pPr>
        <w:spacing w:before="2" w:line="376" w:lineRule="auto"/>
        <w:ind w:left="3" w:firstLine="421"/>
        <w:rPr>
          <w:rFonts w:ascii="宋体" w:hAnsi="宋体" w:eastAsia="宋体" w:cs="宋体"/>
          <w:color w:val="auto"/>
          <w:sz w:val="20"/>
          <w:szCs w:val="20"/>
          <w:highlight w:val="none"/>
        </w:rPr>
      </w:pPr>
      <w:r>
        <w:rPr>
          <w:rFonts w:ascii="宋体" w:hAnsi="宋体" w:eastAsia="宋体" w:cs="宋体"/>
          <w:b/>
          <w:bCs/>
          <w:color w:val="auto"/>
          <w:spacing w:val="11"/>
          <w:sz w:val="20"/>
          <w:szCs w:val="20"/>
          <w:highlight w:val="none"/>
        </w:rPr>
        <w:t>6.2.1</w:t>
      </w:r>
      <w:r>
        <w:rPr>
          <w:rFonts w:ascii="宋体" w:hAnsi="宋体" w:eastAsia="宋体" w:cs="宋体"/>
          <w:color w:val="auto"/>
          <w:spacing w:val="-36"/>
          <w:sz w:val="20"/>
          <w:szCs w:val="20"/>
          <w:highlight w:val="none"/>
        </w:rPr>
        <w:t xml:space="preserve"> </w:t>
      </w:r>
      <w:r>
        <w:rPr>
          <w:rFonts w:ascii="宋体" w:hAnsi="宋体" w:eastAsia="宋体" w:cs="宋体"/>
          <w:b/>
          <w:bCs/>
          <w:color w:val="auto"/>
          <w:spacing w:val="11"/>
          <w:sz w:val="20"/>
          <w:szCs w:val="20"/>
          <w:highlight w:val="none"/>
        </w:rPr>
        <w:t>政府采购评审中出现下列情形之一的，谈判小组应当启动异常低价投</w:t>
      </w:r>
      <w:r>
        <w:rPr>
          <w:rFonts w:ascii="宋体" w:hAnsi="宋体" w:eastAsia="宋体" w:cs="宋体"/>
          <w:b/>
          <w:bCs/>
          <w:color w:val="auto"/>
          <w:spacing w:val="10"/>
          <w:sz w:val="20"/>
          <w:szCs w:val="20"/>
          <w:highlight w:val="none"/>
        </w:rPr>
        <w:t>标（响应）审</w:t>
      </w:r>
      <w:r>
        <w:rPr>
          <w:rFonts w:ascii="宋体" w:hAnsi="宋体" w:eastAsia="宋体" w:cs="宋体"/>
          <w:b/>
          <w:bCs/>
          <w:color w:val="auto"/>
          <w:spacing w:val="3"/>
          <w:sz w:val="20"/>
          <w:szCs w:val="20"/>
          <w:highlight w:val="none"/>
        </w:rPr>
        <w:t>查程序：</w:t>
      </w:r>
    </w:p>
    <w:p w14:paraId="4879D25C">
      <w:pPr>
        <w:spacing w:line="377" w:lineRule="auto"/>
        <w:ind w:left="3" w:firstLine="416"/>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①投标（响应）报价低于全部通过符合性审查供应商投标（响应）报价平均值</w:t>
      </w:r>
      <w:r>
        <w:rPr>
          <w:rFonts w:ascii="宋体" w:hAnsi="宋体" w:eastAsia="宋体" w:cs="宋体"/>
          <w:color w:val="auto"/>
          <w:spacing w:val="-20"/>
          <w:sz w:val="20"/>
          <w:szCs w:val="20"/>
          <w:highlight w:val="none"/>
        </w:rPr>
        <w:t xml:space="preserve"> </w:t>
      </w:r>
      <w:r>
        <w:rPr>
          <w:rFonts w:ascii="宋体" w:hAnsi="宋体" w:eastAsia="宋体" w:cs="宋体"/>
          <w:color w:val="auto"/>
          <w:spacing w:val="13"/>
          <w:sz w:val="20"/>
          <w:szCs w:val="20"/>
          <w:highlight w:val="none"/>
        </w:rPr>
        <w:t>50%的，即</w:t>
      </w:r>
      <w:r>
        <w:rPr>
          <w:rFonts w:ascii="宋体" w:hAnsi="宋体" w:eastAsia="宋体" w:cs="宋体"/>
          <w:color w:val="auto"/>
          <w:spacing w:val="9"/>
          <w:sz w:val="20"/>
          <w:szCs w:val="20"/>
          <w:highlight w:val="none"/>
        </w:rPr>
        <w:t>投标（响应）报价＜全部通过符合性审查供应商投标（响应）报价平均值×50%；</w:t>
      </w:r>
    </w:p>
    <w:p w14:paraId="07F924A2">
      <w:pPr>
        <w:spacing w:line="377" w:lineRule="auto"/>
        <w:ind w:left="3" w:firstLine="415"/>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②投标（响应）报价低于通过符合性审查且报价次低供应商投标（响应）报价</w:t>
      </w:r>
      <w:r>
        <w:rPr>
          <w:rFonts w:ascii="宋体" w:hAnsi="宋体" w:eastAsia="宋体" w:cs="宋体"/>
          <w:color w:val="auto"/>
          <w:spacing w:val="-19"/>
          <w:sz w:val="20"/>
          <w:szCs w:val="20"/>
          <w:highlight w:val="none"/>
        </w:rPr>
        <w:t xml:space="preserve"> </w:t>
      </w:r>
      <w:r>
        <w:rPr>
          <w:rFonts w:ascii="宋体" w:hAnsi="宋体" w:eastAsia="宋体" w:cs="宋体"/>
          <w:color w:val="auto"/>
          <w:spacing w:val="13"/>
          <w:sz w:val="20"/>
          <w:szCs w:val="20"/>
          <w:highlight w:val="none"/>
        </w:rPr>
        <w:t>50%的，即</w:t>
      </w:r>
      <w:r>
        <w:rPr>
          <w:rFonts w:ascii="宋体" w:hAnsi="宋体" w:eastAsia="宋体" w:cs="宋体"/>
          <w:color w:val="auto"/>
          <w:spacing w:val="9"/>
          <w:sz w:val="20"/>
          <w:szCs w:val="20"/>
          <w:highlight w:val="none"/>
        </w:rPr>
        <w:t>投标（响应）报价＜通过符合性审查且报价</w:t>
      </w:r>
      <w:r>
        <w:rPr>
          <w:rFonts w:ascii="宋体" w:hAnsi="宋体" w:eastAsia="宋体" w:cs="宋体"/>
          <w:b/>
          <w:bCs/>
          <w:color w:val="auto"/>
          <w:spacing w:val="9"/>
          <w:sz w:val="20"/>
          <w:szCs w:val="20"/>
          <w:highlight w:val="none"/>
        </w:rPr>
        <w:t>次低</w:t>
      </w:r>
      <w:r>
        <w:rPr>
          <w:rFonts w:ascii="宋体" w:hAnsi="宋体" w:eastAsia="宋体" w:cs="宋体"/>
          <w:color w:val="auto"/>
          <w:spacing w:val="9"/>
          <w:sz w:val="20"/>
          <w:szCs w:val="20"/>
          <w:highlight w:val="none"/>
        </w:rPr>
        <w:t>供应商投标（响应）报价×50</w:t>
      </w:r>
      <w:r>
        <w:rPr>
          <w:rFonts w:ascii="宋体" w:hAnsi="宋体" w:eastAsia="宋体" w:cs="宋体"/>
          <w:color w:val="auto"/>
          <w:spacing w:val="8"/>
          <w:sz w:val="20"/>
          <w:szCs w:val="20"/>
          <w:highlight w:val="none"/>
        </w:rPr>
        <w:t>%；</w:t>
      </w:r>
    </w:p>
    <w:p w14:paraId="27894E45">
      <w:pPr>
        <w:spacing w:before="1" w:line="377" w:lineRule="auto"/>
        <w:ind w:left="15" w:right="2" w:firstLine="403"/>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③投标（响应）报价低于采购项目最高限价</w:t>
      </w:r>
      <w:r>
        <w:rPr>
          <w:rFonts w:ascii="宋体" w:hAnsi="宋体" w:eastAsia="宋体" w:cs="宋体"/>
          <w:color w:val="auto"/>
          <w:spacing w:val="-21"/>
          <w:sz w:val="20"/>
          <w:szCs w:val="20"/>
          <w:highlight w:val="none"/>
        </w:rPr>
        <w:t xml:space="preserve"> </w:t>
      </w:r>
      <w:r>
        <w:rPr>
          <w:rFonts w:ascii="宋体" w:hAnsi="宋体" w:eastAsia="宋体" w:cs="宋体"/>
          <w:color w:val="auto"/>
          <w:spacing w:val="13"/>
          <w:sz w:val="20"/>
          <w:szCs w:val="20"/>
          <w:highlight w:val="none"/>
        </w:rPr>
        <w:t>45%的，即投标（响应）报价＜采购项目最高</w:t>
      </w:r>
      <w:r>
        <w:rPr>
          <w:rFonts w:ascii="宋体" w:hAnsi="宋体" w:eastAsia="宋体" w:cs="宋体"/>
          <w:color w:val="auto"/>
          <w:spacing w:val="3"/>
          <w:sz w:val="20"/>
          <w:szCs w:val="20"/>
          <w:highlight w:val="none"/>
        </w:rPr>
        <w:t>限价×45%；</w:t>
      </w:r>
    </w:p>
    <w:p w14:paraId="5B0131F0">
      <w:pPr>
        <w:spacing w:before="1" w:line="225" w:lineRule="auto"/>
        <w:ind w:left="4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④其他谈判小组认为供应商报价过低，有可能影响产品质量或者不能诚信履约的情形。</w:t>
      </w:r>
    </w:p>
    <w:p w14:paraId="62BF0CCB">
      <w:pPr>
        <w:spacing w:before="163" w:line="377" w:lineRule="auto"/>
        <w:ind w:right="2" w:firstLine="421"/>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6.2.2</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审查工作流程。谈判小组严格按照评审现场说明、综</w:t>
      </w:r>
      <w:r>
        <w:rPr>
          <w:rFonts w:ascii="宋体" w:hAnsi="宋体" w:eastAsia="宋体" w:cs="宋体"/>
          <w:color w:val="auto"/>
          <w:spacing w:val="12"/>
          <w:sz w:val="20"/>
          <w:szCs w:val="20"/>
          <w:highlight w:val="none"/>
        </w:rPr>
        <w:t>合评估研判和出具处理结果三</w:t>
      </w:r>
      <w:r>
        <w:rPr>
          <w:rFonts w:ascii="宋体" w:hAnsi="宋体" w:eastAsia="宋体" w:cs="宋体"/>
          <w:color w:val="auto"/>
          <w:spacing w:val="8"/>
          <w:sz w:val="20"/>
          <w:szCs w:val="20"/>
          <w:highlight w:val="none"/>
        </w:rPr>
        <w:t>个步骤开展审查流程。</w:t>
      </w:r>
    </w:p>
    <w:p w14:paraId="1AE346E1">
      <w:pPr>
        <w:spacing w:before="1" w:line="377" w:lineRule="auto"/>
        <w:ind w:left="11" w:firstLine="408"/>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①评审现场说明。谈判小组启动异常低价投标（响应）审查后，应当要求</w:t>
      </w:r>
      <w:r>
        <w:rPr>
          <w:rFonts w:ascii="宋体" w:hAnsi="宋体" w:eastAsia="宋体" w:cs="宋体"/>
          <w:color w:val="auto"/>
          <w:spacing w:val="12"/>
          <w:sz w:val="20"/>
          <w:szCs w:val="20"/>
          <w:highlight w:val="none"/>
        </w:rPr>
        <w:t>相关供应商在评审现场合理的时间内提供书面说明及必要的证明材料，对投标（响应）价格作出解释。书面说</w:t>
      </w:r>
      <w:r>
        <w:rPr>
          <w:rFonts w:ascii="宋体" w:hAnsi="宋体" w:eastAsia="宋体" w:cs="宋体"/>
          <w:color w:val="auto"/>
          <w:spacing w:val="9"/>
          <w:sz w:val="20"/>
          <w:szCs w:val="20"/>
          <w:highlight w:val="none"/>
        </w:rPr>
        <w:t>明、证明材料主要是项目具体成本测算等与报价合理性相关的说明、材料。</w:t>
      </w:r>
    </w:p>
    <w:p w14:paraId="1BEB9FD0">
      <w:pPr>
        <w:spacing w:before="2" w:line="376" w:lineRule="auto"/>
        <w:ind w:firstLine="419"/>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②综合评估研判。谈判小组应当结合同类产品在主要电商平台的价格、该行</w:t>
      </w:r>
      <w:r>
        <w:rPr>
          <w:rFonts w:ascii="宋体" w:hAnsi="宋体" w:eastAsia="宋体" w:cs="宋体"/>
          <w:color w:val="auto"/>
          <w:spacing w:val="12"/>
          <w:sz w:val="20"/>
          <w:szCs w:val="20"/>
          <w:highlight w:val="none"/>
        </w:rPr>
        <w:t>业当地薪资水</w:t>
      </w:r>
      <w:r>
        <w:rPr>
          <w:rFonts w:ascii="宋体" w:hAnsi="宋体" w:eastAsia="宋体" w:cs="宋体"/>
          <w:color w:val="auto"/>
          <w:spacing w:val="13"/>
          <w:sz w:val="20"/>
          <w:szCs w:val="20"/>
          <w:highlight w:val="none"/>
        </w:rPr>
        <w:t>平等情况，依据专业经验对报价合理性进行判断。对异常低价存</w:t>
      </w:r>
      <w:r>
        <w:rPr>
          <w:rFonts w:ascii="宋体" w:hAnsi="宋体" w:eastAsia="宋体" w:cs="宋体"/>
          <w:color w:val="auto"/>
          <w:spacing w:val="12"/>
          <w:sz w:val="20"/>
          <w:szCs w:val="20"/>
          <w:highlight w:val="none"/>
        </w:rPr>
        <w:t>在争议的，应当按照少数服从</w:t>
      </w:r>
      <w:r>
        <w:rPr>
          <w:rFonts w:ascii="宋体" w:hAnsi="宋体" w:eastAsia="宋体" w:cs="宋体"/>
          <w:color w:val="auto"/>
          <w:spacing w:val="8"/>
          <w:sz w:val="20"/>
          <w:szCs w:val="20"/>
          <w:highlight w:val="none"/>
        </w:rPr>
        <w:t>多数的原则作出结论。</w:t>
      </w:r>
    </w:p>
    <w:p w14:paraId="06C2C12F">
      <w:pPr>
        <w:spacing w:before="2" w:line="377" w:lineRule="auto"/>
        <w:ind w:left="2" w:firstLine="416"/>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③出具处理结果。如果投标（响应）供应商不提供书面说明、证明材料，或</w:t>
      </w:r>
      <w:r>
        <w:rPr>
          <w:rFonts w:ascii="宋体" w:hAnsi="宋体" w:eastAsia="宋体" w:cs="宋体"/>
          <w:color w:val="auto"/>
          <w:spacing w:val="12"/>
          <w:sz w:val="20"/>
          <w:szCs w:val="20"/>
          <w:highlight w:val="none"/>
        </w:rPr>
        <w:t>者提供的书面说明、证明材料不能证明其报价合理性的，</w:t>
      </w:r>
      <w:r>
        <w:rPr>
          <w:rFonts w:ascii="宋体" w:hAnsi="宋体" w:eastAsia="宋体" w:cs="宋体"/>
          <w:b/>
          <w:bCs/>
          <w:color w:val="auto"/>
          <w:spacing w:val="12"/>
          <w:sz w:val="20"/>
          <w:szCs w:val="20"/>
          <w:highlight w:val="none"/>
        </w:rPr>
        <w:t>应当将其作为无效投标（响应）</w:t>
      </w:r>
      <w:r>
        <w:rPr>
          <w:rFonts w:ascii="宋体" w:hAnsi="宋体" w:eastAsia="宋体" w:cs="宋体"/>
          <w:b/>
          <w:bCs/>
          <w:color w:val="auto"/>
          <w:spacing w:val="11"/>
          <w:sz w:val="20"/>
          <w:szCs w:val="20"/>
          <w:highlight w:val="none"/>
        </w:rPr>
        <w:t>处理</w:t>
      </w:r>
      <w:r>
        <w:rPr>
          <w:rFonts w:ascii="宋体" w:hAnsi="宋体" w:eastAsia="宋体" w:cs="宋体"/>
          <w:color w:val="auto"/>
          <w:spacing w:val="11"/>
          <w:sz w:val="20"/>
          <w:szCs w:val="20"/>
          <w:highlight w:val="none"/>
        </w:rPr>
        <w:t>。审查相关情</w:t>
      </w:r>
      <w:r>
        <w:rPr>
          <w:rFonts w:ascii="宋体" w:hAnsi="宋体" w:eastAsia="宋体" w:cs="宋体"/>
          <w:color w:val="auto"/>
          <w:spacing w:val="8"/>
          <w:sz w:val="20"/>
          <w:szCs w:val="20"/>
          <w:highlight w:val="none"/>
        </w:rPr>
        <w:t>况应当在评审报告中记录。</w:t>
      </w:r>
    </w:p>
    <w:p w14:paraId="6B6C91DA">
      <w:pPr>
        <w:spacing w:line="227" w:lineRule="auto"/>
        <w:ind w:left="421"/>
        <w:rPr>
          <w:rFonts w:ascii="宋体" w:hAnsi="宋体" w:eastAsia="宋体" w:cs="宋体"/>
          <w:color w:val="auto"/>
          <w:sz w:val="20"/>
          <w:szCs w:val="20"/>
          <w:highlight w:val="none"/>
        </w:rPr>
      </w:pPr>
      <w:r>
        <w:rPr>
          <w:rFonts w:ascii="Times New Roman" w:hAnsi="Times New Roman" w:eastAsia="Times New Roman" w:cs="Times New Roman"/>
          <w:color w:val="auto"/>
          <w:spacing w:val="6"/>
          <w:sz w:val="20"/>
          <w:szCs w:val="20"/>
          <w:highlight w:val="none"/>
        </w:rPr>
        <w:t>6.3</w:t>
      </w:r>
      <w:r>
        <w:rPr>
          <w:rFonts w:ascii="Times New Roman" w:hAnsi="Times New Roman" w:eastAsia="Times New Roman" w:cs="Times New Roman"/>
          <w:color w:val="auto"/>
          <w:spacing w:val="37"/>
          <w:sz w:val="20"/>
          <w:szCs w:val="20"/>
          <w:highlight w:val="none"/>
        </w:rPr>
        <w:t xml:space="preserve"> </w:t>
      </w:r>
      <w:r>
        <w:rPr>
          <w:rFonts w:ascii="宋体" w:hAnsi="宋体" w:eastAsia="宋体" w:cs="宋体"/>
          <w:color w:val="auto"/>
          <w:spacing w:val="6"/>
          <w:sz w:val="20"/>
          <w:szCs w:val="20"/>
          <w:highlight w:val="none"/>
        </w:rPr>
        <w:t>中小企业政策性扣除计算方法</w:t>
      </w:r>
    </w:p>
    <w:p w14:paraId="220BA15E">
      <w:pPr>
        <w:spacing w:before="162" w:line="377" w:lineRule="auto"/>
        <w:ind w:firstLine="369"/>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根据《政府采购促进中小企业发展管理办法》</w:t>
      </w:r>
      <w:r>
        <w:rPr>
          <w:rFonts w:ascii="宋体" w:hAnsi="宋体" w:eastAsia="宋体" w:cs="宋体"/>
          <w:color w:val="auto"/>
          <w:spacing w:val="-79"/>
          <w:sz w:val="20"/>
          <w:szCs w:val="20"/>
          <w:highlight w:val="none"/>
        </w:rPr>
        <w:t xml:space="preserve"> </w:t>
      </w:r>
      <w:r>
        <w:rPr>
          <w:rFonts w:ascii="宋体" w:hAnsi="宋体" w:eastAsia="宋体" w:cs="宋体"/>
          <w:color w:val="auto"/>
          <w:spacing w:val="11"/>
          <w:sz w:val="20"/>
          <w:szCs w:val="20"/>
          <w:highlight w:val="none"/>
        </w:rPr>
        <w:t>（财库〔2020〕46</w:t>
      </w:r>
      <w:r>
        <w:rPr>
          <w:rFonts w:ascii="宋体" w:hAnsi="宋体" w:eastAsia="宋体" w:cs="宋体"/>
          <w:color w:val="auto"/>
          <w:spacing w:val="-33"/>
          <w:sz w:val="20"/>
          <w:szCs w:val="20"/>
          <w:highlight w:val="none"/>
        </w:rPr>
        <w:t xml:space="preserve"> </w:t>
      </w:r>
      <w:r>
        <w:rPr>
          <w:rFonts w:ascii="宋体" w:hAnsi="宋体" w:eastAsia="宋体" w:cs="宋体"/>
          <w:color w:val="auto"/>
          <w:spacing w:val="11"/>
          <w:sz w:val="20"/>
          <w:szCs w:val="20"/>
          <w:highlight w:val="none"/>
        </w:rPr>
        <w:t>号）及《广西壮族自治区</w:t>
      </w:r>
      <w:r>
        <w:rPr>
          <w:rFonts w:ascii="宋体" w:hAnsi="宋体" w:eastAsia="宋体" w:cs="宋体"/>
          <w:color w:val="auto"/>
          <w:spacing w:val="10"/>
          <w:sz w:val="20"/>
          <w:szCs w:val="20"/>
          <w:highlight w:val="none"/>
        </w:rPr>
        <w:t>财政厅关于持续优化政府采购营商环境推动高质量发展的通知》（桂财采〔2024〕55</w:t>
      </w:r>
      <w:r>
        <w:rPr>
          <w:rFonts w:ascii="宋体" w:hAnsi="宋体" w:eastAsia="宋体" w:cs="宋体"/>
          <w:color w:val="auto"/>
          <w:spacing w:val="-21"/>
          <w:sz w:val="20"/>
          <w:szCs w:val="20"/>
          <w:highlight w:val="none"/>
        </w:rPr>
        <w:t xml:space="preserve"> </w:t>
      </w:r>
      <w:r>
        <w:rPr>
          <w:rFonts w:ascii="宋体" w:hAnsi="宋体" w:eastAsia="宋体" w:cs="宋体"/>
          <w:color w:val="auto"/>
          <w:spacing w:val="10"/>
          <w:sz w:val="20"/>
          <w:szCs w:val="20"/>
          <w:highlight w:val="none"/>
        </w:rPr>
        <w:t>号）的规</w:t>
      </w:r>
      <w:r>
        <w:rPr>
          <w:rFonts w:ascii="宋体" w:hAnsi="宋体" w:eastAsia="宋体" w:cs="宋体"/>
          <w:color w:val="auto"/>
          <w:spacing w:val="12"/>
          <w:sz w:val="20"/>
          <w:szCs w:val="20"/>
          <w:highlight w:val="none"/>
        </w:rPr>
        <w:t>定，供应商在其响应文件中提供《中小企业声明函》</w:t>
      </w:r>
      <w:r>
        <w:rPr>
          <w:rFonts w:ascii="宋体" w:hAnsi="宋体" w:eastAsia="宋体" w:cs="宋体"/>
          <w:color w:val="auto"/>
          <w:spacing w:val="-59"/>
          <w:sz w:val="20"/>
          <w:szCs w:val="20"/>
          <w:highlight w:val="none"/>
        </w:rPr>
        <w:t xml:space="preserve"> </w:t>
      </w:r>
      <w:r>
        <w:rPr>
          <w:rFonts w:ascii="宋体" w:hAnsi="宋体" w:eastAsia="宋体" w:cs="宋体"/>
          <w:color w:val="auto"/>
          <w:spacing w:val="12"/>
          <w:sz w:val="20"/>
          <w:szCs w:val="20"/>
          <w:highlight w:val="none"/>
        </w:rPr>
        <w:t>，且响应</w:t>
      </w:r>
      <w:r>
        <w:rPr>
          <w:rFonts w:ascii="宋体" w:hAnsi="宋体" w:eastAsia="宋体" w:cs="宋体"/>
          <w:color w:val="auto"/>
          <w:spacing w:val="11"/>
          <w:sz w:val="20"/>
          <w:szCs w:val="20"/>
          <w:highlight w:val="none"/>
        </w:rPr>
        <w:t>货物全部由小微企业制造，对供</w:t>
      </w:r>
      <w:r>
        <w:rPr>
          <w:rFonts w:ascii="宋体" w:hAnsi="宋体" w:eastAsia="宋体" w:cs="宋体"/>
          <w:color w:val="auto"/>
          <w:spacing w:val="8"/>
          <w:sz w:val="20"/>
          <w:szCs w:val="20"/>
          <w:highlight w:val="none"/>
        </w:rPr>
        <w:t>应商的竞标报价给予</w:t>
      </w:r>
      <w:r>
        <w:rPr>
          <w:rFonts w:ascii="宋体" w:hAnsi="宋体" w:eastAsia="宋体" w:cs="宋体"/>
          <w:color w:val="auto"/>
          <w:spacing w:val="-36"/>
          <w:sz w:val="20"/>
          <w:szCs w:val="20"/>
          <w:highlight w:val="none"/>
        </w:rPr>
        <w:t xml:space="preserve"> </w:t>
      </w:r>
      <w:r>
        <w:rPr>
          <w:rFonts w:ascii="宋体" w:hAnsi="宋体" w:eastAsia="宋体" w:cs="宋体"/>
          <w:b/>
          <w:bCs/>
          <w:color w:val="auto"/>
          <w:spacing w:val="8"/>
          <w:sz w:val="20"/>
          <w:szCs w:val="20"/>
          <w:highlight w:val="none"/>
          <w:u w:val="single" w:color="auto"/>
        </w:rPr>
        <w:t>20%</w:t>
      </w:r>
      <w:r>
        <w:rPr>
          <w:rFonts w:ascii="宋体" w:hAnsi="宋体" w:eastAsia="宋体" w:cs="宋体"/>
          <w:color w:val="auto"/>
          <w:spacing w:val="8"/>
          <w:sz w:val="20"/>
          <w:szCs w:val="20"/>
          <w:highlight w:val="none"/>
        </w:rPr>
        <w:t>的扣除，即中小企业政策性折扣=竞标报价×</w:t>
      </w:r>
      <w:r>
        <w:rPr>
          <w:rFonts w:ascii="宋体" w:hAnsi="宋体" w:eastAsia="宋体" w:cs="宋体"/>
          <w:b/>
          <w:bCs/>
          <w:color w:val="auto"/>
          <w:spacing w:val="8"/>
          <w:sz w:val="20"/>
          <w:szCs w:val="20"/>
          <w:highlight w:val="none"/>
          <w:u w:val="single" w:color="auto"/>
        </w:rPr>
        <w:t>2</w:t>
      </w:r>
      <w:r>
        <w:rPr>
          <w:rFonts w:ascii="宋体" w:hAnsi="宋体" w:eastAsia="宋体" w:cs="宋体"/>
          <w:b/>
          <w:bCs/>
          <w:color w:val="auto"/>
          <w:spacing w:val="7"/>
          <w:sz w:val="20"/>
          <w:szCs w:val="20"/>
          <w:highlight w:val="none"/>
          <w:u w:val="single" w:color="auto"/>
        </w:rPr>
        <w:t>0%</w:t>
      </w:r>
      <w:r>
        <w:rPr>
          <w:rFonts w:ascii="宋体" w:hAnsi="宋体" w:eastAsia="宋体" w:cs="宋体"/>
          <w:color w:val="auto"/>
          <w:spacing w:val="7"/>
          <w:sz w:val="20"/>
          <w:szCs w:val="20"/>
          <w:highlight w:val="none"/>
        </w:rPr>
        <w:t>。</w:t>
      </w:r>
    </w:p>
    <w:p w14:paraId="03C631EE">
      <w:pPr>
        <w:spacing w:before="1" w:line="226" w:lineRule="auto"/>
        <w:jc w:val="right"/>
        <w:rPr>
          <w:rFonts w:ascii="宋体" w:hAnsi="宋体" w:eastAsia="宋体" w:cs="宋体"/>
          <w:color w:val="auto"/>
          <w:sz w:val="20"/>
          <w:szCs w:val="20"/>
          <w:highlight w:val="none"/>
        </w:rPr>
      </w:pPr>
      <w:r>
        <w:rPr>
          <w:rFonts w:ascii="宋体" w:hAnsi="宋体" w:eastAsia="宋体" w:cs="宋体"/>
          <w:color w:val="auto"/>
          <w:spacing w:val="22"/>
          <w:sz w:val="20"/>
          <w:szCs w:val="20"/>
          <w:highlight w:val="none"/>
        </w:rPr>
        <w:t>6.4</w:t>
      </w:r>
      <w:r>
        <w:rPr>
          <w:rFonts w:ascii="宋体" w:hAnsi="宋体" w:eastAsia="宋体" w:cs="宋体"/>
          <w:color w:val="auto"/>
          <w:spacing w:val="-22"/>
          <w:sz w:val="20"/>
          <w:szCs w:val="20"/>
          <w:highlight w:val="none"/>
        </w:rPr>
        <w:t xml:space="preserve"> </w:t>
      </w:r>
      <w:r>
        <w:rPr>
          <w:rFonts w:ascii="宋体" w:hAnsi="宋体" w:eastAsia="宋体" w:cs="宋体"/>
          <w:color w:val="auto"/>
          <w:spacing w:val="22"/>
          <w:sz w:val="20"/>
          <w:szCs w:val="20"/>
          <w:highlight w:val="none"/>
        </w:rPr>
        <w:t>按照《财政部、</w:t>
      </w:r>
      <w:r>
        <w:rPr>
          <w:rFonts w:ascii="宋体" w:hAnsi="宋体" w:eastAsia="宋体" w:cs="宋体"/>
          <w:color w:val="auto"/>
          <w:spacing w:val="-58"/>
          <w:sz w:val="20"/>
          <w:szCs w:val="20"/>
          <w:highlight w:val="none"/>
        </w:rPr>
        <w:t xml:space="preserve"> </w:t>
      </w:r>
      <w:r>
        <w:rPr>
          <w:rFonts w:ascii="宋体" w:hAnsi="宋体" w:eastAsia="宋体" w:cs="宋体"/>
          <w:color w:val="auto"/>
          <w:spacing w:val="22"/>
          <w:sz w:val="20"/>
          <w:szCs w:val="20"/>
          <w:highlight w:val="none"/>
        </w:rPr>
        <w:t>司法部关于政府采购支持监狱企业发展有</w:t>
      </w:r>
      <w:r>
        <w:rPr>
          <w:rFonts w:ascii="宋体" w:hAnsi="宋体" w:eastAsia="宋体" w:cs="宋体"/>
          <w:color w:val="auto"/>
          <w:spacing w:val="21"/>
          <w:sz w:val="20"/>
          <w:szCs w:val="20"/>
          <w:highlight w:val="none"/>
        </w:rPr>
        <w:t>关问题的通知》</w:t>
      </w:r>
      <w:r>
        <w:rPr>
          <w:rFonts w:ascii="宋体" w:hAnsi="宋体" w:eastAsia="宋体" w:cs="宋体"/>
          <w:color w:val="auto"/>
          <w:spacing w:val="-48"/>
          <w:sz w:val="20"/>
          <w:szCs w:val="20"/>
          <w:highlight w:val="none"/>
        </w:rPr>
        <w:t xml:space="preserve"> </w:t>
      </w:r>
      <w:r>
        <w:rPr>
          <w:rFonts w:ascii="宋体" w:hAnsi="宋体" w:eastAsia="宋体" w:cs="宋体"/>
          <w:color w:val="auto"/>
          <w:spacing w:val="21"/>
          <w:sz w:val="20"/>
          <w:szCs w:val="20"/>
          <w:highlight w:val="none"/>
        </w:rPr>
        <w:t>（财库</w:t>
      </w:r>
    </w:p>
    <w:p w14:paraId="26638509">
      <w:pPr>
        <w:spacing w:line="226" w:lineRule="auto"/>
        <w:rPr>
          <w:rFonts w:ascii="宋体" w:hAnsi="宋体" w:eastAsia="宋体" w:cs="宋体"/>
          <w:color w:val="auto"/>
          <w:sz w:val="20"/>
          <w:szCs w:val="20"/>
          <w:highlight w:val="none"/>
        </w:rPr>
        <w:sectPr>
          <w:footerReference r:id="rId35" w:type="default"/>
          <w:pgSz w:w="11910" w:h="16840"/>
          <w:pgMar w:top="1330" w:right="1501" w:bottom="1091" w:left="1687" w:header="0" w:footer="929" w:gutter="0"/>
          <w:pgNumType w:fmt="decimal"/>
          <w:cols w:space="720" w:num="1"/>
        </w:sectPr>
      </w:pPr>
    </w:p>
    <w:p w14:paraId="51AF971E">
      <w:pPr>
        <w:spacing w:before="42" w:line="377" w:lineRule="auto"/>
        <w:ind w:right="34" w:firstLine="29"/>
        <w:jc w:val="both"/>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〔2014〕68</w:t>
      </w:r>
      <w:r>
        <w:rPr>
          <w:rFonts w:ascii="宋体" w:hAnsi="宋体" w:eastAsia="宋体" w:cs="宋体"/>
          <w:color w:val="auto"/>
          <w:spacing w:val="-33"/>
          <w:sz w:val="20"/>
          <w:szCs w:val="20"/>
          <w:highlight w:val="none"/>
        </w:rPr>
        <w:t xml:space="preserve"> </w:t>
      </w:r>
      <w:r>
        <w:rPr>
          <w:rFonts w:ascii="宋体" w:hAnsi="宋体" w:eastAsia="宋体" w:cs="宋体"/>
          <w:color w:val="auto"/>
          <w:spacing w:val="10"/>
          <w:sz w:val="20"/>
          <w:szCs w:val="20"/>
          <w:highlight w:val="none"/>
        </w:rPr>
        <w:t>号）的规定，监狱企业视同小型、微型企业，</w:t>
      </w:r>
      <w:r>
        <w:rPr>
          <w:rFonts w:ascii="宋体" w:hAnsi="宋体" w:eastAsia="宋体" w:cs="宋体"/>
          <w:color w:val="auto"/>
          <w:spacing w:val="9"/>
          <w:sz w:val="20"/>
          <w:szCs w:val="20"/>
          <w:highlight w:val="none"/>
        </w:rPr>
        <w:t>享受预留份额、评审中价格扣除等促</w:t>
      </w:r>
      <w:r>
        <w:rPr>
          <w:rFonts w:ascii="宋体" w:hAnsi="宋体" w:eastAsia="宋体" w:cs="宋体"/>
          <w:color w:val="auto"/>
          <w:spacing w:val="13"/>
          <w:sz w:val="20"/>
          <w:szCs w:val="20"/>
          <w:highlight w:val="none"/>
        </w:rPr>
        <w:t>进中小企业发展的政府采购政策。监狱企业参加政府采购活动时，</w:t>
      </w:r>
      <w:r>
        <w:rPr>
          <w:rFonts w:ascii="宋体" w:hAnsi="宋体" w:eastAsia="宋体" w:cs="宋体"/>
          <w:color w:val="auto"/>
          <w:spacing w:val="12"/>
          <w:sz w:val="20"/>
          <w:szCs w:val="20"/>
          <w:highlight w:val="none"/>
        </w:rPr>
        <w:t>应当提供由省级以上监狱管理局、戒毒管理局（含新疆生产建设兵团）</w:t>
      </w:r>
      <w:r>
        <w:rPr>
          <w:rFonts w:ascii="宋体" w:hAnsi="宋体" w:eastAsia="宋体" w:cs="宋体"/>
          <w:color w:val="auto"/>
          <w:spacing w:val="-58"/>
          <w:sz w:val="20"/>
          <w:szCs w:val="20"/>
          <w:highlight w:val="none"/>
        </w:rPr>
        <w:t xml:space="preserve"> </w:t>
      </w:r>
      <w:r>
        <w:rPr>
          <w:rFonts w:ascii="宋体" w:hAnsi="宋体" w:eastAsia="宋体" w:cs="宋体"/>
          <w:color w:val="auto"/>
          <w:spacing w:val="12"/>
          <w:sz w:val="20"/>
          <w:szCs w:val="20"/>
          <w:highlight w:val="none"/>
        </w:rPr>
        <w:t>出具的属于监狱</w:t>
      </w:r>
      <w:r>
        <w:rPr>
          <w:rFonts w:ascii="宋体" w:hAnsi="宋体" w:eastAsia="宋体" w:cs="宋体"/>
          <w:color w:val="auto"/>
          <w:spacing w:val="11"/>
          <w:sz w:val="20"/>
          <w:szCs w:val="20"/>
          <w:highlight w:val="none"/>
        </w:rPr>
        <w:t>企业的证明文件。监狱企业属于小</w:t>
      </w:r>
      <w:r>
        <w:rPr>
          <w:rFonts w:ascii="宋体" w:hAnsi="宋体" w:eastAsia="宋体" w:cs="宋体"/>
          <w:color w:val="auto"/>
          <w:spacing w:val="8"/>
          <w:sz w:val="20"/>
          <w:szCs w:val="20"/>
          <w:highlight w:val="none"/>
        </w:rPr>
        <w:t>型、微型企业的，不重复享受政策。</w:t>
      </w:r>
    </w:p>
    <w:p w14:paraId="0BDEB5BE">
      <w:pPr>
        <w:spacing w:before="3" w:line="376" w:lineRule="auto"/>
        <w:ind w:right="34" w:firstLine="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6.5</w:t>
      </w:r>
      <w:r>
        <w:rPr>
          <w:rFonts w:ascii="宋体" w:hAnsi="宋体" w:eastAsia="宋体" w:cs="宋体"/>
          <w:color w:val="auto"/>
          <w:spacing w:val="-21"/>
          <w:sz w:val="20"/>
          <w:szCs w:val="20"/>
          <w:highlight w:val="none"/>
        </w:rPr>
        <w:t xml:space="preserve"> </w:t>
      </w:r>
      <w:r>
        <w:rPr>
          <w:rFonts w:ascii="宋体" w:hAnsi="宋体" w:eastAsia="宋体" w:cs="宋体"/>
          <w:color w:val="auto"/>
          <w:spacing w:val="8"/>
          <w:sz w:val="20"/>
          <w:szCs w:val="20"/>
          <w:highlight w:val="none"/>
        </w:rPr>
        <w:t>按照《关于促进残疾人就业政府采购政策的通知》（财库〔2017〕141</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号）的规定，残</w:t>
      </w:r>
      <w:r>
        <w:rPr>
          <w:rFonts w:ascii="宋体" w:hAnsi="宋体" w:eastAsia="宋体" w:cs="宋体"/>
          <w:color w:val="auto"/>
          <w:spacing w:val="13"/>
          <w:sz w:val="20"/>
          <w:szCs w:val="20"/>
          <w:highlight w:val="none"/>
        </w:rPr>
        <w:t>疾人福利性单位视同小型、微型企业，享受预留份额、评审中价</w:t>
      </w:r>
      <w:r>
        <w:rPr>
          <w:rFonts w:ascii="宋体" w:hAnsi="宋体" w:eastAsia="宋体" w:cs="宋体"/>
          <w:color w:val="auto"/>
          <w:spacing w:val="12"/>
          <w:sz w:val="20"/>
          <w:szCs w:val="20"/>
          <w:highlight w:val="none"/>
        </w:rPr>
        <w:t>格扣除等促进中小企业发展的</w:t>
      </w:r>
      <w:r>
        <w:rPr>
          <w:rFonts w:ascii="宋体" w:hAnsi="宋体" w:eastAsia="宋体" w:cs="宋体"/>
          <w:color w:val="auto"/>
          <w:spacing w:val="13"/>
          <w:sz w:val="20"/>
          <w:szCs w:val="20"/>
          <w:highlight w:val="none"/>
        </w:rPr>
        <w:t>政府采购政策。残疾人福利性单位参加政府采购活动时，应当提</w:t>
      </w:r>
      <w:r>
        <w:rPr>
          <w:rFonts w:ascii="宋体" w:hAnsi="宋体" w:eastAsia="宋体" w:cs="宋体"/>
          <w:color w:val="auto"/>
          <w:spacing w:val="12"/>
          <w:sz w:val="20"/>
          <w:szCs w:val="20"/>
          <w:highlight w:val="none"/>
        </w:rPr>
        <w:t>供该通知规定的《残疾人福利性单位声明函》</w:t>
      </w:r>
      <w:r>
        <w:rPr>
          <w:rFonts w:ascii="宋体" w:hAnsi="宋体" w:eastAsia="宋体" w:cs="宋体"/>
          <w:color w:val="auto"/>
          <w:spacing w:val="-59"/>
          <w:sz w:val="20"/>
          <w:szCs w:val="20"/>
          <w:highlight w:val="none"/>
        </w:rPr>
        <w:t xml:space="preserve"> </w:t>
      </w:r>
      <w:r>
        <w:rPr>
          <w:rFonts w:ascii="宋体" w:hAnsi="宋体" w:eastAsia="宋体" w:cs="宋体"/>
          <w:color w:val="auto"/>
          <w:spacing w:val="12"/>
          <w:sz w:val="20"/>
          <w:szCs w:val="20"/>
          <w:highlight w:val="none"/>
        </w:rPr>
        <w:t>，并对声明的真实性负责。残疾人福利性单位属</w:t>
      </w:r>
      <w:r>
        <w:rPr>
          <w:rFonts w:ascii="宋体" w:hAnsi="宋体" w:eastAsia="宋体" w:cs="宋体"/>
          <w:color w:val="auto"/>
          <w:spacing w:val="11"/>
          <w:sz w:val="20"/>
          <w:szCs w:val="20"/>
          <w:highlight w:val="none"/>
        </w:rPr>
        <w:t>于小型、微型企业的，不重复</w:t>
      </w:r>
      <w:r>
        <w:rPr>
          <w:rFonts w:ascii="宋体" w:hAnsi="宋体" w:eastAsia="宋体" w:cs="宋体"/>
          <w:color w:val="auto"/>
          <w:spacing w:val="6"/>
          <w:sz w:val="20"/>
          <w:szCs w:val="20"/>
          <w:highlight w:val="none"/>
        </w:rPr>
        <w:t>享受政策。</w:t>
      </w:r>
    </w:p>
    <w:p w14:paraId="2366BDA9">
      <w:pPr>
        <w:spacing w:line="226"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6.6</w:t>
      </w:r>
      <w:r>
        <w:rPr>
          <w:rFonts w:ascii="宋体" w:hAnsi="宋体" w:eastAsia="宋体" w:cs="宋体"/>
          <w:color w:val="auto"/>
          <w:spacing w:val="-34"/>
          <w:sz w:val="20"/>
          <w:szCs w:val="20"/>
          <w:highlight w:val="none"/>
        </w:rPr>
        <w:t xml:space="preserve"> </w:t>
      </w:r>
      <w:r>
        <w:rPr>
          <w:rFonts w:ascii="宋体" w:hAnsi="宋体" w:eastAsia="宋体" w:cs="宋体"/>
          <w:color w:val="auto"/>
          <w:spacing w:val="7"/>
          <w:sz w:val="20"/>
          <w:szCs w:val="20"/>
          <w:highlight w:val="none"/>
        </w:rPr>
        <w:t>本国产品政策性扣除计算方法。</w:t>
      </w:r>
    </w:p>
    <w:p w14:paraId="2C56B1F0">
      <w:pPr>
        <w:spacing w:before="163" w:line="377" w:lineRule="auto"/>
        <w:ind w:left="22" w:right="33" w:firstLine="399"/>
        <w:jc w:val="both"/>
        <w:rPr>
          <w:rFonts w:ascii="宋体" w:hAnsi="宋体" w:eastAsia="宋体" w:cs="宋体"/>
          <w:color w:val="auto"/>
          <w:sz w:val="20"/>
          <w:szCs w:val="20"/>
          <w:highlight w:val="none"/>
        </w:rPr>
      </w:pPr>
      <w:r>
        <w:rPr>
          <w:rFonts w:ascii="宋体" w:hAnsi="宋体" w:eastAsia="宋体" w:cs="宋体"/>
          <w:color w:val="auto"/>
          <w:spacing w:val="18"/>
          <w:sz w:val="20"/>
          <w:szCs w:val="20"/>
          <w:highlight w:val="none"/>
        </w:rPr>
        <w:t>根据《国务院办公厅关于在政府采购中实施本</w:t>
      </w:r>
      <w:r>
        <w:rPr>
          <w:rFonts w:ascii="宋体" w:hAnsi="宋体" w:eastAsia="宋体" w:cs="宋体"/>
          <w:color w:val="auto"/>
          <w:spacing w:val="17"/>
          <w:sz w:val="20"/>
          <w:szCs w:val="20"/>
          <w:highlight w:val="none"/>
        </w:rPr>
        <w:t>国产品标准及相关政策的通知》</w:t>
      </w:r>
      <w:r>
        <w:rPr>
          <w:rFonts w:ascii="宋体" w:hAnsi="宋体" w:eastAsia="宋体" w:cs="宋体"/>
          <w:color w:val="auto"/>
          <w:spacing w:val="-67"/>
          <w:sz w:val="20"/>
          <w:szCs w:val="20"/>
          <w:highlight w:val="none"/>
        </w:rPr>
        <w:t xml:space="preserve"> </w:t>
      </w:r>
      <w:r>
        <w:rPr>
          <w:rFonts w:ascii="宋体" w:hAnsi="宋体" w:eastAsia="宋体" w:cs="宋体"/>
          <w:color w:val="auto"/>
          <w:spacing w:val="17"/>
          <w:sz w:val="20"/>
          <w:szCs w:val="20"/>
          <w:highlight w:val="none"/>
        </w:rPr>
        <w:t>（国办发</w:t>
      </w:r>
      <w:r>
        <w:rPr>
          <w:rFonts w:ascii="宋体" w:hAnsi="宋体" w:eastAsia="宋体" w:cs="宋体"/>
          <w:color w:val="auto"/>
          <w:spacing w:val="10"/>
          <w:sz w:val="20"/>
          <w:szCs w:val="20"/>
          <w:highlight w:val="none"/>
        </w:rPr>
        <w:t>〔2025〕34</w:t>
      </w:r>
      <w:r>
        <w:rPr>
          <w:rFonts w:ascii="宋体" w:hAnsi="宋体" w:eastAsia="宋体" w:cs="宋体"/>
          <w:color w:val="auto"/>
          <w:spacing w:val="-33"/>
          <w:sz w:val="20"/>
          <w:szCs w:val="20"/>
          <w:highlight w:val="none"/>
        </w:rPr>
        <w:t xml:space="preserve"> </w:t>
      </w:r>
      <w:r>
        <w:rPr>
          <w:rFonts w:ascii="宋体" w:hAnsi="宋体" w:eastAsia="宋体" w:cs="宋体"/>
          <w:color w:val="auto"/>
          <w:spacing w:val="10"/>
          <w:sz w:val="20"/>
          <w:szCs w:val="20"/>
          <w:highlight w:val="none"/>
        </w:rPr>
        <w:t>号）的规定，政府采购活动中既有本国产品又有非本国产品参</w:t>
      </w:r>
      <w:r>
        <w:rPr>
          <w:rFonts w:ascii="宋体" w:hAnsi="宋体" w:eastAsia="宋体" w:cs="宋体"/>
          <w:color w:val="auto"/>
          <w:spacing w:val="9"/>
          <w:sz w:val="20"/>
          <w:szCs w:val="20"/>
          <w:highlight w:val="none"/>
        </w:rPr>
        <w:t>与竞争的，依法对本</w:t>
      </w:r>
      <w:r>
        <w:rPr>
          <w:rFonts w:ascii="宋体" w:hAnsi="宋体" w:eastAsia="宋体" w:cs="宋体"/>
          <w:color w:val="auto"/>
          <w:spacing w:val="8"/>
          <w:sz w:val="20"/>
          <w:szCs w:val="20"/>
          <w:highlight w:val="none"/>
        </w:rPr>
        <w:t>国产品给予价格评审优惠，对本国产品的报价给予</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20%的价格扣除，用扣</w:t>
      </w:r>
      <w:r>
        <w:rPr>
          <w:rFonts w:ascii="宋体" w:hAnsi="宋体" w:eastAsia="宋体" w:cs="宋体"/>
          <w:color w:val="auto"/>
          <w:spacing w:val="7"/>
          <w:sz w:val="20"/>
          <w:szCs w:val="20"/>
          <w:highlight w:val="none"/>
        </w:rPr>
        <w:t>除后的价格参与评审。</w:t>
      </w:r>
    </w:p>
    <w:p w14:paraId="12EC4BFD">
      <w:pPr>
        <w:spacing w:line="377" w:lineRule="auto"/>
        <w:ind w:left="1" w:right="33" w:firstLine="433"/>
        <w:jc w:val="both"/>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当采购项目或者采购包中含有多种产品，供应商为该采购项目或者采购包提供的符合本国</w:t>
      </w:r>
      <w:r>
        <w:rPr>
          <w:rFonts w:ascii="宋体" w:hAnsi="宋体" w:eastAsia="宋体" w:cs="宋体"/>
          <w:color w:val="auto"/>
          <w:spacing w:val="13"/>
          <w:sz w:val="20"/>
          <w:szCs w:val="20"/>
          <w:highlight w:val="none"/>
        </w:rPr>
        <w:t>产品标准的产品成本之和占该供应商提供的全部产品成本之和的比例达到</w:t>
      </w:r>
      <w:r>
        <w:rPr>
          <w:rFonts w:ascii="宋体" w:hAnsi="宋体" w:eastAsia="宋体" w:cs="宋体"/>
          <w:color w:val="auto"/>
          <w:spacing w:val="-27"/>
          <w:sz w:val="20"/>
          <w:szCs w:val="20"/>
          <w:highlight w:val="none"/>
        </w:rPr>
        <w:t xml:space="preserve"> </w:t>
      </w:r>
      <w:r>
        <w:rPr>
          <w:rFonts w:ascii="宋体" w:hAnsi="宋体" w:eastAsia="宋体" w:cs="宋体"/>
          <w:color w:val="auto"/>
          <w:spacing w:val="13"/>
          <w:sz w:val="20"/>
          <w:szCs w:val="20"/>
          <w:highlight w:val="none"/>
        </w:rPr>
        <w:t>80%以上时，依法对该供应商提供的全部产品给予价格评审优惠，即对该供应商提供的全部产品的总报价给予</w:t>
      </w:r>
      <w:r>
        <w:rPr>
          <w:rFonts w:ascii="宋体" w:hAnsi="宋体" w:eastAsia="宋体" w:cs="宋体"/>
          <w:color w:val="auto"/>
          <w:spacing w:val="-26"/>
          <w:sz w:val="20"/>
          <w:szCs w:val="20"/>
          <w:highlight w:val="none"/>
        </w:rPr>
        <w:t xml:space="preserve"> </w:t>
      </w:r>
      <w:r>
        <w:rPr>
          <w:rFonts w:ascii="宋体" w:hAnsi="宋体" w:eastAsia="宋体" w:cs="宋体"/>
          <w:color w:val="auto"/>
          <w:spacing w:val="13"/>
          <w:sz w:val="20"/>
          <w:szCs w:val="20"/>
          <w:highlight w:val="none"/>
        </w:rPr>
        <w:t>20%</w:t>
      </w:r>
      <w:r>
        <w:rPr>
          <w:rFonts w:ascii="宋体" w:hAnsi="宋体" w:eastAsia="宋体" w:cs="宋体"/>
          <w:color w:val="auto"/>
          <w:spacing w:val="10"/>
          <w:sz w:val="20"/>
          <w:szCs w:val="20"/>
          <w:highlight w:val="none"/>
        </w:rPr>
        <w:t>的价格扣除，用扣除后的价格参与评审。未达到80%，不享受价格评审优惠。</w:t>
      </w:r>
    </w:p>
    <w:p w14:paraId="5015D58A">
      <w:pPr>
        <w:spacing w:before="1" w:line="226" w:lineRule="auto"/>
        <w:ind w:left="425"/>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如果所有参与竞争的供应商均可享受本国产品价格评审优惠，则统一不进行价格扣除。</w:t>
      </w:r>
    </w:p>
    <w:p w14:paraId="3D049727">
      <w:pPr>
        <w:spacing w:before="164" w:line="377" w:lineRule="auto"/>
        <w:ind w:left="6" w:right="34" w:firstLine="414"/>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供应商在其响应文件中提供《关于符合本国产品标准的声明函》或财政</w:t>
      </w:r>
      <w:r>
        <w:rPr>
          <w:rFonts w:ascii="宋体" w:hAnsi="宋体" w:eastAsia="宋体" w:cs="宋体"/>
          <w:color w:val="auto"/>
          <w:spacing w:val="12"/>
          <w:sz w:val="20"/>
          <w:szCs w:val="20"/>
          <w:highlight w:val="none"/>
        </w:rPr>
        <w:t>部会同有关部门规</w:t>
      </w:r>
      <w:r>
        <w:rPr>
          <w:rFonts w:ascii="宋体" w:hAnsi="宋体" w:eastAsia="宋体" w:cs="宋体"/>
          <w:color w:val="auto"/>
          <w:spacing w:val="9"/>
          <w:sz w:val="20"/>
          <w:szCs w:val="20"/>
          <w:highlight w:val="none"/>
        </w:rPr>
        <w:t>定的有关证明文件，出具符合要求的《声明函》或有关证明文件的，该产品视为本国产品。</w:t>
      </w:r>
    </w:p>
    <w:p w14:paraId="1C2851D3">
      <w:pPr>
        <w:spacing w:line="377" w:lineRule="auto"/>
        <w:ind w:firstLine="423"/>
        <w:jc w:val="both"/>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6.7</w:t>
      </w:r>
      <w:r>
        <w:rPr>
          <w:rFonts w:ascii="宋体" w:hAnsi="宋体" w:eastAsia="宋体" w:cs="宋体"/>
          <w:color w:val="auto"/>
          <w:spacing w:val="-21"/>
          <w:sz w:val="20"/>
          <w:szCs w:val="20"/>
          <w:highlight w:val="none"/>
        </w:rPr>
        <w:t xml:space="preserve"> </w:t>
      </w:r>
      <w:r>
        <w:rPr>
          <w:rFonts w:ascii="宋体" w:hAnsi="宋体" w:eastAsia="宋体" w:cs="宋体"/>
          <w:b/>
          <w:bCs/>
          <w:color w:val="auto"/>
          <w:spacing w:val="7"/>
          <w:sz w:val="20"/>
          <w:szCs w:val="20"/>
          <w:highlight w:val="none"/>
        </w:rPr>
        <w:t>中小企业政策性折扣与本国产品政策性折</w:t>
      </w:r>
      <w:r>
        <w:rPr>
          <w:rFonts w:ascii="宋体" w:hAnsi="宋体" w:eastAsia="宋体" w:cs="宋体"/>
          <w:b/>
          <w:bCs/>
          <w:color w:val="auto"/>
          <w:spacing w:val="6"/>
          <w:sz w:val="20"/>
          <w:szCs w:val="20"/>
          <w:highlight w:val="none"/>
        </w:rPr>
        <w:t>扣进行叠加计算，用扣除后的价格参加评审。</w:t>
      </w:r>
      <w:r>
        <w:rPr>
          <w:rFonts w:ascii="宋体" w:hAnsi="宋体" w:eastAsia="宋体" w:cs="宋体"/>
          <w:b/>
          <w:bCs/>
          <w:color w:val="auto"/>
          <w:spacing w:val="10"/>
          <w:sz w:val="20"/>
          <w:szCs w:val="20"/>
          <w:highlight w:val="none"/>
        </w:rPr>
        <w:t>即评审价=竞标报价-中小企业政策性折扣-本国产品政策性折扣，除上述情况外，评审价=竞标</w:t>
      </w:r>
      <w:r>
        <w:rPr>
          <w:rFonts w:ascii="宋体" w:hAnsi="宋体" w:eastAsia="宋体" w:cs="宋体"/>
          <w:b/>
          <w:bCs/>
          <w:color w:val="auto"/>
          <w:spacing w:val="2"/>
          <w:sz w:val="20"/>
          <w:szCs w:val="20"/>
          <w:highlight w:val="none"/>
        </w:rPr>
        <w:t>报价。</w:t>
      </w:r>
    </w:p>
    <w:p w14:paraId="60934E02">
      <w:pPr>
        <w:spacing w:line="390" w:lineRule="auto"/>
        <w:rPr>
          <w:rFonts w:ascii="Arial"/>
          <w:color w:val="auto"/>
          <w:sz w:val="21"/>
          <w:highlight w:val="none"/>
        </w:rPr>
      </w:pPr>
    </w:p>
    <w:p w14:paraId="57EEE77B">
      <w:pPr>
        <w:spacing w:before="78" w:line="222" w:lineRule="auto"/>
        <w:ind w:left="474"/>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6.</w:t>
      </w:r>
      <w:r>
        <w:rPr>
          <w:rFonts w:ascii="黑体" w:hAnsi="黑体" w:eastAsia="黑体" w:cs="黑体"/>
          <w:color w:val="auto"/>
          <w:spacing w:val="-3"/>
          <w:sz w:val="24"/>
          <w:szCs w:val="24"/>
          <w:highlight w:val="none"/>
        </w:rPr>
        <w:t xml:space="preserve"> </w:t>
      </w:r>
      <w:r>
        <w:rPr>
          <w:rFonts w:ascii="黑体" w:hAnsi="黑体" w:eastAsia="黑体" w:cs="黑体"/>
          <w:b/>
          <w:bCs/>
          <w:color w:val="auto"/>
          <w:spacing w:val="-3"/>
          <w:sz w:val="24"/>
          <w:szCs w:val="24"/>
          <w:highlight w:val="none"/>
        </w:rPr>
        <w:t>最后报价政府采购政策性扣除</w:t>
      </w:r>
    </w:p>
    <w:p w14:paraId="52716896">
      <w:pPr>
        <w:spacing w:before="175" w:line="377" w:lineRule="auto"/>
        <w:ind w:left="4" w:right="69" w:firstLine="419"/>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6.1</w:t>
      </w:r>
      <w:r>
        <w:rPr>
          <w:rFonts w:ascii="宋体" w:hAnsi="宋体" w:eastAsia="宋体" w:cs="宋体"/>
          <w:color w:val="auto"/>
          <w:spacing w:val="-36"/>
          <w:sz w:val="20"/>
          <w:szCs w:val="20"/>
          <w:highlight w:val="none"/>
        </w:rPr>
        <w:t xml:space="preserve"> </w:t>
      </w:r>
      <w:r>
        <w:rPr>
          <w:rFonts w:ascii="宋体" w:hAnsi="宋体" w:eastAsia="宋体" w:cs="宋体"/>
          <w:color w:val="auto"/>
          <w:spacing w:val="13"/>
          <w:sz w:val="20"/>
          <w:szCs w:val="20"/>
          <w:highlight w:val="none"/>
        </w:rPr>
        <w:t>评审价为供应商的最后报价进行政策</w:t>
      </w:r>
      <w:r>
        <w:rPr>
          <w:rFonts w:ascii="宋体" w:hAnsi="宋体" w:eastAsia="宋体" w:cs="宋体"/>
          <w:color w:val="auto"/>
          <w:spacing w:val="12"/>
          <w:sz w:val="20"/>
          <w:szCs w:val="20"/>
          <w:highlight w:val="none"/>
        </w:rPr>
        <w:t>性扣除后的价格，评审价只是作为评审时使用。</w:t>
      </w:r>
      <w:r>
        <w:rPr>
          <w:rFonts w:ascii="宋体" w:hAnsi="宋体" w:eastAsia="宋体" w:cs="宋体"/>
          <w:color w:val="auto"/>
          <w:spacing w:val="8"/>
          <w:sz w:val="20"/>
          <w:szCs w:val="20"/>
          <w:highlight w:val="none"/>
        </w:rPr>
        <w:t>最终成交供应商的成交金额等于最后报价（如有修正，</w:t>
      </w:r>
      <w:r>
        <w:rPr>
          <w:rFonts w:ascii="宋体" w:hAnsi="宋体" w:eastAsia="宋体" w:cs="宋体"/>
          <w:color w:val="auto"/>
          <w:spacing w:val="-55"/>
          <w:sz w:val="20"/>
          <w:szCs w:val="20"/>
          <w:highlight w:val="none"/>
        </w:rPr>
        <w:t xml:space="preserve"> </w:t>
      </w:r>
      <w:r>
        <w:rPr>
          <w:rFonts w:ascii="宋体" w:hAnsi="宋体" w:eastAsia="宋体" w:cs="宋体"/>
          <w:color w:val="auto"/>
          <w:spacing w:val="8"/>
          <w:sz w:val="20"/>
          <w:szCs w:val="20"/>
          <w:highlight w:val="none"/>
        </w:rPr>
        <w:t>以确认修正后的最后报价为准）。</w:t>
      </w:r>
    </w:p>
    <w:p w14:paraId="5A73FCDB">
      <w:pPr>
        <w:spacing w:line="226" w:lineRule="auto"/>
        <w:ind w:left="428"/>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6.2</w:t>
      </w:r>
      <w:r>
        <w:rPr>
          <w:rFonts w:ascii="宋体" w:hAnsi="宋体" w:eastAsia="宋体" w:cs="宋体"/>
          <w:color w:val="auto"/>
          <w:spacing w:val="-32"/>
          <w:sz w:val="20"/>
          <w:szCs w:val="20"/>
          <w:highlight w:val="none"/>
        </w:rPr>
        <w:t xml:space="preserve"> </w:t>
      </w:r>
      <w:r>
        <w:rPr>
          <w:rFonts w:ascii="宋体" w:hAnsi="宋体" w:eastAsia="宋体" w:cs="宋体"/>
          <w:color w:val="auto"/>
          <w:spacing w:val="6"/>
          <w:sz w:val="20"/>
          <w:szCs w:val="20"/>
          <w:highlight w:val="none"/>
        </w:rPr>
        <w:t>异常低价响应审查</w:t>
      </w:r>
    </w:p>
    <w:p w14:paraId="5720969E">
      <w:pPr>
        <w:spacing w:before="164" w:line="377" w:lineRule="auto"/>
        <w:ind w:left="2" w:right="34" w:firstLine="420"/>
        <w:jc w:val="both"/>
        <w:rPr>
          <w:rFonts w:ascii="宋体" w:hAnsi="宋体" w:eastAsia="宋体" w:cs="宋体"/>
          <w:color w:val="auto"/>
          <w:sz w:val="20"/>
          <w:szCs w:val="20"/>
          <w:highlight w:val="none"/>
        </w:rPr>
      </w:pPr>
      <w:r>
        <w:rPr>
          <w:rFonts w:ascii="宋体" w:hAnsi="宋体" w:eastAsia="宋体" w:cs="宋体"/>
          <w:b/>
          <w:bCs/>
          <w:color w:val="auto"/>
          <w:spacing w:val="11"/>
          <w:sz w:val="20"/>
          <w:szCs w:val="20"/>
          <w:highlight w:val="none"/>
        </w:rPr>
        <w:t>谈判小组认为供应商的报价明显低于其他通过符合性审查供</w:t>
      </w:r>
      <w:r>
        <w:rPr>
          <w:rFonts w:ascii="宋体" w:hAnsi="宋体" w:eastAsia="宋体" w:cs="宋体"/>
          <w:b/>
          <w:bCs/>
          <w:color w:val="auto"/>
          <w:spacing w:val="10"/>
          <w:sz w:val="20"/>
          <w:szCs w:val="20"/>
          <w:highlight w:val="none"/>
        </w:rPr>
        <w:t>应商的报价，有可能影响产品</w:t>
      </w:r>
      <w:r>
        <w:rPr>
          <w:rFonts w:ascii="宋体" w:hAnsi="宋体" w:eastAsia="宋体" w:cs="宋体"/>
          <w:b/>
          <w:bCs/>
          <w:color w:val="auto"/>
          <w:spacing w:val="11"/>
          <w:sz w:val="20"/>
          <w:szCs w:val="20"/>
          <w:highlight w:val="none"/>
        </w:rPr>
        <w:t>质量或者不能诚信履约的，根据《北海市财政局关</w:t>
      </w:r>
      <w:r>
        <w:rPr>
          <w:rFonts w:ascii="宋体" w:hAnsi="宋体" w:eastAsia="宋体" w:cs="宋体"/>
          <w:b/>
          <w:bCs/>
          <w:color w:val="auto"/>
          <w:spacing w:val="10"/>
          <w:sz w:val="20"/>
          <w:szCs w:val="20"/>
          <w:highlight w:val="none"/>
        </w:rPr>
        <w:t>于开展推动解决政府采购异常低价问题试点</w:t>
      </w:r>
      <w:r>
        <w:rPr>
          <w:rFonts w:ascii="宋体" w:hAnsi="宋体" w:eastAsia="宋体" w:cs="宋体"/>
          <w:b/>
          <w:bCs/>
          <w:color w:val="auto"/>
          <w:spacing w:val="4"/>
          <w:sz w:val="20"/>
          <w:szCs w:val="20"/>
          <w:highlight w:val="none"/>
        </w:rPr>
        <w:t>工作的通知》（北财采〔2025〕25</w:t>
      </w:r>
      <w:r>
        <w:rPr>
          <w:rFonts w:ascii="宋体" w:hAnsi="宋体" w:eastAsia="宋体" w:cs="宋体"/>
          <w:color w:val="auto"/>
          <w:spacing w:val="-21"/>
          <w:sz w:val="20"/>
          <w:szCs w:val="20"/>
          <w:highlight w:val="none"/>
        </w:rPr>
        <w:t xml:space="preserve"> </w:t>
      </w:r>
      <w:r>
        <w:rPr>
          <w:rFonts w:ascii="宋体" w:hAnsi="宋体" w:eastAsia="宋体" w:cs="宋体"/>
          <w:b/>
          <w:bCs/>
          <w:color w:val="auto"/>
          <w:spacing w:val="4"/>
          <w:sz w:val="20"/>
          <w:szCs w:val="20"/>
          <w:highlight w:val="none"/>
        </w:rPr>
        <w:t>号）</w:t>
      </w:r>
      <w:r>
        <w:rPr>
          <w:rFonts w:ascii="宋体" w:hAnsi="宋体" w:eastAsia="宋体" w:cs="宋体"/>
          <w:color w:val="auto"/>
          <w:spacing w:val="-58"/>
          <w:sz w:val="20"/>
          <w:szCs w:val="20"/>
          <w:highlight w:val="none"/>
        </w:rPr>
        <w:t xml:space="preserve"> </w:t>
      </w:r>
      <w:r>
        <w:rPr>
          <w:rFonts w:ascii="宋体" w:hAnsi="宋体" w:eastAsia="宋体" w:cs="宋体"/>
          <w:b/>
          <w:bCs/>
          <w:color w:val="auto"/>
          <w:spacing w:val="4"/>
          <w:sz w:val="20"/>
          <w:szCs w:val="20"/>
          <w:highlight w:val="none"/>
        </w:rPr>
        <w:t>中规定执行：</w:t>
      </w:r>
    </w:p>
    <w:p w14:paraId="1328AF66">
      <w:pPr>
        <w:spacing w:before="2" w:line="376" w:lineRule="auto"/>
        <w:ind w:left="4" w:right="34" w:firstLine="421"/>
        <w:rPr>
          <w:rFonts w:ascii="宋体" w:hAnsi="宋体" w:eastAsia="宋体" w:cs="宋体"/>
          <w:color w:val="auto"/>
          <w:sz w:val="20"/>
          <w:szCs w:val="20"/>
          <w:highlight w:val="none"/>
        </w:rPr>
      </w:pPr>
      <w:r>
        <w:rPr>
          <w:rFonts w:ascii="宋体" w:hAnsi="宋体" w:eastAsia="宋体" w:cs="宋体"/>
          <w:b/>
          <w:bCs/>
          <w:color w:val="auto"/>
          <w:spacing w:val="11"/>
          <w:sz w:val="20"/>
          <w:szCs w:val="20"/>
          <w:highlight w:val="none"/>
        </w:rPr>
        <w:t>6.2.1</w:t>
      </w:r>
      <w:r>
        <w:rPr>
          <w:rFonts w:ascii="宋体" w:hAnsi="宋体" w:eastAsia="宋体" w:cs="宋体"/>
          <w:color w:val="auto"/>
          <w:spacing w:val="-36"/>
          <w:sz w:val="20"/>
          <w:szCs w:val="20"/>
          <w:highlight w:val="none"/>
        </w:rPr>
        <w:t xml:space="preserve"> </w:t>
      </w:r>
      <w:r>
        <w:rPr>
          <w:rFonts w:ascii="宋体" w:hAnsi="宋体" w:eastAsia="宋体" w:cs="宋体"/>
          <w:b/>
          <w:bCs/>
          <w:color w:val="auto"/>
          <w:spacing w:val="11"/>
          <w:sz w:val="20"/>
          <w:szCs w:val="20"/>
          <w:highlight w:val="none"/>
        </w:rPr>
        <w:t>政府采购评审中出现下列情形之一的，谈判小组应当启动异常低价投</w:t>
      </w:r>
      <w:r>
        <w:rPr>
          <w:rFonts w:ascii="宋体" w:hAnsi="宋体" w:eastAsia="宋体" w:cs="宋体"/>
          <w:b/>
          <w:bCs/>
          <w:color w:val="auto"/>
          <w:spacing w:val="10"/>
          <w:sz w:val="20"/>
          <w:szCs w:val="20"/>
          <w:highlight w:val="none"/>
        </w:rPr>
        <w:t>标（响应）审</w:t>
      </w:r>
      <w:r>
        <w:rPr>
          <w:rFonts w:ascii="宋体" w:hAnsi="宋体" w:eastAsia="宋体" w:cs="宋体"/>
          <w:b/>
          <w:bCs/>
          <w:color w:val="auto"/>
          <w:spacing w:val="3"/>
          <w:sz w:val="20"/>
          <w:szCs w:val="20"/>
          <w:highlight w:val="none"/>
        </w:rPr>
        <w:t>查程序：</w:t>
      </w:r>
    </w:p>
    <w:p w14:paraId="6431FD64">
      <w:pPr>
        <w:spacing w:before="1" w:line="355" w:lineRule="auto"/>
        <w:ind w:left="4" w:right="34" w:firstLine="416"/>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①投标（响应）报价低于全部通过符合性审查供应商投标（响应）报价平均值</w:t>
      </w:r>
      <w:r>
        <w:rPr>
          <w:rFonts w:ascii="宋体" w:hAnsi="宋体" w:eastAsia="宋体" w:cs="宋体"/>
          <w:color w:val="auto"/>
          <w:spacing w:val="-20"/>
          <w:sz w:val="20"/>
          <w:szCs w:val="20"/>
          <w:highlight w:val="none"/>
        </w:rPr>
        <w:t xml:space="preserve"> </w:t>
      </w:r>
      <w:r>
        <w:rPr>
          <w:rFonts w:ascii="宋体" w:hAnsi="宋体" w:eastAsia="宋体" w:cs="宋体"/>
          <w:color w:val="auto"/>
          <w:spacing w:val="13"/>
          <w:sz w:val="20"/>
          <w:szCs w:val="20"/>
          <w:highlight w:val="none"/>
        </w:rPr>
        <w:t>50%的，即</w:t>
      </w:r>
      <w:r>
        <w:rPr>
          <w:rFonts w:ascii="宋体" w:hAnsi="宋体" w:eastAsia="宋体" w:cs="宋体"/>
          <w:color w:val="auto"/>
          <w:spacing w:val="9"/>
          <w:sz w:val="20"/>
          <w:szCs w:val="20"/>
          <w:highlight w:val="none"/>
        </w:rPr>
        <w:t>投标（响应）报价＜全部通过符合性审查供应商投标（响应）报价平均值×50%；</w:t>
      </w:r>
    </w:p>
    <w:p w14:paraId="1527A619">
      <w:pPr>
        <w:spacing w:line="355" w:lineRule="auto"/>
        <w:rPr>
          <w:rFonts w:ascii="宋体" w:hAnsi="宋体" w:eastAsia="宋体" w:cs="宋体"/>
          <w:color w:val="auto"/>
          <w:sz w:val="20"/>
          <w:szCs w:val="20"/>
          <w:highlight w:val="none"/>
        </w:rPr>
        <w:sectPr>
          <w:footerReference r:id="rId36" w:type="default"/>
          <w:pgSz w:w="11910" w:h="16840"/>
          <w:pgMar w:top="1330" w:right="1466" w:bottom="1091" w:left="1686" w:header="0" w:footer="929" w:gutter="0"/>
          <w:pgNumType w:fmt="decimal"/>
          <w:cols w:space="720" w:num="1"/>
        </w:sectPr>
      </w:pPr>
    </w:p>
    <w:p w14:paraId="59407F5A">
      <w:pPr>
        <w:spacing w:before="40" w:line="377" w:lineRule="auto"/>
        <w:ind w:left="4" w:right="1" w:firstLine="415"/>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②投标（响应）报价低于通过符合性审查且报价次低供应商投标（响应）报价</w:t>
      </w:r>
      <w:r>
        <w:rPr>
          <w:rFonts w:ascii="宋体" w:hAnsi="宋体" w:eastAsia="宋体" w:cs="宋体"/>
          <w:color w:val="auto"/>
          <w:spacing w:val="-19"/>
          <w:sz w:val="20"/>
          <w:szCs w:val="20"/>
          <w:highlight w:val="none"/>
        </w:rPr>
        <w:t xml:space="preserve"> </w:t>
      </w:r>
      <w:r>
        <w:rPr>
          <w:rFonts w:ascii="宋体" w:hAnsi="宋体" w:eastAsia="宋体" w:cs="宋体"/>
          <w:color w:val="auto"/>
          <w:spacing w:val="13"/>
          <w:sz w:val="20"/>
          <w:szCs w:val="20"/>
          <w:highlight w:val="none"/>
        </w:rPr>
        <w:t>50%的，即</w:t>
      </w:r>
      <w:r>
        <w:rPr>
          <w:rFonts w:ascii="宋体" w:hAnsi="宋体" w:eastAsia="宋体" w:cs="宋体"/>
          <w:color w:val="auto"/>
          <w:spacing w:val="9"/>
          <w:sz w:val="20"/>
          <w:szCs w:val="20"/>
          <w:highlight w:val="none"/>
        </w:rPr>
        <w:t>投标（响应）报价＜通过符合性审查且报价</w:t>
      </w:r>
      <w:r>
        <w:rPr>
          <w:rFonts w:ascii="宋体" w:hAnsi="宋体" w:eastAsia="宋体" w:cs="宋体"/>
          <w:b/>
          <w:bCs/>
          <w:color w:val="auto"/>
          <w:spacing w:val="9"/>
          <w:sz w:val="20"/>
          <w:szCs w:val="20"/>
          <w:highlight w:val="none"/>
        </w:rPr>
        <w:t>次低</w:t>
      </w:r>
      <w:r>
        <w:rPr>
          <w:rFonts w:ascii="宋体" w:hAnsi="宋体" w:eastAsia="宋体" w:cs="宋体"/>
          <w:color w:val="auto"/>
          <w:spacing w:val="9"/>
          <w:sz w:val="20"/>
          <w:szCs w:val="20"/>
          <w:highlight w:val="none"/>
        </w:rPr>
        <w:t>供应商投标（响应）报价×50</w:t>
      </w:r>
      <w:r>
        <w:rPr>
          <w:rFonts w:ascii="宋体" w:hAnsi="宋体" w:eastAsia="宋体" w:cs="宋体"/>
          <w:color w:val="auto"/>
          <w:spacing w:val="8"/>
          <w:sz w:val="20"/>
          <w:szCs w:val="20"/>
          <w:highlight w:val="none"/>
        </w:rPr>
        <w:t>%；</w:t>
      </w:r>
    </w:p>
    <w:p w14:paraId="589EE0D9">
      <w:pPr>
        <w:spacing w:line="377" w:lineRule="auto"/>
        <w:ind w:left="16" w:right="3" w:firstLine="403"/>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③投标（响应）报价低于采购项目最高限价</w:t>
      </w:r>
      <w:r>
        <w:rPr>
          <w:rFonts w:ascii="宋体" w:hAnsi="宋体" w:eastAsia="宋体" w:cs="宋体"/>
          <w:color w:val="auto"/>
          <w:spacing w:val="-21"/>
          <w:sz w:val="20"/>
          <w:szCs w:val="20"/>
          <w:highlight w:val="none"/>
        </w:rPr>
        <w:t xml:space="preserve"> </w:t>
      </w:r>
      <w:r>
        <w:rPr>
          <w:rFonts w:ascii="宋体" w:hAnsi="宋体" w:eastAsia="宋体" w:cs="宋体"/>
          <w:color w:val="auto"/>
          <w:spacing w:val="13"/>
          <w:sz w:val="20"/>
          <w:szCs w:val="20"/>
          <w:highlight w:val="none"/>
        </w:rPr>
        <w:t>45%的，即投标（响应）报价＜采购项目最高</w:t>
      </w:r>
      <w:r>
        <w:rPr>
          <w:rFonts w:ascii="宋体" w:hAnsi="宋体" w:eastAsia="宋体" w:cs="宋体"/>
          <w:color w:val="auto"/>
          <w:spacing w:val="3"/>
          <w:sz w:val="20"/>
          <w:szCs w:val="20"/>
          <w:highlight w:val="none"/>
        </w:rPr>
        <w:t>限价×45%；</w:t>
      </w:r>
    </w:p>
    <w:p w14:paraId="63BFE8D0">
      <w:pPr>
        <w:spacing w:before="1" w:line="225"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④其他谈判小组认为供应商报价过低，有可能影响产品质量或者不能诚信履约的情形。</w:t>
      </w:r>
    </w:p>
    <w:p w14:paraId="38F3C3B2">
      <w:pPr>
        <w:spacing w:before="162" w:line="377" w:lineRule="auto"/>
        <w:ind w:left="1" w:right="3" w:firstLine="421"/>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6.2.2</w:t>
      </w:r>
      <w:r>
        <w:rPr>
          <w:rFonts w:ascii="宋体" w:hAnsi="宋体" w:eastAsia="宋体" w:cs="宋体"/>
          <w:color w:val="auto"/>
          <w:spacing w:val="-25"/>
          <w:sz w:val="20"/>
          <w:szCs w:val="20"/>
          <w:highlight w:val="none"/>
        </w:rPr>
        <w:t xml:space="preserve"> </w:t>
      </w:r>
      <w:r>
        <w:rPr>
          <w:rFonts w:ascii="宋体" w:hAnsi="宋体" w:eastAsia="宋体" w:cs="宋体"/>
          <w:color w:val="auto"/>
          <w:spacing w:val="13"/>
          <w:sz w:val="20"/>
          <w:szCs w:val="20"/>
          <w:highlight w:val="none"/>
        </w:rPr>
        <w:t>审查工作流程。谈判小组严格按照评审现场说明、综</w:t>
      </w:r>
      <w:r>
        <w:rPr>
          <w:rFonts w:ascii="宋体" w:hAnsi="宋体" w:eastAsia="宋体" w:cs="宋体"/>
          <w:color w:val="auto"/>
          <w:spacing w:val="12"/>
          <w:sz w:val="20"/>
          <w:szCs w:val="20"/>
          <w:highlight w:val="none"/>
        </w:rPr>
        <w:t>合评估研判和出具处理结果三</w:t>
      </w:r>
      <w:r>
        <w:rPr>
          <w:rFonts w:ascii="宋体" w:hAnsi="宋体" w:eastAsia="宋体" w:cs="宋体"/>
          <w:color w:val="auto"/>
          <w:spacing w:val="8"/>
          <w:sz w:val="20"/>
          <w:szCs w:val="20"/>
          <w:highlight w:val="none"/>
        </w:rPr>
        <w:t>个步骤开展审查流程。</w:t>
      </w:r>
    </w:p>
    <w:p w14:paraId="3680D6E1">
      <w:pPr>
        <w:spacing w:before="1" w:line="377" w:lineRule="auto"/>
        <w:ind w:left="12" w:right="1" w:firstLine="408"/>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①评审现场说明。谈判小组启动异常低价投标（响应）审查后，应当要求</w:t>
      </w:r>
      <w:r>
        <w:rPr>
          <w:rFonts w:ascii="宋体" w:hAnsi="宋体" w:eastAsia="宋体" w:cs="宋体"/>
          <w:color w:val="auto"/>
          <w:spacing w:val="12"/>
          <w:sz w:val="20"/>
          <w:szCs w:val="20"/>
          <w:highlight w:val="none"/>
        </w:rPr>
        <w:t>相关供应商在评审现场合理的时间内提供书面说明及必要的证明材料，对投标（响应）价格作出解释。书面说</w:t>
      </w:r>
      <w:r>
        <w:rPr>
          <w:rFonts w:ascii="宋体" w:hAnsi="宋体" w:eastAsia="宋体" w:cs="宋体"/>
          <w:color w:val="auto"/>
          <w:spacing w:val="9"/>
          <w:sz w:val="20"/>
          <w:szCs w:val="20"/>
          <w:highlight w:val="none"/>
        </w:rPr>
        <w:t>明、证明材料主要是项目具体成本测算等与报价合理性相关的说明、材料。</w:t>
      </w:r>
    </w:p>
    <w:p w14:paraId="419ED72E">
      <w:pPr>
        <w:spacing w:before="3" w:line="376" w:lineRule="auto"/>
        <w:ind w:right="1" w:firstLine="419"/>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②综合评估研判。谈判小组应当结合同类产品在主要电商平台的价格、该行</w:t>
      </w:r>
      <w:r>
        <w:rPr>
          <w:rFonts w:ascii="宋体" w:hAnsi="宋体" w:eastAsia="宋体" w:cs="宋体"/>
          <w:color w:val="auto"/>
          <w:spacing w:val="12"/>
          <w:sz w:val="20"/>
          <w:szCs w:val="20"/>
          <w:highlight w:val="none"/>
        </w:rPr>
        <w:t>业当地薪资水</w:t>
      </w:r>
      <w:r>
        <w:rPr>
          <w:rFonts w:ascii="宋体" w:hAnsi="宋体" w:eastAsia="宋体" w:cs="宋体"/>
          <w:color w:val="auto"/>
          <w:spacing w:val="13"/>
          <w:sz w:val="20"/>
          <w:szCs w:val="20"/>
          <w:highlight w:val="none"/>
        </w:rPr>
        <w:t>平等情况，依据专业经验对报价合理性进行判断。对异常低价存</w:t>
      </w:r>
      <w:r>
        <w:rPr>
          <w:rFonts w:ascii="宋体" w:hAnsi="宋体" w:eastAsia="宋体" w:cs="宋体"/>
          <w:color w:val="auto"/>
          <w:spacing w:val="12"/>
          <w:sz w:val="20"/>
          <w:szCs w:val="20"/>
          <w:highlight w:val="none"/>
        </w:rPr>
        <w:t>在争议的，应当按照少数服从</w:t>
      </w:r>
      <w:r>
        <w:rPr>
          <w:rFonts w:ascii="宋体" w:hAnsi="宋体" w:eastAsia="宋体" w:cs="宋体"/>
          <w:color w:val="auto"/>
          <w:spacing w:val="8"/>
          <w:sz w:val="20"/>
          <w:szCs w:val="20"/>
          <w:highlight w:val="none"/>
        </w:rPr>
        <w:t>多数的原则作出结论。</w:t>
      </w:r>
    </w:p>
    <w:p w14:paraId="08E70B29">
      <w:pPr>
        <w:spacing w:before="1" w:line="377" w:lineRule="auto"/>
        <w:ind w:left="3" w:right="1" w:firstLine="416"/>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③出具处理结果。如果投标（响应）供应商不提供书面说明、证明材料，或</w:t>
      </w:r>
      <w:r>
        <w:rPr>
          <w:rFonts w:ascii="宋体" w:hAnsi="宋体" w:eastAsia="宋体" w:cs="宋体"/>
          <w:color w:val="auto"/>
          <w:spacing w:val="12"/>
          <w:sz w:val="20"/>
          <w:szCs w:val="20"/>
          <w:highlight w:val="none"/>
        </w:rPr>
        <w:t>者提供的书面说明、证明材料不能证明其报价合理性的，</w:t>
      </w:r>
      <w:r>
        <w:rPr>
          <w:rFonts w:ascii="宋体" w:hAnsi="宋体" w:eastAsia="宋体" w:cs="宋体"/>
          <w:b/>
          <w:bCs/>
          <w:color w:val="auto"/>
          <w:spacing w:val="12"/>
          <w:sz w:val="20"/>
          <w:szCs w:val="20"/>
          <w:highlight w:val="none"/>
        </w:rPr>
        <w:t>应当将其作为无效投标（响应）</w:t>
      </w:r>
      <w:r>
        <w:rPr>
          <w:rFonts w:ascii="宋体" w:hAnsi="宋体" w:eastAsia="宋体" w:cs="宋体"/>
          <w:b/>
          <w:bCs/>
          <w:color w:val="auto"/>
          <w:spacing w:val="11"/>
          <w:sz w:val="20"/>
          <w:szCs w:val="20"/>
          <w:highlight w:val="none"/>
        </w:rPr>
        <w:t>处理</w:t>
      </w:r>
      <w:r>
        <w:rPr>
          <w:rFonts w:ascii="宋体" w:hAnsi="宋体" w:eastAsia="宋体" w:cs="宋体"/>
          <w:color w:val="auto"/>
          <w:spacing w:val="11"/>
          <w:sz w:val="20"/>
          <w:szCs w:val="20"/>
          <w:highlight w:val="none"/>
        </w:rPr>
        <w:t>。审查相关情</w:t>
      </w:r>
      <w:r>
        <w:rPr>
          <w:rFonts w:ascii="宋体" w:hAnsi="宋体" w:eastAsia="宋体" w:cs="宋体"/>
          <w:color w:val="auto"/>
          <w:spacing w:val="8"/>
          <w:sz w:val="20"/>
          <w:szCs w:val="20"/>
          <w:highlight w:val="none"/>
        </w:rPr>
        <w:t>况应当在评审报告中记录。</w:t>
      </w:r>
    </w:p>
    <w:p w14:paraId="65B04734">
      <w:pPr>
        <w:spacing w:line="377" w:lineRule="auto"/>
        <w:ind w:right="1" w:firstLine="423"/>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6.3</w:t>
      </w:r>
      <w:r>
        <w:rPr>
          <w:rFonts w:ascii="宋体" w:hAnsi="宋体" w:eastAsia="宋体" w:cs="宋体"/>
          <w:color w:val="auto"/>
          <w:spacing w:val="-11"/>
          <w:sz w:val="20"/>
          <w:szCs w:val="20"/>
          <w:highlight w:val="none"/>
        </w:rPr>
        <w:t xml:space="preserve"> </w:t>
      </w:r>
      <w:r>
        <w:rPr>
          <w:rFonts w:ascii="宋体" w:hAnsi="宋体" w:eastAsia="宋体" w:cs="宋体"/>
          <w:color w:val="auto"/>
          <w:spacing w:val="22"/>
          <w:sz w:val="20"/>
          <w:szCs w:val="20"/>
          <w:highlight w:val="none"/>
        </w:rPr>
        <w:t>按照《财政部、</w:t>
      </w:r>
      <w:r>
        <w:rPr>
          <w:rFonts w:ascii="宋体" w:hAnsi="宋体" w:eastAsia="宋体" w:cs="宋体"/>
          <w:color w:val="auto"/>
          <w:spacing w:val="-58"/>
          <w:sz w:val="20"/>
          <w:szCs w:val="20"/>
          <w:highlight w:val="none"/>
        </w:rPr>
        <w:t xml:space="preserve"> </w:t>
      </w:r>
      <w:r>
        <w:rPr>
          <w:rFonts w:ascii="宋体" w:hAnsi="宋体" w:eastAsia="宋体" w:cs="宋体"/>
          <w:color w:val="auto"/>
          <w:spacing w:val="22"/>
          <w:sz w:val="20"/>
          <w:szCs w:val="20"/>
          <w:highlight w:val="none"/>
        </w:rPr>
        <w:t>司法部关于政府采购支持监狱企业发展有</w:t>
      </w:r>
      <w:r>
        <w:rPr>
          <w:rFonts w:ascii="宋体" w:hAnsi="宋体" w:eastAsia="宋体" w:cs="宋体"/>
          <w:color w:val="auto"/>
          <w:spacing w:val="21"/>
          <w:sz w:val="20"/>
          <w:szCs w:val="20"/>
          <w:highlight w:val="none"/>
        </w:rPr>
        <w:t>关问题的通知》</w:t>
      </w:r>
      <w:r>
        <w:rPr>
          <w:rFonts w:ascii="宋体" w:hAnsi="宋体" w:eastAsia="宋体" w:cs="宋体"/>
          <w:color w:val="auto"/>
          <w:spacing w:val="-48"/>
          <w:sz w:val="20"/>
          <w:szCs w:val="20"/>
          <w:highlight w:val="none"/>
        </w:rPr>
        <w:t xml:space="preserve"> </w:t>
      </w:r>
      <w:r>
        <w:rPr>
          <w:rFonts w:ascii="宋体" w:hAnsi="宋体" w:eastAsia="宋体" w:cs="宋体"/>
          <w:color w:val="auto"/>
          <w:spacing w:val="21"/>
          <w:sz w:val="20"/>
          <w:szCs w:val="20"/>
          <w:highlight w:val="none"/>
        </w:rPr>
        <w:t>（财库</w:t>
      </w:r>
      <w:r>
        <w:rPr>
          <w:rFonts w:ascii="宋体" w:hAnsi="宋体" w:eastAsia="宋体" w:cs="宋体"/>
          <w:color w:val="auto"/>
          <w:spacing w:val="10"/>
          <w:sz w:val="20"/>
          <w:szCs w:val="20"/>
          <w:highlight w:val="none"/>
        </w:rPr>
        <w:t>〔2014〕68</w:t>
      </w:r>
      <w:r>
        <w:rPr>
          <w:rFonts w:ascii="宋体" w:hAnsi="宋体" w:eastAsia="宋体" w:cs="宋体"/>
          <w:color w:val="auto"/>
          <w:spacing w:val="-19"/>
          <w:sz w:val="20"/>
          <w:szCs w:val="20"/>
          <w:highlight w:val="none"/>
        </w:rPr>
        <w:t xml:space="preserve"> </w:t>
      </w:r>
      <w:r>
        <w:rPr>
          <w:rFonts w:ascii="宋体" w:hAnsi="宋体" w:eastAsia="宋体" w:cs="宋体"/>
          <w:color w:val="auto"/>
          <w:spacing w:val="10"/>
          <w:sz w:val="20"/>
          <w:szCs w:val="20"/>
          <w:highlight w:val="none"/>
        </w:rPr>
        <w:t>号）的规定，监狱企业视同小型、微型企业，享受预留份额、评审中价格扣除等促</w:t>
      </w:r>
      <w:r>
        <w:rPr>
          <w:rFonts w:ascii="宋体" w:hAnsi="宋体" w:eastAsia="宋体" w:cs="宋体"/>
          <w:color w:val="auto"/>
          <w:spacing w:val="13"/>
          <w:sz w:val="20"/>
          <w:szCs w:val="20"/>
          <w:highlight w:val="none"/>
        </w:rPr>
        <w:t>进中小企业发展的政府采购政策。监狱企业参加政府采购活动时，</w:t>
      </w:r>
      <w:r>
        <w:rPr>
          <w:rFonts w:ascii="宋体" w:hAnsi="宋体" w:eastAsia="宋体" w:cs="宋体"/>
          <w:color w:val="auto"/>
          <w:spacing w:val="12"/>
          <w:sz w:val="20"/>
          <w:szCs w:val="20"/>
          <w:highlight w:val="none"/>
        </w:rPr>
        <w:t>应当提供由省级以上监狱管理局、戒毒管理局（含新疆生产建设兵团）</w:t>
      </w:r>
      <w:r>
        <w:rPr>
          <w:rFonts w:ascii="宋体" w:hAnsi="宋体" w:eastAsia="宋体" w:cs="宋体"/>
          <w:color w:val="auto"/>
          <w:spacing w:val="-58"/>
          <w:sz w:val="20"/>
          <w:szCs w:val="20"/>
          <w:highlight w:val="none"/>
        </w:rPr>
        <w:t xml:space="preserve"> </w:t>
      </w:r>
      <w:r>
        <w:rPr>
          <w:rFonts w:ascii="宋体" w:hAnsi="宋体" w:eastAsia="宋体" w:cs="宋体"/>
          <w:color w:val="auto"/>
          <w:spacing w:val="12"/>
          <w:sz w:val="20"/>
          <w:szCs w:val="20"/>
          <w:highlight w:val="none"/>
        </w:rPr>
        <w:t>出具的属于监狱企业</w:t>
      </w:r>
      <w:r>
        <w:rPr>
          <w:rFonts w:ascii="宋体" w:hAnsi="宋体" w:eastAsia="宋体" w:cs="宋体"/>
          <w:color w:val="auto"/>
          <w:spacing w:val="11"/>
          <w:sz w:val="20"/>
          <w:szCs w:val="20"/>
          <w:highlight w:val="none"/>
        </w:rPr>
        <w:t>的证明文件。监狱企业属于小</w:t>
      </w:r>
      <w:r>
        <w:rPr>
          <w:rFonts w:ascii="宋体" w:hAnsi="宋体" w:eastAsia="宋体" w:cs="宋体"/>
          <w:color w:val="auto"/>
          <w:spacing w:val="8"/>
          <w:sz w:val="20"/>
          <w:szCs w:val="20"/>
          <w:highlight w:val="none"/>
        </w:rPr>
        <w:t>型、微型企业的，不重复享受政策。</w:t>
      </w:r>
    </w:p>
    <w:p w14:paraId="56068A1B">
      <w:pPr>
        <w:spacing w:line="377" w:lineRule="auto"/>
        <w:ind w:right="1" w:firstLine="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w:t>
      </w:r>
      <w:r>
        <w:rPr>
          <w:rFonts w:hint="eastAsia" w:ascii="宋体" w:hAnsi="宋体" w:eastAsia="宋体" w:cs="宋体"/>
          <w:color w:val="auto"/>
          <w:spacing w:val="8"/>
          <w:sz w:val="20"/>
          <w:szCs w:val="20"/>
          <w:highlight w:val="none"/>
          <w:lang w:val="en-US" w:eastAsia="zh-CN"/>
        </w:rPr>
        <w:t>4</w:t>
      </w:r>
      <w:r>
        <w:rPr>
          <w:rFonts w:ascii="宋体" w:hAnsi="宋体" w:eastAsia="宋体" w:cs="宋体"/>
          <w:color w:val="auto"/>
          <w:spacing w:val="-21"/>
          <w:sz w:val="20"/>
          <w:szCs w:val="20"/>
          <w:highlight w:val="none"/>
        </w:rPr>
        <w:t xml:space="preserve"> </w:t>
      </w:r>
      <w:r>
        <w:rPr>
          <w:rFonts w:ascii="宋体" w:hAnsi="宋体" w:eastAsia="宋体" w:cs="宋体"/>
          <w:color w:val="auto"/>
          <w:spacing w:val="8"/>
          <w:sz w:val="20"/>
          <w:szCs w:val="20"/>
          <w:highlight w:val="none"/>
        </w:rPr>
        <w:t>按照《关于促进残疾人就业政府采购政策的通知》（财库〔2017〕141</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号）的规定，残</w:t>
      </w:r>
      <w:r>
        <w:rPr>
          <w:rFonts w:ascii="宋体" w:hAnsi="宋体" w:eastAsia="宋体" w:cs="宋体"/>
          <w:color w:val="auto"/>
          <w:spacing w:val="13"/>
          <w:sz w:val="20"/>
          <w:szCs w:val="20"/>
          <w:highlight w:val="none"/>
        </w:rPr>
        <w:t>疾人福利性单位视同小型、微型企业，享受预留份额、评审中价</w:t>
      </w:r>
      <w:r>
        <w:rPr>
          <w:rFonts w:ascii="宋体" w:hAnsi="宋体" w:eastAsia="宋体" w:cs="宋体"/>
          <w:color w:val="auto"/>
          <w:spacing w:val="12"/>
          <w:sz w:val="20"/>
          <w:szCs w:val="20"/>
          <w:highlight w:val="none"/>
        </w:rPr>
        <w:t>格扣除等促进中小企业发展的</w:t>
      </w:r>
      <w:r>
        <w:rPr>
          <w:rFonts w:ascii="宋体" w:hAnsi="宋体" w:eastAsia="宋体" w:cs="宋体"/>
          <w:color w:val="auto"/>
          <w:spacing w:val="13"/>
          <w:sz w:val="20"/>
          <w:szCs w:val="20"/>
          <w:highlight w:val="none"/>
        </w:rPr>
        <w:t>政府采购政策。残疾人福利性单位参加政府采购活动时，应当提</w:t>
      </w:r>
      <w:r>
        <w:rPr>
          <w:rFonts w:ascii="宋体" w:hAnsi="宋体" w:eastAsia="宋体" w:cs="宋体"/>
          <w:color w:val="auto"/>
          <w:spacing w:val="12"/>
          <w:sz w:val="20"/>
          <w:szCs w:val="20"/>
          <w:highlight w:val="none"/>
        </w:rPr>
        <w:t>供该通知规定的《残疾人福利性单位声明函》</w:t>
      </w:r>
      <w:r>
        <w:rPr>
          <w:rFonts w:ascii="宋体" w:hAnsi="宋体" w:eastAsia="宋体" w:cs="宋体"/>
          <w:color w:val="auto"/>
          <w:spacing w:val="-59"/>
          <w:sz w:val="20"/>
          <w:szCs w:val="20"/>
          <w:highlight w:val="none"/>
        </w:rPr>
        <w:t xml:space="preserve"> </w:t>
      </w:r>
      <w:r>
        <w:rPr>
          <w:rFonts w:ascii="宋体" w:hAnsi="宋体" w:eastAsia="宋体" w:cs="宋体"/>
          <w:color w:val="auto"/>
          <w:spacing w:val="12"/>
          <w:sz w:val="20"/>
          <w:szCs w:val="20"/>
          <w:highlight w:val="none"/>
        </w:rPr>
        <w:t>，并对声明的真实性负责。残疾人福利性单位属</w:t>
      </w:r>
      <w:r>
        <w:rPr>
          <w:rFonts w:ascii="宋体" w:hAnsi="宋体" w:eastAsia="宋体" w:cs="宋体"/>
          <w:color w:val="auto"/>
          <w:spacing w:val="11"/>
          <w:sz w:val="20"/>
          <w:szCs w:val="20"/>
          <w:highlight w:val="none"/>
        </w:rPr>
        <w:t>于小型、微型企业的，不重复</w:t>
      </w:r>
      <w:r>
        <w:rPr>
          <w:rFonts w:ascii="宋体" w:hAnsi="宋体" w:eastAsia="宋体" w:cs="宋体"/>
          <w:color w:val="auto"/>
          <w:spacing w:val="6"/>
          <w:sz w:val="20"/>
          <w:szCs w:val="20"/>
          <w:highlight w:val="none"/>
        </w:rPr>
        <w:t>享受政策。</w:t>
      </w:r>
    </w:p>
    <w:p w14:paraId="2E850DB8">
      <w:pPr>
        <w:spacing w:before="1" w:line="226"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6.</w:t>
      </w:r>
      <w:r>
        <w:rPr>
          <w:rFonts w:hint="eastAsia" w:ascii="宋体" w:hAnsi="宋体" w:eastAsia="宋体" w:cs="宋体"/>
          <w:color w:val="auto"/>
          <w:spacing w:val="7"/>
          <w:sz w:val="20"/>
          <w:szCs w:val="20"/>
          <w:highlight w:val="none"/>
          <w:lang w:val="en-US" w:eastAsia="zh-CN"/>
        </w:rPr>
        <w:t>5</w:t>
      </w:r>
      <w:r>
        <w:rPr>
          <w:rFonts w:ascii="宋体" w:hAnsi="宋体" w:eastAsia="宋体" w:cs="宋体"/>
          <w:color w:val="auto"/>
          <w:spacing w:val="7"/>
          <w:sz w:val="20"/>
          <w:szCs w:val="20"/>
          <w:highlight w:val="none"/>
        </w:rPr>
        <w:t>本国产品政策性扣除计算方法。</w:t>
      </w:r>
    </w:p>
    <w:p w14:paraId="0B2B99EB">
      <w:pPr>
        <w:spacing w:before="163" w:line="378" w:lineRule="auto"/>
        <w:ind w:left="22" w:firstLine="399"/>
        <w:jc w:val="both"/>
        <w:rPr>
          <w:rFonts w:ascii="宋体" w:hAnsi="宋体" w:eastAsia="宋体" w:cs="宋体"/>
          <w:color w:val="auto"/>
          <w:sz w:val="20"/>
          <w:szCs w:val="20"/>
          <w:highlight w:val="none"/>
        </w:rPr>
      </w:pPr>
      <w:r>
        <w:rPr>
          <w:rFonts w:ascii="宋体" w:hAnsi="宋体" w:eastAsia="宋体" w:cs="宋体"/>
          <w:color w:val="auto"/>
          <w:spacing w:val="18"/>
          <w:sz w:val="20"/>
          <w:szCs w:val="20"/>
          <w:highlight w:val="none"/>
        </w:rPr>
        <w:t>根据《国务院办公厅关于在政府采购中实施本</w:t>
      </w:r>
      <w:r>
        <w:rPr>
          <w:rFonts w:ascii="宋体" w:hAnsi="宋体" w:eastAsia="宋体" w:cs="宋体"/>
          <w:color w:val="auto"/>
          <w:spacing w:val="17"/>
          <w:sz w:val="20"/>
          <w:szCs w:val="20"/>
          <w:highlight w:val="none"/>
        </w:rPr>
        <w:t>国产品标准及相关政策的通知》</w:t>
      </w:r>
      <w:r>
        <w:rPr>
          <w:rFonts w:ascii="宋体" w:hAnsi="宋体" w:eastAsia="宋体" w:cs="宋体"/>
          <w:color w:val="auto"/>
          <w:spacing w:val="-67"/>
          <w:sz w:val="20"/>
          <w:szCs w:val="20"/>
          <w:highlight w:val="none"/>
        </w:rPr>
        <w:t xml:space="preserve"> </w:t>
      </w:r>
      <w:r>
        <w:rPr>
          <w:rFonts w:ascii="宋体" w:hAnsi="宋体" w:eastAsia="宋体" w:cs="宋体"/>
          <w:color w:val="auto"/>
          <w:spacing w:val="17"/>
          <w:sz w:val="20"/>
          <w:szCs w:val="20"/>
          <w:highlight w:val="none"/>
        </w:rPr>
        <w:t>（国办发</w:t>
      </w:r>
      <w:r>
        <w:rPr>
          <w:rFonts w:ascii="宋体" w:hAnsi="宋体" w:eastAsia="宋体" w:cs="宋体"/>
          <w:color w:val="auto"/>
          <w:spacing w:val="10"/>
          <w:sz w:val="20"/>
          <w:szCs w:val="20"/>
          <w:highlight w:val="none"/>
        </w:rPr>
        <w:t>〔2025〕34</w:t>
      </w:r>
      <w:r>
        <w:rPr>
          <w:rFonts w:ascii="宋体" w:hAnsi="宋体" w:eastAsia="宋体" w:cs="宋体"/>
          <w:color w:val="auto"/>
          <w:spacing w:val="-33"/>
          <w:sz w:val="20"/>
          <w:szCs w:val="20"/>
          <w:highlight w:val="none"/>
        </w:rPr>
        <w:t xml:space="preserve"> </w:t>
      </w:r>
      <w:r>
        <w:rPr>
          <w:rFonts w:ascii="宋体" w:hAnsi="宋体" w:eastAsia="宋体" w:cs="宋体"/>
          <w:color w:val="auto"/>
          <w:spacing w:val="10"/>
          <w:sz w:val="20"/>
          <w:szCs w:val="20"/>
          <w:highlight w:val="none"/>
        </w:rPr>
        <w:t>号）的规定，政府采购活动中既有本国产品又有非本国产品参</w:t>
      </w:r>
      <w:r>
        <w:rPr>
          <w:rFonts w:ascii="宋体" w:hAnsi="宋体" w:eastAsia="宋体" w:cs="宋体"/>
          <w:color w:val="auto"/>
          <w:spacing w:val="9"/>
          <w:sz w:val="20"/>
          <w:szCs w:val="20"/>
          <w:highlight w:val="none"/>
        </w:rPr>
        <w:t>与竞争的，依法对本</w:t>
      </w:r>
      <w:r>
        <w:rPr>
          <w:rFonts w:ascii="宋体" w:hAnsi="宋体" w:eastAsia="宋体" w:cs="宋体"/>
          <w:color w:val="auto"/>
          <w:spacing w:val="8"/>
          <w:sz w:val="20"/>
          <w:szCs w:val="20"/>
          <w:highlight w:val="none"/>
        </w:rPr>
        <w:t>国产品给予价格评审优惠，对本国产品的报价给予</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20%的价格扣除，用扣</w:t>
      </w:r>
      <w:r>
        <w:rPr>
          <w:rFonts w:ascii="宋体" w:hAnsi="宋体" w:eastAsia="宋体" w:cs="宋体"/>
          <w:color w:val="auto"/>
          <w:spacing w:val="7"/>
          <w:sz w:val="20"/>
          <w:szCs w:val="20"/>
          <w:highlight w:val="none"/>
        </w:rPr>
        <w:t>除后的价格参与评审。</w:t>
      </w:r>
    </w:p>
    <w:p w14:paraId="6895BB1E">
      <w:pPr>
        <w:spacing w:line="378" w:lineRule="auto"/>
        <w:rPr>
          <w:rFonts w:ascii="宋体" w:hAnsi="宋体" w:eastAsia="宋体" w:cs="宋体"/>
          <w:color w:val="auto"/>
          <w:sz w:val="20"/>
          <w:szCs w:val="20"/>
          <w:highlight w:val="none"/>
        </w:rPr>
        <w:sectPr>
          <w:footerReference r:id="rId37" w:type="default"/>
          <w:pgSz w:w="11910" w:h="16840"/>
          <w:pgMar w:top="1330" w:right="1499" w:bottom="1091" w:left="1686" w:header="0" w:footer="929" w:gutter="0"/>
          <w:pgNumType w:fmt="decimal"/>
          <w:cols w:space="720" w:num="1"/>
        </w:sectPr>
      </w:pPr>
    </w:p>
    <w:p w14:paraId="32D5F1C0">
      <w:pPr>
        <w:spacing w:before="41" w:line="377" w:lineRule="auto"/>
        <w:ind w:left="1" w:right="34" w:firstLine="433"/>
        <w:jc w:val="both"/>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当采购项目或者采购包中含有多种产品，供应商为该采购项目或者采购包提供的符合本国</w:t>
      </w:r>
      <w:r>
        <w:rPr>
          <w:rFonts w:ascii="宋体" w:hAnsi="宋体" w:eastAsia="宋体" w:cs="宋体"/>
          <w:color w:val="auto"/>
          <w:spacing w:val="13"/>
          <w:sz w:val="20"/>
          <w:szCs w:val="20"/>
          <w:highlight w:val="none"/>
        </w:rPr>
        <w:t>产品标准的产品成本之和占该供应商提供的全部产品成本之和的比例达到</w:t>
      </w:r>
      <w:r>
        <w:rPr>
          <w:rFonts w:ascii="宋体" w:hAnsi="宋体" w:eastAsia="宋体" w:cs="宋体"/>
          <w:color w:val="auto"/>
          <w:spacing w:val="-27"/>
          <w:sz w:val="20"/>
          <w:szCs w:val="20"/>
          <w:highlight w:val="none"/>
        </w:rPr>
        <w:t xml:space="preserve"> </w:t>
      </w:r>
      <w:r>
        <w:rPr>
          <w:rFonts w:ascii="宋体" w:hAnsi="宋体" w:eastAsia="宋体" w:cs="宋体"/>
          <w:color w:val="auto"/>
          <w:spacing w:val="13"/>
          <w:sz w:val="20"/>
          <w:szCs w:val="20"/>
          <w:highlight w:val="none"/>
        </w:rPr>
        <w:t>80%以上时，依法对该供应商提供的全部产品给予价格评审优惠，即对该供应商提供的全部产品的总报价给予</w:t>
      </w:r>
      <w:r>
        <w:rPr>
          <w:rFonts w:ascii="宋体" w:hAnsi="宋体" w:eastAsia="宋体" w:cs="宋体"/>
          <w:color w:val="auto"/>
          <w:spacing w:val="-26"/>
          <w:sz w:val="20"/>
          <w:szCs w:val="20"/>
          <w:highlight w:val="none"/>
        </w:rPr>
        <w:t xml:space="preserve"> </w:t>
      </w:r>
      <w:r>
        <w:rPr>
          <w:rFonts w:ascii="宋体" w:hAnsi="宋体" w:eastAsia="宋体" w:cs="宋体"/>
          <w:color w:val="auto"/>
          <w:spacing w:val="13"/>
          <w:sz w:val="20"/>
          <w:szCs w:val="20"/>
          <w:highlight w:val="none"/>
        </w:rPr>
        <w:t>20%</w:t>
      </w:r>
      <w:r>
        <w:rPr>
          <w:rFonts w:ascii="宋体" w:hAnsi="宋体" w:eastAsia="宋体" w:cs="宋体"/>
          <w:color w:val="auto"/>
          <w:spacing w:val="10"/>
          <w:sz w:val="20"/>
          <w:szCs w:val="20"/>
          <w:highlight w:val="none"/>
        </w:rPr>
        <w:t>的价格扣除，用扣除后的价格参与评审。未达到80%，不享受价格评审优惠。</w:t>
      </w:r>
    </w:p>
    <w:p w14:paraId="6BEA977A">
      <w:pPr>
        <w:spacing w:before="1" w:line="226" w:lineRule="auto"/>
        <w:ind w:left="425"/>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如果所有参与竞争的供应商均可享受本国产品价格评审优惠，则统一不进行价格扣除。</w:t>
      </w:r>
    </w:p>
    <w:p w14:paraId="71E5AEBD">
      <w:pPr>
        <w:spacing w:before="162" w:line="377" w:lineRule="auto"/>
        <w:ind w:left="6" w:right="35" w:firstLine="414"/>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供应商在其响应文件中提供《关于符合本国产品标准的声明函》或财政</w:t>
      </w:r>
      <w:r>
        <w:rPr>
          <w:rFonts w:ascii="宋体" w:hAnsi="宋体" w:eastAsia="宋体" w:cs="宋体"/>
          <w:color w:val="auto"/>
          <w:spacing w:val="12"/>
          <w:sz w:val="20"/>
          <w:szCs w:val="20"/>
          <w:highlight w:val="none"/>
        </w:rPr>
        <w:t>部会同有关部门规</w:t>
      </w:r>
      <w:r>
        <w:rPr>
          <w:rFonts w:ascii="宋体" w:hAnsi="宋体" w:eastAsia="宋体" w:cs="宋体"/>
          <w:color w:val="auto"/>
          <w:spacing w:val="9"/>
          <w:sz w:val="20"/>
          <w:szCs w:val="20"/>
          <w:highlight w:val="none"/>
        </w:rPr>
        <w:t>定的有关证明文件，出具符合要求的《声明函》或有关证明文件的，该产品视为本国产品。</w:t>
      </w:r>
    </w:p>
    <w:p w14:paraId="33056A4B">
      <w:pPr>
        <w:spacing w:line="377" w:lineRule="auto"/>
        <w:ind w:left="2" w:right="37" w:firstLine="420"/>
        <w:rPr>
          <w:rFonts w:ascii="宋体" w:hAnsi="宋体" w:eastAsia="宋体" w:cs="宋体"/>
          <w:color w:val="auto"/>
          <w:sz w:val="20"/>
          <w:szCs w:val="20"/>
          <w:highlight w:val="none"/>
        </w:rPr>
      </w:pPr>
      <w:r>
        <w:rPr>
          <w:rFonts w:ascii="宋体" w:hAnsi="宋体" w:eastAsia="宋体" w:cs="宋体"/>
          <w:b/>
          <w:bCs/>
          <w:color w:val="auto"/>
          <w:spacing w:val="11"/>
          <w:sz w:val="20"/>
          <w:szCs w:val="20"/>
          <w:highlight w:val="none"/>
        </w:rPr>
        <w:t>6.</w:t>
      </w:r>
      <w:r>
        <w:rPr>
          <w:rFonts w:hint="eastAsia" w:ascii="宋体" w:hAnsi="宋体" w:eastAsia="宋体" w:cs="宋体"/>
          <w:b/>
          <w:bCs/>
          <w:color w:val="auto"/>
          <w:spacing w:val="11"/>
          <w:sz w:val="20"/>
          <w:szCs w:val="20"/>
          <w:highlight w:val="none"/>
          <w:lang w:val="en-US" w:eastAsia="zh-CN"/>
        </w:rPr>
        <w:t>6</w:t>
      </w:r>
      <w:r>
        <w:rPr>
          <w:rFonts w:ascii="宋体" w:hAnsi="宋体" w:eastAsia="宋体" w:cs="宋体"/>
          <w:color w:val="auto"/>
          <w:spacing w:val="-29"/>
          <w:sz w:val="20"/>
          <w:szCs w:val="20"/>
          <w:highlight w:val="none"/>
        </w:rPr>
        <w:t xml:space="preserve"> </w:t>
      </w:r>
      <w:r>
        <w:rPr>
          <w:rFonts w:ascii="宋体" w:hAnsi="宋体" w:eastAsia="宋体" w:cs="宋体"/>
          <w:b/>
          <w:bCs/>
          <w:color w:val="auto"/>
          <w:spacing w:val="11"/>
          <w:sz w:val="20"/>
          <w:szCs w:val="20"/>
          <w:highlight w:val="none"/>
        </w:rPr>
        <w:t>供应商享受本国产品政策性折扣的，用扣除后的价格参加评审，除上述情况外，评审</w:t>
      </w:r>
      <w:r>
        <w:rPr>
          <w:rFonts w:ascii="宋体" w:hAnsi="宋体" w:eastAsia="宋体" w:cs="宋体"/>
          <w:b/>
          <w:bCs/>
          <w:color w:val="auto"/>
          <w:spacing w:val="5"/>
          <w:sz w:val="20"/>
          <w:szCs w:val="20"/>
          <w:highlight w:val="none"/>
        </w:rPr>
        <w:t>价=竞标报价。</w:t>
      </w:r>
    </w:p>
    <w:p w14:paraId="5B71D199">
      <w:pPr>
        <w:spacing w:line="325" w:lineRule="auto"/>
        <w:rPr>
          <w:rFonts w:ascii="Arial"/>
          <w:color w:val="auto"/>
          <w:sz w:val="21"/>
          <w:highlight w:val="none"/>
        </w:rPr>
      </w:pPr>
    </w:p>
    <w:p w14:paraId="231F8542">
      <w:pPr>
        <w:spacing w:before="100" w:line="225" w:lineRule="auto"/>
        <w:ind w:left="2929"/>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二、评定成交的标准</w:t>
      </w:r>
    </w:p>
    <w:p w14:paraId="2635884D">
      <w:pPr>
        <w:spacing w:before="229" w:line="222" w:lineRule="auto"/>
        <w:ind w:left="486"/>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7.</w:t>
      </w:r>
      <w:r>
        <w:rPr>
          <w:rFonts w:ascii="黑体" w:hAnsi="黑体" w:eastAsia="黑体" w:cs="黑体"/>
          <w:color w:val="auto"/>
          <w:spacing w:val="-3"/>
          <w:sz w:val="24"/>
          <w:szCs w:val="24"/>
          <w:highlight w:val="none"/>
        </w:rPr>
        <w:t xml:space="preserve"> </w:t>
      </w:r>
      <w:r>
        <w:rPr>
          <w:rFonts w:ascii="黑体" w:hAnsi="黑体" w:eastAsia="黑体" w:cs="黑体"/>
          <w:b/>
          <w:bCs/>
          <w:color w:val="auto"/>
          <w:spacing w:val="-3"/>
          <w:sz w:val="24"/>
          <w:szCs w:val="24"/>
          <w:highlight w:val="none"/>
        </w:rPr>
        <w:t>成交候选人推荐原则</w:t>
      </w:r>
    </w:p>
    <w:p w14:paraId="7307530F">
      <w:pPr>
        <w:spacing w:before="175" w:line="377" w:lineRule="auto"/>
        <w:ind w:firstLine="420"/>
        <w:jc w:val="both"/>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谈判小组应当从质量和服务均能满足谈判文件实质性响应要求的供应商中</w:t>
      </w:r>
      <w:r>
        <w:rPr>
          <w:rFonts w:ascii="宋体" w:hAnsi="宋体" w:eastAsia="宋体" w:cs="宋体"/>
          <w:color w:val="auto"/>
          <w:spacing w:val="12"/>
          <w:sz w:val="20"/>
          <w:szCs w:val="20"/>
          <w:highlight w:val="none"/>
        </w:rPr>
        <w:t>，按照评审价由</w:t>
      </w:r>
      <w:r>
        <w:rPr>
          <w:rFonts w:ascii="宋体" w:hAnsi="宋体" w:eastAsia="宋体" w:cs="宋体"/>
          <w:color w:val="auto"/>
          <w:spacing w:val="8"/>
          <w:sz w:val="20"/>
          <w:szCs w:val="20"/>
          <w:highlight w:val="none"/>
        </w:rPr>
        <w:t>低到高的顺序提出</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名以上成交候选人（评审价相同时，按照最后报价由低</w:t>
      </w:r>
      <w:r>
        <w:rPr>
          <w:rFonts w:ascii="宋体" w:hAnsi="宋体" w:eastAsia="宋体" w:cs="宋体"/>
          <w:color w:val="auto"/>
          <w:spacing w:val="7"/>
          <w:sz w:val="20"/>
          <w:szCs w:val="20"/>
          <w:highlight w:val="none"/>
        </w:rPr>
        <w:t>到高顺序依次推荐；</w:t>
      </w:r>
      <w:r>
        <w:rPr>
          <w:rFonts w:ascii="宋体" w:hAnsi="宋体" w:eastAsia="宋体" w:cs="宋体"/>
          <w:color w:val="auto"/>
          <w:spacing w:val="8"/>
          <w:sz w:val="20"/>
          <w:szCs w:val="20"/>
          <w:highlight w:val="none"/>
        </w:rPr>
        <w:t>最后报价相同时，由谈判小组按“供应商须知前附表</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”第</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26</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条规定的顺序推荐</w:t>
      </w:r>
      <w:r>
        <w:rPr>
          <w:rFonts w:ascii="宋体" w:hAnsi="宋体" w:eastAsia="宋体" w:cs="宋体"/>
          <w:color w:val="auto"/>
          <w:spacing w:val="23"/>
          <w:sz w:val="20"/>
          <w:szCs w:val="20"/>
          <w:highlight w:val="none"/>
        </w:rPr>
        <w:t>），</w:t>
      </w:r>
      <w:r>
        <w:rPr>
          <w:rFonts w:ascii="宋体" w:hAnsi="宋体" w:eastAsia="宋体" w:cs="宋体"/>
          <w:color w:val="auto"/>
          <w:spacing w:val="8"/>
          <w:sz w:val="20"/>
          <w:szCs w:val="20"/>
          <w:highlight w:val="none"/>
        </w:rPr>
        <w:t>并编写评审</w:t>
      </w:r>
      <w:r>
        <w:rPr>
          <w:rFonts w:ascii="宋体" w:hAnsi="宋体" w:eastAsia="宋体" w:cs="宋体"/>
          <w:color w:val="auto"/>
          <w:spacing w:val="9"/>
          <w:sz w:val="20"/>
          <w:szCs w:val="20"/>
          <w:highlight w:val="none"/>
        </w:rPr>
        <w:t>报告，并通过电子交易平台向采购人、采购代理机构提交。</w:t>
      </w:r>
    </w:p>
    <w:p w14:paraId="52DA7DD2">
      <w:pPr>
        <w:spacing w:line="377" w:lineRule="auto"/>
        <w:rPr>
          <w:rFonts w:ascii="宋体" w:hAnsi="宋体" w:eastAsia="宋体" w:cs="宋体"/>
          <w:color w:val="auto"/>
          <w:sz w:val="20"/>
          <w:szCs w:val="20"/>
          <w:highlight w:val="none"/>
        </w:rPr>
        <w:sectPr>
          <w:footerReference r:id="rId38" w:type="default"/>
          <w:pgSz w:w="11910" w:h="16840"/>
          <w:pgMar w:top="1330" w:right="1465" w:bottom="1091" w:left="1686" w:header="0" w:footer="929" w:gutter="0"/>
          <w:pgNumType w:fmt="decimal"/>
          <w:cols w:space="720" w:num="1"/>
        </w:sectPr>
      </w:pPr>
    </w:p>
    <w:p w14:paraId="067925C5">
      <w:pPr>
        <w:spacing w:line="253" w:lineRule="auto"/>
        <w:rPr>
          <w:rFonts w:ascii="Arial"/>
          <w:color w:val="auto"/>
          <w:sz w:val="21"/>
          <w:highlight w:val="none"/>
        </w:rPr>
      </w:pPr>
    </w:p>
    <w:p w14:paraId="202D7969">
      <w:pPr>
        <w:spacing w:line="253" w:lineRule="auto"/>
        <w:rPr>
          <w:rFonts w:ascii="Arial"/>
          <w:color w:val="auto"/>
          <w:sz w:val="21"/>
          <w:highlight w:val="none"/>
        </w:rPr>
      </w:pPr>
    </w:p>
    <w:p w14:paraId="60B191C2">
      <w:pPr>
        <w:spacing w:line="253" w:lineRule="auto"/>
        <w:rPr>
          <w:rFonts w:ascii="Arial"/>
          <w:color w:val="auto"/>
          <w:sz w:val="21"/>
          <w:highlight w:val="none"/>
        </w:rPr>
      </w:pPr>
    </w:p>
    <w:p w14:paraId="567A12C4">
      <w:pPr>
        <w:spacing w:line="253" w:lineRule="auto"/>
        <w:rPr>
          <w:rFonts w:ascii="Arial"/>
          <w:color w:val="auto"/>
          <w:sz w:val="21"/>
          <w:highlight w:val="none"/>
        </w:rPr>
      </w:pPr>
    </w:p>
    <w:p w14:paraId="5B2E10CF">
      <w:pPr>
        <w:spacing w:line="253" w:lineRule="auto"/>
        <w:rPr>
          <w:rFonts w:ascii="Arial"/>
          <w:color w:val="auto"/>
          <w:sz w:val="21"/>
          <w:highlight w:val="none"/>
        </w:rPr>
      </w:pPr>
    </w:p>
    <w:p w14:paraId="3B8455F4">
      <w:pPr>
        <w:spacing w:line="253" w:lineRule="auto"/>
        <w:rPr>
          <w:rFonts w:ascii="Arial"/>
          <w:color w:val="auto"/>
          <w:sz w:val="21"/>
          <w:highlight w:val="none"/>
        </w:rPr>
      </w:pPr>
    </w:p>
    <w:p w14:paraId="1193208C">
      <w:pPr>
        <w:spacing w:line="253" w:lineRule="auto"/>
        <w:rPr>
          <w:rFonts w:ascii="Arial"/>
          <w:color w:val="auto"/>
          <w:sz w:val="21"/>
          <w:highlight w:val="none"/>
        </w:rPr>
      </w:pPr>
    </w:p>
    <w:p w14:paraId="0D744166">
      <w:pPr>
        <w:spacing w:line="253" w:lineRule="auto"/>
        <w:rPr>
          <w:rFonts w:ascii="Arial"/>
          <w:color w:val="auto"/>
          <w:sz w:val="21"/>
          <w:highlight w:val="none"/>
        </w:rPr>
      </w:pPr>
    </w:p>
    <w:p w14:paraId="6D1B3428">
      <w:pPr>
        <w:spacing w:line="254" w:lineRule="auto"/>
        <w:rPr>
          <w:rFonts w:ascii="Arial"/>
          <w:color w:val="auto"/>
          <w:sz w:val="21"/>
          <w:highlight w:val="none"/>
        </w:rPr>
      </w:pPr>
    </w:p>
    <w:p w14:paraId="6AF68433">
      <w:pPr>
        <w:spacing w:line="254" w:lineRule="auto"/>
        <w:rPr>
          <w:rFonts w:ascii="Arial"/>
          <w:color w:val="auto"/>
          <w:sz w:val="21"/>
          <w:highlight w:val="none"/>
        </w:rPr>
      </w:pPr>
    </w:p>
    <w:p w14:paraId="1B621330">
      <w:pPr>
        <w:spacing w:line="254" w:lineRule="auto"/>
        <w:rPr>
          <w:rFonts w:ascii="Arial"/>
          <w:color w:val="auto"/>
          <w:sz w:val="21"/>
          <w:highlight w:val="none"/>
        </w:rPr>
      </w:pPr>
    </w:p>
    <w:p w14:paraId="28C1CC20">
      <w:pPr>
        <w:spacing w:line="254" w:lineRule="auto"/>
        <w:rPr>
          <w:rFonts w:ascii="Arial"/>
          <w:color w:val="auto"/>
          <w:sz w:val="21"/>
          <w:highlight w:val="none"/>
        </w:rPr>
      </w:pPr>
    </w:p>
    <w:p w14:paraId="74129872">
      <w:pPr>
        <w:spacing w:line="254" w:lineRule="auto"/>
        <w:rPr>
          <w:rFonts w:ascii="Arial"/>
          <w:color w:val="auto"/>
          <w:sz w:val="21"/>
          <w:highlight w:val="none"/>
        </w:rPr>
      </w:pPr>
    </w:p>
    <w:p w14:paraId="5DEE20F2">
      <w:pPr>
        <w:spacing w:before="140" w:line="222" w:lineRule="auto"/>
        <w:ind w:left="2178"/>
        <w:outlineLvl w:val="0"/>
        <w:rPr>
          <w:rFonts w:ascii="宋体" w:hAnsi="宋体" w:eastAsia="宋体" w:cs="宋体"/>
          <w:color w:val="auto"/>
          <w:sz w:val="43"/>
          <w:szCs w:val="43"/>
          <w:highlight w:val="none"/>
        </w:rPr>
      </w:pPr>
      <w:bookmarkStart w:id="8" w:name="_Toc28901"/>
      <w:r>
        <w:rPr>
          <w:rFonts w:ascii="宋体" w:hAnsi="宋体" w:eastAsia="宋体" w:cs="宋体"/>
          <w:b/>
          <w:bCs/>
          <w:color w:val="auto"/>
          <w:sz w:val="43"/>
          <w:szCs w:val="43"/>
          <w:highlight w:val="none"/>
        </w:rPr>
        <w:t>第五章</w:t>
      </w:r>
      <w:r>
        <w:rPr>
          <w:rFonts w:ascii="宋体" w:hAnsi="宋体" w:eastAsia="宋体" w:cs="宋体"/>
          <w:color w:val="auto"/>
          <w:spacing w:val="46"/>
          <w:sz w:val="43"/>
          <w:szCs w:val="43"/>
          <w:highlight w:val="none"/>
        </w:rPr>
        <w:t xml:space="preserve"> </w:t>
      </w:r>
      <w:r>
        <w:rPr>
          <w:rFonts w:ascii="宋体" w:hAnsi="宋体" w:eastAsia="宋体" w:cs="宋体"/>
          <w:b/>
          <w:bCs/>
          <w:color w:val="auto"/>
          <w:sz w:val="43"/>
          <w:szCs w:val="43"/>
          <w:highlight w:val="none"/>
        </w:rPr>
        <w:t>响应文件格式</w:t>
      </w:r>
      <w:bookmarkEnd w:id="8"/>
    </w:p>
    <w:p w14:paraId="14E6BB9F">
      <w:pPr>
        <w:spacing w:line="222" w:lineRule="auto"/>
        <w:rPr>
          <w:rFonts w:ascii="宋体" w:hAnsi="宋体" w:eastAsia="宋体" w:cs="宋体"/>
          <w:color w:val="auto"/>
          <w:sz w:val="43"/>
          <w:szCs w:val="43"/>
          <w:highlight w:val="none"/>
        </w:rPr>
        <w:sectPr>
          <w:footerReference r:id="rId39" w:type="default"/>
          <w:pgSz w:w="11910" w:h="16840"/>
          <w:pgMar w:top="1431" w:right="1786" w:bottom="1091" w:left="1786" w:header="0" w:footer="929" w:gutter="0"/>
          <w:pgNumType w:fmt="decimal"/>
          <w:cols w:space="720" w:num="1"/>
        </w:sectPr>
      </w:pPr>
    </w:p>
    <w:p w14:paraId="6CE1DC5D">
      <w:pPr>
        <w:spacing w:before="63" w:line="225" w:lineRule="auto"/>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一、资格证明文件格式</w:t>
      </w:r>
    </w:p>
    <w:p w14:paraId="3009FEE7">
      <w:pPr>
        <w:spacing w:before="157" w:line="225" w:lineRule="auto"/>
        <w:ind w:left="18"/>
        <w:rPr>
          <w:rFonts w:ascii="宋体" w:hAnsi="宋体" w:eastAsia="宋体" w:cs="宋体"/>
          <w:color w:val="auto"/>
          <w:sz w:val="31"/>
          <w:szCs w:val="31"/>
          <w:highlight w:val="none"/>
        </w:rPr>
      </w:pPr>
      <w:r>
        <w:rPr>
          <w:rFonts w:ascii="宋体" w:hAnsi="宋体" w:eastAsia="宋体" w:cs="宋体"/>
          <w:b/>
          <w:bCs/>
          <w:color w:val="auto"/>
          <w:spacing w:val="3"/>
          <w:sz w:val="31"/>
          <w:szCs w:val="31"/>
          <w:highlight w:val="none"/>
        </w:rPr>
        <w:t>1.资格证明文件封面格式：</w:t>
      </w:r>
    </w:p>
    <w:p w14:paraId="5C95B0C8">
      <w:pPr>
        <w:spacing w:line="257" w:lineRule="auto"/>
        <w:rPr>
          <w:rFonts w:ascii="Arial"/>
          <w:color w:val="auto"/>
          <w:sz w:val="21"/>
          <w:highlight w:val="none"/>
        </w:rPr>
      </w:pPr>
    </w:p>
    <w:p w14:paraId="7DC7DD45">
      <w:pPr>
        <w:spacing w:line="257" w:lineRule="auto"/>
        <w:rPr>
          <w:rFonts w:ascii="Arial"/>
          <w:color w:val="auto"/>
          <w:sz w:val="21"/>
          <w:highlight w:val="none"/>
        </w:rPr>
      </w:pPr>
    </w:p>
    <w:p w14:paraId="07868563">
      <w:pPr>
        <w:spacing w:line="258" w:lineRule="auto"/>
        <w:rPr>
          <w:rFonts w:ascii="Arial"/>
          <w:color w:val="auto"/>
          <w:sz w:val="21"/>
          <w:highlight w:val="none"/>
        </w:rPr>
      </w:pPr>
    </w:p>
    <w:p w14:paraId="2602F4EF">
      <w:pPr>
        <w:spacing w:before="140" w:line="223" w:lineRule="auto"/>
        <w:ind w:left="2546"/>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4"/>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7DC046A2">
      <w:pPr>
        <w:spacing w:line="430" w:lineRule="auto"/>
        <w:rPr>
          <w:rFonts w:ascii="Arial"/>
          <w:color w:val="auto"/>
          <w:sz w:val="21"/>
          <w:highlight w:val="none"/>
        </w:rPr>
      </w:pPr>
    </w:p>
    <w:p w14:paraId="6C8A9565">
      <w:pPr>
        <w:spacing w:before="188" w:line="185" w:lineRule="auto"/>
        <w:ind w:left="1957"/>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8"/>
          <w:sz w:val="43"/>
          <w:szCs w:val="43"/>
          <w:highlight w:val="none"/>
        </w:rPr>
        <w:t>资    格    证</w:t>
      </w:r>
      <w:r>
        <w:rPr>
          <w:rFonts w:ascii="Arial Unicode MS" w:hAnsi="Arial Unicode MS" w:eastAsia="Arial Unicode MS" w:cs="Arial Unicode MS"/>
          <w:color w:val="auto"/>
          <w:spacing w:val="6"/>
          <w:sz w:val="43"/>
          <w:szCs w:val="43"/>
          <w:highlight w:val="none"/>
        </w:rPr>
        <w:t xml:space="preserve">    </w:t>
      </w:r>
      <w:r>
        <w:rPr>
          <w:rFonts w:ascii="Arial Unicode MS" w:hAnsi="Arial Unicode MS" w:eastAsia="Arial Unicode MS" w:cs="Arial Unicode MS"/>
          <w:color w:val="auto"/>
          <w:spacing w:val="-8"/>
          <w:sz w:val="43"/>
          <w:szCs w:val="43"/>
          <w:highlight w:val="none"/>
        </w:rPr>
        <w:t>明    文    件</w:t>
      </w:r>
    </w:p>
    <w:p w14:paraId="48C0B543">
      <w:pPr>
        <w:spacing w:line="246" w:lineRule="auto"/>
        <w:rPr>
          <w:rFonts w:ascii="Arial"/>
          <w:color w:val="auto"/>
          <w:sz w:val="21"/>
          <w:highlight w:val="none"/>
        </w:rPr>
      </w:pPr>
    </w:p>
    <w:p w14:paraId="593F3E4B">
      <w:pPr>
        <w:spacing w:line="246" w:lineRule="auto"/>
        <w:rPr>
          <w:rFonts w:ascii="Arial"/>
          <w:color w:val="auto"/>
          <w:sz w:val="21"/>
          <w:highlight w:val="none"/>
        </w:rPr>
      </w:pPr>
    </w:p>
    <w:p w14:paraId="6A59877E">
      <w:pPr>
        <w:spacing w:line="246" w:lineRule="auto"/>
        <w:rPr>
          <w:rFonts w:ascii="Arial"/>
          <w:color w:val="auto"/>
          <w:sz w:val="21"/>
          <w:highlight w:val="none"/>
        </w:rPr>
      </w:pPr>
    </w:p>
    <w:p w14:paraId="355E0B32">
      <w:pPr>
        <w:spacing w:line="246" w:lineRule="auto"/>
        <w:rPr>
          <w:rFonts w:ascii="Arial"/>
          <w:color w:val="auto"/>
          <w:sz w:val="21"/>
          <w:highlight w:val="none"/>
        </w:rPr>
      </w:pPr>
    </w:p>
    <w:p w14:paraId="0194C438">
      <w:pPr>
        <w:spacing w:line="247" w:lineRule="auto"/>
        <w:rPr>
          <w:rFonts w:ascii="Arial"/>
          <w:color w:val="auto"/>
          <w:sz w:val="21"/>
          <w:highlight w:val="none"/>
        </w:rPr>
      </w:pPr>
    </w:p>
    <w:p w14:paraId="6AA337A0">
      <w:pPr>
        <w:spacing w:line="247" w:lineRule="auto"/>
        <w:rPr>
          <w:rFonts w:ascii="Arial"/>
          <w:color w:val="auto"/>
          <w:sz w:val="21"/>
          <w:highlight w:val="none"/>
        </w:rPr>
      </w:pPr>
    </w:p>
    <w:p w14:paraId="6243EC51">
      <w:pPr>
        <w:spacing w:line="247" w:lineRule="auto"/>
        <w:rPr>
          <w:rFonts w:ascii="Arial"/>
          <w:color w:val="auto"/>
          <w:sz w:val="21"/>
          <w:highlight w:val="none"/>
        </w:rPr>
      </w:pPr>
    </w:p>
    <w:p w14:paraId="0D6951C4">
      <w:pPr>
        <w:spacing w:line="247" w:lineRule="auto"/>
        <w:rPr>
          <w:rFonts w:ascii="Arial"/>
          <w:color w:val="auto"/>
          <w:sz w:val="21"/>
          <w:highlight w:val="none"/>
        </w:rPr>
      </w:pPr>
    </w:p>
    <w:p w14:paraId="151346DD">
      <w:pPr>
        <w:spacing w:line="247" w:lineRule="auto"/>
        <w:rPr>
          <w:rFonts w:ascii="Arial"/>
          <w:color w:val="auto"/>
          <w:sz w:val="21"/>
          <w:highlight w:val="none"/>
        </w:rPr>
      </w:pPr>
    </w:p>
    <w:p w14:paraId="4A86B3BF">
      <w:pPr>
        <w:spacing w:before="101" w:line="225" w:lineRule="auto"/>
        <w:ind w:left="640"/>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25778DE7">
      <w:pPr>
        <w:spacing w:line="293" w:lineRule="auto"/>
        <w:rPr>
          <w:rFonts w:ascii="Arial"/>
          <w:color w:val="auto"/>
          <w:sz w:val="21"/>
          <w:highlight w:val="none"/>
        </w:rPr>
      </w:pPr>
    </w:p>
    <w:p w14:paraId="333837E7">
      <w:pPr>
        <w:spacing w:line="293" w:lineRule="auto"/>
        <w:rPr>
          <w:rFonts w:ascii="Arial"/>
          <w:color w:val="auto"/>
          <w:sz w:val="21"/>
          <w:highlight w:val="none"/>
        </w:rPr>
      </w:pPr>
    </w:p>
    <w:p w14:paraId="22DBD4D2">
      <w:pPr>
        <w:spacing w:before="101" w:line="225" w:lineRule="auto"/>
        <w:ind w:left="720"/>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7C5B2D26">
      <w:pPr>
        <w:spacing w:line="294" w:lineRule="auto"/>
        <w:rPr>
          <w:rFonts w:ascii="Arial"/>
          <w:color w:val="auto"/>
          <w:sz w:val="21"/>
          <w:highlight w:val="none"/>
        </w:rPr>
      </w:pPr>
    </w:p>
    <w:p w14:paraId="44FC5EAB">
      <w:pPr>
        <w:spacing w:line="295" w:lineRule="auto"/>
        <w:rPr>
          <w:rFonts w:ascii="Arial"/>
          <w:color w:val="auto"/>
          <w:sz w:val="21"/>
          <w:highlight w:val="none"/>
        </w:rPr>
      </w:pPr>
    </w:p>
    <w:p w14:paraId="6496C47C">
      <w:pPr>
        <w:spacing w:before="101" w:line="225" w:lineRule="auto"/>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所竞分标（如有则填写，无分标时填写“无</w:t>
      </w:r>
      <w:r>
        <w:rPr>
          <w:rFonts w:ascii="宋体" w:hAnsi="宋体" w:eastAsia="宋体" w:cs="宋体"/>
          <w:color w:val="auto"/>
          <w:spacing w:val="-112"/>
          <w:sz w:val="31"/>
          <w:szCs w:val="31"/>
          <w:highlight w:val="none"/>
        </w:rPr>
        <w:t xml:space="preserve"> </w:t>
      </w:r>
      <w:r>
        <w:rPr>
          <w:rFonts w:ascii="宋体" w:hAnsi="宋体" w:eastAsia="宋体" w:cs="宋体"/>
          <w:color w:val="auto"/>
          <w:spacing w:val="7"/>
          <w:sz w:val="31"/>
          <w:szCs w:val="31"/>
          <w:highlight w:val="none"/>
        </w:rPr>
        <w:t>”或者留空</w:t>
      </w:r>
      <w:r>
        <w:rPr>
          <w:rFonts w:ascii="宋体" w:hAnsi="宋体" w:eastAsia="宋体" w:cs="宋体"/>
          <w:color w:val="auto"/>
          <w:spacing w:val="-21"/>
          <w:sz w:val="31"/>
          <w:szCs w:val="31"/>
          <w:highlight w:val="none"/>
        </w:rPr>
        <w:t>）：</w:t>
      </w:r>
    </w:p>
    <w:p w14:paraId="44BB3193">
      <w:pPr>
        <w:spacing w:line="259" w:lineRule="auto"/>
        <w:rPr>
          <w:rFonts w:ascii="Arial"/>
          <w:color w:val="auto"/>
          <w:sz w:val="21"/>
          <w:highlight w:val="none"/>
        </w:rPr>
      </w:pPr>
    </w:p>
    <w:p w14:paraId="06D31CCE">
      <w:pPr>
        <w:spacing w:line="259" w:lineRule="auto"/>
        <w:rPr>
          <w:rFonts w:ascii="Arial"/>
          <w:color w:val="auto"/>
          <w:sz w:val="21"/>
          <w:highlight w:val="none"/>
        </w:rPr>
      </w:pPr>
    </w:p>
    <w:p w14:paraId="318981AF">
      <w:pPr>
        <w:spacing w:before="101" w:line="224" w:lineRule="auto"/>
        <w:ind w:left="714"/>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22ACC7C6">
      <w:pPr>
        <w:spacing w:line="246" w:lineRule="auto"/>
        <w:rPr>
          <w:rFonts w:ascii="Arial"/>
          <w:color w:val="auto"/>
          <w:sz w:val="21"/>
          <w:highlight w:val="none"/>
        </w:rPr>
      </w:pPr>
    </w:p>
    <w:p w14:paraId="414DABE4">
      <w:pPr>
        <w:spacing w:line="247" w:lineRule="auto"/>
        <w:rPr>
          <w:rFonts w:ascii="Arial"/>
          <w:color w:val="auto"/>
          <w:sz w:val="21"/>
          <w:highlight w:val="none"/>
        </w:rPr>
      </w:pPr>
    </w:p>
    <w:p w14:paraId="5F4F5019">
      <w:pPr>
        <w:spacing w:line="247" w:lineRule="auto"/>
        <w:rPr>
          <w:rFonts w:ascii="Arial"/>
          <w:color w:val="auto"/>
          <w:sz w:val="21"/>
          <w:highlight w:val="none"/>
        </w:rPr>
      </w:pPr>
    </w:p>
    <w:p w14:paraId="56EE174B">
      <w:pPr>
        <w:spacing w:line="247" w:lineRule="auto"/>
        <w:rPr>
          <w:rFonts w:ascii="Arial"/>
          <w:color w:val="auto"/>
          <w:sz w:val="21"/>
          <w:highlight w:val="none"/>
        </w:rPr>
      </w:pPr>
    </w:p>
    <w:p w14:paraId="71FD928B">
      <w:pPr>
        <w:spacing w:line="247" w:lineRule="auto"/>
        <w:rPr>
          <w:rFonts w:ascii="Arial"/>
          <w:color w:val="auto"/>
          <w:sz w:val="21"/>
          <w:highlight w:val="none"/>
        </w:rPr>
      </w:pPr>
    </w:p>
    <w:p w14:paraId="372E6591">
      <w:pPr>
        <w:spacing w:line="247" w:lineRule="auto"/>
        <w:rPr>
          <w:rFonts w:ascii="Arial"/>
          <w:color w:val="auto"/>
          <w:sz w:val="21"/>
          <w:highlight w:val="none"/>
        </w:rPr>
      </w:pPr>
    </w:p>
    <w:p w14:paraId="6D838347">
      <w:pPr>
        <w:spacing w:line="247" w:lineRule="auto"/>
        <w:rPr>
          <w:rFonts w:ascii="Arial"/>
          <w:color w:val="auto"/>
          <w:sz w:val="21"/>
          <w:highlight w:val="none"/>
        </w:rPr>
      </w:pPr>
    </w:p>
    <w:p w14:paraId="45352F72">
      <w:pPr>
        <w:spacing w:line="247" w:lineRule="auto"/>
        <w:rPr>
          <w:rFonts w:ascii="Arial"/>
          <w:color w:val="auto"/>
          <w:sz w:val="21"/>
          <w:highlight w:val="none"/>
        </w:rPr>
      </w:pPr>
    </w:p>
    <w:p w14:paraId="105D91B5">
      <w:pPr>
        <w:spacing w:before="101" w:line="225" w:lineRule="auto"/>
        <w:ind w:left="3240"/>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0"/>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2B64BE6F">
      <w:pPr>
        <w:spacing w:line="225" w:lineRule="auto"/>
        <w:rPr>
          <w:rFonts w:ascii="宋体" w:hAnsi="宋体" w:eastAsia="宋体" w:cs="宋体"/>
          <w:color w:val="auto"/>
          <w:sz w:val="31"/>
          <w:szCs w:val="31"/>
          <w:highlight w:val="none"/>
        </w:rPr>
        <w:sectPr>
          <w:footerReference r:id="rId40" w:type="default"/>
          <w:pgSz w:w="11910" w:h="16840"/>
          <w:pgMar w:top="1324" w:right="1267" w:bottom="1091" w:left="1697" w:header="0" w:footer="929" w:gutter="0"/>
          <w:pgNumType w:fmt="decimal"/>
          <w:cols w:space="720" w:num="1"/>
        </w:sectPr>
      </w:pPr>
    </w:p>
    <w:p w14:paraId="05103796">
      <w:pPr>
        <w:spacing w:before="63" w:line="225" w:lineRule="auto"/>
        <w:ind w:left="141"/>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2.资格证明文件目录</w:t>
      </w:r>
    </w:p>
    <w:p w14:paraId="18117D27">
      <w:pPr>
        <w:spacing w:line="263" w:lineRule="auto"/>
        <w:rPr>
          <w:rFonts w:ascii="Arial"/>
          <w:color w:val="auto"/>
          <w:sz w:val="21"/>
          <w:highlight w:val="none"/>
        </w:rPr>
      </w:pPr>
    </w:p>
    <w:p w14:paraId="0019A8B6">
      <w:pPr>
        <w:spacing w:before="101" w:line="371" w:lineRule="auto"/>
        <w:ind w:firstLine="641"/>
        <w:rPr>
          <w:rFonts w:ascii="宋体" w:hAnsi="宋体" w:eastAsia="宋体" w:cs="宋体"/>
          <w:color w:val="auto"/>
          <w:sz w:val="31"/>
          <w:szCs w:val="31"/>
          <w:highlight w:val="none"/>
        </w:rPr>
      </w:pPr>
      <w:r>
        <w:rPr>
          <w:rFonts w:ascii="宋体" w:hAnsi="宋体" w:eastAsia="宋体" w:cs="宋体"/>
          <w:color w:val="auto"/>
          <w:spacing w:val="13"/>
          <w:sz w:val="31"/>
          <w:szCs w:val="31"/>
          <w:highlight w:val="none"/>
        </w:rPr>
        <w:t>根据谈判文件规定及供应商提供的材料自行</w:t>
      </w:r>
      <w:r>
        <w:rPr>
          <w:rFonts w:ascii="宋体" w:hAnsi="宋体" w:eastAsia="宋体" w:cs="宋体"/>
          <w:color w:val="auto"/>
          <w:spacing w:val="12"/>
          <w:sz w:val="31"/>
          <w:szCs w:val="31"/>
          <w:highlight w:val="none"/>
        </w:rPr>
        <w:t>编写目录（部</w:t>
      </w:r>
      <w:r>
        <w:rPr>
          <w:rFonts w:ascii="宋体" w:hAnsi="宋体" w:eastAsia="宋体" w:cs="宋体"/>
          <w:color w:val="auto"/>
          <w:spacing w:val="4"/>
          <w:sz w:val="31"/>
          <w:szCs w:val="31"/>
          <w:highlight w:val="none"/>
        </w:rPr>
        <w:t>分格式后附）。</w:t>
      </w:r>
    </w:p>
    <w:p w14:paraId="4F506E56">
      <w:pPr>
        <w:spacing w:line="371" w:lineRule="auto"/>
        <w:rPr>
          <w:rFonts w:ascii="宋体" w:hAnsi="宋体" w:eastAsia="宋体" w:cs="宋体"/>
          <w:color w:val="auto"/>
          <w:sz w:val="31"/>
          <w:szCs w:val="31"/>
          <w:highlight w:val="none"/>
        </w:rPr>
        <w:sectPr>
          <w:footerReference r:id="rId41" w:type="default"/>
          <w:pgSz w:w="11910" w:h="16840"/>
          <w:pgMar w:top="1396" w:right="1501" w:bottom="1091" w:left="1696" w:header="0" w:footer="929" w:gutter="0"/>
          <w:pgNumType w:fmt="decimal"/>
          <w:cols w:space="720" w:num="1"/>
        </w:sectPr>
      </w:pPr>
    </w:p>
    <w:p w14:paraId="507AFB36">
      <w:pPr>
        <w:spacing w:before="318" w:line="224" w:lineRule="auto"/>
        <w:ind w:left="1965"/>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北海市政府采购供应商信用承诺函</w:t>
      </w:r>
    </w:p>
    <w:p w14:paraId="16A92666">
      <w:pPr>
        <w:spacing w:line="309" w:lineRule="auto"/>
        <w:rPr>
          <w:rFonts w:ascii="Arial"/>
          <w:color w:val="auto"/>
          <w:sz w:val="21"/>
          <w:highlight w:val="none"/>
        </w:rPr>
      </w:pPr>
    </w:p>
    <w:p w14:paraId="1FBDD82B">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致（采购人或采购代理机构</w:t>
      </w:r>
      <w:r>
        <w:rPr>
          <w:rFonts w:ascii="宋体" w:hAnsi="宋体" w:eastAsia="宋体" w:cs="宋体"/>
          <w:color w:val="auto"/>
          <w:sz w:val="24"/>
          <w:szCs w:val="24"/>
          <w:highlight w:val="none"/>
        </w:rPr>
        <w:t>）：</w:t>
      </w:r>
    </w:p>
    <w:p w14:paraId="7682B5F5">
      <w:pPr>
        <w:spacing w:before="180" w:line="219" w:lineRule="auto"/>
        <w:ind w:left="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供应商名称：</w:t>
      </w:r>
    </w:p>
    <w:p w14:paraId="58A930E7">
      <w:pPr>
        <w:spacing w:before="181" w:line="219" w:lineRule="auto"/>
        <w:ind w:left="48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统一社会信用代码：</w:t>
      </w:r>
    </w:p>
    <w:p w14:paraId="21E97320">
      <w:pPr>
        <w:spacing w:before="183" w:line="219" w:lineRule="auto"/>
        <w:ind w:left="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供应商地址：</w:t>
      </w:r>
    </w:p>
    <w:p w14:paraId="034EAF69">
      <w:pPr>
        <w:spacing w:before="183" w:line="359" w:lineRule="auto"/>
        <w:ind w:firstLine="482"/>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我单位自愿参加本次政府采购活动，严格遵守《中华人民共和国政府采购</w:t>
      </w:r>
      <w:r>
        <w:rPr>
          <w:rFonts w:ascii="宋体" w:hAnsi="宋体" w:eastAsia="宋体" w:cs="宋体"/>
          <w:color w:val="auto"/>
          <w:spacing w:val="1"/>
          <w:sz w:val="24"/>
          <w:szCs w:val="24"/>
          <w:highlight w:val="none"/>
        </w:rPr>
        <w:t>法》</w:t>
      </w:r>
      <w:r>
        <w:rPr>
          <w:rFonts w:ascii="宋体" w:hAnsi="宋体" w:eastAsia="宋体" w:cs="宋体"/>
          <w:color w:val="auto"/>
          <w:spacing w:val="2"/>
          <w:sz w:val="24"/>
          <w:szCs w:val="24"/>
          <w:highlight w:val="none"/>
        </w:rPr>
        <w:t>及相关法律法规，依法诚信经营，无条件遵守本次政府采购活动的各项规定。我单</w:t>
      </w:r>
      <w:r>
        <w:rPr>
          <w:rFonts w:ascii="宋体" w:hAnsi="宋体" w:eastAsia="宋体" w:cs="宋体"/>
          <w:color w:val="auto"/>
          <w:sz w:val="24"/>
          <w:szCs w:val="24"/>
          <w:highlight w:val="none"/>
        </w:rPr>
        <w:t>位郑重承诺，本单位符合《中华人民共和国政府采购法》第</w:t>
      </w:r>
      <w:r>
        <w:rPr>
          <w:rFonts w:ascii="宋体" w:hAnsi="宋体" w:eastAsia="宋体" w:cs="宋体"/>
          <w:color w:val="auto"/>
          <w:spacing w:val="-1"/>
          <w:sz w:val="24"/>
          <w:szCs w:val="24"/>
          <w:highlight w:val="none"/>
        </w:rPr>
        <w:t>二十二条规定的条件：</w:t>
      </w:r>
    </w:p>
    <w:p w14:paraId="6C77FEBE">
      <w:pPr>
        <w:spacing w:before="1" w:line="218" w:lineRule="auto"/>
        <w:ind w:left="49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1.我单位具有符合采购文件资格要求独立承担民事责任的能力。</w:t>
      </w:r>
    </w:p>
    <w:p w14:paraId="64FEB777">
      <w:pPr>
        <w:spacing w:before="183" w:line="218"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2.我单位具有符合采购文件资格要求的财务状况报告。</w:t>
      </w:r>
    </w:p>
    <w:p w14:paraId="28294BC8">
      <w:pPr>
        <w:spacing w:before="183" w:line="359" w:lineRule="auto"/>
        <w:ind w:left="1" w:firstLine="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3.我单位具有符合采购文件资格要求的依法缴纳税收和社会保障记录的良好记</w:t>
      </w:r>
      <w:r>
        <w:rPr>
          <w:rFonts w:ascii="宋体" w:hAnsi="宋体" w:eastAsia="宋体" w:cs="宋体"/>
          <w:color w:val="auto"/>
          <w:spacing w:val="-6"/>
          <w:sz w:val="24"/>
          <w:szCs w:val="24"/>
          <w:highlight w:val="none"/>
        </w:rPr>
        <w:t>录。</w:t>
      </w:r>
    </w:p>
    <w:p w14:paraId="53D2A12E">
      <w:pPr>
        <w:spacing w:before="1" w:line="218" w:lineRule="auto"/>
        <w:ind w:left="480"/>
        <w:rPr>
          <w:rFonts w:ascii="宋体" w:hAnsi="宋体" w:eastAsia="宋体" w:cs="宋体"/>
          <w:color w:val="auto"/>
          <w:sz w:val="24"/>
          <w:szCs w:val="24"/>
          <w:highlight w:val="none"/>
        </w:rPr>
      </w:pPr>
      <w:r>
        <w:rPr>
          <w:rFonts w:ascii="宋体" w:hAnsi="宋体" w:eastAsia="宋体" w:cs="宋体"/>
          <w:color w:val="auto"/>
          <w:sz w:val="24"/>
          <w:szCs w:val="24"/>
          <w:highlight w:val="none"/>
        </w:rPr>
        <w:t>4.我单位具有符合采购文件资格要求履行合同所必需的</w:t>
      </w:r>
      <w:r>
        <w:rPr>
          <w:rFonts w:ascii="宋体" w:hAnsi="宋体" w:eastAsia="宋体" w:cs="宋体"/>
          <w:color w:val="auto"/>
          <w:spacing w:val="-1"/>
          <w:sz w:val="24"/>
          <w:szCs w:val="24"/>
          <w:highlight w:val="none"/>
        </w:rPr>
        <w:t>设备和专业技术能力。</w:t>
      </w:r>
    </w:p>
    <w:p w14:paraId="54DE57A1">
      <w:pPr>
        <w:spacing w:before="183"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5.参加政府采购活动前三年内，在经营活动中没有重大违法记录。</w:t>
      </w:r>
    </w:p>
    <w:p w14:paraId="4F28F690">
      <w:pPr>
        <w:spacing w:before="181" w:line="219" w:lineRule="auto"/>
        <w:ind w:left="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若我单位承诺不实，</w:t>
      </w:r>
      <w:r>
        <w:rPr>
          <w:rFonts w:ascii="宋体" w:hAnsi="宋体" w:eastAsia="宋体" w:cs="宋体"/>
          <w:color w:val="auto"/>
          <w:spacing w:val="-68"/>
          <w:sz w:val="24"/>
          <w:szCs w:val="24"/>
          <w:highlight w:val="none"/>
        </w:rPr>
        <w:t xml:space="preserve"> </w:t>
      </w:r>
      <w:r>
        <w:rPr>
          <w:rFonts w:ascii="宋体" w:hAnsi="宋体" w:eastAsia="宋体" w:cs="宋体"/>
          <w:color w:val="auto"/>
          <w:spacing w:val="-2"/>
          <w:sz w:val="24"/>
          <w:szCs w:val="24"/>
          <w:highlight w:val="none"/>
        </w:rPr>
        <w:t>自愿承担提供虚假材料谋取中标、成交的法律责任。</w:t>
      </w:r>
    </w:p>
    <w:p w14:paraId="41B4124F">
      <w:pPr>
        <w:spacing w:line="285" w:lineRule="auto"/>
        <w:rPr>
          <w:rFonts w:ascii="Arial"/>
          <w:color w:val="auto"/>
          <w:sz w:val="21"/>
          <w:highlight w:val="none"/>
        </w:rPr>
      </w:pPr>
    </w:p>
    <w:p w14:paraId="13D0FCDC">
      <w:pPr>
        <w:spacing w:line="285" w:lineRule="auto"/>
        <w:rPr>
          <w:rFonts w:ascii="Arial"/>
          <w:color w:val="auto"/>
          <w:sz w:val="21"/>
          <w:highlight w:val="none"/>
        </w:rPr>
      </w:pPr>
    </w:p>
    <w:p w14:paraId="18C79F95">
      <w:pPr>
        <w:spacing w:before="79" w:line="219" w:lineRule="auto"/>
        <w:jc w:val="right"/>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法定代表人或者委托代理人（签字或者电子签名</w:t>
      </w:r>
      <w:r>
        <w:rPr>
          <w:rFonts w:ascii="宋体" w:hAnsi="宋体" w:eastAsia="宋体" w:cs="宋体"/>
          <w:color w:val="auto"/>
          <w:spacing w:val="-26"/>
          <w:sz w:val="24"/>
          <w:szCs w:val="24"/>
          <w:highlight w:val="none"/>
        </w:rPr>
        <w:t>）：</w:t>
      </w:r>
    </w:p>
    <w:p w14:paraId="0958B746">
      <w:pPr>
        <w:spacing w:before="180" w:line="219" w:lineRule="auto"/>
        <w:ind w:left="428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2447A983">
      <w:pPr>
        <w:spacing w:before="182" w:line="219" w:lineRule="auto"/>
        <w:jc w:val="right"/>
        <w:rPr>
          <w:rFonts w:ascii="宋体" w:hAnsi="宋体" w:eastAsia="宋体" w:cs="宋体"/>
          <w:color w:val="auto"/>
          <w:sz w:val="24"/>
          <w:szCs w:val="24"/>
          <w:highlight w:val="none"/>
        </w:rPr>
      </w:pPr>
      <w:r>
        <w:rPr>
          <w:rFonts w:ascii="宋体" w:hAnsi="宋体" w:eastAsia="宋体" w:cs="宋体"/>
          <w:color w:val="auto"/>
          <w:spacing w:val="-24"/>
          <w:sz w:val="24"/>
          <w:szCs w:val="24"/>
          <w:highlight w:val="none"/>
        </w:rPr>
        <w:t>日</w:t>
      </w:r>
      <w:r>
        <w:rPr>
          <w:rFonts w:ascii="宋体" w:hAnsi="宋体" w:eastAsia="宋体" w:cs="宋体"/>
          <w:color w:val="auto"/>
          <w:spacing w:val="16"/>
          <w:sz w:val="24"/>
          <w:szCs w:val="24"/>
          <w:highlight w:val="none"/>
        </w:rPr>
        <w:t xml:space="preserve"> </w:t>
      </w:r>
      <w:r>
        <w:rPr>
          <w:rFonts w:ascii="宋体" w:hAnsi="宋体" w:eastAsia="宋体" w:cs="宋体"/>
          <w:color w:val="auto"/>
          <w:spacing w:val="-24"/>
          <w:sz w:val="24"/>
          <w:szCs w:val="24"/>
          <w:highlight w:val="none"/>
        </w:rPr>
        <w:t>期：</w:t>
      </w:r>
      <w:r>
        <w:rPr>
          <w:rFonts w:ascii="宋体" w:hAnsi="宋体" w:eastAsia="宋体" w:cs="宋体"/>
          <w:color w:val="auto"/>
          <w:spacing w:val="3"/>
          <w:sz w:val="24"/>
          <w:szCs w:val="24"/>
          <w:highlight w:val="none"/>
        </w:rPr>
        <w:t xml:space="preserve">   </w:t>
      </w:r>
      <w:r>
        <w:rPr>
          <w:rFonts w:ascii="宋体" w:hAnsi="宋体" w:eastAsia="宋体" w:cs="宋体"/>
          <w:color w:val="auto"/>
          <w:spacing w:val="-24"/>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24"/>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24"/>
          <w:sz w:val="24"/>
          <w:szCs w:val="24"/>
          <w:highlight w:val="none"/>
        </w:rPr>
        <w:t>日</w:t>
      </w:r>
    </w:p>
    <w:p w14:paraId="1B984729">
      <w:pPr>
        <w:spacing w:line="464" w:lineRule="auto"/>
        <w:rPr>
          <w:rFonts w:ascii="Arial"/>
          <w:color w:val="auto"/>
          <w:sz w:val="21"/>
          <w:highlight w:val="none"/>
        </w:rPr>
      </w:pPr>
    </w:p>
    <w:p w14:paraId="54CAE7EB">
      <w:pPr>
        <w:spacing w:before="78" w:line="359" w:lineRule="auto"/>
        <w:ind w:left="1" w:firstLine="47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注：1.供应商须在响应文件中按此模板提供承诺函，未提供视为未实质性响应</w:t>
      </w:r>
      <w:r>
        <w:rPr>
          <w:rFonts w:ascii="宋体" w:hAnsi="宋体" w:eastAsia="宋体" w:cs="宋体"/>
          <w:color w:val="auto"/>
          <w:spacing w:val="-1"/>
          <w:sz w:val="24"/>
          <w:szCs w:val="24"/>
          <w:highlight w:val="none"/>
        </w:rPr>
        <w:t>招标（采购）文件要求，按无效谈判处理。</w:t>
      </w:r>
    </w:p>
    <w:p w14:paraId="1A215998">
      <w:pPr>
        <w:spacing w:before="2" w:line="359" w:lineRule="auto"/>
        <w:ind w:firstLine="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2.供应商的法定代表人（其他组织的为负责人）或者委托代理人的签名或盖章</w:t>
      </w:r>
      <w:r>
        <w:rPr>
          <w:rFonts w:ascii="宋体" w:hAnsi="宋体" w:eastAsia="宋体" w:cs="宋体"/>
          <w:color w:val="auto"/>
          <w:sz w:val="24"/>
          <w:szCs w:val="24"/>
          <w:highlight w:val="none"/>
        </w:rPr>
        <w:t>应真实、有效，如委托代理人签名或盖章的，应提供“法定</w:t>
      </w:r>
      <w:r>
        <w:rPr>
          <w:rFonts w:ascii="宋体" w:hAnsi="宋体" w:eastAsia="宋体" w:cs="宋体"/>
          <w:color w:val="auto"/>
          <w:spacing w:val="-1"/>
          <w:sz w:val="24"/>
          <w:szCs w:val="24"/>
          <w:highlight w:val="none"/>
        </w:rPr>
        <w:t>代表人授权委托书</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w:t>
      </w:r>
    </w:p>
    <w:p w14:paraId="39961263">
      <w:pPr>
        <w:spacing w:line="359" w:lineRule="auto"/>
        <w:rPr>
          <w:rFonts w:ascii="宋体" w:hAnsi="宋体" w:eastAsia="宋体" w:cs="宋体"/>
          <w:color w:val="auto"/>
          <w:sz w:val="24"/>
          <w:szCs w:val="24"/>
          <w:highlight w:val="none"/>
        </w:rPr>
        <w:sectPr>
          <w:footerReference r:id="rId42" w:type="default"/>
          <w:pgSz w:w="11910" w:h="16840"/>
          <w:pgMar w:top="1431" w:right="1501" w:bottom="1091" w:left="1688" w:header="0" w:footer="929" w:gutter="0"/>
          <w:pgNumType w:fmt="decimal"/>
          <w:cols w:space="720" w:num="1"/>
        </w:sectPr>
      </w:pPr>
    </w:p>
    <w:p w14:paraId="7F29A5BC">
      <w:pPr>
        <w:spacing w:before="63" w:line="224" w:lineRule="auto"/>
        <w:ind w:left="2847"/>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供应商直接控股股东信息表</w:t>
      </w:r>
    </w:p>
    <w:p w14:paraId="252CADA7">
      <w:pPr>
        <w:spacing w:before="47"/>
        <w:rPr>
          <w:color w:val="auto"/>
          <w:highlight w:val="none"/>
        </w:rPr>
      </w:pPr>
    </w:p>
    <w:p w14:paraId="70C210AC">
      <w:pPr>
        <w:spacing w:before="46"/>
        <w:rPr>
          <w:color w:val="auto"/>
          <w:highlight w:val="none"/>
        </w:rPr>
      </w:pPr>
    </w:p>
    <w:tbl>
      <w:tblPr>
        <w:tblStyle w:val="11"/>
        <w:tblW w:w="95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9"/>
        <w:gridCol w:w="2489"/>
        <w:gridCol w:w="1363"/>
        <w:gridCol w:w="4021"/>
        <w:gridCol w:w="819"/>
      </w:tblGrid>
      <w:tr w14:paraId="7F777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1" w:hRule="atLeast"/>
        </w:trPr>
        <w:tc>
          <w:tcPr>
            <w:tcW w:w="829" w:type="dxa"/>
            <w:shd w:val="clear" w:color="auto" w:fill="EAE3D8"/>
            <w:vAlign w:val="top"/>
          </w:tcPr>
          <w:p w14:paraId="6DED7A52">
            <w:pPr>
              <w:spacing w:line="291" w:lineRule="auto"/>
              <w:rPr>
                <w:rFonts w:ascii="Arial"/>
                <w:color w:val="auto"/>
                <w:sz w:val="21"/>
                <w:highlight w:val="none"/>
              </w:rPr>
            </w:pPr>
          </w:p>
          <w:p w14:paraId="64C4094F">
            <w:pPr>
              <w:spacing w:line="291" w:lineRule="auto"/>
              <w:rPr>
                <w:rFonts w:ascii="Arial"/>
                <w:color w:val="auto"/>
                <w:sz w:val="21"/>
                <w:highlight w:val="none"/>
              </w:rPr>
            </w:pPr>
          </w:p>
          <w:p w14:paraId="7D6C719F">
            <w:pPr>
              <w:pStyle w:val="12"/>
              <w:spacing w:before="91" w:line="221" w:lineRule="auto"/>
              <w:ind w:left="139"/>
              <w:rPr>
                <w:color w:val="auto"/>
                <w:sz w:val="28"/>
                <w:szCs w:val="28"/>
                <w:highlight w:val="none"/>
              </w:rPr>
            </w:pPr>
            <w:r>
              <w:rPr>
                <w:b/>
                <w:bCs/>
                <w:color w:val="auto"/>
                <w:spacing w:val="-7"/>
                <w:sz w:val="28"/>
                <w:szCs w:val="28"/>
                <w:highlight w:val="none"/>
              </w:rPr>
              <w:t>序号</w:t>
            </w:r>
          </w:p>
        </w:tc>
        <w:tc>
          <w:tcPr>
            <w:tcW w:w="2489" w:type="dxa"/>
            <w:shd w:val="clear" w:color="auto" w:fill="EAE3D8"/>
            <w:vAlign w:val="top"/>
          </w:tcPr>
          <w:p w14:paraId="1E3C2BE1">
            <w:pPr>
              <w:spacing w:line="290" w:lineRule="auto"/>
              <w:rPr>
                <w:rFonts w:ascii="Arial"/>
                <w:color w:val="auto"/>
                <w:sz w:val="21"/>
                <w:highlight w:val="none"/>
              </w:rPr>
            </w:pPr>
          </w:p>
          <w:p w14:paraId="7DCA727D">
            <w:pPr>
              <w:spacing w:line="291" w:lineRule="auto"/>
              <w:rPr>
                <w:rFonts w:ascii="Arial"/>
                <w:color w:val="auto"/>
                <w:sz w:val="21"/>
                <w:highlight w:val="none"/>
              </w:rPr>
            </w:pPr>
          </w:p>
          <w:p w14:paraId="675129BB">
            <w:pPr>
              <w:pStyle w:val="12"/>
              <w:spacing w:before="91" w:line="220" w:lineRule="auto"/>
              <w:ind w:left="130"/>
              <w:rPr>
                <w:color w:val="auto"/>
                <w:sz w:val="28"/>
                <w:szCs w:val="28"/>
                <w:highlight w:val="none"/>
              </w:rPr>
            </w:pPr>
            <w:r>
              <w:rPr>
                <w:b/>
                <w:bCs/>
                <w:color w:val="auto"/>
                <w:spacing w:val="-4"/>
                <w:sz w:val="28"/>
                <w:szCs w:val="28"/>
                <w:highlight w:val="none"/>
              </w:rPr>
              <w:t>直接控股股东名称</w:t>
            </w:r>
          </w:p>
        </w:tc>
        <w:tc>
          <w:tcPr>
            <w:tcW w:w="1363" w:type="dxa"/>
            <w:shd w:val="clear" w:color="auto" w:fill="EAE3D8"/>
            <w:vAlign w:val="top"/>
          </w:tcPr>
          <w:p w14:paraId="5D2D62F8">
            <w:pPr>
              <w:spacing w:line="309" w:lineRule="auto"/>
              <w:rPr>
                <w:rFonts w:ascii="Arial"/>
                <w:color w:val="auto"/>
                <w:sz w:val="21"/>
                <w:highlight w:val="none"/>
              </w:rPr>
            </w:pPr>
          </w:p>
          <w:p w14:paraId="525D43AC">
            <w:pPr>
              <w:pStyle w:val="12"/>
              <w:spacing w:before="91" w:line="362" w:lineRule="auto"/>
              <w:ind w:left="197" w:right="206" w:firstLine="93"/>
              <w:rPr>
                <w:color w:val="auto"/>
                <w:sz w:val="28"/>
                <w:szCs w:val="28"/>
                <w:highlight w:val="none"/>
              </w:rPr>
            </w:pPr>
            <w:r>
              <w:rPr>
                <w:b/>
                <w:bCs/>
                <w:color w:val="auto"/>
                <w:spacing w:val="-14"/>
                <w:sz w:val="28"/>
                <w:szCs w:val="28"/>
                <w:highlight w:val="none"/>
              </w:rPr>
              <w:t>出资比</w:t>
            </w:r>
            <w:r>
              <w:rPr>
                <w:b/>
                <w:bCs/>
                <w:color w:val="auto"/>
                <w:spacing w:val="-10"/>
                <w:sz w:val="28"/>
                <w:szCs w:val="28"/>
                <w:highlight w:val="none"/>
              </w:rPr>
              <w:t>例（%）</w:t>
            </w:r>
          </w:p>
        </w:tc>
        <w:tc>
          <w:tcPr>
            <w:tcW w:w="4021" w:type="dxa"/>
            <w:shd w:val="clear" w:color="auto" w:fill="EAE3D8"/>
            <w:vAlign w:val="top"/>
          </w:tcPr>
          <w:p w14:paraId="5AA9D2AA">
            <w:pPr>
              <w:spacing w:line="310" w:lineRule="auto"/>
              <w:rPr>
                <w:rFonts w:ascii="Arial"/>
                <w:color w:val="auto"/>
                <w:sz w:val="21"/>
                <w:highlight w:val="none"/>
              </w:rPr>
            </w:pPr>
          </w:p>
          <w:p w14:paraId="0B305934">
            <w:pPr>
              <w:pStyle w:val="12"/>
              <w:spacing w:before="91" w:line="219" w:lineRule="auto"/>
              <w:ind w:left="200"/>
              <w:rPr>
                <w:color w:val="auto"/>
                <w:sz w:val="28"/>
                <w:szCs w:val="28"/>
                <w:highlight w:val="none"/>
              </w:rPr>
            </w:pPr>
            <w:r>
              <w:rPr>
                <w:b/>
                <w:bCs/>
                <w:color w:val="auto"/>
                <w:spacing w:val="-4"/>
                <w:sz w:val="28"/>
                <w:szCs w:val="28"/>
                <w:highlight w:val="none"/>
              </w:rPr>
              <w:t>身份证号码或者统一社会信用</w:t>
            </w:r>
          </w:p>
          <w:p w14:paraId="7146E9EF">
            <w:pPr>
              <w:pStyle w:val="12"/>
              <w:spacing w:before="212" w:line="220" w:lineRule="auto"/>
              <w:ind w:left="1737"/>
              <w:rPr>
                <w:color w:val="auto"/>
                <w:sz w:val="28"/>
                <w:szCs w:val="28"/>
                <w:highlight w:val="none"/>
              </w:rPr>
            </w:pPr>
            <w:r>
              <w:rPr>
                <w:b/>
                <w:bCs/>
                <w:color w:val="auto"/>
                <w:spacing w:val="-7"/>
                <w:sz w:val="28"/>
                <w:szCs w:val="28"/>
                <w:highlight w:val="none"/>
              </w:rPr>
              <w:t>代码</w:t>
            </w:r>
          </w:p>
        </w:tc>
        <w:tc>
          <w:tcPr>
            <w:tcW w:w="819" w:type="dxa"/>
            <w:shd w:val="clear" w:color="auto" w:fill="EAE3D8"/>
            <w:vAlign w:val="top"/>
          </w:tcPr>
          <w:p w14:paraId="232C34B7">
            <w:pPr>
              <w:spacing w:line="291" w:lineRule="auto"/>
              <w:rPr>
                <w:rFonts w:ascii="Arial"/>
                <w:color w:val="auto"/>
                <w:sz w:val="21"/>
                <w:highlight w:val="none"/>
              </w:rPr>
            </w:pPr>
          </w:p>
          <w:p w14:paraId="35C1DC5E">
            <w:pPr>
              <w:spacing w:line="291" w:lineRule="auto"/>
              <w:rPr>
                <w:rFonts w:ascii="Arial"/>
                <w:color w:val="auto"/>
                <w:sz w:val="21"/>
                <w:highlight w:val="none"/>
              </w:rPr>
            </w:pPr>
          </w:p>
          <w:p w14:paraId="422351FC">
            <w:pPr>
              <w:pStyle w:val="12"/>
              <w:spacing w:before="91" w:line="221" w:lineRule="auto"/>
              <w:ind w:left="139"/>
              <w:rPr>
                <w:color w:val="auto"/>
                <w:sz w:val="28"/>
                <w:szCs w:val="28"/>
                <w:highlight w:val="none"/>
              </w:rPr>
            </w:pPr>
            <w:r>
              <w:rPr>
                <w:b/>
                <w:bCs/>
                <w:color w:val="auto"/>
                <w:spacing w:val="-10"/>
                <w:sz w:val="28"/>
                <w:szCs w:val="28"/>
                <w:highlight w:val="none"/>
              </w:rPr>
              <w:t>备注</w:t>
            </w:r>
          </w:p>
        </w:tc>
      </w:tr>
      <w:tr w14:paraId="4A0E3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829" w:type="dxa"/>
            <w:vAlign w:val="top"/>
          </w:tcPr>
          <w:p w14:paraId="0F47A6CE">
            <w:pPr>
              <w:pStyle w:val="12"/>
              <w:spacing w:before="174" w:line="242" w:lineRule="auto"/>
              <w:ind w:left="372"/>
              <w:rPr>
                <w:color w:val="auto"/>
                <w:sz w:val="28"/>
                <w:szCs w:val="28"/>
                <w:highlight w:val="none"/>
              </w:rPr>
            </w:pPr>
            <w:r>
              <w:rPr>
                <w:color w:val="auto"/>
                <w:sz w:val="28"/>
                <w:szCs w:val="28"/>
                <w:highlight w:val="none"/>
              </w:rPr>
              <w:t>1</w:t>
            </w:r>
          </w:p>
        </w:tc>
        <w:tc>
          <w:tcPr>
            <w:tcW w:w="2489" w:type="dxa"/>
            <w:vAlign w:val="top"/>
          </w:tcPr>
          <w:p w14:paraId="594D5B1A">
            <w:pPr>
              <w:rPr>
                <w:rFonts w:ascii="Arial"/>
                <w:color w:val="auto"/>
                <w:sz w:val="21"/>
                <w:highlight w:val="none"/>
              </w:rPr>
            </w:pPr>
          </w:p>
        </w:tc>
        <w:tc>
          <w:tcPr>
            <w:tcW w:w="1363" w:type="dxa"/>
            <w:vAlign w:val="top"/>
          </w:tcPr>
          <w:p w14:paraId="227665BC">
            <w:pPr>
              <w:rPr>
                <w:rFonts w:ascii="Arial"/>
                <w:color w:val="auto"/>
                <w:sz w:val="21"/>
                <w:highlight w:val="none"/>
              </w:rPr>
            </w:pPr>
          </w:p>
        </w:tc>
        <w:tc>
          <w:tcPr>
            <w:tcW w:w="4021" w:type="dxa"/>
            <w:vAlign w:val="top"/>
          </w:tcPr>
          <w:p w14:paraId="38F81AC2">
            <w:pPr>
              <w:rPr>
                <w:rFonts w:ascii="Arial"/>
                <w:color w:val="auto"/>
                <w:sz w:val="21"/>
                <w:highlight w:val="none"/>
              </w:rPr>
            </w:pPr>
          </w:p>
        </w:tc>
        <w:tc>
          <w:tcPr>
            <w:tcW w:w="819" w:type="dxa"/>
            <w:vAlign w:val="top"/>
          </w:tcPr>
          <w:p w14:paraId="4F07AEBE">
            <w:pPr>
              <w:rPr>
                <w:rFonts w:ascii="Arial"/>
                <w:color w:val="auto"/>
                <w:sz w:val="21"/>
                <w:highlight w:val="none"/>
              </w:rPr>
            </w:pPr>
          </w:p>
        </w:tc>
      </w:tr>
      <w:tr w14:paraId="006DC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829" w:type="dxa"/>
            <w:vAlign w:val="top"/>
          </w:tcPr>
          <w:p w14:paraId="091249FF">
            <w:pPr>
              <w:pStyle w:val="12"/>
              <w:spacing w:before="174" w:line="242" w:lineRule="auto"/>
              <w:ind w:left="355"/>
              <w:rPr>
                <w:color w:val="auto"/>
                <w:sz w:val="28"/>
                <w:szCs w:val="28"/>
                <w:highlight w:val="none"/>
              </w:rPr>
            </w:pPr>
            <w:r>
              <w:rPr>
                <w:color w:val="auto"/>
                <w:sz w:val="28"/>
                <w:szCs w:val="28"/>
                <w:highlight w:val="none"/>
              </w:rPr>
              <w:t>2</w:t>
            </w:r>
          </w:p>
        </w:tc>
        <w:tc>
          <w:tcPr>
            <w:tcW w:w="2489" w:type="dxa"/>
            <w:vAlign w:val="top"/>
          </w:tcPr>
          <w:p w14:paraId="0F4E9BE7">
            <w:pPr>
              <w:rPr>
                <w:rFonts w:ascii="Arial"/>
                <w:color w:val="auto"/>
                <w:sz w:val="21"/>
                <w:highlight w:val="none"/>
              </w:rPr>
            </w:pPr>
          </w:p>
        </w:tc>
        <w:tc>
          <w:tcPr>
            <w:tcW w:w="1363" w:type="dxa"/>
            <w:vAlign w:val="top"/>
          </w:tcPr>
          <w:p w14:paraId="7A19769C">
            <w:pPr>
              <w:rPr>
                <w:rFonts w:ascii="Arial"/>
                <w:color w:val="auto"/>
                <w:sz w:val="21"/>
                <w:highlight w:val="none"/>
              </w:rPr>
            </w:pPr>
          </w:p>
        </w:tc>
        <w:tc>
          <w:tcPr>
            <w:tcW w:w="4021" w:type="dxa"/>
            <w:vAlign w:val="top"/>
          </w:tcPr>
          <w:p w14:paraId="1BE86A38">
            <w:pPr>
              <w:rPr>
                <w:rFonts w:ascii="Arial"/>
                <w:color w:val="auto"/>
                <w:sz w:val="21"/>
                <w:highlight w:val="none"/>
              </w:rPr>
            </w:pPr>
          </w:p>
        </w:tc>
        <w:tc>
          <w:tcPr>
            <w:tcW w:w="819" w:type="dxa"/>
            <w:vAlign w:val="top"/>
          </w:tcPr>
          <w:p w14:paraId="01F1F834">
            <w:pPr>
              <w:rPr>
                <w:rFonts w:ascii="Arial"/>
                <w:color w:val="auto"/>
                <w:sz w:val="21"/>
                <w:highlight w:val="none"/>
              </w:rPr>
            </w:pPr>
          </w:p>
        </w:tc>
      </w:tr>
      <w:tr w14:paraId="71509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829" w:type="dxa"/>
            <w:vAlign w:val="top"/>
          </w:tcPr>
          <w:p w14:paraId="3D14B97F">
            <w:pPr>
              <w:pStyle w:val="12"/>
              <w:spacing w:before="175"/>
              <w:ind w:left="357"/>
              <w:rPr>
                <w:color w:val="auto"/>
                <w:sz w:val="28"/>
                <w:szCs w:val="28"/>
                <w:highlight w:val="none"/>
              </w:rPr>
            </w:pPr>
            <w:r>
              <w:rPr>
                <w:color w:val="auto"/>
                <w:sz w:val="28"/>
                <w:szCs w:val="28"/>
                <w:highlight w:val="none"/>
              </w:rPr>
              <w:t>3</w:t>
            </w:r>
          </w:p>
        </w:tc>
        <w:tc>
          <w:tcPr>
            <w:tcW w:w="2489" w:type="dxa"/>
            <w:vAlign w:val="top"/>
          </w:tcPr>
          <w:p w14:paraId="452C7E16">
            <w:pPr>
              <w:rPr>
                <w:rFonts w:ascii="Arial"/>
                <w:color w:val="auto"/>
                <w:sz w:val="21"/>
                <w:highlight w:val="none"/>
              </w:rPr>
            </w:pPr>
          </w:p>
        </w:tc>
        <w:tc>
          <w:tcPr>
            <w:tcW w:w="1363" w:type="dxa"/>
            <w:vAlign w:val="top"/>
          </w:tcPr>
          <w:p w14:paraId="70F14FFF">
            <w:pPr>
              <w:rPr>
                <w:rFonts w:ascii="Arial"/>
                <w:color w:val="auto"/>
                <w:sz w:val="21"/>
                <w:highlight w:val="none"/>
              </w:rPr>
            </w:pPr>
          </w:p>
        </w:tc>
        <w:tc>
          <w:tcPr>
            <w:tcW w:w="4021" w:type="dxa"/>
            <w:vAlign w:val="top"/>
          </w:tcPr>
          <w:p w14:paraId="3F4EDD91">
            <w:pPr>
              <w:rPr>
                <w:rFonts w:ascii="Arial"/>
                <w:color w:val="auto"/>
                <w:sz w:val="21"/>
                <w:highlight w:val="none"/>
              </w:rPr>
            </w:pPr>
          </w:p>
        </w:tc>
        <w:tc>
          <w:tcPr>
            <w:tcW w:w="819" w:type="dxa"/>
            <w:vAlign w:val="top"/>
          </w:tcPr>
          <w:p w14:paraId="3FE47EFA">
            <w:pPr>
              <w:rPr>
                <w:rFonts w:ascii="Arial"/>
                <w:color w:val="auto"/>
                <w:sz w:val="21"/>
                <w:highlight w:val="none"/>
              </w:rPr>
            </w:pPr>
          </w:p>
        </w:tc>
      </w:tr>
      <w:tr w14:paraId="7B378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829" w:type="dxa"/>
            <w:vAlign w:val="top"/>
          </w:tcPr>
          <w:p w14:paraId="606A14F6">
            <w:pPr>
              <w:pStyle w:val="12"/>
              <w:spacing w:before="177" w:line="442" w:lineRule="exact"/>
              <w:ind w:left="160"/>
              <w:rPr>
                <w:color w:val="auto"/>
                <w:sz w:val="28"/>
                <w:szCs w:val="28"/>
                <w:highlight w:val="none"/>
              </w:rPr>
            </w:pPr>
            <w:r>
              <w:rPr>
                <w:color w:val="auto"/>
                <w:spacing w:val="-14"/>
                <w:position w:val="3"/>
                <w:sz w:val="28"/>
                <w:szCs w:val="28"/>
                <w:highlight w:val="none"/>
              </w:rPr>
              <w:t>……</w:t>
            </w:r>
          </w:p>
        </w:tc>
        <w:tc>
          <w:tcPr>
            <w:tcW w:w="2489" w:type="dxa"/>
            <w:vAlign w:val="top"/>
          </w:tcPr>
          <w:p w14:paraId="0458AD98">
            <w:pPr>
              <w:rPr>
                <w:rFonts w:ascii="Arial"/>
                <w:color w:val="auto"/>
                <w:sz w:val="21"/>
                <w:highlight w:val="none"/>
              </w:rPr>
            </w:pPr>
          </w:p>
        </w:tc>
        <w:tc>
          <w:tcPr>
            <w:tcW w:w="1363" w:type="dxa"/>
            <w:vAlign w:val="top"/>
          </w:tcPr>
          <w:p w14:paraId="155C5DB1">
            <w:pPr>
              <w:rPr>
                <w:rFonts w:ascii="Arial"/>
                <w:color w:val="auto"/>
                <w:sz w:val="21"/>
                <w:highlight w:val="none"/>
              </w:rPr>
            </w:pPr>
          </w:p>
        </w:tc>
        <w:tc>
          <w:tcPr>
            <w:tcW w:w="4021" w:type="dxa"/>
            <w:vAlign w:val="top"/>
          </w:tcPr>
          <w:p w14:paraId="602206CD">
            <w:pPr>
              <w:rPr>
                <w:rFonts w:ascii="Arial"/>
                <w:color w:val="auto"/>
                <w:sz w:val="21"/>
                <w:highlight w:val="none"/>
              </w:rPr>
            </w:pPr>
          </w:p>
        </w:tc>
        <w:tc>
          <w:tcPr>
            <w:tcW w:w="819" w:type="dxa"/>
            <w:vAlign w:val="top"/>
          </w:tcPr>
          <w:p w14:paraId="0FFB9455">
            <w:pPr>
              <w:rPr>
                <w:rFonts w:ascii="Arial"/>
                <w:color w:val="auto"/>
                <w:sz w:val="21"/>
                <w:highlight w:val="none"/>
              </w:rPr>
            </w:pPr>
          </w:p>
        </w:tc>
      </w:tr>
    </w:tbl>
    <w:p w14:paraId="35C88812">
      <w:pPr>
        <w:spacing w:before="36" w:line="224" w:lineRule="auto"/>
        <w:ind w:left="40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注：</w:t>
      </w:r>
    </w:p>
    <w:p w14:paraId="03EF8A1E">
      <w:pPr>
        <w:spacing w:before="175" w:line="359" w:lineRule="auto"/>
        <w:ind w:left="408" w:right="487" w:firstLine="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1.直接控股股东：是指其出资额占有限责任公司资本总额百分之五十以上或者</w:t>
      </w:r>
      <w:r>
        <w:rPr>
          <w:rFonts w:ascii="宋体" w:hAnsi="宋体" w:eastAsia="宋体" w:cs="宋体"/>
          <w:color w:val="auto"/>
          <w:sz w:val="24"/>
          <w:szCs w:val="24"/>
          <w:highlight w:val="none"/>
        </w:rPr>
        <w:t>其持有的股份占股份有限公司股份总额百分之五十以上的</w:t>
      </w:r>
      <w:r>
        <w:rPr>
          <w:rFonts w:ascii="宋体" w:hAnsi="宋体" w:eastAsia="宋体" w:cs="宋体"/>
          <w:color w:val="auto"/>
          <w:spacing w:val="-1"/>
          <w:sz w:val="24"/>
          <w:szCs w:val="24"/>
          <w:highlight w:val="none"/>
        </w:rPr>
        <w:t>股东；出资额或者持有股</w:t>
      </w:r>
      <w:r>
        <w:rPr>
          <w:rFonts w:ascii="宋体" w:hAnsi="宋体" w:eastAsia="宋体" w:cs="宋体"/>
          <w:color w:val="auto"/>
          <w:sz w:val="24"/>
          <w:szCs w:val="24"/>
          <w:highlight w:val="none"/>
        </w:rPr>
        <w:t>份的比例虽然不足百分之五十，但依其出资额或者持有的</w:t>
      </w:r>
      <w:r>
        <w:rPr>
          <w:rFonts w:ascii="宋体" w:hAnsi="宋体" w:eastAsia="宋体" w:cs="宋体"/>
          <w:color w:val="auto"/>
          <w:spacing w:val="-1"/>
          <w:sz w:val="24"/>
          <w:szCs w:val="24"/>
          <w:highlight w:val="none"/>
        </w:rPr>
        <w:t>股份所享有的表决权已足以对股东会、股东大会的决议产生重大影响的股东。</w:t>
      </w:r>
    </w:p>
    <w:p w14:paraId="20A0366F">
      <w:pPr>
        <w:spacing w:line="359" w:lineRule="auto"/>
        <w:ind w:left="424" w:right="487" w:firstLine="466"/>
        <w:rPr>
          <w:rFonts w:ascii="宋体" w:hAnsi="宋体" w:eastAsia="宋体" w:cs="宋体"/>
          <w:color w:val="auto"/>
          <w:sz w:val="24"/>
          <w:szCs w:val="24"/>
          <w:highlight w:val="none"/>
        </w:rPr>
      </w:pPr>
      <w:r>
        <w:rPr>
          <w:rFonts w:ascii="宋体" w:hAnsi="宋体" w:eastAsia="宋体" w:cs="宋体"/>
          <w:color w:val="auto"/>
          <w:sz w:val="24"/>
          <w:szCs w:val="24"/>
          <w:highlight w:val="none"/>
        </w:rPr>
        <w:t>2.本表所指的控股关系仅限于直接控股关系，</w:t>
      </w:r>
      <w:r>
        <w:rPr>
          <w:rFonts w:ascii="宋体" w:hAnsi="宋体" w:eastAsia="宋体" w:cs="宋体"/>
          <w:color w:val="auto"/>
          <w:spacing w:val="-1"/>
          <w:sz w:val="24"/>
          <w:szCs w:val="24"/>
          <w:highlight w:val="none"/>
        </w:rPr>
        <w:t>不包括间接的控股关系。公司实际控制人与公司之间的关系不属于本表所指的直接控股关系。</w:t>
      </w:r>
    </w:p>
    <w:p w14:paraId="2DA2B357">
      <w:pPr>
        <w:spacing w:line="218" w:lineRule="auto"/>
        <w:ind w:left="8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3.供应商不存在直接控股股东的，则在“</w:t>
      </w:r>
      <w:r>
        <w:rPr>
          <w:rFonts w:ascii="宋体" w:hAnsi="宋体" w:eastAsia="宋体" w:cs="宋体"/>
          <w:color w:val="auto"/>
          <w:spacing w:val="-2"/>
          <w:sz w:val="24"/>
          <w:szCs w:val="24"/>
          <w:highlight w:val="none"/>
        </w:rPr>
        <w:t>直接控股股东名称</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”填“无</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w:t>
      </w:r>
    </w:p>
    <w:p w14:paraId="585FD8CD">
      <w:pPr>
        <w:spacing w:line="263" w:lineRule="auto"/>
        <w:rPr>
          <w:rFonts w:ascii="Arial"/>
          <w:color w:val="auto"/>
          <w:sz w:val="21"/>
          <w:highlight w:val="none"/>
        </w:rPr>
      </w:pPr>
    </w:p>
    <w:p w14:paraId="26320236">
      <w:pPr>
        <w:spacing w:line="263" w:lineRule="auto"/>
        <w:rPr>
          <w:rFonts w:ascii="Arial"/>
          <w:color w:val="auto"/>
          <w:sz w:val="21"/>
          <w:highlight w:val="none"/>
        </w:rPr>
      </w:pPr>
    </w:p>
    <w:p w14:paraId="6D318702">
      <w:pPr>
        <w:spacing w:line="263" w:lineRule="auto"/>
        <w:rPr>
          <w:rFonts w:ascii="Arial"/>
          <w:color w:val="auto"/>
          <w:sz w:val="21"/>
          <w:highlight w:val="none"/>
        </w:rPr>
      </w:pPr>
    </w:p>
    <w:p w14:paraId="2EAE9641">
      <w:pPr>
        <w:spacing w:line="263" w:lineRule="auto"/>
        <w:rPr>
          <w:rFonts w:ascii="Arial"/>
          <w:color w:val="auto"/>
          <w:sz w:val="21"/>
          <w:highlight w:val="none"/>
        </w:rPr>
      </w:pPr>
    </w:p>
    <w:p w14:paraId="00EC54CC">
      <w:pPr>
        <w:spacing w:before="79" w:line="219" w:lineRule="auto"/>
        <w:ind w:left="225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法定代表人或者委托代理人（签字或者电子签名</w:t>
      </w:r>
      <w:r>
        <w:rPr>
          <w:rFonts w:ascii="宋体" w:hAnsi="宋体" w:eastAsia="宋体" w:cs="宋体"/>
          <w:color w:val="auto"/>
          <w:spacing w:val="4"/>
          <w:sz w:val="24"/>
          <w:szCs w:val="24"/>
          <w:highlight w:val="none"/>
        </w:rPr>
        <w:t>）：</w:t>
      </w:r>
      <w:r>
        <w:rPr>
          <w:rFonts w:ascii="宋体" w:hAnsi="宋体" w:eastAsia="宋体" w:cs="宋体"/>
          <w:color w:val="auto"/>
          <w:sz w:val="24"/>
          <w:szCs w:val="24"/>
          <w:highlight w:val="none"/>
          <w:u w:val="single" w:color="auto"/>
        </w:rPr>
        <w:t xml:space="preserve">        </w:t>
      </w:r>
    </w:p>
    <w:p w14:paraId="341C3D32">
      <w:pPr>
        <w:spacing w:before="182" w:line="219" w:lineRule="auto"/>
        <w:ind w:left="340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r>
        <w:rPr>
          <w:rFonts w:ascii="宋体" w:hAnsi="宋体" w:eastAsia="宋体" w:cs="宋体"/>
          <w:color w:val="auto"/>
          <w:spacing w:val="-1"/>
          <w:sz w:val="24"/>
          <w:szCs w:val="24"/>
          <w:highlight w:val="none"/>
        </w:rPr>
        <w:t xml:space="preserve"> </w:t>
      </w:r>
      <w:r>
        <w:rPr>
          <w:rFonts w:ascii="宋体" w:hAnsi="宋体" w:eastAsia="宋体" w:cs="宋体"/>
          <w:color w:val="auto"/>
          <w:sz w:val="24"/>
          <w:szCs w:val="24"/>
          <w:highlight w:val="none"/>
          <w:u w:val="single" w:color="auto"/>
        </w:rPr>
        <w:t xml:space="preserve">                   </w:t>
      </w:r>
    </w:p>
    <w:p w14:paraId="28524792">
      <w:pPr>
        <w:spacing w:before="182" w:line="219" w:lineRule="auto"/>
        <w:ind w:left="5689"/>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年</w:t>
      </w:r>
      <w:r>
        <w:rPr>
          <w:rFonts w:ascii="宋体" w:hAnsi="宋体" w:eastAsia="宋体" w:cs="宋体"/>
          <w:color w:val="auto"/>
          <w:spacing w:val="3"/>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pacing w:val="13"/>
          <w:sz w:val="24"/>
          <w:szCs w:val="24"/>
          <w:highlight w:val="none"/>
        </w:rPr>
        <w:t xml:space="preserve">    </w:t>
      </w:r>
      <w:r>
        <w:rPr>
          <w:rFonts w:ascii="宋体" w:hAnsi="宋体" w:eastAsia="宋体" w:cs="宋体"/>
          <w:color w:val="auto"/>
          <w:spacing w:val="-9"/>
          <w:sz w:val="24"/>
          <w:szCs w:val="24"/>
          <w:highlight w:val="none"/>
        </w:rPr>
        <w:t>日</w:t>
      </w:r>
    </w:p>
    <w:p w14:paraId="7AB24764">
      <w:pPr>
        <w:spacing w:line="219" w:lineRule="auto"/>
        <w:rPr>
          <w:rFonts w:ascii="宋体" w:hAnsi="宋体" w:eastAsia="宋体" w:cs="宋体"/>
          <w:color w:val="auto"/>
          <w:sz w:val="24"/>
          <w:szCs w:val="24"/>
          <w:highlight w:val="none"/>
        </w:rPr>
        <w:sectPr>
          <w:footerReference r:id="rId43" w:type="default"/>
          <w:pgSz w:w="11910" w:h="16840"/>
          <w:pgMar w:top="1324" w:right="1102" w:bottom="1091" w:left="1281" w:header="0" w:footer="929" w:gutter="0"/>
          <w:pgNumType w:fmt="decimal"/>
          <w:cols w:space="720" w:num="1"/>
        </w:sectPr>
      </w:pPr>
    </w:p>
    <w:p w14:paraId="638ABD5D">
      <w:pPr>
        <w:spacing w:before="63" w:line="224" w:lineRule="auto"/>
        <w:ind w:left="2914"/>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供应商直接管理关系信息表</w:t>
      </w:r>
    </w:p>
    <w:p w14:paraId="5EF0A338">
      <w:pPr>
        <w:spacing w:before="164"/>
        <w:rPr>
          <w:color w:val="auto"/>
          <w:highlight w:val="none"/>
        </w:rPr>
      </w:pPr>
    </w:p>
    <w:tbl>
      <w:tblPr>
        <w:tblStyle w:val="11"/>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558FC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812" w:type="dxa"/>
            <w:shd w:val="clear" w:color="auto" w:fill="EAE3D8"/>
            <w:vAlign w:val="top"/>
          </w:tcPr>
          <w:p w14:paraId="3059FF6C">
            <w:pPr>
              <w:pStyle w:val="12"/>
              <w:spacing w:before="167" w:line="221" w:lineRule="auto"/>
              <w:ind w:left="132"/>
              <w:rPr>
                <w:color w:val="auto"/>
                <w:sz w:val="28"/>
                <w:szCs w:val="28"/>
                <w:highlight w:val="none"/>
              </w:rPr>
            </w:pPr>
            <w:r>
              <w:rPr>
                <w:b/>
                <w:bCs/>
                <w:color w:val="auto"/>
                <w:spacing w:val="-7"/>
                <w:sz w:val="28"/>
                <w:szCs w:val="28"/>
                <w:highlight w:val="none"/>
              </w:rPr>
              <w:t>序号</w:t>
            </w:r>
          </w:p>
        </w:tc>
        <w:tc>
          <w:tcPr>
            <w:tcW w:w="3598" w:type="dxa"/>
            <w:shd w:val="clear" w:color="auto" w:fill="EAE3D8"/>
            <w:vAlign w:val="top"/>
          </w:tcPr>
          <w:p w14:paraId="123DD3D2">
            <w:pPr>
              <w:pStyle w:val="12"/>
              <w:spacing w:before="167" w:line="220" w:lineRule="auto"/>
              <w:ind w:left="403"/>
              <w:rPr>
                <w:color w:val="auto"/>
                <w:sz w:val="28"/>
                <w:szCs w:val="28"/>
                <w:highlight w:val="none"/>
              </w:rPr>
            </w:pPr>
            <w:r>
              <w:rPr>
                <w:b/>
                <w:bCs/>
                <w:color w:val="auto"/>
                <w:spacing w:val="-4"/>
                <w:sz w:val="28"/>
                <w:szCs w:val="28"/>
                <w:highlight w:val="none"/>
              </w:rPr>
              <w:t>直接管理关系单位名称</w:t>
            </w:r>
          </w:p>
        </w:tc>
        <w:tc>
          <w:tcPr>
            <w:tcW w:w="3553" w:type="dxa"/>
            <w:shd w:val="clear" w:color="auto" w:fill="EAE3D8"/>
            <w:vAlign w:val="top"/>
          </w:tcPr>
          <w:p w14:paraId="0DD9193F">
            <w:pPr>
              <w:pStyle w:val="12"/>
              <w:spacing w:before="167" w:line="219" w:lineRule="auto"/>
              <w:ind w:left="669"/>
              <w:rPr>
                <w:color w:val="auto"/>
                <w:sz w:val="28"/>
                <w:szCs w:val="28"/>
                <w:highlight w:val="none"/>
              </w:rPr>
            </w:pPr>
            <w:r>
              <w:rPr>
                <w:b/>
                <w:bCs/>
                <w:color w:val="auto"/>
                <w:spacing w:val="-5"/>
                <w:sz w:val="28"/>
                <w:szCs w:val="28"/>
                <w:highlight w:val="none"/>
              </w:rPr>
              <w:t>统一社会信用代码</w:t>
            </w:r>
          </w:p>
        </w:tc>
        <w:tc>
          <w:tcPr>
            <w:tcW w:w="1693" w:type="dxa"/>
            <w:shd w:val="clear" w:color="auto" w:fill="EAE3D8"/>
            <w:vAlign w:val="top"/>
          </w:tcPr>
          <w:p w14:paraId="0A8DDB45">
            <w:pPr>
              <w:pStyle w:val="12"/>
              <w:spacing w:before="167" w:line="221" w:lineRule="auto"/>
              <w:ind w:left="576"/>
              <w:rPr>
                <w:color w:val="auto"/>
                <w:sz w:val="28"/>
                <w:szCs w:val="28"/>
                <w:highlight w:val="none"/>
              </w:rPr>
            </w:pPr>
            <w:r>
              <w:rPr>
                <w:b/>
                <w:bCs/>
                <w:color w:val="auto"/>
                <w:spacing w:val="-10"/>
                <w:sz w:val="28"/>
                <w:szCs w:val="28"/>
                <w:highlight w:val="none"/>
              </w:rPr>
              <w:t>备注</w:t>
            </w:r>
          </w:p>
        </w:tc>
      </w:tr>
      <w:tr w14:paraId="490D0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812" w:type="dxa"/>
            <w:vAlign w:val="top"/>
          </w:tcPr>
          <w:p w14:paraId="5AA26047">
            <w:pPr>
              <w:pStyle w:val="12"/>
              <w:spacing w:before="162" w:line="242" w:lineRule="auto"/>
              <w:ind w:left="365"/>
              <w:rPr>
                <w:color w:val="auto"/>
                <w:sz w:val="28"/>
                <w:szCs w:val="28"/>
                <w:highlight w:val="none"/>
              </w:rPr>
            </w:pPr>
            <w:r>
              <w:rPr>
                <w:color w:val="auto"/>
                <w:sz w:val="28"/>
                <w:szCs w:val="28"/>
                <w:highlight w:val="none"/>
              </w:rPr>
              <w:t>1</w:t>
            </w:r>
          </w:p>
        </w:tc>
        <w:tc>
          <w:tcPr>
            <w:tcW w:w="3598" w:type="dxa"/>
            <w:vAlign w:val="top"/>
          </w:tcPr>
          <w:p w14:paraId="7B069EA6">
            <w:pPr>
              <w:rPr>
                <w:rFonts w:ascii="Arial"/>
                <w:color w:val="auto"/>
                <w:sz w:val="21"/>
                <w:highlight w:val="none"/>
              </w:rPr>
            </w:pPr>
          </w:p>
        </w:tc>
        <w:tc>
          <w:tcPr>
            <w:tcW w:w="3553" w:type="dxa"/>
            <w:vAlign w:val="top"/>
          </w:tcPr>
          <w:p w14:paraId="3146A2CA">
            <w:pPr>
              <w:rPr>
                <w:rFonts w:ascii="Arial"/>
                <w:color w:val="auto"/>
                <w:sz w:val="21"/>
                <w:highlight w:val="none"/>
              </w:rPr>
            </w:pPr>
          </w:p>
        </w:tc>
        <w:tc>
          <w:tcPr>
            <w:tcW w:w="1693" w:type="dxa"/>
            <w:vAlign w:val="top"/>
          </w:tcPr>
          <w:p w14:paraId="0479A88A">
            <w:pPr>
              <w:rPr>
                <w:rFonts w:ascii="Arial"/>
                <w:color w:val="auto"/>
                <w:sz w:val="21"/>
                <w:highlight w:val="none"/>
              </w:rPr>
            </w:pPr>
          </w:p>
        </w:tc>
      </w:tr>
      <w:tr w14:paraId="6A1F0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812" w:type="dxa"/>
            <w:vAlign w:val="top"/>
          </w:tcPr>
          <w:p w14:paraId="2F895370">
            <w:pPr>
              <w:pStyle w:val="12"/>
              <w:spacing w:before="164" w:line="242" w:lineRule="auto"/>
              <w:ind w:left="347"/>
              <w:rPr>
                <w:color w:val="auto"/>
                <w:sz w:val="28"/>
                <w:szCs w:val="28"/>
                <w:highlight w:val="none"/>
              </w:rPr>
            </w:pPr>
            <w:r>
              <w:rPr>
                <w:color w:val="auto"/>
                <w:sz w:val="28"/>
                <w:szCs w:val="28"/>
                <w:highlight w:val="none"/>
              </w:rPr>
              <w:t>2</w:t>
            </w:r>
          </w:p>
        </w:tc>
        <w:tc>
          <w:tcPr>
            <w:tcW w:w="3598" w:type="dxa"/>
            <w:vAlign w:val="top"/>
          </w:tcPr>
          <w:p w14:paraId="51609001">
            <w:pPr>
              <w:rPr>
                <w:rFonts w:ascii="Arial"/>
                <w:color w:val="auto"/>
                <w:sz w:val="21"/>
                <w:highlight w:val="none"/>
              </w:rPr>
            </w:pPr>
          </w:p>
        </w:tc>
        <w:tc>
          <w:tcPr>
            <w:tcW w:w="3553" w:type="dxa"/>
            <w:vAlign w:val="top"/>
          </w:tcPr>
          <w:p w14:paraId="600F88C9">
            <w:pPr>
              <w:rPr>
                <w:rFonts w:ascii="Arial"/>
                <w:color w:val="auto"/>
                <w:sz w:val="21"/>
                <w:highlight w:val="none"/>
              </w:rPr>
            </w:pPr>
          </w:p>
        </w:tc>
        <w:tc>
          <w:tcPr>
            <w:tcW w:w="1693" w:type="dxa"/>
            <w:vAlign w:val="top"/>
          </w:tcPr>
          <w:p w14:paraId="01E8400E">
            <w:pPr>
              <w:rPr>
                <w:rFonts w:ascii="Arial"/>
                <w:color w:val="auto"/>
                <w:sz w:val="21"/>
                <w:highlight w:val="none"/>
              </w:rPr>
            </w:pPr>
          </w:p>
        </w:tc>
      </w:tr>
      <w:tr w14:paraId="4065D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812" w:type="dxa"/>
            <w:vAlign w:val="top"/>
          </w:tcPr>
          <w:p w14:paraId="57AB2E64">
            <w:pPr>
              <w:pStyle w:val="12"/>
              <w:spacing w:before="165"/>
              <w:ind w:left="350"/>
              <w:rPr>
                <w:color w:val="auto"/>
                <w:sz w:val="28"/>
                <w:szCs w:val="28"/>
                <w:highlight w:val="none"/>
              </w:rPr>
            </w:pPr>
            <w:r>
              <w:rPr>
                <w:color w:val="auto"/>
                <w:sz w:val="28"/>
                <w:szCs w:val="28"/>
                <w:highlight w:val="none"/>
              </w:rPr>
              <w:t>3</w:t>
            </w:r>
          </w:p>
        </w:tc>
        <w:tc>
          <w:tcPr>
            <w:tcW w:w="3598" w:type="dxa"/>
            <w:vAlign w:val="top"/>
          </w:tcPr>
          <w:p w14:paraId="10AA7ADF">
            <w:pPr>
              <w:rPr>
                <w:rFonts w:ascii="Arial"/>
                <w:color w:val="auto"/>
                <w:sz w:val="21"/>
                <w:highlight w:val="none"/>
              </w:rPr>
            </w:pPr>
          </w:p>
        </w:tc>
        <w:tc>
          <w:tcPr>
            <w:tcW w:w="3553" w:type="dxa"/>
            <w:vAlign w:val="top"/>
          </w:tcPr>
          <w:p w14:paraId="7964F026">
            <w:pPr>
              <w:rPr>
                <w:rFonts w:ascii="Arial"/>
                <w:color w:val="auto"/>
                <w:sz w:val="21"/>
                <w:highlight w:val="none"/>
              </w:rPr>
            </w:pPr>
          </w:p>
        </w:tc>
        <w:tc>
          <w:tcPr>
            <w:tcW w:w="1693" w:type="dxa"/>
            <w:vAlign w:val="top"/>
          </w:tcPr>
          <w:p w14:paraId="605107CF">
            <w:pPr>
              <w:rPr>
                <w:rFonts w:ascii="Arial"/>
                <w:color w:val="auto"/>
                <w:sz w:val="21"/>
                <w:highlight w:val="none"/>
              </w:rPr>
            </w:pPr>
          </w:p>
        </w:tc>
      </w:tr>
      <w:tr w14:paraId="0175F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2" w:type="dxa"/>
            <w:vAlign w:val="top"/>
          </w:tcPr>
          <w:p w14:paraId="3497BBCD">
            <w:pPr>
              <w:pStyle w:val="12"/>
              <w:spacing w:before="164" w:line="437" w:lineRule="exact"/>
              <w:ind w:left="153"/>
              <w:rPr>
                <w:color w:val="auto"/>
                <w:sz w:val="28"/>
                <w:szCs w:val="28"/>
                <w:highlight w:val="none"/>
              </w:rPr>
            </w:pPr>
            <w:r>
              <w:rPr>
                <w:color w:val="auto"/>
                <w:spacing w:val="-14"/>
                <w:position w:val="3"/>
                <w:sz w:val="28"/>
                <w:szCs w:val="28"/>
                <w:highlight w:val="none"/>
              </w:rPr>
              <w:t>……</w:t>
            </w:r>
          </w:p>
        </w:tc>
        <w:tc>
          <w:tcPr>
            <w:tcW w:w="3598" w:type="dxa"/>
            <w:vAlign w:val="top"/>
          </w:tcPr>
          <w:p w14:paraId="31E09F39">
            <w:pPr>
              <w:rPr>
                <w:rFonts w:ascii="Arial"/>
                <w:color w:val="auto"/>
                <w:sz w:val="21"/>
                <w:highlight w:val="none"/>
              </w:rPr>
            </w:pPr>
          </w:p>
        </w:tc>
        <w:tc>
          <w:tcPr>
            <w:tcW w:w="3553" w:type="dxa"/>
            <w:vAlign w:val="top"/>
          </w:tcPr>
          <w:p w14:paraId="7404D181">
            <w:pPr>
              <w:rPr>
                <w:rFonts w:ascii="Arial"/>
                <w:color w:val="auto"/>
                <w:sz w:val="21"/>
                <w:highlight w:val="none"/>
              </w:rPr>
            </w:pPr>
          </w:p>
        </w:tc>
        <w:tc>
          <w:tcPr>
            <w:tcW w:w="1693" w:type="dxa"/>
            <w:vAlign w:val="top"/>
          </w:tcPr>
          <w:p w14:paraId="3D57509B">
            <w:pPr>
              <w:rPr>
                <w:rFonts w:ascii="Arial"/>
                <w:color w:val="auto"/>
                <w:sz w:val="21"/>
                <w:highlight w:val="none"/>
              </w:rPr>
            </w:pPr>
          </w:p>
        </w:tc>
      </w:tr>
    </w:tbl>
    <w:p w14:paraId="74E676FF">
      <w:pPr>
        <w:spacing w:before="35" w:line="224" w:lineRule="auto"/>
        <w:ind w:left="47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注：</w:t>
      </w:r>
    </w:p>
    <w:p w14:paraId="0CCA3D1D">
      <w:pPr>
        <w:spacing w:before="174" w:line="360" w:lineRule="auto"/>
        <w:ind w:left="479" w:right="555" w:firstLine="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1.管理关系：是指不具有出资持股关系的其他单位之间存在的管理与被管理关系，如一些上下级关系的事业单位和团体组织。</w:t>
      </w:r>
    </w:p>
    <w:p w14:paraId="5BE9F1B8">
      <w:pPr>
        <w:spacing w:before="1" w:line="218" w:lineRule="auto"/>
        <w:ind w:left="958"/>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2.本表所指的管理关系仅限于直接管理关系，不包括间接的管理关系。</w:t>
      </w:r>
    </w:p>
    <w:p w14:paraId="1045AE48">
      <w:pPr>
        <w:spacing w:before="181" w:line="219" w:lineRule="auto"/>
        <w:ind w:left="95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3.供应商不存在直接管理关系的，则在“直接管理</w:t>
      </w:r>
      <w:r>
        <w:rPr>
          <w:rFonts w:ascii="宋体" w:hAnsi="宋体" w:eastAsia="宋体" w:cs="宋体"/>
          <w:color w:val="auto"/>
          <w:spacing w:val="-2"/>
          <w:sz w:val="24"/>
          <w:szCs w:val="24"/>
          <w:highlight w:val="none"/>
        </w:rPr>
        <w:t>关系单位名称</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”填“无</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w:t>
      </w:r>
    </w:p>
    <w:p w14:paraId="385546F8">
      <w:pPr>
        <w:spacing w:line="243" w:lineRule="auto"/>
        <w:rPr>
          <w:rFonts w:ascii="Arial"/>
          <w:color w:val="auto"/>
          <w:sz w:val="21"/>
          <w:highlight w:val="none"/>
        </w:rPr>
      </w:pPr>
    </w:p>
    <w:p w14:paraId="3C3E4068">
      <w:pPr>
        <w:spacing w:line="243" w:lineRule="auto"/>
        <w:rPr>
          <w:rFonts w:ascii="Arial"/>
          <w:color w:val="auto"/>
          <w:sz w:val="21"/>
          <w:highlight w:val="none"/>
        </w:rPr>
      </w:pPr>
    </w:p>
    <w:p w14:paraId="64F6234B">
      <w:pPr>
        <w:spacing w:line="243" w:lineRule="auto"/>
        <w:rPr>
          <w:rFonts w:ascii="Arial"/>
          <w:color w:val="auto"/>
          <w:sz w:val="21"/>
          <w:highlight w:val="none"/>
        </w:rPr>
      </w:pPr>
    </w:p>
    <w:p w14:paraId="1725B279">
      <w:pPr>
        <w:spacing w:line="243" w:lineRule="auto"/>
        <w:rPr>
          <w:rFonts w:ascii="Arial"/>
          <w:color w:val="auto"/>
          <w:sz w:val="21"/>
          <w:highlight w:val="none"/>
        </w:rPr>
      </w:pPr>
    </w:p>
    <w:p w14:paraId="732112EE">
      <w:pPr>
        <w:spacing w:line="244" w:lineRule="auto"/>
        <w:rPr>
          <w:rFonts w:ascii="Arial"/>
          <w:color w:val="auto"/>
          <w:sz w:val="21"/>
          <w:highlight w:val="none"/>
        </w:rPr>
      </w:pPr>
    </w:p>
    <w:p w14:paraId="3860FD45">
      <w:pPr>
        <w:spacing w:line="244" w:lineRule="auto"/>
        <w:rPr>
          <w:rFonts w:ascii="Arial"/>
          <w:color w:val="auto"/>
          <w:sz w:val="21"/>
          <w:highlight w:val="none"/>
        </w:rPr>
      </w:pPr>
    </w:p>
    <w:p w14:paraId="55086FCA">
      <w:pPr>
        <w:spacing w:line="244" w:lineRule="auto"/>
        <w:rPr>
          <w:rFonts w:ascii="Arial"/>
          <w:color w:val="auto"/>
          <w:sz w:val="21"/>
          <w:highlight w:val="none"/>
        </w:rPr>
      </w:pPr>
    </w:p>
    <w:p w14:paraId="7171F1FE">
      <w:pPr>
        <w:spacing w:line="244" w:lineRule="auto"/>
        <w:rPr>
          <w:rFonts w:ascii="Arial"/>
          <w:color w:val="auto"/>
          <w:sz w:val="21"/>
          <w:highlight w:val="none"/>
        </w:rPr>
      </w:pPr>
    </w:p>
    <w:p w14:paraId="20D7A8E9">
      <w:pPr>
        <w:spacing w:line="244" w:lineRule="auto"/>
        <w:rPr>
          <w:rFonts w:ascii="Arial"/>
          <w:color w:val="auto"/>
          <w:sz w:val="21"/>
          <w:highlight w:val="none"/>
        </w:rPr>
      </w:pPr>
    </w:p>
    <w:p w14:paraId="01DEF95D">
      <w:pPr>
        <w:spacing w:line="244" w:lineRule="auto"/>
        <w:rPr>
          <w:rFonts w:ascii="Arial"/>
          <w:color w:val="auto"/>
          <w:sz w:val="21"/>
          <w:highlight w:val="none"/>
        </w:rPr>
      </w:pPr>
    </w:p>
    <w:p w14:paraId="057B78BB">
      <w:pPr>
        <w:spacing w:line="244" w:lineRule="auto"/>
        <w:rPr>
          <w:rFonts w:ascii="Arial"/>
          <w:color w:val="auto"/>
          <w:sz w:val="21"/>
          <w:highlight w:val="none"/>
        </w:rPr>
      </w:pPr>
    </w:p>
    <w:p w14:paraId="6EA026B3">
      <w:pPr>
        <w:spacing w:line="244" w:lineRule="auto"/>
        <w:rPr>
          <w:rFonts w:ascii="Arial"/>
          <w:color w:val="auto"/>
          <w:sz w:val="21"/>
          <w:highlight w:val="none"/>
        </w:rPr>
      </w:pPr>
    </w:p>
    <w:p w14:paraId="298F67EB">
      <w:pPr>
        <w:spacing w:line="244" w:lineRule="auto"/>
        <w:rPr>
          <w:rFonts w:ascii="Arial"/>
          <w:color w:val="auto"/>
          <w:sz w:val="21"/>
          <w:highlight w:val="none"/>
        </w:rPr>
      </w:pPr>
    </w:p>
    <w:p w14:paraId="15BACEBB">
      <w:pPr>
        <w:spacing w:before="78" w:line="219" w:lineRule="auto"/>
        <w:ind w:left="26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法定代表人或者委托代理人（签字或者电子签名</w:t>
      </w:r>
      <w:r>
        <w:rPr>
          <w:rFonts w:ascii="宋体" w:hAnsi="宋体" w:eastAsia="宋体" w:cs="宋体"/>
          <w:color w:val="auto"/>
          <w:spacing w:val="4"/>
          <w:sz w:val="24"/>
          <w:szCs w:val="24"/>
          <w:highlight w:val="none"/>
        </w:rPr>
        <w:t>）：</w:t>
      </w:r>
      <w:r>
        <w:rPr>
          <w:rFonts w:ascii="宋体" w:hAnsi="宋体" w:eastAsia="宋体" w:cs="宋体"/>
          <w:color w:val="auto"/>
          <w:sz w:val="24"/>
          <w:szCs w:val="24"/>
          <w:highlight w:val="none"/>
          <w:u w:val="single" w:color="auto"/>
        </w:rPr>
        <w:t xml:space="preserve">     </w:t>
      </w:r>
    </w:p>
    <w:p w14:paraId="069D6F85">
      <w:pPr>
        <w:spacing w:before="180" w:line="219" w:lineRule="auto"/>
        <w:ind w:left="383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color="auto"/>
        </w:rPr>
        <w:t xml:space="preserve">                </w:t>
      </w:r>
    </w:p>
    <w:p w14:paraId="13897C25">
      <w:pPr>
        <w:spacing w:before="184" w:line="219" w:lineRule="auto"/>
        <w:ind w:left="6281"/>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年</w:t>
      </w:r>
      <w:r>
        <w:rPr>
          <w:rFonts w:ascii="宋体" w:hAnsi="宋体" w:eastAsia="宋体" w:cs="宋体"/>
          <w:color w:val="auto"/>
          <w:spacing w:val="3"/>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pacing w:val="13"/>
          <w:sz w:val="24"/>
          <w:szCs w:val="24"/>
          <w:highlight w:val="none"/>
        </w:rPr>
        <w:t xml:space="preserve">    </w:t>
      </w:r>
      <w:r>
        <w:rPr>
          <w:rFonts w:ascii="宋体" w:hAnsi="宋体" w:eastAsia="宋体" w:cs="宋体"/>
          <w:color w:val="auto"/>
          <w:spacing w:val="-9"/>
          <w:sz w:val="24"/>
          <w:szCs w:val="24"/>
          <w:highlight w:val="none"/>
        </w:rPr>
        <w:t>日</w:t>
      </w:r>
    </w:p>
    <w:p w14:paraId="0D639EE7">
      <w:pPr>
        <w:spacing w:line="219" w:lineRule="auto"/>
        <w:rPr>
          <w:rFonts w:ascii="宋体" w:hAnsi="宋体" w:eastAsia="宋体" w:cs="宋体"/>
          <w:color w:val="auto"/>
          <w:sz w:val="24"/>
          <w:szCs w:val="24"/>
          <w:highlight w:val="none"/>
        </w:rPr>
        <w:sectPr>
          <w:footerReference r:id="rId44" w:type="default"/>
          <w:pgSz w:w="11910" w:h="16840"/>
          <w:pgMar w:top="1324" w:right="1034" w:bottom="1091" w:left="1214" w:header="0" w:footer="929" w:gutter="0"/>
          <w:pgNumType w:fmt="decimal"/>
          <w:cols w:space="720" w:num="1"/>
        </w:sectPr>
      </w:pPr>
    </w:p>
    <w:p w14:paraId="150E7244">
      <w:pPr>
        <w:spacing w:before="63" w:line="225" w:lineRule="auto"/>
        <w:ind w:left="3731"/>
        <w:rPr>
          <w:rFonts w:ascii="宋体" w:hAnsi="宋体" w:eastAsia="宋体" w:cs="宋体"/>
          <w:color w:val="auto"/>
          <w:sz w:val="31"/>
          <w:szCs w:val="31"/>
          <w:highlight w:val="none"/>
        </w:rPr>
      </w:pPr>
      <w:r>
        <w:rPr>
          <w:rFonts w:ascii="宋体" w:hAnsi="宋体" w:eastAsia="宋体" w:cs="宋体"/>
          <w:b/>
          <w:bCs/>
          <w:color w:val="auto"/>
          <w:spacing w:val="3"/>
          <w:sz w:val="31"/>
          <w:szCs w:val="31"/>
          <w:highlight w:val="none"/>
        </w:rPr>
        <w:t>竞标声明</w:t>
      </w:r>
    </w:p>
    <w:p w14:paraId="4C98FAAB">
      <w:pPr>
        <w:spacing w:line="270" w:lineRule="auto"/>
        <w:rPr>
          <w:rFonts w:ascii="Arial"/>
          <w:color w:val="auto"/>
          <w:sz w:val="21"/>
          <w:highlight w:val="none"/>
        </w:rPr>
      </w:pPr>
    </w:p>
    <w:p w14:paraId="456E2E1B">
      <w:pPr>
        <w:spacing w:before="78" w:line="219" w:lineRule="auto"/>
        <w:ind w:left="1"/>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致</w:t>
      </w:r>
      <w:r>
        <w:rPr>
          <w:rFonts w:ascii="宋体" w:hAnsi="宋体" w:eastAsia="宋体" w:cs="宋体"/>
          <w:color w:val="auto"/>
          <w:spacing w:val="-17"/>
          <w:sz w:val="24"/>
          <w:szCs w:val="24"/>
          <w:highlight w:val="none"/>
        </w:rPr>
        <w:t>：</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9"/>
          <w:sz w:val="24"/>
          <w:szCs w:val="24"/>
          <w:highlight w:val="none"/>
          <w:u w:val="single" w:color="auto"/>
        </w:rPr>
        <w:t>采购人名称</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17"/>
          <w:sz w:val="24"/>
          <w:szCs w:val="24"/>
          <w:highlight w:val="none"/>
        </w:rPr>
        <w:t>：</w:t>
      </w:r>
    </w:p>
    <w:p w14:paraId="1852AB25">
      <w:pPr>
        <w:spacing w:before="184" w:line="359" w:lineRule="auto"/>
        <w:ind w:left="2" w:firstLine="480"/>
        <w:rPr>
          <w:rFonts w:ascii="宋体" w:hAnsi="宋体" w:eastAsia="宋体" w:cs="宋体"/>
          <w:color w:val="auto"/>
          <w:sz w:val="24"/>
          <w:szCs w:val="24"/>
          <w:highlight w:val="none"/>
        </w:rPr>
      </w:pPr>
      <w:r>
        <w:rPr>
          <w:rFonts w:ascii="宋体" w:hAnsi="宋体" w:eastAsia="宋体" w:cs="宋体"/>
          <w:color w:val="auto"/>
          <w:spacing w:val="-16"/>
          <w:sz w:val="24"/>
          <w:szCs w:val="24"/>
          <w:highlight w:val="none"/>
        </w:rPr>
        <w:t>我</w:t>
      </w:r>
      <w:r>
        <w:rPr>
          <w:rFonts w:ascii="宋体" w:hAnsi="宋体" w:eastAsia="宋体" w:cs="宋体"/>
          <w:color w:val="auto"/>
          <w:spacing w:val="-31"/>
          <w:sz w:val="24"/>
          <w:szCs w:val="24"/>
          <w:highlight w:val="none"/>
        </w:rPr>
        <w:t xml:space="preserve"> </w:t>
      </w:r>
      <w:r>
        <w:rPr>
          <w:rFonts w:ascii="宋体" w:hAnsi="宋体" w:eastAsia="宋体" w:cs="宋体"/>
          <w:color w:val="auto"/>
          <w:spacing w:val="-16"/>
          <w:sz w:val="24"/>
          <w:szCs w:val="24"/>
          <w:highlight w:val="none"/>
        </w:rPr>
        <w:t>方</w:t>
      </w:r>
      <w:r>
        <w:rPr>
          <w:rFonts w:ascii="宋体" w:hAnsi="宋体" w:eastAsia="宋体" w:cs="宋体"/>
          <w:color w:val="auto"/>
          <w:spacing w:val="-39"/>
          <w:sz w:val="24"/>
          <w:szCs w:val="24"/>
          <w:highlight w:val="none"/>
        </w:rPr>
        <w:t xml:space="preserve"> </w:t>
      </w:r>
      <w:r>
        <w:rPr>
          <w:rFonts w:ascii="宋体" w:hAnsi="宋体" w:eastAsia="宋体" w:cs="宋体"/>
          <w:color w:val="auto"/>
          <w:spacing w:val="-16"/>
          <w:sz w:val="24"/>
          <w:szCs w:val="24"/>
          <w:highlight w:val="none"/>
          <w:u w:val="single" w:color="auto"/>
        </w:rPr>
        <w:t>（ 供</w:t>
      </w:r>
      <w:r>
        <w:rPr>
          <w:rFonts w:ascii="宋体" w:hAnsi="宋体" w:eastAsia="宋体" w:cs="宋体"/>
          <w:color w:val="auto"/>
          <w:spacing w:val="-29"/>
          <w:sz w:val="24"/>
          <w:szCs w:val="24"/>
          <w:highlight w:val="none"/>
          <w:u w:val="single" w:color="auto"/>
        </w:rPr>
        <w:t xml:space="preserve"> </w:t>
      </w:r>
      <w:r>
        <w:rPr>
          <w:rFonts w:ascii="宋体" w:hAnsi="宋体" w:eastAsia="宋体" w:cs="宋体"/>
          <w:color w:val="auto"/>
          <w:spacing w:val="-16"/>
          <w:sz w:val="24"/>
          <w:szCs w:val="24"/>
          <w:highlight w:val="none"/>
          <w:u w:val="single" w:color="auto"/>
        </w:rPr>
        <w:t>应</w:t>
      </w:r>
      <w:r>
        <w:rPr>
          <w:rFonts w:ascii="宋体" w:hAnsi="宋体" w:eastAsia="宋体" w:cs="宋体"/>
          <w:color w:val="auto"/>
          <w:spacing w:val="-15"/>
          <w:sz w:val="24"/>
          <w:szCs w:val="24"/>
          <w:highlight w:val="none"/>
          <w:u w:val="single" w:color="auto"/>
        </w:rPr>
        <w:t xml:space="preserve"> 商 名</w:t>
      </w:r>
      <w:r>
        <w:rPr>
          <w:rFonts w:ascii="宋体" w:hAnsi="宋体" w:eastAsia="宋体" w:cs="宋体"/>
          <w:color w:val="auto"/>
          <w:spacing w:val="-32"/>
          <w:sz w:val="24"/>
          <w:szCs w:val="24"/>
          <w:highlight w:val="none"/>
          <w:u w:val="single" w:color="auto"/>
        </w:rPr>
        <w:t xml:space="preserve"> </w:t>
      </w:r>
      <w:r>
        <w:rPr>
          <w:rFonts w:ascii="宋体" w:hAnsi="宋体" w:eastAsia="宋体" w:cs="宋体"/>
          <w:color w:val="auto"/>
          <w:spacing w:val="-15"/>
          <w:sz w:val="24"/>
          <w:szCs w:val="24"/>
          <w:highlight w:val="none"/>
          <w:u w:val="single" w:color="auto"/>
        </w:rPr>
        <w:t>称 ）</w:t>
      </w:r>
      <w:r>
        <w:rPr>
          <w:rFonts w:ascii="宋体" w:hAnsi="宋体" w:eastAsia="宋体" w:cs="宋体"/>
          <w:color w:val="auto"/>
          <w:spacing w:val="-42"/>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5"/>
          <w:sz w:val="24"/>
          <w:szCs w:val="24"/>
          <w:highlight w:val="none"/>
        </w:rPr>
        <w:t>系 中</w:t>
      </w:r>
      <w:r>
        <w:rPr>
          <w:rFonts w:ascii="宋体" w:hAnsi="宋体" w:eastAsia="宋体" w:cs="宋体"/>
          <w:color w:val="auto"/>
          <w:spacing w:val="-28"/>
          <w:sz w:val="24"/>
          <w:szCs w:val="24"/>
          <w:highlight w:val="none"/>
        </w:rPr>
        <w:t xml:space="preserve"> </w:t>
      </w:r>
      <w:r>
        <w:rPr>
          <w:rFonts w:ascii="宋体" w:hAnsi="宋体" w:eastAsia="宋体" w:cs="宋体"/>
          <w:color w:val="auto"/>
          <w:spacing w:val="-15"/>
          <w:sz w:val="24"/>
          <w:szCs w:val="24"/>
          <w:highlight w:val="none"/>
        </w:rPr>
        <w:t>华</w:t>
      </w:r>
      <w:r>
        <w:rPr>
          <w:rFonts w:ascii="宋体" w:hAnsi="宋体" w:eastAsia="宋体" w:cs="宋体"/>
          <w:color w:val="auto"/>
          <w:spacing w:val="-30"/>
          <w:sz w:val="24"/>
          <w:szCs w:val="24"/>
          <w:highlight w:val="none"/>
        </w:rPr>
        <w:t xml:space="preserve"> </w:t>
      </w:r>
      <w:r>
        <w:rPr>
          <w:rFonts w:ascii="宋体" w:hAnsi="宋体" w:eastAsia="宋体" w:cs="宋体"/>
          <w:color w:val="auto"/>
          <w:spacing w:val="-15"/>
          <w:sz w:val="24"/>
          <w:szCs w:val="24"/>
          <w:highlight w:val="none"/>
        </w:rPr>
        <w:t>人 民</w:t>
      </w:r>
      <w:r>
        <w:rPr>
          <w:rFonts w:ascii="宋体" w:hAnsi="宋体" w:eastAsia="宋体" w:cs="宋体"/>
          <w:color w:val="auto"/>
          <w:spacing w:val="-32"/>
          <w:sz w:val="24"/>
          <w:szCs w:val="24"/>
          <w:highlight w:val="none"/>
        </w:rPr>
        <w:t xml:space="preserve"> </w:t>
      </w:r>
      <w:r>
        <w:rPr>
          <w:rFonts w:ascii="宋体" w:hAnsi="宋体" w:eastAsia="宋体" w:cs="宋体"/>
          <w:color w:val="auto"/>
          <w:spacing w:val="-15"/>
          <w:sz w:val="24"/>
          <w:szCs w:val="24"/>
          <w:highlight w:val="none"/>
        </w:rPr>
        <w:t>共</w:t>
      </w:r>
      <w:r>
        <w:rPr>
          <w:rFonts w:ascii="宋体" w:hAnsi="宋体" w:eastAsia="宋体" w:cs="宋体"/>
          <w:color w:val="auto"/>
          <w:spacing w:val="-28"/>
          <w:sz w:val="24"/>
          <w:szCs w:val="24"/>
          <w:highlight w:val="none"/>
        </w:rPr>
        <w:t xml:space="preserve"> </w:t>
      </w:r>
      <w:r>
        <w:rPr>
          <w:rFonts w:ascii="宋体" w:hAnsi="宋体" w:eastAsia="宋体" w:cs="宋体"/>
          <w:color w:val="auto"/>
          <w:spacing w:val="-15"/>
          <w:sz w:val="24"/>
          <w:szCs w:val="24"/>
          <w:highlight w:val="none"/>
        </w:rPr>
        <w:t>和 国</w:t>
      </w:r>
      <w:r>
        <w:rPr>
          <w:rFonts w:ascii="宋体" w:hAnsi="宋体" w:eastAsia="宋体" w:cs="宋体"/>
          <w:color w:val="auto"/>
          <w:spacing w:val="-28"/>
          <w:sz w:val="24"/>
          <w:szCs w:val="24"/>
          <w:highlight w:val="none"/>
        </w:rPr>
        <w:t xml:space="preserve"> </w:t>
      </w:r>
      <w:r>
        <w:rPr>
          <w:rFonts w:ascii="宋体" w:hAnsi="宋体" w:eastAsia="宋体" w:cs="宋体"/>
          <w:color w:val="auto"/>
          <w:spacing w:val="-15"/>
          <w:sz w:val="24"/>
          <w:szCs w:val="24"/>
          <w:highlight w:val="none"/>
        </w:rPr>
        <w:t>合</w:t>
      </w:r>
      <w:r>
        <w:rPr>
          <w:rFonts w:ascii="宋体" w:hAnsi="宋体" w:eastAsia="宋体" w:cs="宋体"/>
          <w:color w:val="auto"/>
          <w:spacing w:val="-31"/>
          <w:sz w:val="24"/>
          <w:szCs w:val="24"/>
          <w:highlight w:val="none"/>
        </w:rPr>
        <w:t xml:space="preserve"> </w:t>
      </w:r>
      <w:r>
        <w:rPr>
          <w:rFonts w:ascii="宋体" w:hAnsi="宋体" w:eastAsia="宋体" w:cs="宋体"/>
          <w:color w:val="auto"/>
          <w:spacing w:val="-15"/>
          <w:sz w:val="24"/>
          <w:szCs w:val="24"/>
          <w:highlight w:val="none"/>
        </w:rPr>
        <w:t>法</w:t>
      </w:r>
      <w:r>
        <w:rPr>
          <w:rFonts w:ascii="宋体" w:hAnsi="宋体" w:eastAsia="宋体" w:cs="宋体"/>
          <w:color w:val="auto"/>
          <w:spacing w:val="-29"/>
          <w:sz w:val="24"/>
          <w:szCs w:val="24"/>
          <w:highlight w:val="none"/>
        </w:rPr>
        <w:t xml:space="preserve"> </w:t>
      </w:r>
      <w:r>
        <w:rPr>
          <w:rFonts w:ascii="宋体" w:hAnsi="宋体" w:eastAsia="宋体" w:cs="宋体"/>
          <w:color w:val="auto"/>
          <w:spacing w:val="-15"/>
          <w:sz w:val="24"/>
          <w:szCs w:val="24"/>
          <w:highlight w:val="none"/>
        </w:rPr>
        <w:t>供</w:t>
      </w:r>
      <w:r>
        <w:rPr>
          <w:rFonts w:ascii="宋体" w:hAnsi="宋体" w:eastAsia="宋体" w:cs="宋体"/>
          <w:color w:val="auto"/>
          <w:spacing w:val="-31"/>
          <w:sz w:val="24"/>
          <w:szCs w:val="24"/>
          <w:highlight w:val="none"/>
        </w:rPr>
        <w:t xml:space="preserve"> </w:t>
      </w:r>
      <w:r>
        <w:rPr>
          <w:rFonts w:ascii="宋体" w:hAnsi="宋体" w:eastAsia="宋体" w:cs="宋体"/>
          <w:color w:val="auto"/>
          <w:spacing w:val="-16"/>
          <w:sz w:val="24"/>
          <w:szCs w:val="24"/>
          <w:highlight w:val="none"/>
        </w:rPr>
        <w:t>应 商</w:t>
      </w:r>
      <w:r>
        <w:rPr>
          <w:rFonts w:ascii="宋体" w:hAnsi="宋体" w:eastAsia="宋体" w:cs="宋体"/>
          <w:color w:val="auto"/>
          <w:spacing w:val="-12"/>
          <w:sz w:val="24"/>
          <w:szCs w:val="24"/>
          <w:highlight w:val="none"/>
        </w:rPr>
        <w:t xml:space="preserve"> </w:t>
      </w:r>
      <w:r>
        <w:rPr>
          <w:rFonts w:ascii="宋体" w:hAnsi="宋体" w:eastAsia="宋体" w:cs="宋体"/>
          <w:color w:val="auto"/>
          <w:spacing w:val="-16"/>
          <w:sz w:val="24"/>
          <w:szCs w:val="24"/>
          <w:highlight w:val="none"/>
        </w:rPr>
        <w:t>，</w:t>
      </w:r>
      <w:r>
        <w:rPr>
          <w:rFonts w:ascii="宋体" w:hAnsi="宋体" w:eastAsia="宋体" w:cs="宋体"/>
          <w:color w:val="auto"/>
          <w:spacing w:val="-27"/>
          <w:sz w:val="24"/>
          <w:szCs w:val="24"/>
          <w:highlight w:val="none"/>
        </w:rPr>
        <w:t xml:space="preserve"> </w:t>
      </w:r>
      <w:r>
        <w:rPr>
          <w:rFonts w:ascii="宋体" w:hAnsi="宋体" w:eastAsia="宋体" w:cs="宋体"/>
          <w:color w:val="auto"/>
          <w:spacing w:val="-16"/>
          <w:sz w:val="24"/>
          <w:szCs w:val="24"/>
          <w:highlight w:val="none"/>
        </w:rPr>
        <w:t>经</w:t>
      </w:r>
      <w:r>
        <w:rPr>
          <w:rFonts w:ascii="宋体" w:hAnsi="宋体" w:eastAsia="宋体" w:cs="宋体"/>
          <w:color w:val="auto"/>
          <w:spacing w:val="-24"/>
          <w:sz w:val="24"/>
          <w:szCs w:val="24"/>
          <w:highlight w:val="none"/>
        </w:rPr>
        <w:t xml:space="preserve"> </w:t>
      </w:r>
      <w:r>
        <w:rPr>
          <w:rFonts w:ascii="宋体" w:hAnsi="宋体" w:eastAsia="宋体" w:cs="宋体"/>
          <w:color w:val="auto"/>
          <w:spacing w:val="-16"/>
          <w:sz w:val="24"/>
          <w:szCs w:val="24"/>
          <w:highlight w:val="none"/>
        </w:rPr>
        <w:t>营</w:t>
      </w:r>
      <w:r>
        <w:rPr>
          <w:rFonts w:ascii="宋体" w:hAnsi="宋体" w:eastAsia="宋体" w:cs="宋体"/>
          <w:color w:val="auto"/>
          <w:spacing w:val="-29"/>
          <w:sz w:val="24"/>
          <w:szCs w:val="24"/>
          <w:highlight w:val="none"/>
        </w:rPr>
        <w:t xml:space="preserve"> </w:t>
      </w:r>
      <w:r>
        <w:rPr>
          <w:rFonts w:ascii="宋体" w:hAnsi="宋体" w:eastAsia="宋体" w:cs="宋体"/>
          <w:color w:val="auto"/>
          <w:spacing w:val="-10"/>
          <w:sz w:val="24"/>
          <w:szCs w:val="24"/>
          <w:highlight w:val="none"/>
        </w:rPr>
        <w:t>地</w:t>
      </w:r>
      <w:r>
        <w:rPr>
          <w:rFonts w:ascii="宋体" w:hAnsi="宋体" w:eastAsia="宋体" w:cs="宋体"/>
          <w:color w:val="auto"/>
          <w:spacing w:val="-6"/>
          <w:sz w:val="24"/>
          <w:szCs w:val="24"/>
          <w:highlight w:val="none"/>
        </w:rPr>
        <w:t>址</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
          <w:sz w:val="24"/>
          <w:szCs w:val="24"/>
          <w:highlight w:val="none"/>
        </w:rPr>
        <w:t>。</w:t>
      </w:r>
    </w:p>
    <w:p w14:paraId="63D99E27">
      <w:pPr>
        <w:spacing w:line="359" w:lineRule="auto"/>
        <w:ind w:left="1"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我方愿意参加贵方组织的</w:t>
      </w:r>
      <w:r>
        <w:rPr>
          <w:rFonts w:ascii="宋体" w:hAnsi="宋体" w:eastAsia="宋体" w:cs="宋体"/>
          <w:color w:val="auto"/>
          <w:spacing w:val="2"/>
          <w:sz w:val="24"/>
          <w:szCs w:val="24"/>
          <w:highlight w:val="none"/>
          <w:u w:val="single" w:color="auto"/>
        </w:rPr>
        <w:t>（项目名称）</w:t>
      </w:r>
      <w:r>
        <w:rPr>
          <w:rFonts w:ascii="宋体" w:hAnsi="宋体" w:eastAsia="宋体" w:cs="宋体"/>
          <w:color w:val="auto"/>
          <w:spacing w:val="2"/>
          <w:sz w:val="24"/>
          <w:szCs w:val="24"/>
          <w:highlight w:val="none"/>
        </w:rPr>
        <w:t>项目的竞标，为便于贵方公正、择优地</w:t>
      </w:r>
      <w:r>
        <w:rPr>
          <w:rFonts w:ascii="宋体" w:hAnsi="宋体" w:eastAsia="宋体" w:cs="宋体"/>
          <w:color w:val="auto"/>
          <w:sz w:val="24"/>
          <w:szCs w:val="24"/>
          <w:highlight w:val="none"/>
        </w:rPr>
        <w:t>确定成交供应商及其竞标产品和服务，我方就本次竞标</w:t>
      </w:r>
      <w:r>
        <w:rPr>
          <w:rFonts w:ascii="宋体" w:hAnsi="宋体" w:eastAsia="宋体" w:cs="宋体"/>
          <w:color w:val="auto"/>
          <w:spacing w:val="-1"/>
          <w:sz w:val="24"/>
          <w:szCs w:val="24"/>
          <w:highlight w:val="none"/>
        </w:rPr>
        <w:t>有关事项郑重声明如下：</w:t>
      </w:r>
    </w:p>
    <w:p w14:paraId="0226C122">
      <w:pPr>
        <w:spacing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1.我方向贵方提交的所有响应文件、资料都是准确的和真实的。</w:t>
      </w:r>
    </w:p>
    <w:p w14:paraId="2D13DC1E">
      <w:pPr>
        <w:spacing w:before="180" w:line="360" w:lineRule="auto"/>
        <w:ind w:left="2"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2.我方不是为本次采购项目提供整体设计、规范编制或者项目管理、监理、检</w:t>
      </w:r>
      <w:r>
        <w:rPr>
          <w:rFonts w:ascii="宋体" w:hAnsi="宋体" w:eastAsia="宋体" w:cs="宋体"/>
          <w:color w:val="auto"/>
          <w:spacing w:val="-2"/>
          <w:sz w:val="24"/>
          <w:szCs w:val="24"/>
          <w:highlight w:val="none"/>
        </w:rPr>
        <w:t>测等服务的供应商。</w:t>
      </w:r>
    </w:p>
    <w:p w14:paraId="7D80AC1A">
      <w:pPr>
        <w:spacing w:line="218" w:lineRule="auto"/>
        <w:ind w:left="48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3.在此，我方宣布同意如下：</w:t>
      </w:r>
    </w:p>
    <w:p w14:paraId="7A46BE0F">
      <w:pPr>
        <w:spacing w:before="182"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（1）将按谈判文件的约定履行合同责任和义务；</w:t>
      </w:r>
    </w:p>
    <w:p w14:paraId="7B471919">
      <w:pPr>
        <w:spacing w:before="181"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（2）已详细审查全部谈判文件，包括补遗文件（如有</w:t>
      </w:r>
      <w:r>
        <w:rPr>
          <w:rFonts w:ascii="宋体" w:hAnsi="宋体" w:eastAsia="宋体" w:cs="宋体"/>
          <w:color w:val="auto"/>
          <w:spacing w:val="1"/>
          <w:sz w:val="24"/>
          <w:szCs w:val="24"/>
          <w:highlight w:val="none"/>
        </w:rPr>
        <w:t>）；</w:t>
      </w:r>
    </w:p>
    <w:p w14:paraId="030B7DC0">
      <w:pPr>
        <w:spacing w:before="182"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（3）同意提供按照贵方可能要求的与谈判有关的一切数据或者资料；</w:t>
      </w:r>
    </w:p>
    <w:p w14:paraId="3F55E512">
      <w:pPr>
        <w:spacing w:before="184" w:line="219"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（4）响应谈判文件规定的竞标有效期。</w:t>
      </w:r>
    </w:p>
    <w:p w14:paraId="664871FA">
      <w:pPr>
        <w:spacing w:before="180" w:line="219" w:lineRule="auto"/>
        <w:ind w:left="480"/>
        <w:rPr>
          <w:rFonts w:ascii="宋体" w:hAnsi="宋体" w:eastAsia="宋体" w:cs="宋体"/>
          <w:color w:val="auto"/>
          <w:sz w:val="24"/>
          <w:szCs w:val="24"/>
          <w:highlight w:val="none"/>
        </w:rPr>
      </w:pPr>
      <w:r>
        <w:rPr>
          <w:rFonts w:ascii="宋体" w:hAnsi="宋体" w:eastAsia="宋体" w:cs="宋体"/>
          <w:color w:val="auto"/>
          <w:sz w:val="24"/>
          <w:szCs w:val="24"/>
          <w:highlight w:val="none"/>
        </w:rPr>
        <w:t>4.我方承诺符合《中华人民共和国政府采购</w:t>
      </w:r>
      <w:r>
        <w:rPr>
          <w:rFonts w:ascii="宋体" w:hAnsi="宋体" w:eastAsia="宋体" w:cs="宋体"/>
          <w:color w:val="auto"/>
          <w:spacing w:val="-1"/>
          <w:sz w:val="24"/>
          <w:szCs w:val="24"/>
          <w:highlight w:val="none"/>
        </w:rPr>
        <w:t>法》第二十二条规定：</w:t>
      </w:r>
    </w:p>
    <w:p w14:paraId="36AEB860">
      <w:pPr>
        <w:spacing w:before="185" w:line="219"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（1）具有独立承担民事责任的能力；</w:t>
      </w:r>
    </w:p>
    <w:p w14:paraId="413C5CB1">
      <w:pPr>
        <w:spacing w:before="180"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（2）具有良好的商业信誉和健全的财务会计制度；</w:t>
      </w:r>
    </w:p>
    <w:p w14:paraId="51142F41">
      <w:pPr>
        <w:spacing w:before="184"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（3）具有履行合同所必需的设备和专业技术能力；</w:t>
      </w:r>
    </w:p>
    <w:p w14:paraId="768E8FFC">
      <w:pPr>
        <w:spacing w:before="180"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（4）有依法缴纳税收和社会保障资金的良好记录；</w:t>
      </w:r>
    </w:p>
    <w:p w14:paraId="5106B6CF">
      <w:pPr>
        <w:spacing w:before="183"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（5）参加政府采购活动前三年内，在经营活动中没有重大违法记录；</w:t>
      </w:r>
    </w:p>
    <w:p w14:paraId="42D79176">
      <w:pPr>
        <w:spacing w:before="182" w:line="219" w:lineRule="auto"/>
        <w:ind w:left="49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（6）法律、行政法规规定的其他条件。</w:t>
      </w:r>
    </w:p>
    <w:p w14:paraId="66467A53">
      <w:pPr>
        <w:spacing w:before="183" w:line="359" w:lineRule="auto"/>
        <w:ind w:left="1" w:firstLine="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w:t>
      </w:r>
      <w:r>
        <w:rPr>
          <w:rFonts w:ascii="宋体" w:hAnsi="宋体" w:eastAsia="宋体" w:cs="宋体"/>
          <w:color w:val="auto"/>
          <w:spacing w:val="1"/>
          <w:sz w:val="24"/>
          <w:szCs w:val="24"/>
          <w:highlight w:val="none"/>
        </w:rPr>
        <w:t>处罚</w:t>
      </w:r>
      <w:r>
        <w:rPr>
          <w:rFonts w:ascii="宋体" w:hAnsi="宋体" w:eastAsia="宋体" w:cs="宋体"/>
          <w:color w:val="auto"/>
          <w:spacing w:val="10"/>
          <w:sz w:val="24"/>
          <w:szCs w:val="24"/>
          <w:highlight w:val="none"/>
        </w:rPr>
        <w:t>），</w:t>
      </w:r>
      <w:r>
        <w:rPr>
          <w:rFonts w:ascii="宋体" w:hAnsi="宋体" w:eastAsia="宋体" w:cs="宋体"/>
          <w:color w:val="auto"/>
          <w:spacing w:val="1"/>
          <w:sz w:val="24"/>
          <w:szCs w:val="24"/>
          <w:highlight w:val="none"/>
        </w:rPr>
        <w:t>未被列入失信被执行</w:t>
      </w:r>
      <w:r>
        <w:rPr>
          <w:rFonts w:ascii="宋体" w:hAnsi="宋体" w:eastAsia="宋体" w:cs="宋体"/>
          <w:color w:val="auto"/>
          <w:spacing w:val="2"/>
          <w:sz w:val="24"/>
          <w:szCs w:val="24"/>
          <w:highlight w:val="none"/>
        </w:rPr>
        <w:t>人、重大税收违法失信主体、政府采购严重违法失信行为记录名单，完全符合《中华人民共和国政府采购法》第二十二条规定的供应商资格条件，我方对此声明负全</w:t>
      </w:r>
      <w:r>
        <w:rPr>
          <w:rFonts w:ascii="宋体" w:hAnsi="宋体" w:eastAsia="宋体" w:cs="宋体"/>
          <w:color w:val="auto"/>
          <w:spacing w:val="-2"/>
          <w:sz w:val="24"/>
          <w:szCs w:val="24"/>
          <w:highlight w:val="none"/>
        </w:rPr>
        <w:t>部法律责任。</w:t>
      </w:r>
    </w:p>
    <w:p w14:paraId="5B9B46DB">
      <w:pPr>
        <w:spacing w:before="1" w:line="360" w:lineRule="auto"/>
        <w:ind w:firstLine="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6.根据《中华人民共和国政府采购法实施条例》第五十条要求对政府采购合同进行公告，但政府采购合同中涉及国家秘密、商业秘密的内容除外。我方就对本次</w:t>
      </w:r>
      <w:r>
        <w:rPr>
          <w:rFonts w:ascii="宋体" w:hAnsi="宋体" w:eastAsia="宋体" w:cs="宋体"/>
          <w:color w:val="auto"/>
          <w:spacing w:val="1"/>
          <w:sz w:val="24"/>
          <w:szCs w:val="24"/>
          <w:highlight w:val="none"/>
        </w:rPr>
        <w:t>响应文件进行注明如下</w:t>
      </w:r>
      <w:r>
        <w:rPr>
          <w:rFonts w:ascii="宋体" w:hAnsi="宋体" w:eastAsia="宋体" w:cs="宋体"/>
          <w:color w:val="auto"/>
          <w:spacing w:val="-16"/>
          <w:sz w:val="24"/>
          <w:szCs w:val="24"/>
          <w:highlight w:val="none"/>
        </w:rPr>
        <w:t>：（</w:t>
      </w:r>
      <w:r>
        <w:rPr>
          <w:rFonts w:ascii="宋体" w:hAnsi="宋体" w:eastAsia="宋体" w:cs="宋体"/>
          <w:color w:val="auto"/>
          <w:spacing w:val="1"/>
          <w:sz w:val="24"/>
          <w:szCs w:val="24"/>
          <w:highlight w:val="none"/>
        </w:rPr>
        <w:t>两项内容中必须选择一项）</w:t>
      </w:r>
    </w:p>
    <w:p w14:paraId="6F147D51">
      <w:pPr>
        <w:spacing w:line="360" w:lineRule="auto"/>
        <w:rPr>
          <w:rFonts w:ascii="宋体" w:hAnsi="宋体" w:eastAsia="宋体" w:cs="宋体"/>
          <w:color w:val="auto"/>
          <w:sz w:val="24"/>
          <w:szCs w:val="24"/>
          <w:highlight w:val="none"/>
        </w:rPr>
        <w:sectPr>
          <w:footerReference r:id="rId45" w:type="default"/>
          <w:pgSz w:w="11910" w:h="16840"/>
          <w:pgMar w:top="1403" w:right="1501" w:bottom="1091" w:left="1687" w:header="0" w:footer="929" w:gutter="0"/>
          <w:pgNumType w:fmt="decimal"/>
          <w:cols w:space="720" w:num="1"/>
        </w:sectPr>
      </w:pPr>
    </w:p>
    <w:p w14:paraId="49E514E0">
      <w:pPr>
        <w:spacing w:before="47" w:line="219" w:lineRule="auto"/>
        <w:ind w:left="50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□我方本次响应文件内容中未涉及商业秘密；</w:t>
      </w:r>
    </w:p>
    <w:p w14:paraId="1F0671EE">
      <w:pPr>
        <w:spacing w:before="180" w:line="219" w:lineRule="auto"/>
        <w:ind w:left="50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□我方本次响应文件涉及商业秘密的内容有</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rPr>
        <w:t>；</w:t>
      </w:r>
    </w:p>
    <w:p w14:paraId="3C3EF51B">
      <w:pPr>
        <w:spacing w:before="180"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7.与本谈判有关的一切正式往来信函请寄：</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93"/>
          <w:sz w:val="24"/>
          <w:szCs w:val="24"/>
          <w:highlight w:val="none"/>
        </w:rPr>
        <w:t xml:space="preserve"> </w:t>
      </w:r>
      <w:r>
        <w:rPr>
          <w:rFonts w:ascii="宋体" w:hAnsi="宋体" w:eastAsia="宋体" w:cs="宋体"/>
          <w:color w:val="auto"/>
          <w:spacing w:val="-2"/>
          <w:sz w:val="24"/>
          <w:szCs w:val="24"/>
          <w:highlight w:val="none"/>
        </w:rPr>
        <w:t>邮政编码：</w:t>
      </w:r>
      <w:r>
        <w:rPr>
          <w:rFonts w:ascii="宋体" w:hAnsi="宋体" w:eastAsia="宋体" w:cs="宋体"/>
          <w:color w:val="auto"/>
          <w:sz w:val="24"/>
          <w:szCs w:val="24"/>
          <w:highlight w:val="none"/>
          <w:u w:val="single" w:color="auto"/>
        </w:rPr>
        <w:t xml:space="preserve">    </w:t>
      </w:r>
    </w:p>
    <w:p w14:paraId="292EA3C2">
      <w:pPr>
        <w:spacing w:before="183" w:line="219" w:lineRule="auto"/>
        <w:ind w:left="508"/>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电话/传真：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38"/>
          <w:sz w:val="24"/>
          <w:szCs w:val="24"/>
          <w:highlight w:val="none"/>
        </w:rPr>
        <w:t xml:space="preserve"> </w:t>
      </w:r>
      <w:r>
        <w:rPr>
          <w:rFonts w:ascii="宋体" w:hAnsi="宋体" w:eastAsia="宋体" w:cs="宋体"/>
          <w:color w:val="auto"/>
          <w:spacing w:val="-7"/>
          <w:sz w:val="24"/>
          <w:szCs w:val="24"/>
          <w:highlight w:val="none"/>
        </w:rPr>
        <w:t>电子邮箱：</w:t>
      </w:r>
      <w:r>
        <w:rPr>
          <w:rFonts w:ascii="宋体" w:hAnsi="宋体" w:eastAsia="宋体" w:cs="宋体"/>
          <w:color w:val="auto"/>
          <w:sz w:val="24"/>
          <w:szCs w:val="24"/>
          <w:highlight w:val="none"/>
          <w:u w:val="single" w:color="auto"/>
        </w:rPr>
        <w:t xml:space="preserve">             </w:t>
      </w:r>
    </w:p>
    <w:p w14:paraId="77CD4CF5">
      <w:pPr>
        <w:spacing w:before="184" w:line="220" w:lineRule="auto"/>
        <w:ind w:left="360"/>
        <w:rPr>
          <w:rFonts w:ascii="宋体" w:hAnsi="宋体" w:eastAsia="宋体" w:cs="宋体"/>
          <w:color w:val="auto"/>
          <w:sz w:val="24"/>
          <w:szCs w:val="24"/>
          <w:highlight w:val="none"/>
        </w:rPr>
      </w:pPr>
      <w:r>
        <w:rPr>
          <w:rFonts w:ascii="宋体" w:hAnsi="宋体" w:eastAsia="宋体" w:cs="宋体"/>
          <w:color w:val="auto"/>
          <w:sz w:val="24"/>
          <w:szCs w:val="24"/>
          <w:highlight w:val="none"/>
        </w:rPr>
        <w:t>开户银行：</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 xml:space="preserve">  账号/行号：</w:t>
      </w:r>
      <w:r>
        <w:rPr>
          <w:rFonts w:ascii="宋体" w:hAnsi="宋体" w:eastAsia="宋体" w:cs="宋体"/>
          <w:color w:val="auto"/>
          <w:sz w:val="24"/>
          <w:szCs w:val="24"/>
          <w:highlight w:val="none"/>
          <w:u w:val="single" w:color="auto"/>
        </w:rPr>
        <w:t xml:space="preserve">           </w:t>
      </w:r>
    </w:p>
    <w:p w14:paraId="19A95830">
      <w:pPr>
        <w:spacing w:before="180" w:line="359" w:lineRule="auto"/>
        <w:ind w:firstLine="360"/>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8.以上事项如有虚假或者隐瞒，我方愿意承担一</w:t>
      </w:r>
      <w:r>
        <w:rPr>
          <w:rFonts w:ascii="宋体" w:hAnsi="宋体" w:eastAsia="宋体" w:cs="宋体"/>
          <w:color w:val="auto"/>
          <w:spacing w:val="5"/>
          <w:sz w:val="24"/>
          <w:szCs w:val="24"/>
          <w:highlight w:val="none"/>
        </w:rPr>
        <w:t>切后果，并不再寻求任何旨在</w:t>
      </w:r>
      <w:r>
        <w:rPr>
          <w:rFonts w:ascii="宋体" w:hAnsi="宋体" w:eastAsia="宋体" w:cs="宋体"/>
          <w:color w:val="auto"/>
          <w:spacing w:val="-1"/>
          <w:sz w:val="24"/>
          <w:szCs w:val="24"/>
          <w:highlight w:val="none"/>
        </w:rPr>
        <w:t>减轻或者免除法律责任的辩解。</w:t>
      </w:r>
    </w:p>
    <w:p w14:paraId="3FD41A96">
      <w:pPr>
        <w:spacing w:line="219" w:lineRule="auto"/>
        <w:ind w:left="36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特此承诺。</w:t>
      </w:r>
    </w:p>
    <w:p w14:paraId="1DC04574">
      <w:pPr>
        <w:spacing w:before="183" w:line="360" w:lineRule="auto"/>
        <w:ind w:right="57" w:firstLine="479"/>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注：如为联合体竞标，盖章处须加盖联合体牵头人电子签章并由联合体牵头人法定代表人分别签字或者盖章或者电子签名，否则响应文件按无效处理。</w:t>
      </w:r>
    </w:p>
    <w:p w14:paraId="6F003C55">
      <w:pPr>
        <w:spacing w:line="382" w:lineRule="auto"/>
        <w:rPr>
          <w:rFonts w:ascii="Arial"/>
          <w:color w:val="auto"/>
          <w:sz w:val="21"/>
          <w:highlight w:val="none"/>
        </w:rPr>
      </w:pPr>
    </w:p>
    <w:p w14:paraId="24545613">
      <w:pPr>
        <w:spacing w:before="78" w:line="219" w:lineRule="auto"/>
        <w:ind w:left="18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法定代表人（签字或者盖章或者电子签名</w:t>
      </w:r>
      <w:r>
        <w:rPr>
          <w:rFonts w:ascii="宋体" w:hAnsi="宋体" w:eastAsia="宋体" w:cs="宋体"/>
          <w:color w:val="auto"/>
          <w:spacing w:val="3"/>
          <w:sz w:val="24"/>
          <w:szCs w:val="24"/>
          <w:highlight w:val="none"/>
        </w:rPr>
        <w:t>）：</w:t>
      </w:r>
      <w:r>
        <w:rPr>
          <w:rFonts w:ascii="宋体" w:hAnsi="宋体" w:eastAsia="宋体" w:cs="宋体"/>
          <w:color w:val="auto"/>
          <w:sz w:val="24"/>
          <w:szCs w:val="24"/>
          <w:highlight w:val="none"/>
          <w:u w:val="single" w:color="auto"/>
        </w:rPr>
        <w:t xml:space="preserve">           </w:t>
      </w:r>
    </w:p>
    <w:p w14:paraId="3A954556">
      <w:pPr>
        <w:spacing w:before="184" w:line="219" w:lineRule="auto"/>
        <w:ind w:left="431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color="auto"/>
        </w:rPr>
        <w:t xml:space="preserve">             </w:t>
      </w:r>
    </w:p>
    <w:p w14:paraId="09B0047F">
      <w:pPr>
        <w:spacing w:before="181" w:line="219" w:lineRule="auto"/>
        <w:ind w:left="6526"/>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年</w:t>
      </w:r>
      <w:r>
        <w:rPr>
          <w:rFonts w:ascii="宋体" w:hAnsi="宋体" w:eastAsia="宋体" w:cs="宋体"/>
          <w:color w:val="auto"/>
          <w:spacing w:val="3"/>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pacing w:val="13"/>
          <w:sz w:val="24"/>
          <w:szCs w:val="24"/>
          <w:highlight w:val="none"/>
        </w:rPr>
        <w:t xml:space="preserve">    </w:t>
      </w:r>
      <w:r>
        <w:rPr>
          <w:rFonts w:ascii="宋体" w:hAnsi="宋体" w:eastAsia="宋体" w:cs="宋体"/>
          <w:color w:val="auto"/>
          <w:spacing w:val="-9"/>
          <w:sz w:val="24"/>
          <w:szCs w:val="24"/>
          <w:highlight w:val="none"/>
        </w:rPr>
        <w:t>日</w:t>
      </w:r>
    </w:p>
    <w:p w14:paraId="50EA277C">
      <w:pPr>
        <w:spacing w:line="219" w:lineRule="auto"/>
        <w:rPr>
          <w:rFonts w:ascii="宋体" w:hAnsi="宋体" w:eastAsia="宋体" w:cs="宋体"/>
          <w:color w:val="auto"/>
          <w:sz w:val="24"/>
          <w:szCs w:val="24"/>
          <w:highlight w:val="none"/>
        </w:rPr>
        <w:sectPr>
          <w:footerReference r:id="rId46" w:type="default"/>
          <w:pgSz w:w="11910" w:h="16840"/>
          <w:pgMar w:top="1328" w:right="1501" w:bottom="1088" w:left="1689" w:header="0" w:footer="929" w:gutter="0"/>
          <w:pgNumType w:fmt="decimal"/>
          <w:cols w:space="720" w:num="1"/>
        </w:sectPr>
      </w:pPr>
    </w:p>
    <w:p w14:paraId="0630B574">
      <w:pPr>
        <w:spacing w:before="59" w:line="189" w:lineRule="auto"/>
        <w:ind w:left="3086"/>
        <w:rPr>
          <w:rFonts w:ascii="Arial Unicode MS" w:hAnsi="Arial Unicode MS" w:eastAsia="Arial Unicode MS" w:cs="Arial Unicode MS"/>
          <w:color w:val="auto"/>
          <w:sz w:val="31"/>
          <w:szCs w:val="31"/>
          <w:highlight w:val="none"/>
        </w:rPr>
      </w:pPr>
      <w:r>
        <w:rPr>
          <w:rFonts w:ascii="Arial Unicode MS" w:hAnsi="Arial Unicode MS" w:eastAsia="Arial Unicode MS" w:cs="Arial Unicode MS"/>
          <w:color w:val="auto"/>
          <w:spacing w:val="8"/>
          <w:sz w:val="31"/>
          <w:szCs w:val="31"/>
          <w:highlight w:val="none"/>
        </w:rPr>
        <w:t>联合体竞标协议书</w:t>
      </w:r>
    </w:p>
    <w:p w14:paraId="5A7F26CE">
      <w:pPr>
        <w:spacing w:line="375" w:lineRule="auto"/>
        <w:rPr>
          <w:rFonts w:ascii="Arial"/>
          <w:color w:val="auto"/>
          <w:sz w:val="21"/>
          <w:highlight w:val="none"/>
        </w:rPr>
      </w:pPr>
    </w:p>
    <w:p w14:paraId="185E1BE8">
      <w:pPr>
        <w:tabs>
          <w:tab w:val="left" w:pos="1190"/>
        </w:tabs>
        <w:spacing w:before="78" w:line="359" w:lineRule="auto"/>
        <w:ind w:right="12" w:firstLine="470"/>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
          <w:sz w:val="24"/>
          <w:szCs w:val="24"/>
          <w:highlight w:val="none"/>
        </w:rPr>
        <w:t>（所有成员单位名称）</w:t>
      </w:r>
      <w:r>
        <w:rPr>
          <w:rFonts w:ascii="宋体" w:hAnsi="宋体" w:eastAsia="宋体" w:cs="宋体"/>
          <w:color w:val="auto"/>
          <w:spacing w:val="-66"/>
          <w:sz w:val="24"/>
          <w:szCs w:val="24"/>
          <w:highlight w:val="none"/>
        </w:rPr>
        <w:t xml:space="preserve"> </w:t>
      </w:r>
      <w:r>
        <w:rPr>
          <w:rFonts w:ascii="宋体" w:hAnsi="宋体" w:eastAsia="宋体" w:cs="宋体"/>
          <w:color w:val="auto"/>
          <w:spacing w:val="1"/>
          <w:sz w:val="24"/>
          <w:szCs w:val="24"/>
          <w:highlight w:val="none"/>
        </w:rPr>
        <w:t>自愿组成</w:t>
      </w:r>
      <w:r>
        <w:rPr>
          <w:rFonts w:ascii="宋体" w:hAnsi="宋体" w:eastAsia="宋体" w:cs="宋体"/>
          <w:color w:val="auto"/>
          <w:spacing w:val="-118"/>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（联合体名称）联合体，共</w:t>
      </w:r>
      <w:r>
        <w:rPr>
          <w:rFonts w:ascii="宋体" w:hAnsi="宋体" w:eastAsia="宋体" w:cs="宋体"/>
          <w:color w:val="auto"/>
          <w:sz w:val="24"/>
          <w:szCs w:val="24"/>
          <w:highlight w:val="none"/>
        </w:rPr>
        <w:t>同参加</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（项目名称）采购项目竞标。现就联合体</w:t>
      </w:r>
      <w:r>
        <w:rPr>
          <w:rFonts w:ascii="宋体" w:hAnsi="宋体" w:eastAsia="宋体" w:cs="宋体"/>
          <w:color w:val="auto"/>
          <w:spacing w:val="-1"/>
          <w:sz w:val="24"/>
          <w:szCs w:val="24"/>
          <w:highlight w:val="none"/>
        </w:rPr>
        <w:t>竞标事宜订立如下协议。</w:t>
      </w:r>
    </w:p>
    <w:p w14:paraId="25D9430A">
      <w:pPr>
        <w:spacing w:line="218"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w:t>
      </w:r>
      <w:r>
        <w:rPr>
          <w:rFonts w:ascii="宋体" w:hAnsi="宋体" w:eastAsia="宋体" w:cs="宋体"/>
          <w:color w:val="auto"/>
          <w:spacing w:val="8"/>
          <w:sz w:val="24"/>
          <w:szCs w:val="24"/>
          <w:highlight w:val="none"/>
          <w:u w:val="single" w:color="auto"/>
        </w:rPr>
        <w:t xml:space="preserve">       </w:t>
      </w:r>
      <w:r>
        <w:rPr>
          <w:rFonts w:ascii="宋体" w:hAnsi="宋体" w:eastAsia="宋体" w:cs="宋体"/>
          <w:color w:val="auto"/>
          <w:spacing w:val="-1"/>
          <w:sz w:val="24"/>
          <w:szCs w:val="24"/>
          <w:highlight w:val="none"/>
        </w:rPr>
        <w:t>（某成员单位名称）为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（联合体名称）牵头人。</w:t>
      </w:r>
    </w:p>
    <w:p w14:paraId="49289A32">
      <w:pPr>
        <w:spacing w:before="185" w:line="359" w:lineRule="auto"/>
        <w:ind w:left="8" w:right="12" w:firstLine="47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2.联合体各成员授权牵头人代表联合体参加竞标活动，签署文件及对文件的盖章，提交和接收相关的资料、信息及指示，进行合同谈判活动，负责合同实</w:t>
      </w:r>
      <w:r>
        <w:rPr>
          <w:rFonts w:ascii="宋体" w:hAnsi="宋体" w:eastAsia="宋体" w:cs="宋体"/>
          <w:color w:val="auto"/>
          <w:spacing w:val="1"/>
          <w:sz w:val="24"/>
          <w:szCs w:val="24"/>
          <w:highlight w:val="none"/>
        </w:rPr>
        <w:t>施阶段</w:t>
      </w:r>
      <w:r>
        <w:rPr>
          <w:rFonts w:ascii="宋体" w:hAnsi="宋体" w:eastAsia="宋体" w:cs="宋体"/>
          <w:color w:val="auto"/>
          <w:spacing w:val="-1"/>
          <w:sz w:val="24"/>
          <w:szCs w:val="24"/>
          <w:highlight w:val="none"/>
        </w:rPr>
        <w:t>的组织和协调工作，以及处理与本竞标项目有关的一切事宜。</w:t>
      </w:r>
    </w:p>
    <w:p w14:paraId="70CC1309">
      <w:pPr>
        <w:spacing w:before="3" w:line="358" w:lineRule="auto"/>
        <w:ind w:right="12" w:firstLine="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3.联合体牵头人在本项目中签署和盖章的一切文件和处理的一切事宜，联合体各成员均予以承认。联合体各成员将严格按照谈判文件、响应文件和合同的要求全</w:t>
      </w:r>
      <w:r>
        <w:rPr>
          <w:rFonts w:ascii="宋体" w:hAnsi="宋体" w:eastAsia="宋体" w:cs="宋体"/>
          <w:color w:val="auto"/>
          <w:spacing w:val="-1"/>
          <w:sz w:val="24"/>
          <w:szCs w:val="24"/>
          <w:highlight w:val="none"/>
        </w:rPr>
        <w:t>面履行义务，并向采购人承担连带责任。</w:t>
      </w:r>
    </w:p>
    <w:p w14:paraId="2F0101A0">
      <w:pPr>
        <w:spacing w:before="1" w:line="219"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4.联合体各成员单位内部的职责分工如下：</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2BA762AA">
      <w:pPr>
        <w:spacing w:before="183" w:line="359" w:lineRule="auto"/>
        <w:ind w:left="1" w:firstLine="482"/>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5.本协议书自所有成员单位法定代表人或者其委托代理人签字或者盖单位章之日起</w:t>
      </w:r>
      <w:r>
        <w:rPr>
          <w:rFonts w:ascii="宋体" w:hAnsi="宋体" w:eastAsia="宋体" w:cs="宋体"/>
          <w:color w:val="auto"/>
          <w:spacing w:val="-12"/>
          <w:sz w:val="24"/>
          <w:szCs w:val="24"/>
          <w:highlight w:val="none"/>
        </w:rPr>
        <w:t>生效，合同履行完毕后自动失效。</w:t>
      </w:r>
    </w:p>
    <w:p w14:paraId="4E28A26B">
      <w:pPr>
        <w:spacing w:before="1" w:line="218"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6.本协议书一式</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6"/>
          <w:sz w:val="24"/>
          <w:szCs w:val="24"/>
          <w:highlight w:val="none"/>
        </w:rPr>
        <w:t xml:space="preserve"> </w:t>
      </w:r>
      <w:r>
        <w:rPr>
          <w:rFonts w:ascii="宋体" w:hAnsi="宋体" w:eastAsia="宋体" w:cs="宋体"/>
          <w:color w:val="auto"/>
          <w:spacing w:val="-1"/>
          <w:sz w:val="24"/>
          <w:szCs w:val="24"/>
          <w:highlight w:val="none"/>
        </w:rPr>
        <w:t>份，联合体成员和采购人各执一份。</w:t>
      </w:r>
    </w:p>
    <w:p w14:paraId="68F5BB3B">
      <w:pPr>
        <w:spacing w:before="180" w:line="362" w:lineRule="auto"/>
        <w:ind w:left="11" w:right="12" w:firstLine="468"/>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注：本协议书应附法定代表人身份证明书；有委</w:t>
      </w:r>
      <w:r>
        <w:rPr>
          <w:rFonts w:ascii="宋体" w:hAnsi="宋体" w:eastAsia="宋体" w:cs="宋体"/>
          <w:color w:val="auto"/>
          <w:spacing w:val="9"/>
          <w:sz w:val="24"/>
          <w:szCs w:val="24"/>
          <w:highlight w:val="none"/>
        </w:rPr>
        <w:t>托代理的，应附授权委托书</w:t>
      </w:r>
      <w:r>
        <w:rPr>
          <w:rFonts w:ascii="宋体" w:hAnsi="宋体" w:eastAsia="宋体" w:cs="宋体"/>
          <w:color w:val="auto"/>
          <w:spacing w:val="-3"/>
          <w:sz w:val="24"/>
          <w:szCs w:val="24"/>
          <w:highlight w:val="none"/>
        </w:rPr>
        <w:t>（格式自拟）。</w:t>
      </w:r>
    </w:p>
    <w:p w14:paraId="68A02B5C">
      <w:pPr>
        <w:spacing w:line="380" w:lineRule="auto"/>
        <w:rPr>
          <w:rFonts w:ascii="Arial"/>
          <w:color w:val="auto"/>
          <w:sz w:val="21"/>
          <w:highlight w:val="none"/>
        </w:rPr>
      </w:pPr>
    </w:p>
    <w:p w14:paraId="4D68D8D7">
      <w:pPr>
        <w:spacing w:before="79"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联合体牵头人名称（电子签章</w:t>
      </w:r>
      <w:r>
        <w:rPr>
          <w:rFonts w:ascii="宋体" w:hAnsi="宋体" w:eastAsia="宋体" w:cs="宋体"/>
          <w:color w:val="auto"/>
          <w:sz w:val="24"/>
          <w:szCs w:val="24"/>
          <w:highlight w:val="none"/>
        </w:rPr>
        <w:t>）：</w:t>
      </w:r>
    </w:p>
    <w:p w14:paraId="6EFBE971">
      <w:pPr>
        <w:spacing w:before="181"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法定代表人或者其委托代理人（签字或者电子签名</w:t>
      </w:r>
      <w:r>
        <w:rPr>
          <w:rFonts w:ascii="宋体" w:hAnsi="宋体" w:eastAsia="宋体" w:cs="宋体"/>
          <w:color w:val="auto"/>
          <w:spacing w:val="5"/>
          <w:sz w:val="24"/>
          <w:szCs w:val="24"/>
          <w:highlight w:val="none"/>
        </w:rPr>
        <w:t>）：</w:t>
      </w:r>
    </w:p>
    <w:p w14:paraId="4FDBB7C5">
      <w:pPr>
        <w:spacing w:line="283" w:lineRule="auto"/>
        <w:rPr>
          <w:rFonts w:ascii="Arial"/>
          <w:color w:val="auto"/>
          <w:sz w:val="21"/>
          <w:highlight w:val="none"/>
        </w:rPr>
      </w:pPr>
    </w:p>
    <w:p w14:paraId="2AF2FA0E">
      <w:pPr>
        <w:spacing w:line="283" w:lineRule="auto"/>
        <w:rPr>
          <w:rFonts w:ascii="Arial"/>
          <w:color w:val="auto"/>
          <w:sz w:val="21"/>
          <w:highlight w:val="none"/>
        </w:rPr>
      </w:pPr>
    </w:p>
    <w:p w14:paraId="6381DF7B">
      <w:pPr>
        <w:spacing w:before="79"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联合体成员名称（盖公章或者电子签章</w:t>
      </w:r>
      <w:r>
        <w:rPr>
          <w:rFonts w:ascii="宋体" w:hAnsi="宋体" w:eastAsia="宋体" w:cs="宋体"/>
          <w:color w:val="auto"/>
          <w:spacing w:val="2"/>
          <w:sz w:val="24"/>
          <w:szCs w:val="24"/>
          <w:highlight w:val="none"/>
        </w:rPr>
        <w:t>）：</w:t>
      </w:r>
    </w:p>
    <w:p w14:paraId="75CEC932">
      <w:pPr>
        <w:spacing w:before="184"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法定代表人或者其委托代理人（签字或者电子签名</w:t>
      </w:r>
      <w:r>
        <w:rPr>
          <w:rFonts w:ascii="宋体" w:hAnsi="宋体" w:eastAsia="宋体" w:cs="宋体"/>
          <w:color w:val="auto"/>
          <w:spacing w:val="5"/>
          <w:sz w:val="24"/>
          <w:szCs w:val="24"/>
          <w:highlight w:val="none"/>
        </w:rPr>
        <w:t>）：</w:t>
      </w:r>
    </w:p>
    <w:p w14:paraId="7811FBFA">
      <w:pPr>
        <w:spacing w:line="283" w:lineRule="auto"/>
        <w:rPr>
          <w:rFonts w:ascii="Arial"/>
          <w:color w:val="auto"/>
          <w:sz w:val="21"/>
          <w:highlight w:val="none"/>
        </w:rPr>
      </w:pPr>
    </w:p>
    <w:p w14:paraId="4D4056EB">
      <w:pPr>
        <w:spacing w:line="283" w:lineRule="auto"/>
        <w:rPr>
          <w:rFonts w:ascii="Arial"/>
          <w:color w:val="auto"/>
          <w:sz w:val="21"/>
          <w:highlight w:val="none"/>
        </w:rPr>
      </w:pPr>
    </w:p>
    <w:p w14:paraId="2FA22D3B">
      <w:pPr>
        <w:spacing w:before="79"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联合体成员名称（盖公章或者电子签章</w:t>
      </w:r>
      <w:r>
        <w:rPr>
          <w:rFonts w:ascii="宋体" w:hAnsi="宋体" w:eastAsia="宋体" w:cs="宋体"/>
          <w:color w:val="auto"/>
          <w:spacing w:val="2"/>
          <w:sz w:val="24"/>
          <w:szCs w:val="24"/>
          <w:highlight w:val="none"/>
        </w:rPr>
        <w:t>）：</w:t>
      </w:r>
    </w:p>
    <w:p w14:paraId="54577B9F">
      <w:pPr>
        <w:spacing w:before="183" w:line="396" w:lineRule="auto"/>
        <w:ind w:left="14" w:right="3040" w:hanging="1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法定代表人或者其委托代理人（签字或者电子签名</w:t>
      </w:r>
      <w:r>
        <w:rPr>
          <w:rFonts w:ascii="宋体" w:hAnsi="宋体" w:eastAsia="宋体" w:cs="宋体"/>
          <w:color w:val="auto"/>
          <w:spacing w:val="-25"/>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13"/>
          <w:sz w:val="24"/>
          <w:szCs w:val="24"/>
          <w:highlight w:val="none"/>
        </w:rPr>
        <w:t>……</w:t>
      </w:r>
    </w:p>
    <w:p w14:paraId="0D16A97B">
      <w:pPr>
        <w:spacing w:line="251" w:lineRule="auto"/>
        <w:rPr>
          <w:rFonts w:ascii="Arial"/>
          <w:color w:val="auto"/>
          <w:sz w:val="21"/>
          <w:highlight w:val="none"/>
        </w:rPr>
      </w:pPr>
    </w:p>
    <w:p w14:paraId="058FC625">
      <w:pPr>
        <w:spacing w:line="252" w:lineRule="auto"/>
        <w:rPr>
          <w:rFonts w:ascii="Arial"/>
          <w:color w:val="auto"/>
          <w:sz w:val="21"/>
          <w:highlight w:val="none"/>
        </w:rPr>
      </w:pPr>
    </w:p>
    <w:p w14:paraId="0FC88747">
      <w:pPr>
        <w:spacing w:line="252" w:lineRule="auto"/>
        <w:rPr>
          <w:rFonts w:ascii="Arial"/>
          <w:color w:val="auto"/>
          <w:sz w:val="21"/>
          <w:highlight w:val="none"/>
        </w:rPr>
      </w:pPr>
    </w:p>
    <w:p w14:paraId="46B6D160">
      <w:pPr>
        <w:spacing w:before="79" w:line="219" w:lineRule="auto"/>
        <w:jc w:val="right"/>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r>
        <w:rPr>
          <w:rFonts w:ascii="宋体" w:hAnsi="宋体" w:eastAsia="宋体" w:cs="宋体"/>
          <w:color w:val="auto"/>
          <w:spacing w:val="3"/>
          <w:sz w:val="24"/>
          <w:szCs w:val="24"/>
          <w:highlight w:val="none"/>
        </w:rPr>
        <w:t xml:space="preserve">    </w:t>
      </w:r>
      <w:r>
        <w:rPr>
          <w:rFonts w:ascii="宋体" w:hAnsi="宋体" w:eastAsia="宋体" w:cs="宋体"/>
          <w:color w:val="auto"/>
          <w:spacing w:val="-22"/>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22"/>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22"/>
          <w:sz w:val="24"/>
          <w:szCs w:val="24"/>
          <w:highlight w:val="none"/>
        </w:rPr>
        <w:t>日</w:t>
      </w:r>
    </w:p>
    <w:p w14:paraId="5DCB2D1A">
      <w:pPr>
        <w:spacing w:line="219" w:lineRule="auto"/>
        <w:rPr>
          <w:rFonts w:ascii="宋体" w:hAnsi="宋体" w:eastAsia="宋体" w:cs="宋体"/>
          <w:color w:val="auto"/>
          <w:sz w:val="24"/>
          <w:szCs w:val="24"/>
          <w:highlight w:val="none"/>
        </w:rPr>
        <w:sectPr>
          <w:footerReference r:id="rId47" w:type="default"/>
          <w:pgSz w:w="11910" w:h="16840"/>
          <w:pgMar w:top="1400" w:right="1489" w:bottom="1091" w:left="1689" w:header="0" w:footer="929" w:gutter="0"/>
          <w:pgNumType w:fmt="decimal"/>
          <w:cols w:space="720" w:num="1"/>
        </w:sectPr>
      </w:pPr>
    </w:p>
    <w:p w14:paraId="6D736271">
      <w:pPr>
        <w:spacing w:before="64" w:line="223" w:lineRule="auto"/>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二、报价文件格式</w:t>
      </w:r>
    </w:p>
    <w:p w14:paraId="21F3C37D">
      <w:pPr>
        <w:spacing w:line="267" w:lineRule="auto"/>
        <w:rPr>
          <w:rFonts w:ascii="Arial"/>
          <w:color w:val="auto"/>
          <w:sz w:val="21"/>
          <w:highlight w:val="none"/>
        </w:rPr>
      </w:pPr>
    </w:p>
    <w:p w14:paraId="591D2C3E">
      <w:pPr>
        <w:spacing w:before="100" w:line="223" w:lineRule="auto"/>
        <w:ind w:left="18"/>
        <w:rPr>
          <w:rFonts w:ascii="宋体" w:hAnsi="宋体" w:eastAsia="宋体" w:cs="宋体"/>
          <w:color w:val="auto"/>
          <w:sz w:val="31"/>
          <w:szCs w:val="31"/>
          <w:highlight w:val="none"/>
        </w:rPr>
      </w:pPr>
      <w:r>
        <w:rPr>
          <w:rFonts w:ascii="宋体" w:hAnsi="宋体" w:eastAsia="宋体" w:cs="宋体"/>
          <w:b/>
          <w:bCs/>
          <w:color w:val="auto"/>
          <w:spacing w:val="3"/>
          <w:sz w:val="31"/>
          <w:szCs w:val="31"/>
          <w:highlight w:val="none"/>
        </w:rPr>
        <w:t>1.报价文件封面格式</w:t>
      </w:r>
    </w:p>
    <w:p w14:paraId="2E096E93">
      <w:pPr>
        <w:spacing w:line="258" w:lineRule="auto"/>
        <w:rPr>
          <w:rFonts w:ascii="Arial"/>
          <w:color w:val="auto"/>
          <w:sz w:val="21"/>
          <w:highlight w:val="none"/>
        </w:rPr>
      </w:pPr>
    </w:p>
    <w:p w14:paraId="35284E1C">
      <w:pPr>
        <w:spacing w:line="258" w:lineRule="auto"/>
        <w:rPr>
          <w:rFonts w:ascii="Arial"/>
          <w:color w:val="auto"/>
          <w:sz w:val="21"/>
          <w:highlight w:val="none"/>
        </w:rPr>
      </w:pPr>
    </w:p>
    <w:p w14:paraId="6136EBF7">
      <w:pPr>
        <w:spacing w:line="258" w:lineRule="auto"/>
        <w:rPr>
          <w:rFonts w:ascii="Arial"/>
          <w:color w:val="auto"/>
          <w:sz w:val="21"/>
          <w:highlight w:val="none"/>
        </w:rPr>
      </w:pPr>
    </w:p>
    <w:p w14:paraId="5C225CC1">
      <w:pPr>
        <w:spacing w:before="140" w:line="223" w:lineRule="auto"/>
        <w:ind w:left="2546"/>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4"/>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719D62DA">
      <w:pPr>
        <w:spacing w:line="284" w:lineRule="auto"/>
        <w:rPr>
          <w:rFonts w:ascii="Arial"/>
          <w:color w:val="auto"/>
          <w:sz w:val="21"/>
          <w:highlight w:val="none"/>
        </w:rPr>
      </w:pPr>
    </w:p>
    <w:p w14:paraId="07F5A04A">
      <w:pPr>
        <w:spacing w:line="285" w:lineRule="auto"/>
        <w:rPr>
          <w:rFonts w:ascii="Arial"/>
          <w:color w:val="auto"/>
          <w:sz w:val="21"/>
          <w:highlight w:val="none"/>
        </w:rPr>
      </w:pPr>
    </w:p>
    <w:p w14:paraId="4B00151D">
      <w:pPr>
        <w:spacing w:line="285" w:lineRule="auto"/>
        <w:rPr>
          <w:rFonts w:ascii="Arial"/>
          <w:color w:val="auto"/>
          <w:sz w:val="21"/>
          <w:highlight w:val="none"/>
        </w:rPr>
      </w:pPr>
    </w:p>
    <w:p w14:paraId="660EEE92">
      <w:pPr>
        <w:spacing w:before="187" w:line="186" w:lineRule="auto"/>
        <w:ind w:left="2828"/>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10"/>
          <w:sz w:val="43"/>
          <w:szCs w:val="43"/>
          <w:highlight w:val="none"/>
        </w:rPr>
        <w:t>报</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10"/>
          <w:sz w:val="43"/>
          <w:szCs w:val="43"/>
          <w:highlight w:val="none"/>
        </w:rPr>
        <w:t>价</w:t>
      </w:r>
      <w:r>
        <w:rPr>
          <w:rFonts w:ascii="Arial Unicode MS" w:hAnsi="Arial Unicode MS" w:eastAsia="Arial Unicode MS" w:cs="Arial Unicode MS"/>
          <w:color w:val="auto"/>
          <w:spacing w:val="36"/>
          <w:sz w:val="43"/>
          <w:szCs w:val="43"/>
          <w:highlight w:val="none"/>
        </w:rPr>
        <w:t xml:space="preserve">   </w:t>
      </w:r>
      <w:r>
        <w:rPr>
          <w:rFonts w:ascii="Arial Unicode MS" w:hAnsi="Arial Unicode MS" w:eastAsia="Arial Unicode MS" w:cs="Arial Unicode MS"/>
          <w:color w:val="auto"/>
          <w:spacing w:val="-10"/>
          <w:sz w:val="43"/>
          <w:szCs w:val="43"/>
          <w:highlight w:val="none"/>
        </w:rPr>
        <w:t>文</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10"/>
          <w:sz w:val="43"/>
          <w:szCs w:val="43"/>
          <w:highlight w:val="none"/>
        </w:rPr>
        <w:t>件</w:t>
      </w:r>
    </w:p>
    <w:p w14:paraId="327FA52E">
      <w:pPr>
        <w:spacing w:line="246" w:lineRule="auto"/>
        <w:rPr>
          <w:rFonts w:ascii="Arial"/>
          <w:color w:val="auto"/>
          <w:sz w:val="21"/>
          <w:highlight w:val="none"/>
        </w:rPr>
      </w:pPr>
    </w:p>
    <w:p w14:paraId="16B0EC52">
      <w:pPr>
        <w:spacing w:line="246" w:lineRule="auto"/>
        <w:rPr>
          <w:rFonts w:ascii="Arial"/>
          <w:color w:val="auto"/>
          <w:sz w:val="21"/>
          <w:highlight w:val="none"/>
        </w:rPr>
      </w:pPr>
    </w:p>
    <w:p w14:paraId="3B6605E5">
      <w:pPr>
        <w:spacing w:line="247" w:lineRule="auto"/>
        <w:rPr>
          <w:rFonts w:ascii="Arial"/>
          <w:color w:val="auto"/>
          <w:sz w:val="21"/>
          <w:highlight w:val="none"/>
        </w:rPr>
      </w:pPr>
    </w:p>
    <w:p w14:paraId="1278FB6C">
      <w:pPr>
        <w:spacing w:line="247" w:lineRule="auto"/>
        <w:rPr>
          <w:rFonts w:ascii="Arial"/>
          <w:color w:val="auto"/>
          <w:sz w:val="21"/>
          <w:highlight w:val="none"/>
        </w:rPr>
      </w:pPr>
    </w:p>
    <w:p w14:paraId="052F54E9">
      <w:pPr>
        <w:spacing w:line="247" w:lineRule="auto"/>
        <w:rPr>
          <w:rFonts w:ascii="Arial"/>
          <w:color w:val="auto"/>
          <w:sz w:val="21"/>
          <w:highlight w:val="none"/>
        </w:rPr>
      </w:pPr>
    </w:p>
    <w:p w14:paraId="2C5C7AC2">
      <w:pPr>
        <w:spacing w:line="247" w:lineRule="auto"/>
        <w:rPr>
          <w:rFonts w:ascii="Arial"/>
          <w:color w:val="auto"/>
          <w:sz w:val="21"/>
          <w:highlight w:val="none"/>
        </w:rPr>
      </w:pPr>
    </w:p>
    <w:p w14:paraId="0D693FC7">
      <w:pPr>
        <w:spacing w:line="247" w:lineRule="auto"/>
        <w:rPr>
          <w:rFonts w:ascii="Arial"/>
          <w:color w:val="auto"/>
          <w:sz w:val="21"/>
          <w:highlight w:val="none"/>
        </w:rPr>
      </w:pPr>
    </w:p>
    <w:p w14:paraId="6190FE29">
      <w:pPr>
        <w:spacing w:line="247" w:lineRule="auto"/>
        <w:rPr>
          <w:rFonts w:ascii="Arial"/>
          <w:color w:val="auto"/>
          <w:sz w:val="21"/>
          <w:highlight w:val="none"/>
        </w:rPr>
      </w:pPr>
    </w:p>
    <w:p w14:paraId="3AB1F135">
      <w:pPr>
        <w:spacing w:line="247" w:lineRule="auto"/>
        <w:rPr>
          <w:rFonts w:ascii="Arial"/>
          <w:color w:val="auto"/>
          <w:sz w:val="21"/>
          <w:highlight w:val="none"/>
        </w:rPr>
      </w:pPr>
    </w:p>
    <w:p w14:paraId="3E3FFEE4">
      <w:pPr>
        <w:spacing w:before="102" w:line="225" w:lineRule="auto"/>
        <w:ind w:left="640"/>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78A00636">
      <w:pPr>
        <w:spacing w:line="293" w:lineRule="auto"/>
        <w:rPr>
          <w:rFonts w:ascii="Arial"/>
          <w:color w:val="auto"/>
          <w:sz w:val="21"/>
          <w:highlight w:val="none"/>
        </w:rPr>
      </w:pPr>
    </w:p>
    <w:p w14:paraId="76474EC0">
      <w:pPr>
        <w:spacing w:line="294" w:lineRule="auto"/>
        <w:rPr>
          <w:rFonts w:ascii="Arial"/>
          <w:color w:val="auto"/>
          <w:sz w:val="21"/>
          <w:highlight w:val="none"/>
        </w:rPr>
      </w:pPr>
    </w:p>
    <w:p w14:paraId="59216A46">
      <w:pPr>
        <w:spacing w:before="100" w:line="225" w:lineRule="auto"/>
        <w:ind w:left="640"/>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5F342F9B">
      <w:pPr>
        <w:spacing w:line="293" w:lineRule="auto"/>
        <w:rPr>
          <w:rFonts w:ascii="Arial"/>
          <w:color w:val="auto"/>
          <w:sz w:val="21"/>
          <w:highlight w:val="none"/>
        </w:rPr>
      </w:pPr>
    </w:p>
    <w:p w14:paraId="09B9E182">
      <w:pPr>
        <w:spacing w:line="294" w:lineRule="auto"/>
        <w:rPr>
          <w:rFonts w:ascii="Arial"/>
          <w:color w:val="auto"/>
          <w:sz w:val="21"/>
          <w:highlight w:val="none"/>
        </w:rPr>
      </w:pPr>
    </w:p>
    <w:p w14:paraId="2558542D">
      <w:pPr>
        <w:spacing w:before="101" w:line="225" w:lineRule="auto"/>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所竞分标（如有则填写，无分标时填写“无</w:t>
      </w:r>
      <w:r>
        <w:rPr>
          <w:rFonts w:ascii="宋体" w:hAnsi="宋体" w:eastAsia="宋体" w:cs="宋体"/>
          <w:color w:val="auto"/>
          <w:spacing w:val="-113"/>
          <w:sz w:val="31"/>
          <w:szCs w:val="31"/>
          <w:highlight w:val="none"/>
        </w:rPr>
        <w:t xml:space="preserve"> </w:t>
      </w:r>
      <w:r>
        <w:rPr>
          <w:rFonts w:ascii="宋体" w:hAnsi="宋体" w:eastAsia="宋体" w:cs="宋体"/>
          <w:color w:val="auto"/>
          <w:spacing w:val="7"/>
          <w:sz w:val="31"/>
          <w:szCs w:val="31"/>
          <w:highlight w:val="none"/>
        </w:rPr>
        <w:t>”或者留空</w:t>
      </w:r>
      <w:r>
        <w:rPr>
          <w:rFonts w:ascii="宋体" w:hAnsi="宋体" w:eastAsia="宋体" w:cs="宋体"/>
          <w:color w:val="auto"/>
          <w:spacing w:val="-22"/>
          <w:sz w:val="31"/>
          <w:szCs w:val="31"/>
          <w:highlight w:val="none"/>
        </w:rPr>
        <w:t>）：</w:t>
      </w:r>
    </w:p>
    <w:p w14:paraId="4BFF9D8C">
      <w:pPr>
        <w:spacing w:line="259" w:lineRule="auto"/>
        <w:rPr>
          <w:rFonts w:ascii="Arial"/>
          <w:color w:val="auto"/>
          <w:sz w:val="21"/>
          <w:highlight w:val="none"/>
        </w:rPr>
      </w:pPr>
    </w:p>
    <w:p w14:paraId="15653B3A">
      <w:pPr>
        <w:spacing w:line="259" w:lineRule="auto"/>
        <w:rPr>
          <w:rFonts w:ascii="Arial"/>
          <w:color w:val="auto"/>
          <w:sz w:val="21"/>
          <w:highlight w:val="none"/>
        </w:rPr>
      </w:pPr>
    </w:p>
    <w:p w14:paraId="31395F0A">
      <w:pPr>
        <w:spacing w:before="101" w:line="224" w:lineRule="auto"/>
        <w:ind w:left="635"/>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548E5CC2">
      <w:pPr>
        <w:spacing w:line="272" w:lineRule="auto"/>
        <w:rPr>
          <w:rFonts w:ascii="Arial"/>
          <w:color w:val="auto"/>
          <w:sz w:val="21"/>
          <w:highlight w:val="none"/>
        </w:rPr>
      </w:pPr>
    </w:p>
    <w:p w14:paraId="2370A804">
      <w:pPr>
        <w:spacing w:line="272" w:lineRule="auto"/>
        <w:rPr>
          <w:rFonts w:ascii="Arial"/>
          <w:color w:val="auto"/>
          <w:sz w:val="21"/>
          <w:highlight w:val="none"/>
        </w:rPr>
      </w:pPr>
    </w:p>
    <w:p w14:paraId="7AA0441F">
      <w:pPr>
        <w:spacing w:line="272" w:lineRule="auto"/>
        <w:rPr>
          <w:rFonts w:ascii="Arial"/>
          <w:color w:val="auto"/>
          <w:sz w:val="21"/>
          <w:highlight w:val="none"/>
        </w:rPr>
      </w:pPr>
    </w:p>
    <w:p w14:paraId="6EFC995F">
      <w:pPr>
        <w:spacing w:line="272" w:lineRule="auto"/>
        <w:rPr>
          <w:rFonts w:ascii="Arial"/>
          <w:color w:val="auto"/>
          <w:sz w:val="21"/>
          <w:highlight w:val="none"/>
        </w:rPr>
      </w:pPr>
    </w:p>
    <w:p w14:paraId="7E24899E">
      <w:pPr>
        <w:spacing w:line="272" w:lineRule="auto"/>
        <w:rPr>
          <w:rFonts w:ascii="Arial"/>
          <w:color w:val="auto"/>
          <w:sz w:val="21"/>
          <w:highlight w:val="none"/>
        </w:rPr>
      </w:pPr>
    </w:p>
    <w:p w14:paraId="515A9E70">
      <w:pPr>
        <w:spacing w:line="273" w:lineRule="auto"/>
        <w:rPr>
          <w:rFonts w:ascii="Arial"/>
          <w:color w:val="auto"/>
          <w:sz w:val="21"/>
          <w:highlight w:val="none"/>
        </w:rPr>
      </w:pPr>
    </w:p>
    <w:p w14:paraId="2530D179">
      <w:pPr>
        <w:spacing w:line="273" w:lineRule="auto"/>
        <w:rPr>
          <w:rFonts w:ascii="Arial"/>
          <w:color w:val="auto"/>
          <w:sz w:val="21"/>
          <w:highlight w:val="none"/>
        </w:rPr>
      </w:pPr>
    </w:p>
    <w:p w14:paraId="3F7A74B8">
      <w:pPr>
        <w:spacing w:before="101" w:line="225" w:lineRule="auto"/>
        <w:ind w:left="3240"/>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0"/>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5B60DF13">
      <w:pPr>
        <w:spacing w:line="225" w:lineRule="auto"/>
        <w:rPr>
          <w:rFonts w:ascii="宋体" w:hAnsi="宋体" w:eastAsia="宋体" w:cs="宋体"/>
          <w:color w:val="auto"/>
          <w:sz w:val="31"/>
          <w:szCs w:val="31"/>
          <w:highlight w:val="none"/>
        </w:rPr>
        <w:sectPr>
          <w:footerReference r:id="rId48" w:type="default"/>
          <w:pgSz w:w="11910" w:h="16840"/>
          <w:pgMar w:top="1324" w:right="1348" w:bottom="1088" w:left="1697" w:header="0" w:footer="929" w:gutter="0"/>
          <w:pgNumType w:fmt="decimal"/>
          <w:cols w:space="720" w:num="1"/>
        </w:sectPr>
      </w:pPr>
    </w:p>
    <w:p w14:paraId="2E7BA8D3">
      <w:pPr>
        <w:spacing w:before="64" w:line="223" w:lineRule="auto"/>
        <w:ind w:left="145"/>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2.报价文件目录</w:t>
      </w:r>
    </w:p>
    <w:p w14:paraId="3885663B">
      <w:pPr>
        <w:spacing w:line="288" w:lineRule="auto"/>
        <w:rPr>
          <w:rFonts w:ascii="Arial"/>
          <w:color w:val="auto"/>
          <w:sz w:val="21"/>
          <w:highlight w:val="none"/>
        </w:rPr>
      </w:pPr>
    </w:p>
    <w:p w14:paraId="39652783">
      <w:pPr>
        <w:spacing w:before="100" w:line="310" w:lineRule="auto"/>
        <w:ind w:left="6" w:hanging="6"/>
        <w:rPr>
          <w:rFonts w:ascii="宋体" w:hAnsi="宋体" w:eastAsia="宋体" w:cs="宋体"/>
          <w:color w:val="auto"/>
          <w:sz w:val="31"/>
          <w:szCs w:val="31"/>
          <w:highlight w:val="none"/>
        </w:rPr>
      </w:pPr>
      <w:r>
        <w:rPr>
          <w:rFonts w:ascii="宋体" w:hAnsi="宋体" w:eastAsia="宋体" w:cs="宋体"/>
          <w:color w:val="auto"/>
          <w:spacing w:val="9"/>
          <w:sz w:val="31"/>
          <w:szCs w:val="31"/>
          <w:highlight w:val="none"/>
        </w:rPr>
        <w:t>根据谈判文件规定及供应商提供的材料自行编写目录（部分格</w:t>
      </w:r>
      <w:r>
        <w:rPr>
          <w:rFonts w:ascii="宋体" w:hAnsi="宋体" w:eastAsia="宋体" w:cs="宋体"/>
          <w:color w:val="auto"/>
          <w:spacing w:val="2"/>
          <w:sz w:val="31"/>
          <w:szCs w:val="31"/>
          <w:highlight w:val="none"/>
        </w:rPr>
        <w:t>式后附）。</w:t>
      </w:r>
    </w:p>
    <w:p w14:paraId="388B4148">
      <w:pPr>
        <w:spacing w:line="310" w:lineRule="auto"/>
        <w:rPr>
          <w:rFonts w:ascii="宋体" w:hAnsi="宋体" w:eastAsia="宋体" w:cs="宋体"/>
          <w:color w:val="auto"/>
          <w:sz w:val="31"/>
          <w:szCs w:val="31"/>
          <w:highlight w:val="none"/>
        </w:rPr>
        <w:sectPr>
          <w:footerReference r:id="rId49" w:type="default"/>
          <w:pgSz w:w="11910" w:h="16840"/>
          <w:pgMar w:top="1396" w:right="1590" w:bottom="1091" w:left="1692" w:header="0" w:footer="929" w:gutter="0"/>
          <w:pgNumType w:fmt="decimal"/>
          <w:cols w:space="720" w:num="1"/>
        </w:sectPr>
      </w:pPr>
    </w:p>
    <w:p w14:paraId="3F506BF4">
      <w:pPr>
        <w:spacing w:before="82" w:line="186" w:lineRule="auto"/>
        <w:ind w:left="291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6"/>
          <w:sz w:val="43"/>
          <w:szCs w:val="43"/>
          <w:highlight w:val="none"/>
        </w:rPr>
        <w:t>竞</w:t>
      </w:r>
      <w:r>
        <w:rPr>
          <w:rFonts w:ascii="Arial Unicode MS" w:hAnsi="Arial Unicode MS" w:eastAsia="Arial Unicode MS" w:cs="Arial Unicode MS"/>
          <w:color w:val="auto"/>
          <w:spacing w:val="30"/>
          <w:sz w:val="43"/>
          <w:szCs w:val="43"/>
          <w:highlight w:val="none"/>
        </w:rPr>
        <w:t xml:space="preserve">   </w:t>
      </w:r>
      <w:r>
        <w:rPr>
          <w:rFonts w:ascii="Arial Unicode MS" w:hAnsi="Arial Unicode MS" w:eastAsia="Arial Unicode MS" w:cs="Arial Unicode MS"/>
          <w:color w:val="auto"/>
          <w:spacing w:val="-6"/>
          <w:sz w:val="43"/>
          <w:szCs w:val="43"/>
          <w:highlight w:val="none"/>
        </w:rPr>
        <w:t>标</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6"/>
          <w:sz w:val="43"/>
          <w:szCs w:val="43"/>
          <w:highlight w:val="none"/>
        </w:rPr>
        <w:t>报</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价</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6"/>
          <w:sz w:val="43"/>
          <w:szCs w:val="43"/>
          <w:highlight w:val="none"/>
        </w:rPr>
        <w:t>表</w:t>
      </w:r>
    </w:p>
    <w:p w14:paraId="0DD70976">
      <w:pPr>
        <w:spacing w:line="427" w:lineRule="auto"/>
        <w:rPr>
          <w:rFonts w:ascii="Arial"/>
          <w:color w:val="auto"/>
          <w:sz w:val="21"/>
          <w:highlight w:val="none"/>
        </w:rPr>
      </w:pPr>
    </w:p>
    <w:p w14:paraId="12A7BFDE">
      <w:pPr>
        <w:spacing w:before="78" w:line="219" w:lineRule="auto"/>
        <w:ind w:left="52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项目名称：</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 xml:space="preserve">     项目编号：</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rPr>
        <w:t xml:space="preserve">    </w:t>
      </w:r>
      <w:r>
        <w:rPr>
          <w:rFonts w:ascii="宋体" w:hAnsi="宋体" w:eastAsia="宋体" w:cs="宋体"/>
          <w:color w:val="auto"/>
          <w:spacing w:val="-1"/>
          <w:sz w:val="24"/>
          <w:szCs w:val="24"/>
          <w:highlight w:val="none"/>
        </w:rPr>
        <w:t>标段号：</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p>
    <w:p w14:paraId="50AAADA6">
      <w:pPr>
        <w:spacing w:before="230" w:line="219" w:lineRule="auto"/>
        <w:ind w:left="51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供应商名称：</w:t>
      </w:r>
      <w:r>
        <w:rPr>
          <w:rFonts w:ascii="宋体" w:hAnsi="宋体" w:eastAsia="宋体" w:cs="宋体"/>
          <w:color w:val="auto"/>
          <w:sz w:val="24"/>
          <w:szCs w:val="24"/>
          <w:highlight w:val="none"/>
          <w:u w:val="single" w:color="auto"/>
        </w:rPr>
        <w:t xml:space="preserve">              </w:t>
      </w:r>
    </w:p>
    <w:p w14:paraId="70733C14">
      <w:pPr>
        <w:spacing w:before="231" w:line="220" w:lineRule="auto"/>
        <w:ind w:left="6039"/>
        <w:rPr>
          <w:rFonts w:ascii="宋体" w:hAnsi="宋体" w:eastAsia="宋体" w:cs="宋体"/>
          <w:color w:val="auto"/>
          <w:sz w:val="24"/>
          <w:szCs w:val="24"/>
          <w:highlight w:val="none"/>
        </w:rPr>
      </w:pPr>
      <w:r>
        <w:rPr>
          <w:rFonts w:ascii="宋体" w:hAnsi="宋体" w:eastAsia="宋体" w:cs="宋体"/>
          <w:color w:val="auto"/>
          <w:sz w:val="24"/>
          <w:szCs w:val="24"/>
          <w:highlight w:val="none"/>
        </w:rPr>
        <w:t>单位：元</w:t>
      </w:r>
    </w:p>
    <w:p w14:paraId="0841A10A">
      <w:pPr>
        <w:spacing w:line="196" w:lineRule="exact"/>
        <w:rPr>
          <w:color w:val="auto"/>
          <w:highlight w:val="none"/>
        </w:rPr>
      </w:pPr>
    </w:p>
    <w:tbl>
      <w:tblPr>
        <w:tblStyle w:val="11"/>
        <w:tblW w:w="9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4"/>
        <w:gridCol w:w="1019"/>
        <w:gridCol w:w="1004"/>
        <w:gridCol w:w="745"/>
        <w:gridCol w:w="940"/>
        <w:gridCol w:w="1059"/>
        <w:gridCol w:w="966"/>
        <w:gridCol w:w="942"/>
        <w:gridCol w:w="2241"/>
      </w:tblGrid>
      <w:tr w14:paraId="2072C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9" w:hRule="atLeast"/>
        </w:trPr>
        <w:tc>
          <w:tcPr>
            <w:tcW w:w="824" w:type="dxa"/>
            <w:vAlign w:val="top"/>
          </w:tcPr>
          <w:p w14:paraId="2EE31FE6">
            <w:pPr>
              <w:spacing w:line="282" w:lineRule="auto"/>
              <w:rPr>
                <w:rFonts w:ascii="Arial"/>
                <w:color w:val="auto"/>
                <w:sz w:val="21"/>
                <w:highlight w:val="none"/>
              </w:rPr>
            </w:pPr>
          </w:p>
          <w:p w14:paraId="416B8570">
            <w:pPr>
              <w:spacing w:line="283" w:lineRule="auto"/>
              <w:rPr>
                <w:rFonts w:ascii="Arial"/>
                <w:color w:val="auto"/>
                <w:sz w:val="21"/>
                <w:highlight w:val="none"/>
              </w:rPr>
            </w:pPr>
          </w:p>
          <w:p w14:paraId="79291282">
            <w:pPr>
              <w:pStyle w:val="12"/>
              <w:spacing w:before="78" w:line="220" w:lineRule="auto"/>
              <w:ind w:left="182"/>
              <w:rPr>
                <w:color w:val="auto"/>
                <w:sz w:val="24"/>
                <w:szCs w:val="24"/>
                <w:highlight w:val="none"/>
              </w:rPr>
            </w:pPr>
            <w:r>
              <w:rPr>
                <w:b/>
                <w:bCs/>
                <w:color w:val="auto"/>
                <w:spacing w:val="-10"/>
                <w:sz w:val="24"/>
                <w:szCs w:val="24"/>
                <w:highlight w:val="none"/>
              </w:rPr>
              <w:t>项号</w:t>
            </w:r>
          </w:p>
        </w:tc>
        <w:tc>
          <w:tcPr>
            <w:tcW w:w="1019" w:type="dxa"/>
            <w:vAlign w:val="top"/>
          </w:tcPr>
          <w:p w14:paraId="0C20764F">
            <w:pPr>
              <w:spacing w:line="332" w:lineRule="auto"/>
              <w:rPr>
                <w:rFonts w:ascii="Arial"/>
                <w:color w:val="auto"/>
                <w:sz w:val="21"/>
                <w:highlight w:val="none"/>
              </w:rPr>
            </w:pPr>
          </w:p>
          <w:p w14:paraId="65AF8E13">
            <w:pPr>
              <w:pStyle w:val="12"/>
              <w:spacing w:before="78" w:line="361" w:lineRule="auto"/>
              <w:ind w:left="275" w:right="147" w:hanging="121"/>
              <w:rPr>
                <w:color w:val="auto"/>
                <w:sz w:val="24"/>
                <w:szCs w:val="24"/>
                <w:highlight w:val="none"/>
              </w:rPr>
            </w:pPr>
            <w:r>
              <w:rPr>
                <w:b/>
                <w:bCs/>
                <w:color w:val="auto"/>
                <w:spacing w:val="-6"/>
                <w:sz w:val="24"/>
                <w:szCs w:val="24"/>
                <w:highlight w:val="none"/>
              </w:rPr>
              <w:t>标的的</w:t>
            </w:r>
            <w:r>
              <w:rPr>
                <w:b/>
                <w:bCs/>
                <w:color w:val="auto"/>
                <w:spacing w:val="-9"/>
                <w:sz w:val="24"/>
                <w:szCs w:val="24"/>
                <w:highlight w:val="none"/>
              </w:rPr>
              <w:t>名称</w:t>
            </w:r>
          </w:p>
        </w:tc>
        <w:tc>
          <w:tcPr>
            <w:tcW w:w="1004" w:type="dxa"/>
            <w:vAlign w:val="top"/>
          </w:tcPr>
          <w:p w14:paraId="012B130F">
            <w:pPr>
              <w:pStyle w:val="12"/>
              <w:spacing w:before="179" w:line="219" w:lineRule="auto"/>
              <w:ind w:left="149"/>
              <w:rPr>
                <w:color w:val="auto"/>
                <w:sz w:val="24"/>
                <w:szCs w:val="24"/>
                <w:highlight w:val="none"/>
              </w:rPr>
            </w:pPr>
            <w:r>
              <w:rPr>
                <w:b/>
                <w:bCs/>
                <w:color w:val="auto"/>
                <w:spacing w:val="-6"/>
                <w:sz w:val="24"/>
                <w:szCs w:val="24"/>
                <w:highlight w:val="none"/>
              </w:rPr>
              <w:t>数量及</w:t>
            </w:r>
          </w:p>
          <w:p w14:paraId="3B5BE425">
            <w:pPr>
              <w:pStyle w:val="12"/>
              <w:spacing w:before="180" w:line="220" w:lineRule="auto"/>
              <w:ind w:left="269"/>
              <w:rPr>
                <w:color w:val="auto"/>
                <w:sz w:val="24"/>
                <w:szCs w:val="24"/>
                <w:highlight w:val="none"/>
              </w:rPr>
            </w:pPr>
            <w:r>
              <w:rPr>
                <w:b/>
                <w:bCs/>
                <w:color w:val="auto"/>
                <w:spacing w:val="-9"/>
                <w:sz w:val="24"/>
                <w:szCs w:val="24"/>
                <w:highlight w:val="none"/>
              </w:rPr>
              <w:t>单位</w:t>
            </w:r>
          </w:p>
          <w:p w14:paraId="15CDD63D">
            <w:pPr>
              <w:pStyle w:val="12"/>
              <w:spacing w:before="182" w:line="217" w:lineRule="auto"/>
              <w:ind w:left="386"/>
              <w:rPr>
                <w:color w:val="auto"/>
                <w:sz w:val="24"/>
                <w:szCs w:val="24"/>
                <w:highlight w:val="none"/>
              </w:rPr>
            </w:pPr>
            <w:r>
              <w:rPr>
                <w:b/>
                <w:bCs/>
                <w:color w:val="auto"/>
                <w:spacing w:val="-3"/>
                <w:sz w:val="24"/>
                <w:szCs w:val="24"/>
                <w:highlight w:val="none"/>
              </w:rPr>
              <w:t>①</w:t>
            </w:r>
          </w:p>
        </w:tc>
        <w:tc>
          <w:tcPr>
            <w:tcW w:w="745" w:type="dxa"/>
            <w:vAlign w:val="top"/>
          </w:tcPr>
          <w:p w14:paraId="4DDAE3CF">
            <w:pPr>
              <w:spacing w:line="283" w:lineRule="auto"/>
              <w:rPr>
                <w:rFonts w:ascii="Arial"/>
                <w:color w:val="auto"/>
                <w:sz w:val="21"/>
                <w:highlight w:val="none"/>
              </w:rPr>
            </w:pPr>
          </w:p>
          <w:p w14:paraId="20FCE1D4">
            <w:pPr>
              <w:spacing w:line="283" w:lineRule="auto"/>
              <w:rPr>
                <w:rFonts w:ascii="Arial"/>
                <w:color w:val="auto"/>
                <w:sz w:val="21"/>
                <w:highlight w:val="none"/>
              </w:rPr>
            </w:pPr>
          </w:p>
          <w:p w14:paraId="70E19C5F">
            <w:pPr>
              <w:pStyle w:val="12"/>
              <w:spacing w:before="78" w:line="219" w:lineRule="auto"/>
              <w:ind w:left="156"/>
              <w:rPr>
                <w:color w:val="auto"/>
                <w:sz w:val="24"/>
                <w:szCs w:val="24"/>
                <w:highlight w:val="none"/>
              </w:rPr>
            </w:pPr>
            <w:r>
              <w:rPr>
                <w:b/>
                <w:bCs/>
                <w:color w:val="auto"/>
                <w:spacing w:val="-18"/>
                <w:sz w:val="24"/>
                <w:szCs w:val="24"/>
                <w:highlight w:val="none"/>
              </w:rPr>
              <w:t>品牌</w:t>
            </w:r>
          </w:p>
        </w:tc>
        <w:tc>
          <w:tcPr>
            <w:tcW w:w="940" w:type="dxa"/>
            <w:vAlign w:val="top"/>
          </w:tcPr>
          <w:p w14:paraId="0A01B510">
            <w:pPr>
              <w:spacing w:line="331" w:lineRule="auto"/>
              <w:rPr>
                <w:rFonts w:ascii="Arial"/>
                <w:color w:val="auto"/>
                <w:sz w:val="21"/>
                <w:highlight w:val="none"/>
              </w:rPr>
            </w:pPr>
          </w:p>
          <w:p w14:paraId="0CF21C39">
            <w:pPr>
              <w:pStyle w:val="12"/>
              <w:spacing w:before="78" w:line="361" w:lineRule="auto"/>
              <w:ind w:left="243" w:right="227" w:hanging="6"/>
              <w:rPr>
                <w:color w:val="auto"/>
                <w:sz w:val="24"/>
                <w:szCs w:val="24"/>
                <w:highlight w:val="none"/>
              </w:rPr>
            </w:pPr>
            <w:r>
              <w:rPr>
                <w:b/>
                <w:bCs/>
                <w:color w:val="auto"/>
                <w:spacing w:val="-8"/>
                <w:sz w:val="24"/>
                <w:szCs w:val="24"/>
                <w:highlight w:val="none"/>
              </w:rPr>
              <w:t>规格</w:t>
            </w:r>
            <w:r>
              <w:rPr>
                <w:b/>
                <w:bCs/>
                <w:color w:val="auto"/>
                <w:spacing w:val="-11"/>
                <w:sz w:val="24"/>
                <w:szCs w:val="24"/>
                <w:highlight w:val="none"/>
              </w:rPr>
              <w:t>型号</w:t>
            </w:r>
          </w:p>
        </w:tc>
        <w:tc>
          <w:tcPr>
            <w:tcW w:w="1059" w:type="dxa"/>
            <w:vAlign w:val="top"/>
          </w:tcPr>
          <w:p w14:paraId="7AD344D4">
            <w:pPr>
              <w:spacing w:line="282" w:lineRule="auto"/>
              <w:rPr>
                <w:rFonts w:ascii="Arial"/>
                <w:color w:val="auto"/>
                <w:sz w:val="21"/>
                <w:highlight w:val="none"/>
              </w:rPr>
            </w:pPr>
          </w:p>
          <w:p w14:paraId="10A7AE2C">
            <w:pPr>
              <w:spacing w:line="283" w:lineRule="auto"/>
              <w:rPr>
                <w:rFonts w:ascii="Arial"/>
                <w:color w:val="auto"/>
                <w:sz w:val="21"/>
                <w:highlight w:val="none"/>
              </w:rPr>
            </w:pPr>
          </w:p>
          <w:p w14:paraId="6298C2D1">
            <w:pPr>
              <w:pStyle w:val="12"/>
              <w:spacing w:before="78" w:line="220" w:lineRule="auto"/>
              <w:ind w:left="176"/>
              <w:rPr>
                <w:color w:val="auto"/>
                <w:sz w:val="24"/>
                <w:szCs w:val="24"/>
                <w:highlight w:val="none"/>
              </w:rPr>
            </w:pPr>
            <w:r>
              <w:rPr>
                <w:b/>
                <w:bCs/>
                <w:color w:val="auto"/>
                <w:spacing w:val="-6"/>
                <w:sz w:val="24"/>
                <w:szCs w:val="24"/>
                <w:highlight w:val="none"/>
              </w:rPr>
              <w:t>制造商</w:t>
            </w:r>
          </w:p>
        </w:tc>
        <w:tc>
          <w:tcPr>
            <w:tcW w:w="966" w:type="dxa"/>
            <w:vAlign w:val="top"/>
          </w:tcPr>
          <w:p w14:paraId="29EC2614">
            <w:pPr>
              <w:spacing w:line="283" w:lineRule="auto"/>
              <w:rPr>
                <w:rFonts w:ascii="Arial"/>
                <w:color w:val="auto"/>
                <w:sz w:val="21"/>
                <w:highlight w:val="none"/>
              </w:rPr>
            </w:pPr>
          </w:p>
          <w:p w14:paraId="63364EFB">
            <w:pPr>
              <w:spacing w:line="283" w:lineRule="auto"/>
              <w:rPr>
                <w:rFonts w:ascii="Arial"/>
                <w:color w:val="auto"/>
                <w:sz w:val="21"/>
                <w:highlight w:val="none"/>
              </w:rPr>
            </w:pPr>
          </w:p>
          <w:p w14:paraId="25473DE6">
            <w:pPr>
              <w:pStyle w:val="12"/>
              <w:spacing w:before="78" w:line="219" w:lineRule="auto"/>
              <w:ind w:left="134"/>
              <w:rPr>
                <w:color w:val="auto"/>
                <w:sz w:val="24"/>
                <w:szCs w:val="24"/>
                <w:highlight w:val="none"/>
              </w:rPr>
            </w:pPr>
            <w:r>
              <w:rPr>
                <w:b/>
                <w:bCs/>
                <w:color w:val="auto"/>
                <w:spacing w:val="-7"/>
                <w:sz w:val="24"/>
                <w:szCs w:val="24"/>
                <w:highlight w:val="none"/>
              </w:rPr>
              <w:t>原产地</w:t>
            </w:r>
          </w:p>
        </w:tc>
        <w:tc>
          <w:tcPr>
            <w:tcW w:w="942" w:type="dxa"/>
            <w:vAlign w:val="top"/>
          </w:tcPr>
          <w:p w14:paraId="563B8A7D">
            <w:pPr>
              <w:spacing w:line="332" w:lineRule="auto"/>
              <w:rPr>
                <w:rFonts w:ascii="Arial"/>
                <w:color w:val="auto"/>
                <w:sz w:val="21"/>
                <w:highlight w:val="none"/>
              </w:rPr>
            </w:pPr>
          </w:p>
          <w:p w14:paraId="731B33CD">
            <w:pPr>
              <w:pStyle w:val="12"/>
              <w:spacing w:before="78" w:line="359" w:lineRule="auto"/>
              <w:ind w:left="356" w:right="228" w:hanging="116"/>
              <w:rPr>
                <w:color w:val="auto"/>
                <w:sz w:val="24"/>
                <w:szCs w:val="24"/>
                <w:highlight w:val="none"/>
              </w:rPr>
            </w:pPr>
            <w:r>
              <w:rPr>
                <w:b/>
                <w:bCs/>
                <w:color w:val="auto"/>
                <w:spacing w:val="-9"/>
                <w:sz w:val="24"/>
                <w:szCs w:val="24"/>
                <w:highlight w:val="none"/>
              </w:rPr>
              <w:t>单价</w:t>
            </w:r>
            <w:r>
              <w:rPr>
                <w:b/>
                <w:bCs/>
                <w:color w:val="auto"/>
                <w:spacing w:val="-3"/>
                <w:sz w:val="24"/>
                <w:szCs w:val="24"/>
                <w:highlight w:val="none"/>
              </w:rPr>
              <w:t>②</w:t>
            </w:r>
          </w:p>
        </w:tc>
        <w:tc>
          <w:tcPr>
            <w:tcW w:w="2241" w:type="dxa"/>
            <w:vAlign w:val="top"/>
          </w:tcPr>
          <w:p w14:paraId="00DD4993">
            <w:pPr>
              <w:spacing w:line="332" w:lineRule="auto"/>
              <w:rPr>
                <w:rFonts w:ascii="Arial"/>
                <w:color w:val="auto"/>
                <w:sz w:val="21"/>
                <w:highlight w:val="none"/>
              </w:rPr>
            </w:pPr>
          </w:p>
          <w:p w14:paraId="4A601ACF">
            <w:pPr>
              <w:pStyle w:val="12"/>
              <w:spacing w:before="78" w:line="359" w:lineRule="auto"/>
              <w:ind w:left="583" w:right="577" w:firstLine="64"/>
              <w:rPr>
                <w:color w:val="auto"/>
                <w:sz w:val="24"/>
                <w:szCs w:val="24"/>
                <w:highlight w:val="none"/>
              </w:rPr>
            </w:pPr>
            <w:r>
              <w:rPr>
                <w:b/>
                <w:bCs/>
                <w:color w:val="auto"/>
                <w:spacing w:val="-5"/>
                <w:sz w:val="24"/>
                <w:szCs w:val="24"/>
                <w:highlight w:val="none"/>
              </w:rPr>
              <w:t>竞标报价</w:t>
            </w:r>
            <w:r>
              <w:rPr>
                <w:b/>
                <w:bCs/>
                <w:color w:val="auto"/>
                <w:spacing w:val="-4"/>
                <w:sz w:val="24"/>
                <w:szCs w:val="24"/>
                <w:highlight w:val="none"/>
              </w:rPr>
              <w:t>③=①×②</w:t>
            </w:r>
          </w:p>
        </w:tc>
      </w:tr>
      <w:tr w14:paraId="1DF75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24" w:type="dxa"/>
            <w:vAlign w:val="top"/>
          </w:tcPr>
          <w:p w14:paraId="26CF692D">
            <w:pPr>
              <w:pStyle w:val="12"/>
              <w:spacing w:before="90" w:line="241" w:lineRule="auto"/>
              <w:ind w:left="376"/>
              <w:rPr>
                <w:color w:val="auto"/>
                <w:sz w:val="24"/>
                <w:szCs w:val="24"/>
                <w:highlight w:val="none"/>
              </w:rPr>
            </w:pPr>
            <w:r>
              <w:rPr>
                <w:color w:val="auto"/>
                <w:sz w:val="24"/>
                <w:szCs w:val="24"/>
                <w:highlight w:val="none"/>
              </w:rPr>
              <w:t>1</w:t>
            </w:r>
          </w:p>
        </w:tc>
        <w:tc>
          <w:tcPr>
            <w:tcW w:w="1019" w:type="dxa"/>
            <w:vAlign w:val="top"/>
          </w:tcPr>
          <w:p w14:paraId="52BF4EA6">
            <w:pPr>
              <w:rPr>
                <w:rFonts w:ascii="Arial"/>
                <w:color w:val="auto"/>
                <w:sz w:val="21"/>
                <w:highlight w:val="none"/>
              </w:rPr>
            </w:pPr>
          </w:p>
        </w:tc>
        <w:tc>
          <w:tcPr>
            <w:tcW w:w="1004" w:type="dxa"/>
            <w:vAlign w:val="top"/>
          </w:tcPr>
          <w:p w14:paraId="6E0B47D8">
            <w:pPr>
              <w:rPr>
                <w:rFonts w:ascii="Arial"/>
                <w:color w:val="auto"/>
                <w:sz w:val="21"/>
                <w:highlight w:val="none"/>
              </w:rPr>
            </w:pPr>
          </w:p>
        </w:tc>
        <w:tc>
          <w:tcPr>
            <w:tcW w:w="745" w:type="dxa"/>
            <w:vAlign w:val="top"/>
          </w:tcPr>
          <w:p w14:paraId="59D650DB">
            <w:pPr>
              <w:rPr>
                <w:rFonts w:ascii="Arial"/>
                <w:color w:val="auto"/>
                <w:sz w:val="21"/>
                <w:highlight w:val="none"/>
              </w:rPr>
            </w:pPr>
          </w:p>
        </w:tc>
        <w:tc>
          <w:tcPr>
            <w:tcW w:w="940" w:type="dxa"/>
            <w:vAlign w:val="top"/>
          </w:tcPr>
          <w:p w14:paraId="72202F71">
            <w:pPr>
              <w:rPr>
                <w:rFonts w:ascii="Arial"/>
                <w:color w:val="auto"/>
                <w:sz w:val="21"/>
                <w:highlight w:val="none"/>
              </w:rPr>
            </w:pPr>
          </w:p>
        </w:tc>
        <w:tc>
          <w:tcPr>
            <w:tcW w:w="1059" w:type="dxa"/>
            <w:vAlign w:val="top"/>
          </w:tcPr>
          <w:p w14:paraId="24D6A654">
            <w:pPr>
              <w:rPr>
                <w:rFonts w:ascii="Arial"/>
                <w:color w:val="auto"/>
                <w:sz w:val="21"/>
                <w:highlight w:val="none"/>
              </w:rPr>
            </w:pPr>
          </w:p>
        </w:tc>
        <w:tc>
          <w:tcPr>
            <w:tcW w:w="966" w:type="dxa"/>
            <w:vAlign w:val="top"/>
          </w:tcPr>
          <w:p w14:paraId="4C843713">
            <w:pPr>
              <w:rPr>
                <w:rFonts w:ascii="Arial"/>
                <w:color w:val="auto"/>
                <w:sz w:val="21"/>
                <w:highlight w:val="none"/>
              </w:rPr>
            </w:pPr>
          </w:p>
        </w:tc>
        <w:tc>
          <w:tcPr>
            <w:tcW w:w="942" w:type="dxa"/>
            <w:vAlign w:val="top"/>
          </w:tcPr>
          <w:p w14:paraId="1087E2F0">
            <w:pPr>
              <w:rPr>
                <w:rFonts w:ascii="Arial"/>
                <w:color w:val="auto"/>
                <w:sz w:val="21"/>
                <w:highlight w:val="none"/>
              </w:rPr>
            </w:pPr>
          </w:p>
        </w:tc>
        <w:tc>
          <w:tcPr>
            <w:tcW w:w="2241" w:type="dxa"/>
            <w:vAlign w:val="top"/>
          </w:tcPr>
          <w:p w14:paraId="1015F48C">
            <w:pPr>
              <w:rPr>
                <w:rFonts w:ascii="Arial"/>
                <w:color w:val="auto"/>
                <w:sz w:val="21"/>
                <w:highlight w:val="none"/>
              </w:rPr>
            </w:pPr>
          </w:p>
        </w:tc>
      </w:tr>
      <w:tr w14:paraId="4EDD0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24" w:type="dxa"/>
            <w:vAlign w:val="top"/>
          </w:tcPr>
          <w:p w14:paraId="44B99A66">
            <w:pPr>
              <w:pStyle w:val="12"/>
              <w:spacing w:before="89" w:line="241" w:lineRule="auto"/>
              <w:ind w:left="361"/>
              <w:rPr>
                <w:color w:val="auto"/>
                <w:sz w:val="24"/>
                <w:szCs w:val="24"/>
                <w:highlight w:val="none"/>
              </w:rPr>
            </w:pPr>
            <w:r>
              <w:rPr>
                <w:color w:val="auto"/>
                <w:sz w:val="24"/>
                <w:szCs w:val="24"/>
                <w:highlight w:val="none"/>
              </w:rPr>
              <w:t>2</w:t>
            </w:r>
          </w:p>
        </w:tc>
        <w:tc>
          <w:tcPr>
            <w:tcW w:w="1019" w:type="dxa"/>
            <w:vAlign w:val="top"/>
          </w:tcPr>
          <w:p w14:paraId="4696323D">
            <w:pPr>
              <w:rPr>
                <w:rFonts w:ascii="Arial"/>
                <w:color w:val="auto"/>
                <w:sz w:val="21"/>
                <w:highlight w:val="none"/>
              </w:rPr>
            </w:pPr>
          </w:p>
        </w:tc>
        <w:tc>
          <w:tcPr>
            <w:tcW w:w="1004" w:type="dxa"/>
            <w:vAlign w:val="top"/>
          </w:tcPr>
          <w:p w14:paraId="5438DC2E">
            <w:pPr>
              <w:rPr>
                <w:rFonts w:ascii="Arial"/>
                <w:color w:val="auto"/>
                <w:sz w:val="21"/>
                <w:highlight w:val="none"/>
              </w:rPr>
            </w:pPr>
          </w:p>
        </w:tc>
        <w:tc>
          <w:tcPr>
            <w:tcW w:w="745" w:type="dxa"/>
            <w:vAlign w:val="top"/>
          </w:tcPr>
          <w:p w14:paraId="218A1B08">
            <w:pPr>
              <w:rPr>
                <w:rFonts w:ascii="Arial"/>
                <w:color w:val="auto"/>
                <w:sz w:val="21"/>
                <w:highlight w:val="none"/>
              </w:rPr>
            </w:pPr>
          </w:p>
        </w:tc>
        <w:tc>
          <w:tcPr>
            <w:tcW w:w="940" w:type="dxa"/>
            <w:vAlign w:val="top"/>
          </w:tcPr>
          <w:p w14:paraId="47EC31DF">
            <w:pPr>
              <w:rPr>
                <w:rFonts w:ascii="Arial"/>
                <w:color w:val="auto"/>
                <w:sz w:val="21"/>
                <w:highlight w:val="none"/>
              </w:rPr>
            </w:pPr>
          </w:p>
        </w:tc>
        <w:tc>
          <w:tcPr>
            <w:tcW w:w="1059" w:type="dxa"/>
            <w:vAlign w:val="top"/>
          </w:tcPr>
          <w:p w14:paraId="33F4A398">
            <w:pPr>
              <w:rPr>
                <w:rFonts w:ascii="Arial"/>
                <w:color w:val="auto"/>
                <w:sz w:val="21"/>
                <w:highlight w:val="none"/>
              </w:rPr>
            </w:pPr>
          </w:p>
        </w:tc>
        <w:tc>
          <w:tcPr>
            <w:tcW w:w="966" w:type="dxa"/>
            <w:vAlign w:val="top"/>
          </w:tcPr>
          <w:p w14:paraId="72CAF48D">
            <w:pPr>
              <w:rPr>
                <w:rFonts w:ascii="Arial"/>
                <w:color w:val="auto"/>
                <w:sz w:val="21"/>
                <w:highlight w:val="none"/>
              </w:rPr>
            </w:pPr>
          </w:p>
        </w:tc>
        <w:tc>
          <w:tcPr>
            <w:tcW w:w="942" w:type="dxa"/>
            <w:vAlign w:val="top"/>
          </w:tcPr>
          <w:p w14:paraId="645E20AE">
            <w:pPr>
              <w:rPr>
                <w:rFonts w:ascii="Arial"/>
                <w:color w:val="auto"/>
                <w:sz w:val="21"/>
                <w:highlight w:val="none"/>
              </w:rPr>
            </w:pPr>
          </w:p>
        </w:tc>
        <w:tc>
          <w:tcPr>
            <w:tcW w:w="2241" w:type="dxa"/>
            <w:vAlign w:val="top"/>
          </w:tcPr>
          <w:p w14:paraId="080D5C68">
            <w:pPr>
              <w:rPr>
                <w:rFonts w:ascii="Arial"/>
                <w:color w:val="auto"/>
                <w:sz w:val="21"/>
                <w:highlight w:val="none"/>
              </w:rPr>
            </w:pPr>
          </w:p>
        </w:tc>
      </w:tr>
      <w:tr w14:paraId="3BBC9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824" w:type="dxa"/>
            <w:vAlign w:val="top"/>
          </w:tcPr>
          <w:p w14:paraId="2A588D5E">
            <w:pPr>
              <w:pStyle w:val="12"/>
              <w:spacing w:before="135" w:line="378" w:lineRule="exact"/>
              <w:ind w:left="313"/>
              <w:rPr>
                <w:color w:val="auto"/>
                <w:sz w:val="24"/>
                <w:szCs w:val="24"/>
                <w:highlight w:val="none"/>
              </w:rPr>
            </w:pPr>
            <w:r>
              <w:rPr>
                <w:color w:val="auto"/>
                <w:position w:val="3"/>
                <w:sz w:val="24"/>
                <w:szCs w:val="24"/>
                <w:highlight w:val="none"/>
              </w:rPr>
              <w:t>…</w:t>
            </w:r>
          </w:p>
        </w:tc>
        <w:tc>
          <w:tcPr>
            <w:tcW w:w="1019" w:type="dxa"/>
            <w:vAlign w:val="top"/>
          </w:tcPr>
          <w:p w14:paraId="668AEBBD">
            <w:pPr>
              <w:pStyle w:val="12"/>
              <w:spacing w:before="135" w:line="378" w:lineRule="exact"/>
              <w:ind w:left="291"/>
              <w:rPr>
                <w:color w:val="auto"/>
                <w:sz w:val="24"/>
                <w:szCs w:val="24"/>
                <w:highlight w:val="none"/>
              </w:rPr>
            </w:pPr>
            <w:r>
              <w:rPr>
                <w:color w:val="auto"/>
                <w:spacing w:val="-13"/>
                <w:position w:val="3"/>
                <w:sz w:val="24"/>
                <w:szCs w:val="24"/>
                <w:highlight w:val="none"/>
              </w:rPr>
              <w:t>……</w:t>
            </w:r>
          </w:p>
        </w:tc>
        <w:tc>
          <w:tcPr>
            <w:tcW w:w="1004" w:type="dxa"/>
            <w:vAlign w:val="top"/>
          </w:tcPr>
          <w:p w14:paraId="18490C04">
            <w:pPr>
              <w:rPr>
                <w:rFonts w:ascii="Arial"/>
                <w:color w:val="auto"/>
                <w:sz w:val="21"/>
                <w:highlight w:val="none"/>
              </w:rPr>
            </w:pPr>
          </w:p>
        </w:tc>
        <w:tc>
          <w:tcPr>
            <w:tcW w:w="745" w:type="dxa"/>
            <w:vAlign w:val="top"/>
          </w:tcPr>
          <w:p w14:paraId="4E175D38">
            <w:pPr>
              <w:rPr>
                <w:rFonts w:ascii="Arial"/>
                <w:color w:val="auto"/>
                <w:sz w:val="21"/>
                <w:highlight w:val="none"/>
              </w:rPr>
            </w:pPr>
          </w:p>
        </w:tc>
        <w:tc>
          <w:tcPr>
            <w:tcW w:w="940" w:type="dxa"/>
            <w:vAlign w:val="top"/>
          </w:tcPr>
          <w:p w14:paraId="67AD3E5C">
            <w:pPr>
              <w:rPr>
                <w:rFonts w:ascii="Arial"/>
                <w:color w:val="auto"/>
                <w:sz w:val="21"/>
                <w:highlight w:val="none"/>
              </w:rPr>
            </w:pPr>
          </w:p>
        </w:tc>
        <w:tc>
          <w:tcPr>
            <w:tcW w:w="1059" w:type="dxa"/>
            <w:vAlign w:val="top"/>
          </w:tcPr>
          <w:p w14:paraId="5BBB94EC">
            <w:pPr>
              <w:rPr>
                <w:rFonts w:ascii="Arial"/>
                <w:color w:val="auto"/>
                <w:sz w:val="21"/>
                <w:highlight w:val="none"/>
              </w:rPr>
            </w:pPr>
          </w:p>
        </w:tc>
        <w:tc>
          <w:tcPr>
            <w:tcW w:w="966" w:type="dxa"/>
            <w:vAlign w:val="top"/>
          </w:tcPr>
          <w:p w14:paraId="28A20016">
            <w:pPr>
              <w:rPr>
                <w:rFonts w:ascii="Arial"/>
                <w:color w:val="auto"/>
                <w:sz w:val="21"/>
                <w:highlight w:val="none"/>
              </w:rPr>
            </w:pPr>
          </w:p>
        </w:tc>
        <w:tc>
          <w:tcPr>
            <w:tcW w:w="942" w:type="dxa"/>
            <w:vAlign w:val="top"/>
          </w:tcPr>
          <w:p w14:paraId="41B418B4">
            <w:pPr>
              <w:rPr>
                <w:rFonts w:ascii="Arial"/>
                <w:color w:val="auto"/>
                <w:sz w:val="21"/>
                <w:highlight w:val="none"/>
              </w:rPr>
            </w:pPr>
          </w:p>
        </w:tc>
        <w:tc>
          <w:tcPr>
            <w:tcW w:w="2241" w:type="dxa"/>
            <w:vAlign w:val="top"/>
          </w:tcPr>
          <w:p w14:paraId="10C5D800">
            <w:pPr>
              <w:rPr>
                <w:rFonts w:ascii="Arial"/>
                <w:color w:val="auto"/>
                <w:sz w:val="21"/>
                <w:highlight w:val="none"/>
              </w:rPr>
            </w:pPr>
          </w:p>
        </w:tc>
      </w:tr>
      <w:tr w14:paraId="5CD3B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9740" w:type="dxa"/>
            <w:gridSpan w:val="9"/>
            <w:vAlign w:val="top"/>
          </w:tcPr>
          <w:p w14:paraId="520EAEBC">
            <w:pPr>
              <w:pStyle w:val="12"/>
              <w:spacing w:before="89" w:line="219" w:lineRule="auto"/>
              <w:ind w:left="117"/>
              <w:rPr>
                <w:color w:val="auto"/>
                <w:sz w:val="24"/>
                <w:szCs w:val="24"/>
                <w:highlight w:val="none"/>
              </w:rPr>
            </w:pPr>
            <w:r>
              <w:rPr>
                <w:color w:val="auto"/>
                <w:sz w:val="24"/>
                <w:szCs w:val="24"/>
                <w:highlight w:val="none"/>
              </w:rPr>
              <w:t>合计金额大写：人民币</w:t>
            </w:r>
            <w:r>
              <w:rPr>
                <w:color w:val="auto"/>
                <w:sz w:val="24"/>
                <w:szCs w:val="24"/>
                <w:highlight w:val="none"/>
                <w:u w:val="single" w:color="auto"/>
              </w:rPr>
              <w:t xml:space="preserve">           </w:t>
            </w:r>
            <w:r>
              <w:rPr>
                <w:color w:val="auto"/>
                <w:sz w:val="24"/>
                <w:szCs w:val="24"/>
                <w:highlight w:val="none"/>
              </w:rPr>
              <w:t xml:space="preserve"> (¥</w:t>
            </w:r>
            <w:r>
              <w:rPr>
                <w:color w:val="auto"/>
                <w:spacing w:val="-1"/>
                <w:sz w:val="24"/>
                <w:szCs w:val="24"/>
                <w:highlight w:val="none"/>
                <w:u w:val="single" w:color="auto"/>
              </w:rPr>
              <w:t xml:space="preserve">           </w:t>
            </w:r>
            <w:r>
              <w:rPr>
                <w:color w:val="auto"/>
                <w:spacing w:val="-85"/>
                <w:sz w:val="24"/>
                <w:szCs w:val="24"/>
                <w:highlight w:val="none"/>
              </w:rPr>
              <w:t xml:space="preserve"> </w:t>
            </w:r>
            <w:r>
              <w:rPr>
                <w:color w:val="auto"/>
                <w:spacing w:val="-1"/>
                <w:sz w:val="24"/>
                <w:szCs w:val="24"/>
                <w:highlight w:val="none"/>
              </w:rPr>
              <w:t>)</w:t>
            </w:r>
          </w:p>
        </w:tc>
      </w:tr>
      <w:tr w14:paraId="0B7EE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9740" w:type="dxa"/>
            <w:gridSpan w:val="9"/>
            <w:vAlign w:val="top"/>
          </w:tcPr>
          <w:p w14:paraId="1C6B8C46">
            <w:pPr>
              <w:pStyle w:val="12"/>
              <w:spacing w:before="91" w:line="360" w:lineRule="auto"/>
              <w:ind w:left="116" w:right="107" w:firstLine="12"/>
              <w:rPr>
                <w:color w:val="auto"/>
                <w:sz w:val="24"/>
                <w:szCs w:val="24"/>
                <w:highlight w:val="none"/>
              </w:rPr>
            </w:pPr>
            <w:r>
              <w:rPr>
                <w:color w:val="auto"/>
                <w:spacing w:val="2"/>
                <w:sz w:val="24"/>
                <w:szCs w:val="24"/>
                <w:highlight w:val="none"/>
                <w:u w:val="single" w:color="auto"/>
              </w:rPr>
              <w:t>响应产品中，属于本国产品总值为¥       （具体明细详见附表，附表格</w:t>
            </w:r>
            <w:r>
              <w:rPr>
                <w:color w:val="auto"/>
                <w:spacing w:val="1"/>
                <w:sz w:val="24"/>
                <w:szCs w:val="24"/>
                <w:highlight w:val="none"/>
                <w:u w:val="single" w:color="auto"/>
              </w:rPr>
              <w:t>式自拟</w:t>
            </w:r>
            <w:r>
              <w:rPr>
                <w:color w:val="auto"/>
                <w:spacing w:val="4"/>
                <w:sz w:val="24"/>
                <w:szCs w:val="24"/>
                <w:highlight w:val="none"/>
                <w:u w:val="single" w:color="auto"/>
              </w:rPr>
              <w:t>），</w:t>
            </w:r>
            <w:r>
              <w:rPr>
                <w:color w:val="auto"/>
                <w:spacing w:val="-67"/>
                <w:sz w:val="24"/>
                <w:szCs w:val="24"/>
                <w:highlight w:val="none"/>
                <w:u w:val="single" w:color="auto"/>
              </w:rPr>
              <w:t xml:space="preserve"> </w:t>
            </w:r>
            <w:r>
              <w:rPr>
                <w:color w:val="auto"/>
                <w:spacing w:val="1"/>
                <w:sz w:val="24"/>
                <w:szCs w:val="24"/>
                <w:highlight w:val="none"/>
                <w:u w:val="single" w:color="auto"/>
              </w:rPr>
              <w:t>占响</w:t>
            </w:r>
            <w:r>
              <w:rPr>
                <w:color w:val="auto"/>
                <w:spacing w:val="2"/>
                <w:sz w:val="24"/>
                <w:szCs w:val="24"/>
                <w:highlight w:val="none"/>
                <w:u w:val="single" w:color="auto"/>
              </w:rPr>
              <w:t>应产品的比例为</w:t>
            </w:r>
            <w:r>
              <w:rPr>
                <w:color w:val="auto"/>
                <w:spacing w:val="1"/>
                <w:sz w:val="24"/>
                <w:szCs w:val="24"/>
                <w:highlight w:val="none"/>
                <w:u w:val="single" w:color="auto"/>
              </w:rPr>
              <w:t xml:space="preserve">    </w:t>
            </w:r>
            <w:r>
              <w:rPr>
                <w:color w:val="auto"/>
                <w:spacing w:val="2"/>
                <w:sz w:val="24"/>
                <w:szCs w:val="24"/>
                <w:highlight w:val="none"/>
                <w:u w:val="single" w:color="auto"/>
              </w:rPr>
              <w:t>%。</w:t>
            </w:r>
          </w:p>
        </w:tc>
      </w:tr>
    </w:tbl>
    <w:p w14:paraId="7B8AB81B">
      <w:pPr>
        <w:spacing w:before="36" w:line="224" w:lineRule="auto"/>
        <w:ind w:left="51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注：</w:t>
      </w:r>
    </w:p>
    <w:p w14:paraId="3BFF1BF1">
      <w:pPr>
        <w:spacing w:before="177" w:line="359" w:lineRule="auto"/>
        <w:ind w:left="519" w:right="517" w:firstLine="49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w:t>
      </w:r>
      <w:r>
        <w:rPr>
          <w:rFonts w:ascii="宋体" w:hAnsi="宋体" w:eastAsia="宋体" w:cs="宋体"/>
          <w:color w:val="auto"/>
          <w:spacing w:val="37"/>
          <w:sz w:val="24"/>
          <w:szCs w:val="24"/>
          <w:highlight w:val="none"/>
        </w:rPr>
        <w:t xml:space="preserve"> </w:t>
      </w:r>
      <w:r>
        <w:rPr>
          <w:rFonts w:ascii="宋体" w:hAnsi="宋体" w:eastAsia="宋体" w:cs="宋体"/>
          <w:color w:val="auto"/>
          <w:spacing w:val="-3"/>
          <w:sz w:val="24"/>
          <w:szCs w:val="24"/>
          <w:highlight w:val="none"/>
        </w:rPr>
        <w:t>以上竞标报价表中“标的的名称、数量及单位、品牌、规格型号、制造商、</w:t>
      </w:r>
      <w:r>
        <w:rPr>
          <w:rFonts w:ascii="宋体" w:hAnsi="宋体" w:eastAsia="宋体" w:cs="宋体"/>
          <w:color w:val="auto"/>
          <w:spacing w:val="-1"/>
          <w:sz w:val="24"/>
          <w:szCs w:val="24"/>
          <w:highlight w:val="none"/>
        </w:rPr>
        <w:t>原产地</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”必须如实填写完整，品牌、规格型号没有</w:t>
      </w:r>
      <w:r>
        <w:rPr>
          <w:rFonts w:ascii="宋体" w:hAnsi="宋体" w:eastAsia="宋体" w:cs="宋体"/>
          <w:color w:val="auto"/>
          <w:spacing w:val="-2"/>
          <w:sz w:val="24"/>
          <w:szCs w:val="24"/>
          <w:highlight w:val="none"/>
        </w:rPr>
        <w:t>则填无，填写有缺漏的，</w:t>
      </w:r>
      <w:r>
        <w:rPr>
          <w:rFonts w:ascii="宋体" w:hAnsi="宋体" w:eastAsia="宋体" w:cs="宋体"/>
          <w:b/>
          <w:bCs/>
          <w:color w:val="auto"/>
          <w:spacing w:val="-2"/>
          <w:sz w:val="24"/>
          <w:szCs w:val="24"/>
          <w:highlight w:val="none"/>
        </w:rPr>
        <w:t>其响应</w:t>
      </w:r>
      <w:r>
        <w:rPr>
          <w:rFonts w:ascii="宋体" w:hAnsi="宋体" w:eastAsia="宋体" w:cs="宋体"/>
          <w:b/>
          <w:bCs/>
          <w:color w:val="auto"/>
          <w:spacing w:val="-4"/>
          <w:sz w:val="24"/>
          <w:szCs w:val="24"/>
          <w:highlight w:val="none"/>
        </w:rPr>
        <w:t>文件按无效处理。</w:t>
      </w:r>
    </w:p>
    <w:p w14:paraId="4209C8F7">
      <w:pPr>
        <w:spacing w:line="359" w:lineRule="auto"/>
        <w:ind w:left="518" w:right="597" w:firstLine="481"/>
        <w:rPr>
          <w:rFonts w:ascii="宋体" w:hAnsi="宋体" w:eastAsia="宋体" w:cs="宋体"/>
          <w:color w:val="auto"/>
          <w:sz w:val="24"/>
          <w:szCs w:val="24"/>
          <w:highlight w:val="none"/>
        </w:rPr>
      </w:pPr>
      <w:r>
        <w:rPr>
          <w:rFonts w:ascii="宋体" w:hAnsi="宋体" w:eastAsia="宋体" w:cs="宋体"/>
          <w:color w:val="auto"/>
          <w:sz w:val="24"/>
          <w:szCs w:val="24"/>
          <w:highlight w:val="none"/>
        </w:rPr>
        <w:t>2.供应商的报价表必须加盖供应商电子签章并</w:t>
      </w:r>
      <w:r>
        <w:rPr>
          <w:rFonts w:ascii="宋体" w:hAnsi="宋体" w:eastAsia="宋体" w:cs="宋体"/>
          <w:color w:val="auto"/>
          <w:spacing w:val="-1"/>
          <w:sz w:val="24"/>
          <w:szCs w:val="24"/>
          <w:highlight w:val="none"/>
        </w:rPr>
        <w:t>由法定代表人或者委托代理人签</w:t>
      </w:r>
      <w:r>
        <w:rPr>
          <w:rFonts w:ascii="宋体" w:hAnsi="宋体" w:eastAsia="宋体" w:cs="宋体"/>
          <w:color w:val="auto"/>
          <w:spacing w:val="-2"/>
          <w:sz w:val="24"/>
          <w:szCs w:val="24"/>
          <w:highlight w:val="none"/>
        </w:rPr>
        <w:t>字或者电子签名，</w:t>
      </w:r>
      <w:r>
        <w:rPr>
          <w:rFonts w:ascii="宋体" w:hAnsi="宋体" w:eastAsia="宋体" w:cs="宋体"/>
          <w:b/>
          <w:bCs/>
          <w:color w:val="auto"/>
          <w:spacing w:val="-2"/>
          <w:sz w:val="24"/>
          <w:szCs w:val="24"/>
          <w:highlight w:val="none"/>
        </w:rPr>
        <w:t>否则其响应文件按无效处理</w:t>
      </w:r>
      <w:r>
        <w:rPr>
          <w:rFonts w:ascii="宋体" w:hAnsi="宋体" w:eastAsia="宋体" w:cs="宋体"/>
          <w:color w:val="auto"/>
          <w:spacing w:val="-2"/>
          <w:sz w:val="24"/>
          <w:szCs w:val="24"/>
          <w:highlight w:val="none"/>
        </w:rPr>
        <w:t>。</w:t>
      </w:r>
    </w:p>
    <w:p w14:paraId="5CE6822C">
      <w:pPr>
        <w:spacing w:line="359" w:lineRule="auto"/>
        <w:ind w:left="516" w:right="597" w:firstLine="485"/>
        <w:rPr>
          <w:rFonts w:ascii="宋体" w:hAnsi="宋体" w:eastAsia="宋体" w:cs="宋体"/>
          <w:color w:val="auto"/>
          <w:sz w:val="24"/>
          <w:szCs w:val="24"/>
          <w:highlight w:val="none"/>
        </w:rPr>
      </w:pPr>
      <w:r>
        <w:rPr>
          <w:rFonts w:ascii="宋体" w:hAnsi="宋体" w:eastAsia="宋体" w:cs="宋体"/>
          <w:color w:val="auto"/>
          <w:sz w:val="24"/>
          <w:szCs w:val="24"/>
          <w:highlight w:val="none"/>
        </w:rPr>
        <w:t>3.报价一经涂改，应在涂改处加盖供应商</w:t>
      </w:r>
      <w:r>
        <w:rPr>
          <w:rFonts w:ascii="宋体" w:hAnsi="宋体" w:eastAsia="宋体" w:cs="宋体"/>
          <w:color w:val="auto"/>
          <w:spacing w:val="-1"/>
          <w:sz w:val="24"/>
          <w:szCs w:val="24"/>
          <w:highlight w:val="none"/>
        </w:rPr>
        <w:t>公章或者加盖电子签章或者由法定代</w:t>
      </w:r>
      <w:r>
        <w:rPr>
          <w:rFonts w:ascii="宋体" w:hAnsi="宋体" w:eastAsia="宋体" w:cs="宋体"/>
          <w:color w:val="auto"/>
          <w:spacing w:val="-2"/>
          <w:sz w:val="24"/>
          <w:szCs w:val="24"/>
          <w:highlight w:val="none"/>
        </w:rPr>
        <w:t>表人或者授权委托人签字（或者电子签名</w:t>
      </w:r>
      <w:r>
        <w:rPr>
          <w:rFonts w:ascii="宋体" w:hAnsi="宋体" w:eastAsia="宋体" w:cs="宋体"/>
          <w:color w:val="auto"/>
          <w:spacing w:val="14"/>
          <w:sz w:val="24"/>
          <w:szCs w:val="24"/>
          <w:highlight w:val="none"/>
        </w:rPr>
        <w:t>）</w:t>
      </w:r>
      <w:r>
        <w:rPr>
          <w:rFonts w:ascii="宋体" w:hAnsi="宋体" w:eastAsia="宋体" w:cs="宋体"/>
          <w:b/>
          <w:bCs/>
          <w:color w:val="auto"/>
          <w:spacing w:val="14"/>
          <w:sz w:val="24"/>
          <w:szCs w:val="24"/>
          <w:highlight w:val="none"/>
        </w:rPr>
        <w:t>，</w:t>
      </w:r>
      <w:r>
        <w:rPr>
          <w:rFonts w:ascii="宋体" w:hAnsi="宋体" w:eastAsia="宋体" w:cs="宋体"/>
          <w:b/>
          <w:bCs/>
          <w:color w:val="auto"/>
          <w:spacing w:val="-2"/>
          <w:sz w:val="24"/>
          <w:szCs w:val="24"/>
          <w:highlight w:val="none"/>
        </w:rPr>
        <w:t>否则其响应文件按无效处理。</w:t>
      </w:r>
    </w:p>
    <w:p w14:paraId="45AE2493">
      <w:pPr>
        <w:spacing w:before="1" w:line="361" w:lineRule="auto"/>
        <w:ind w:left="522" w:right="597" w:firstLine="473"/>
        <w:rPr>
          <w:rFonts w:ascii="宋体" w:hAnsi="宋体" w:eastAsia="宋体" w:cs="宋体"/>
          <w:color w:val="auto"/>
          <w:sz w:val="24"/>
          <w:szCs w:val="24"/>
          <w:highlight w:val="none"/>
        </w:rPr>
      </w:pPr>
      <w:r>
        <w:rPr>
          <w:rFonts w:ascii="宋体" w:hAnsi="宋体" w:eastAsia="宋体" w:cs="宋体"/>
          <w:color w:val="auto"/>
          <w:sz w:val="24"/>
          <w:szCs w:val="24"/>
          <w:highlight w:val="none"/>
        </w:rPr>
        <w:t>4.谈判文件中列明采购专用耗材的，应按谈判文件规定</w:t>
      </w:r>
      <w:r>
        <w:rPr>
          <w:rFonts w:ascii="宋体" w:hAnsi="宋体" w:eastAsia="宋体" w:cs="宋体"/>
          <w:color w:val="auto"/>
          <w:spacing w:val="-1"/>
          <w:sz w:val="24"/>
          <w:szCs w:val="24"/>
          <w:highlight w:val="none"/>
        </w:rPr>
        <w:t>的耗材量或者按耗材的</w:t>
      </w:r>
      <w:r>
        <w:rPr>
          <w:rFonts w:ascii="宋体" w:hAnsi="宋体" w:eastAsia="宋体" w:cs="宋体"/>
          <w:color w:val="auto"/>
          <w:spacing w:val="-2"/>
          <w:sz w:val="24"/>
          <w:szCs w:val="24"/>
          <w:highlight w:val="none"/>
        </w:rPr>
        <w:t>常规使用量提供报价。</w:t>
      </w:r>
    </w:p>
    <w:p w14:paraId="2F885996">
      <w:pPr>
        <w:spacing w:line="382" w:lineRule="auto"/>
        <w:rPr>
          <w:rFonts w:ascii="Arial"/>
          <w:color w:val="auto"/>
          <w:sz w:val="21"/>
          <w:highlight w:val="none"/>
        </w:rPr>
      </w:pPr>
    </w:p>
    <w:p w14:paraId="7CCC8BA8">
      <w:pPr>
        <w:spacing w:before="78" w:line="219" w:lineRule="auto"/>
        <w:ind w:left="315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法定代表人或者委托代理人（签字或者电子签名</w:t>
      </w:r>
      <w:r>
        <w:rPr>
          <w:rFonts w:ascii="宋体" w:hAnsi="宋体" w:eastAsia="宋体" w:cs="宋体"/>
          <w:color w:val="auto"/>
          <w:spacing w:val="4"/>
          <w:sz w:val="24"/>
          <w:szCs w:val="24"/>
          <w:highlight w:val="none"/>
        </w:rPr>
        <w:t>）：</w:t>
      </w:r>
    </w:p>
    <w:p w14:paraId="4C612F5A">
      <w:pPr>
        <w:spacing w:before="180" w:line="219" w:lineRule="auto"/>
        <w:ind w:left="315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1F1F566E">
      <w:pPr>
        <w:spacing w:before="184" w:line="219" w:lineRule="auto"/>
        <w:ind w:left="3198"/>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3"/>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3"/>
          <w:sz w:val="24"/>
          <w:szCs w:val="24"/>
          <w:highlight w:val="none"/>
        </w:rPr>
        <w:t>日</w:t>
      </w:r>
    </w:p>
    <w:p w14:paraId="237AE8F6">
      <w:pPr>
        <w:spacing w:line="219" w:lineRule="auto"/>
        <w:rPr>
          <w:rFonts w:ascii="宋体" w:hAnsi="宋体" w:eastAsia="宋体" w:cs="宋体"/>
          <w:color w:val="auto"/>
          <w:sz w:val="24"/>
          <w:szCs w:val="24"/>
          <w:highlight w:val="none"/>
        </w:rPr>
        <w:sectPr>
          <w:footerReference r:id="rId50" w:type="default"/>
          <w:pgSz w:w="11910" w:h="16840"/>
          <w:pgMar w:top="1295" w:right="992" w:bottom="1091" w:left="1172" w:header="0" w:footer="929" w:gutter="0"/>
          <w:pgNumType w:fmt="decimal"/>
          <w:cols w:space="720" w:num="1"/>
        </w:sectPr>
      </w:pPr>
    </w:p>
    <w:p w14:paraId="55796687">
      <w:pPr>
        <w:spacing w:before="63" w:line="225" w:lineRule="auto"/>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三、商务技术文件格式</w:t>
      </w:r>
    </w:p>
    <w:p w14:paraId="495C8DFA">
      <w:pPr>
        <w:spacing w:line="263" w:lineRule="auto"/>
        <w:rPr>
          <w:rFonts w:ascii="Arial"/>
          <w:color w:val="auto"/>
          <w:sz w:val="21"/>
          <w:highlight w:val="none"/>
        </w:rPr>
      </w:pPr>
    </w:p>
    <w:p w14:paraId="38DC00B5">
      <w:pPr>
        <w:spacing w:before="101" w:line="225" w:lineRule="auto"/>
        <w:ind w:left="23"/>
        <w:rPr>
          <w:rFonts w:ascii="宋体" w:hAnsi="宋体" w:eastAsia="宋体" w:cs="宋体"/>
          <w:color w:val="auto"/>
          <w:sz w:val="31"/>
          <w:szCs w:val="31"/>
          <w:highlight w:val="none"/>
        </w:rPr>
      </w:pPr>
      <w:r>
        <w:rPr>
          <w:rFonts w:ascii="宋体" w:hAnsi="宋体" w:eastAsia="宋体" w:cs="宋体"/>
          <w:b/>
          <w:bCs/>
          <w:color w:val="auto"/>
          <w:spacing w:val="3"/>
          <w:sz w:val="31"/>
          <w:szCs w:val="31"/>
          <w:highlight w:val="none"/>
        </w:rPr>
        <w:t>1.商务技术文件封面格式</w:t>
      </w:r>
    </w:p>
    <w:p w14:paraId="602C5831">
      <w:pPr>
        <w:spacing w:line="257" w:lineRule="auto"/>
        <w:rPr>
          <w:rFonts w:ascii="Arial"/>
          <w:color w:val="auto"/>
          <w:sz w:val="21"/>
          <w:highlight w:val="none"/>
        </w:rPr>
      </w:pPr>
    </w:p>
    <w:p w14:paraId="44770630">
      <w:pPr>
        <w:spacing w:line="257" w:lineRule="auto"/>
        <w:rPr>
          <w:rFonts w:ascii="Arial"/>
          <w:color w:val="auto"/>
          <w:sz w:val="21"/>
          <w:highlight w:val="none"/>
        </w:rPr>
      </w:pPr>
    </w:p>
    <w:p w14:paraId="5018DA7B">
      <w:pPr>
        <w:spacing w:line="258" w:lineRule="auto"/>
        <w:rPr>
          <w:rFonts w:ascii="Arial"/>
          <w:color w:val="auto"/>
          <w:sz w:val="21"/>
          <w:highlight w:val="none"/>
        </w:rPr>
      </w:pPr>
    </w:p>
    <w:p w14:paraId="1FAA6721">
      <w:pPr>
        <w:spacing w:before="140" w:line="223" w:lineRule="auto"/>
        <w:ind w:left="2552"/>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4"/>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2198B8AC">
      <w:pPr>
        <w:spacing w:line="285" w:lineRule="auto"/>
        <w:rPr>
          <w:rFonts w:ascii="Arial"/>
          <w:color w:val="auto"/>
          <w:sz w:val="21"/>
          <w:highlight w:val="none"/>
        </w:rPr>
      </w:pPr>
    </w:p>
    <w:p w14:paraId="00E6A269">
      <w:pPr>
        <w:spacing w:line="286" w:lineRule="auto"/>
        <w:rPr>
          <w:rFonts w:ascii="Arial"/>
          <w:color w:val="auto"/>
          <w:sz w:val="21"/>
          <w:highlight w:val="none"/>
        </w:rPr>
      </w:pPr>
    </w:p>
    <w:p w14:paraId="70F886DC">
      <w:pPr>
        <w:spacing w:line="286" w:lineRule="auto"/>
        <w:rPr>
          <w:rFonts w:ascii="Arial"/>
          <w:color w:val="auto"/>
          <w:sz w:val="21"/>
          <w:highlight w:val="none"/>
        </w:rPr>
      </w:pPr>
    </w:p>
    <w:p w14:paraId="08DEED27">
      <w:pPr>
        <w:spacing w:before="187" w:line="185" w:lineRule="auto"/>
        <w:ind w:left="1955"/>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商</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务</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7"/>
          <w:sz w:val="43"/>
          <w:szCs w:val="43"/>
          <w:highlight w:val="none"/>
        </w:rPr>
        <w:t>技</w:t>
      </w:r>
      <w:r>
        <w:rPr>
          <w:rFonts w:ascii="Arial Unicode MS" w:hAnsi="Arial Unicode MS" w:eastAsia="Arial Unicode MS" w:cs="Arial Unicode MS"/>
          <w:color w:val="auto"/>
          <w:spacing w:val="32"/>
          <w:sz w:val="43"/>
          <w:szCs w:val="43"/>
          <w:highlight w:val="none"/>
        </w:rPr>
        <w:t xml:space="preserve">   </w:t>
      </w:r>
      <w:r>
        <w:rPr>
          <w:rFonts w:ascii="Arial Unicode MS" w:hAnsi="Arial Unicode MS" w:eastAsia="Arial Unicode MS" w:cs="Arial Unicode MS"/>
          <w:color w:val="auto"/>
          <w:spacing w:val="-7"/>
          <w:sz w:val="43"/>
          <w:szCs w:val="43"/>
          <w:highlight w:val="none"/>
        </w:rPr>
        <w:t>术    文</w:t>
      </w:r>
      <w:r>
        <w:rPr>
          <w:rFonts w:ascii="Arial Unicode MS" w:hAnsi="Arial Unicode MS" w:eastAsia="Arial Unicode MS" w:cs="Arial Unicode MS"/>
          <w:color w:val="auto"/>
          <w:spacing w:val="34"/>
          <w:sz w:val="43"/>
          <w:szCs w:val="43"/>
          <w:highlight w:val="none"/>
        </w:rPr>
        <w:t xml:space="preserve">   </w:t>
      </w:r>
      <w:r>
        <w:rPr>
          <w:rFonts w:ascii="Arial Unicode MS" w:hAnsi="Arial Unicode MS" w:eastAsia="Arial Unicode MS" w:cs="Arial Unicode MS"/>
          <w:color w:val="auto"/>
          <w:spacing w:val="-7"/>
          <w:sz w:val="43"/>
          <w:szCs w:val="43"/>
          <w:highlight w:val="none"/>
        </w:rPr>
        <w:t>件</w:t>
      </w:r>
    </w:p>
    <w:p w14:paraId="36C498D7">
      <w:pPr>
        <w:spacing w:line="246" w:lineRule="auto"/>
        <w:rPr>
          <w:rFonts w:ascii="Arial"/>
          <w:color w:val="auto"/>
          <w:sz w:val="21"/>
          <w:highlight w:val="none"/>
        </w:rPr>
      </w:pPr>
    </w:p>
    <w:p w14:paraId="5CE41318">
      <w:pPr>
        <w:spacing w:line="246" w:lineRule="auto"/>
        <w:rPr>
          <w:rFonts w:ascii="Arial"/>
          <w:color w:val="auto"/>
          <w:sz w:val="21"/>
          <w:highlight w:val="none"/>
        </w:rPr>
      </w:pPr>
    </w:p>
    <w:p w14:paraId="7ADA7EF2">
      <w:pPr>
        <w:spacing w:line="247" w:lineRule="auto"/>
        <w:rPr>
          <w:rFonts w:ascii="Arial"/>
          <w:color w:val="auto"/>
          <w:sz w:val="21"/>
          <w:highlight w:val="none"/>
        </w:rPr>
      </w:pPr>
    </w:p>
    <w:p w14:paraId="75DBC2E4">
      <w:pPr>
        <w:spacing w:line="247" w:lineRule="auto"/>
        <w:rPr>
          <w:rFonts w:ascii="Arial"/>
          <w:color w:val="auto"/>
          <w:sz w:val="21"/>
          <w:highlight w:val="none"/>
        </w:rPr>
      </w:pPr>
    </w:p>
    <w:p w14:paraId="633E35F3">
      <w:pPr>
        <w:spacing w:line="247" w:lineRule="auto"/>
        <w:rPr>
          <w:rFonts w:ascii="Arial"/>
          <w:color w:val="auto"/>
          <w:sz w:val="21"/>
          <w:highlight w:val="none"/>
        </w:rPr>
      </w:pPr>
    </w:p>
    <w:p w14:paraId="6D3B1DFF">
      <w:pPr>
        <w:spacing w:line="247" w:lineRule="auto"/>
        <w:rPr>
          <w:rFonts w:ascii="Arial"/>
          <w:color w:val="auto"/>
          <w:sz w:val="21"/>
          <w:highlight w:val="none"/>
        </w:rPr>
      </w:pPr>
    </w:p>
    <w:p w14:paraId="783B620F">
      <w:pPr>
        <w:spacing w:line="247" w:lineRule="auto"/>
        <w:rPr>
          <w:rFonts w:ascii="Arial"/>
          <w:color w:val="auto"/>
          <w:sz w:val="21"/>
          <w:highlight w:val="none"/>
        </w:rPr>
      </w:pPr>
    </w:p>
    <w:p w14:paraId="59DF5F3A">
      <w:pPr>
        <w:spacing w:line="247" w:lineRule="auto"/>
        <w:rPr>
          <w:rFonts w:ascii="Arial"/>
          <w:color w:val="auto"/>
          <w:sz w:val="21"/>
          <w:highlight w:val="none"/>
        </w:rPr>
      </w:pPr>
    </w:p>
    <w:p w14:paraId="760B6097">
      <w:pPr>
        <w:spacing w:line="247" w:lineRule="auto"/>
        <w:rPr>
          <w:rFonts w:ascii="Arial"/>
          <w:color w:val="auto"/>
          <w:sz w:val="21"/>
          <w:highlight w:val="none"/>
        </w:rPr>
      </w:pPr>
    </w:p>
    <w:p w14:paraId="52C5457E">
      <w:pPr>
        <w:spacing w:before="101" w:line="225" w:lineRule="auto"/>
        <w:ind w:left="645"/>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1851E395">
      <w:pPr>
        <w:spacing w:line="293" w:lineRule="auto"/>
        <w:rPr>
          <w:rFonts w:ascii="Arial"/>
          <w:color w:val="auto"/>
          <w:sz w:val="21"/>
          <w:highlight w:val="none"/>
        </w:rPr>
      </w:pPr>
    </w:p>
    <w:p w14:paraId="6B4D5767">
      <w:pPr>
        <w:spacing w:line="294" w:lineRule="auto"/>
        <w:rPr>
          <w:rFonts w:ascii="Arial"/>
          <w:color w:val="auto"/>
          <w:sz w:val="21"/>
          <w:highlight w:val="none"/>
        </w:rPr>
      </w:pPr>
    </w:p>
    <w:p w14:paraId="4AA23599">
      <w:pPr>
        <w:spacing w:before="101" w:line="225" w:lineRule="auto"/>
        <w:ind w:left="645"/>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7DE8860F">
      <w:pPr>
        <w:spacing w:line="293" w:lineRule="auto"/>
        <w:rPr>
          <w:rFonts w:ascii="Arial"/>
          <w:color w:val="auto"/>
          <w:sz w:val="21"/>
          <w:highlight w:val="none"/>
        </w:rPr>
      </w:pPr>
    </w:p>
    <w:p w14:paraId="0B559348">
      <w:pPr>
        <w:spacing w:line="294" w:lineRule="auto"/>
        <w:rPr>
          <w:rFonts w:ascii="Arial"/>
          <w:color w:val="auto"/>
          <w:sz w:val="21"/>
          <w:highlight w:val="none"/>
        </w:rPr>
      </w:pPr>
    </w:p>
    <w:p w14:paraId="732C9D9F">
      <w:pPr>
        <w:spacing w:before="101" w:line="225" w:lineRule="auto"/>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所竞分标（如有则填写，无分标时填写“无</w:t>
      </w:r>
      <w:r>
        <w:rPr>
          <w:rFonts w:ascii="宋体" w:hAnsi="宋体" w:eastAsia="宋体" w:cs="宋体"/>
          <w:color w:val="auto"/>
          <w:spacing w:val="-113"/>
          <w:sz w:val="31"/>
          <w:szCs w:val="31"/>
          <w:highlight w:val="none"/>
        </w:rPr>
        <w:t xml:space="preserve"> </w:t>
      </w:r>
      <w:r>
        <w:rPr>
          <w:rFonts w:ascii="宋体" w:hAnsi="宋体" w:eastAsia="宋体" w:cs="宋体"/>
          <w:color w:val="auto"/>
          <w:spacing w:val="7"/>
          <w:sz w:val="31"/>
          <w:szCs w:val="31"/>
          <w:highlight w:val="none"/>
        </w:rPr>
        <w:t>”或者留空</w:t>
      </w:r>
      <w:r>
        <w:rPr>
          <w:rFonts w:ascii="宋体" w:hAnsi="宋体" w:eastAsia="宋体" w:cs="宋体"/>
          <w:color w:val="auto"/>
          <w:spacing w:val="-22"/>
          <w:sz w:val="31"/>
          <w:szCs w:val="31"/>
          <w:highlight w:val="none"/>
        </w:rPr>
        <w:t>）：</w:t>
      </w:r>
    </w:p>
    <w:p w14:paraId="49BB7AE8">
      <w:pPr>
        <w:spacing w:line="259" w:lineRule="auto"/>
        <w:rPr>
          <w:rFonts w:ascii="Arial"/>
          <w:color w:val="auto"/>
          <w:sz w:val="21"/>
          <w:highlight w:val="none"/>
        </w:rPr>
      </w:pPr>
    </w:p>
    <w:p w14:paraId="10B180B9">
      <w:pPr>
        <w:spacing w:line="259" w:lineRule="auto"/>
        <w:rPr>
          <w:rFonts w:ascii="Arial"/>
          <w:color w:val="auto"/>
          <w:sz w:val="21"/>
          <w:highlight w:val="none"/>
        </w:rPr>
      </w:pPr>
    </w:p>
    <w:p w14:paraId="0D311427">
      <w:pPr>
        <w:spacing w:before="101" w:line="224" w:lineRule="auto"/>
        <w:ind w:left="640"/>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0165BE02">
      <w:pPr>
        <w:spacing w:line="272" w:lineRule="auto"/>
        <w:rPr>
          <w:rFonts w:ascii="Arial"/>
          <w:color w:val="auto"/>
          <w:sz w:val="21"/>
          <w:highlight w:val="none"/>
        </w:rPr>
      </w:pPr>
    </w:p>
    <w:p w14:paraId="5AB4B03C">
      <w:pPr>
        <w:spacing w:line="272" w:lineRule="auto"/>
        <w:rPr>
          <w:rFonts w:ascii="Arial"/>
          <w:color w:val="auto"/>
          <w:sz w:val="21"/>
          <w:highlight w:val="none"/>
        </w:rPr>
      </w:pPr>
    </w:p>
    <w:p w14:paraId="61460609">
      <w:pPr>
        <w:spacing w:line="272" w:lineRule="auto"/>
        <w:rPr>
          <w:rFonts w:ascii="Arial"/>
          <w:color w:val="auto"/>
          <w:sz w:val="21"/>
          <w:highlight w:val="none"/>
        </w:rPr>
      </w:pPr>
    </w:p>
    <w:p w14:paraId="41C5D775">
      <w:pPr>
        <w:spacing w:line="272" w:lineRule="auto"/>
        <w:rPr>
          <w:rFonts w:ascii="Arial"/>
          <w:color w:val="auto"/>
          <w:sz w:val="21"/>
          <w:highlight w:val="none"/>
        </w:rPr>
      </w:pPr>
    </w:p>
    <w:p w14:paraId="5F44C0D0">
      <w:pPr>
        <w:spacing w:line="272" w:lineRule="auto"/>
        <w:rPr>
          <w:rFonts w:ascii="Arial"/>
          <w:color w:val="auto"/>
          <w:sz w:val="21"/>
          <w:highlight w:val="none"/>
        </w:rPr>
      </w:pPr>
    </w:p>
    <w:p w14:paraId="7B9B6E19">
      <w:pPr>
        <w:spacing w:line="273" w:lineRule="auto"/>
        <w:rPr>
          <w:rFonts w:ascii="Arial"/>
          <w:color w:val="auto"/>
          <w:sz w:val="21"/>
          <w:highlight w:val="none"/>
        </w:rPr>
      </w:pPr>
    </w:p>
    <w:p w14:paraId="000B216D">
      <w:pPr>
        <w:spacing w:line="273" w:lineRule="auto"/>
        <w:rPr>
          <w:rFonts w:ascii="Arial"/>
          <w:color w:val="auto"/>
          <w:sz w:val="21"/>
          <w:highlight w:val="none"/>
        </w:rPr>
      </w:pPr>
    </w:p>
    <w:p w14:paraId="5867D5BC">
      <w:pPr>
        <w:spacing w:before="100" w:line="225" w:lineRule="auto"/>
        <w:ind w:left="3246"/>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0"/>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7FF435E5">
      <w:pPr>
        <w:spacing w:line="225" w:lineRule="auto"/>
        <w:rPr>
          <w:rFonts w:ascii="宋体" w:hAnsi="宋体" w:eastAsia="宋体" w:cs="宋体"/>
          <w:color w:val="auto"/>
          <w:sz w:val="31"/>
          <w:szCs w:val="31"/>
          <w:highlight w:val="none"/>
        </w:rPr>
        <w:sectPr>
          <w:footerReference r:id="rId51" w:type="default"/>
          <w:pgSz w:w="11910" w:h="16840"/>
          <w:pgMar w:top="1324" w:right="1348" w:bottom="1091" w:left="1692" w:header="0" w:footer="929" w:gutter="0"/>
          <w:pgNumType w:fmt="decimal"/>
          <w:cols w:space="720" w:num="1"/>
        </w:sectPr>
      </w:pPr>
    </w:p>
    <w:p w14:paraId="1B04DF95">
      <w:pPr>
        <w:spacing w:before="63" w:line="225" w:lineRule="auto"/>
        <w:ind w:left="141"/>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2.商务技术文件目录</w:t>
      </w:r>
    </w:p>
    <w:p w14:paraId="20D67A4E">
      <w:pPr>
        <w:spacing w:line="263" w:lineRule="auto"/>
        <w:rPr>
          <w:rFonts w:ascii="Arial"/>
          <w:color w:val="auto"/>
          <w:sz w:val="21"/>
          <w:highlight w:val="none"/>
        </w:rPr>
      </w:pPr>
    </w:p>
    <w:p w14:paraId="76C78E07">
      <w:pPr>
        <w:spacing w:before="101" w:line="371" w:lineRule="auto"/>
        <w:ind w:firstLine="636"/>
        <w:rPr>
          <w:rFonts w:ascii="宋体" w:hAnsi="宋体" w:eastAsia="宋体" w:cs="宋体"/>
          <w:color w:val="auto"/>
          <w:sz w:val="31"/>
          <w:szCs w:val="31"/>
          <w:highlight w:val="none"/>
        </w:rPr>
      </w:pPr>
      <w:r>
        <w:rPr>
          <w:rFonts w:ascii="宋体" w:hAnsi="宋体" w:eastAsia="宋体" w:cs="宋体"/>
          <w:color w:val="auto"/>
          <w:spacing w:val="13"/>
          <w:sz w:val="31"/>
          <w:szCs w:val="31"/>
          <w:highlight w:val="none"/>
        </w:rPr>
        <w:t>根据谈判文件规定及供应商提供的材料自行编写目录（部</w:t>
      </w:r>
      <w:r>
        <w:rPr>
          <w:rFonts w:ascii="宋体" w:hAnsi="宋体" w:eastAsia="宋体" w:cs="宋体"/>
          <w:color w:val="auto"/>
          <w:spacing w:val="4"/>
          <w:sz w:val="31"/>
          <w:szCs w:val="31"/>
          <w:highlight w:val="none"/>
        </w:rPr>
        <w:t>分格式后附）。</w:t>
      </w:r>
    </w:p>
    <w:p w14:paraId="00F54B6D">
      <w:pPr>
        <w:spacing w:line="371" w:lineRule="auto"/>
        <w:rPr>
          <w:rFonts w:ascii="宋体" w:hAnsi="宋体" w:eastAsia="宋体" w:cs="宋体"/>
          <w:color w:val="auto"/>
          <w:sz w:val="31"/>
          <w:szCs w:val="31"/>
          <w:highlight w:val="none"/>
        </w:rPr>
        <w:sectPr>
          <w:footerReference r:id="rId52" w:type="default"/>
          <w:pgSz w:w="11910" w:h="16840"/>
          <w:pgMar w:top="1396" w:right="1501" w:bottom="1091" w:left="1696" w:header="0" w:footer="929" w:gutter="0"/>
          <w:pgNumType w:fmt="decimal"/>
          <w:cols w:space="720" w:num="1"/>
        </w:sectPr>
      </w:pPr>
    </w:p>
    <w:p w14:paraId="3404ACAB">
      <w:pPr>
        <w:spacing w:before="80" w:line="186" w:lineRule="auto"/>
        <w:ind w:left="1964"/>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无串通竞标行为的承诺函</w:t>
      </w:r>
    </w:p>
    <w:p w14:paraId="269F2464">
      <w:pPr>
        <w:spacing w:line="479" w:lineRule="auto"/>
        <w:rPr>
          <w:rFonts w:ascii="Arial"/>
          <w:color w:val="auto"/>
          <w:sz w:val="21"/>
          <w:highlight w:val="none"/>
        </w:rPr>
      </w:pPr>
    </w:p>
    <w:p w14:paraId="2B32BC2C">
      <w:pPr>
        <w:spacing w:before="78" w:line="219" w:lineRule="auto"/>
        <w:ind w:left="487"/>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一、我方承诺无下列相互串通竞标的情形：</w:t>
      </w:r>
    </w:p>
    <w:p w14:paraId="1E109E62">
      <w:pPr>
        <w:spacing w:before="180" w:line="359" w:lineRule="auto"/>
        <w:ind w:right="11" w:firstLine="497"/>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1.不同供应商的响应文件由同一单位或者个人编制；或不同供应商报名的</w:t>
      </w:r>
      <w:r>
        <w:rPr>
          <w:rFonts w:ascii="宋体" w:hAnsi="宋体" w:eastAsia="宋体" w:cs="宋体"/>
          <w:color w:val="auto"/>
          <w:spacing w:val="-18"/>
          <w:sz w:val="24"/>
          <w:szCs w:val="24"/>
          <w:highlight w:val="none"/>
        </w:rPr>
        <w:t xml:space="preserve"> </w:t>
      </w:r>
      <w:r>
        <w:rPr>
          <w:rFonts w:ascii="宋体" w:hAnsi="宋体" w:eastAsia="宋体" w:cs="宋体"/>
          <w:color w:val="auto"/>
          <w:sz w:val="24"/>
          <w:szCs w:val="24"/>
          <w:highlight w:val="none"/>
        </w:rPr>
        <w:t>IP</w:t>
      </w:r>
      <w:r>
        <w:rPr>
          <w:rFonts w:ascii="宋体" w:hAnsi="宋体" w:eastAsia="宋体" w:cs="宋体"/>
          <w:color w:val="auto"/>
          <w:spacing w:val="-2"/>
          <w:sz w:val="24"/>
          <w:szCs w:val="24"/>
          <w:highlight w:val="none"/>
        </w:rPr>
        <w:t>地址一致的；</w:t>
      </w:r>
    </w:p>
    <w:p w14:paraId="4B7A2943">
      <w:pPr>
        <w:spacing w:line="218"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2.不同供应商委托同一单位或者个人办理竞标事宜；</w:t>
      </w:r>
    </w:p>
    <w:p w14:paraId="1A79C574">
      <w:pPr>
        <w:spacing w:before="184"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3.不同的供应商的响应文件载明的项目管理员为同一个人；</w:t>
      </w:r>
    </w:p>
    <w:p w14:paraId="55BD6ACF">
      <w:pPr>
        <w:spacing w:before="181" w:line="218" w:lineRule="auto"/>
        <w:ind w:left="480"/>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4.不同供应商的响应文件异常一致或者竞标报</w:t>
      </w:r>
      <w:r>
        <w:rPr>
          <w:rFonts w:ascii="宋体" w:hAnsi="宋体" w:eastAsia="宋体" w:cs="宋体"/>
          <w:color w:val="auto"/>
          <w:spacing w:val="-11"/>
          <w:sz w:val="24"/>
          <w:szCs w:val="24"/>
          <w:highlight w:val="none"/>
        </w:rPr>
        <w:t>价呈规律性差异；</w:t>
      </w:r>
    </w:p>
    <w:p w14:paraId="39AC9C0F">
      <w:pPr>
        <w:spacing w:before="184" w:line="219" w:lineRule="auto"/>
        <w:ind w:left="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5.不同供应商的响应文件相互混装；</w:t>
      </w:r>
    </w:p>
    <w:p w14:paraId="7F5A5715">
      <w:pPr>
        <w:spacing w:before="181" w:line="219" w:lineRule="auto"/>
        <w:ind w:left="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6.不同供应商的竞标保证金从同一单位或者个人账户转出。</w:t>
      </w:r>
    </w:p>
    <w:p w14:paraId="33160F05">
      <w:pPr>
        <w:spacing w:before="184" w:line="219" w:lineRule="auto"/>
        <w:ind w:left="487"/>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二、我方承诺无下列恶意串通的情形：</w:t>
      </w:r>
    </w:p>
    <w:p w14:paraId="22CA1611">
      <w:pPr>
        <w:spacing w:before="181" w:line="360" w:lineRule="auto"/>
        <w:ind w:left="11" w:right="12" w:firstLine="48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1.供应商直接或者间接从采购人或者采购代理机构处获</w:t>
      </w:r>
      <w:r>
        <w:rPr>
          <w:rFonts w:ascii="宋体" w:hAnsi="宋体" w:eastAsia="宋体" w:cs="宋体"/>
          <w:color w:val="auto"/>
          <w:spacing w:val="1"/>
          <w:sz w:val="24"/>
          <w:szCs w:val="24"/>
          <w:highlight w:val="none"/>
        </w:rPr>
        <w:t>得其他供应商的相关信</w:t>
      </w:r>
      <w:r>
        <w:rPr>
          <w:rFonts w:ascii="宋体" w:hAnsi="宋体" w:eastAsia="宋体" w:cs="宋体"/>
          <w:color w:val="auto"/>
          <w:spacing w:val="-2"/>
          <w:sz w:val="24"/>
          <w:szCs w:val="24"/>
          <w:highlight w:val="none"/>
        </w:rPr>
        <w:t>息并修改其响应文件；</w:t>
      </w:r>
    </w:p>
    <w:p w14:paraId="4B72C539">
      <w:pPr>
        <w:spacing w:before="1" w:line="218"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2.供应商按照采购人或者采购代理机构的授意撤换、修改响应文件；</w:t>
      </w:r>
    </w:p>
    <w:p w14:paraId="0C141E92">
      <w:pPr>
        <w:spacing w:before="181" w:line="218" w:lineRule="auto"/>
        <w:ind w:left="485"/>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3.供应商之间协商报价、技术方案等响应文件的实质性内容；</w:t>
      </w:r>
    </w:p>
    <w:p w14:paraId="56E08927">
      <w:pPr>
        <w:spacing w:before="182" w:line="359" w:lineRule="auto"/>
        <w:ind w:right="12"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4.属于同一集团、协会、商会等组织成员的供应商按照该组织要求协同参加政</w:t>
      </w:r>
      <w:r>
        <w:rPr>
          <w:rFonts w:ascii="宋体" w:hAnsi="宋体" w:eastAsia="宋体" w:cs="宋体"/>
          <w:color w:val="auto"/>
          <w:spacing w:val="-2"/>
          <w:sz w:val="24"/>
          <w:szCs w:val="24"/>
          <w:highlight w:val="none"/>
        </w:rPr>
        <w:t>府采购活动；</w:t>
      </w:r>
    </w:p>
    <w:p w14:paraId="5560CAC5">
      <w:pPr>
        <w:spacing w:before="2" w:line="359" w:lineRule="auto"/>
        <w:ind w:right="12" w:firstLine="48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5.供应商之间事先约定一致抬高或者压低竞标报价，或者在竞争性谈判项目中事先约定轮流以高价位或者低价位成交，或者事先约定由某一特定供应商成交，然</w:t>
      </w:r>
      <w:r>
        <w:rPr>
          <w:rFonts w:ascii="宋体" w:hAnsi="宋体" w:eastAsia="宋体" w:cs="宋体"/>
          <w:color w:val="auto"/>
          <w:spacing w:val="-2"/>
          <w:sz w:val="24"/>
          <w:szCs w:val="24"/>
          <w:highlight w:val="none"/>
        </w:rPr>
        <w:t>后再参加竞标；</w:t>
      </w:r>
    </w:p>
    <w:p w14:paraId="05839EC4">
      <w:pPr>
        <w:spacing w:before="1" w:line="218" w:lineRule="auto"/>
        <w:ind w:left="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6.供应商之间商定部分供应商放弃参加政府采购活动或者放弃成交；</w:t>
      </w:r>
    </w:p>
    <w:p w14:paraId="1207C631">
      <w:pPr>
        <w:spacing w:before="183" w:line="360" w:lineRule="auto"/>
        <w:ind w:left="5"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7.供应商与采购人或者采购代理机构之间、供应商相互之间，为谋求特定供应</w:t>
      </w:r>
      <w:r>
        <w:rPr>
          <w:rFonts w:ascii="宋体" w:hAnsi="宋体" w:eastAsia="宋体" w:cs="宋体"/>
          <w:color w:val="auto"/>
          <w:spacing w:val="-12"/>
          <w:sz w:val="24"/>
          <w:szCs w:val="24"/>
          <w:highlight w:val="none"/>
        </w:rPr>
        <w:t>商成交或者排斥其他供应商的其他串通行为。</w:t>
      </w:r>
    </w:p>
    <w:p w14:paraId="55E8D2E8">
      <w:pPr>
        <w:spacing w:line="383" w:lineRule="auto"/>
        <w:rPr>
          <w:rFonts w:ascii="Arial"/>
          <w:color w:val="auto"/>
          <w:sz w:val="21"/>
          <w:highlight w:val="none"/>
        </w:rPr>
      </w:pPr>
    </w:p>
    <w:p w14:paraId="700DEC55">
      <w:pPr>
        <w:spacing w:before="78" w:line="362" w:lineRule="auto"/>
        <w:ind w:left="2" w:right="12" w:firstLine="507"/>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以上情形一经核查属实，我方愿意承担一切后果，并不再寻求任何旨</w:t>
      </w:r>
      <w:r>
        <w:rPr>
          <w:rFonts w:ascii="宋体" w:hAnsi="宋体" w:eastAsia="宋体" w:cs="宋体"/>
          <w:b/>
          <w:bCs/>
          <w:color w:val="auto"/>
          <w:spacing w:val="-2"/>
          <w:sz w:val="24"/>
          <w:szCs w:val="24"/>
          <w:highlight w:val="none"/>
        </w:rPr>
        <w:t>在减轻或</w:t>
      </w:r>
      <w:r>
        <w:rPr>
          <w:rFonts w:ascii="宋体" w:hAnsi="宋体" w:eastAsia="宋体" w:cs="宋体"/>
          <w:b/>
          <w:bCs/>
          <w:color w:val="auto"/>
          <w:spacing w:val="-3"/>
          <w:sz w:val="24"/>
          <w:szCs w:val="24"/>
          <w:highlight w:val="none"/>
        </w:rPr>
        <w:t>者免除法律责任的辩解。</w:t>
      </w:r>
    </w:p>
    <w:p w14:paraId="2BB4928B">
      <w:pPr>
        <w:spacing w:line="280" w:lineRule="auto"/>
        <w:rPr>
          <w:rFonts w:ascii="Arial"/>
          <w:color w:val="auto"/>
          <w:sz w:val="21"/>
          <w:highlight w:val="none"/>
        </w:rPr>
      </w:pPr>
    </w:p>
    <w:p w14:paraId="2769679F">
      <w:pPr>
        <w:spacing w:line="281" w:lineRule="auto"/>
        <w:rPr>
          <w:rFonts w:ascii="Arial"/>
          <w:color w:val="auto"/>
          <w:sz w:val="21"/>
          <w:highlight w:val="none"/>
        </w:rPr>
      </w:pPr>
    </w:p>
    <w:p w14:paraId="06DD9068">
      <w:pPr>
        <w:spacing w:line="281" w:lineRule="auto"/>
        <w:rPr>
          <w:rFonts w:ascii="Arial"/>
          <w:color w:val="auto"/>
          <w:sz w:val="21"/>
          <w:highlight w:val="none"/>
        </w:rPr>
      </w:pPr>
    </w:p>
    <w:p w14:paraId="12E15247">
      <w:pPr>
        <w:spacing w:before="79" w:line="219" w:lineRule="auto"/>
        <w:ind w:left="36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72C6EF53">
      <w:pPr>
        <w:spacing w:before="184" w:line="219" w:lineRule="auto"/>
        <w:ind w:left="5747"/>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9"/>
          <w:sz w:val="24"/>
          <w:szCs w:val="24"/>
          <w:highlight w:val="none"/>
        </w:rPr>
        <w:t>日</w:t>
      </w:r>
    </w:p>
    <w:p w14:paraId="57EC299E">
      <w:pPr>
        <w:spacing w:line="219" w:lineRule="auto"/>
        <w:rPr>
          <w:rFonts w:ascii="宋体" w:hAnsi="宋体" w:eastAsia="宋体" w:cs="宋体"/>
          <w:color w:val="auto"/>
          <w:sz w:val="24"/>
          <w:szCs w:val="24"/>
          <w:highlight w:val="none"/>
        </w:rPr>
        <w:sectPr>
          <w:footerReference r:id="rId53" w:type="default"/>
          <w:pgSz w:w="11910" w:h="16840"/>
          <w:pgMar w:top="1297" w:right="1489" w:bottom="1091" w:left="1688" w:header="0" w:footer="929" w:gutter="0"/>
          <w:pgNumType w:fmt="decimal"/>
          <w:cols w:space="720" w:num="1"/>
        </w:sectPr>
      </w:pPr>
    </w:p>
    <w:p w14:paraId="6FB47CFF">
      <w:pPr>
        <w:spacing w:line="311" w:lineRule="auto"/>
        <w:rPr>
          <w:rFonts w:ascii="Arial"/>
          <w:color w:val="auto"/>
          <w:sz w:val="21"/>
          <w:highlight w:val="none"/>
        </w:rPr>
      </w:pPr>
    </w:p>
    <w:p w14:paraId="51A93B3C">
      <w:pPr>
        <w:spacing w:line="312" w:lineRule="auto"/>
        <w:rPr>
          <w:rFonts w:ascii="Arial"/>
          <w:color w:val="auto"/>
          <w:sz w:val="21"/>
          <w:highlight w:val="none"/>
        </w:rPr>
      </w:pPr>
    </w:p>
    <w:p w14:paraId="59B0D247">
      <w:pPr>
        <w:spacing w:before="187" w:line="184" w:lineRule="auto"/>
        <w:ind w:left="2893"/>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6"/>
          <w:sz w:val="43"/>
          <w:szCs w:val="43"/>
          <w:highlight w:val="none"/>
        </w:rPr>
        <w:t>法定代表人证明书</w:t>
      </w:r>
    </w:p>
    <w:p w14:paraId="77FD13D8">
      <w:pPr>
        <w:spacing w:line="299" w:lineRule="auto"/>
        <w:rPr>
          <w:rFonts w:ascii="Arial"/>
          <w:color w:val="auto"/>
          <w:sz w:val="21"/>
          <w:highlight w:val="none"/>
        </w:rPr>
      </w:pPr>
    </w:p>
    <w:p w14:paraId="26CEA3F9">
      <w:pPr>
        <w:spacing w:line="299" w:lineRule="auto"/>
        <w:rPr>
          <w:rFonts w:ascii="Arial"/>
          <w:color w:val="auto"/>
          <w:sz w:val="21"/>
          <w:highlight w:val="none"/>
        </w:rPr>
      </w:pPr>
    </w:p>
    <w:p w14:paraId="62F24575">
      <w:pPr>
        <w:spacing w:before="78" w:line="219" w:lineRule="auto"/>
        <w:ind w:left="54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供应商名称：</w:t>
      </w:r>
      <w:r>
        <w:rPr>
          <w:rFonts w:ascii="宋体" w:hAnsi="宋体" w:eastAsia="宋体" w:cs="宋体"/>
          <w:color w:val="auto"/>
          <w:sz w:val="24"/>
          <w:szCs w:val="24"/>
          <w:highlight w:val="none"/>
          <w:u w:val="single" w:color="auto"/>
        </w:rPr>
        <w:t xml:space="preserve">                                                        </w:t>
      </w:r>
    </w:p>
    <w:p w14:paraId="2F90B823">
      <w:pPr>
        <w:spacing w:before="181" w:line="229" w:lineRule="auto"/>
        <w:ind w:left="540"/>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地</w:t>
      </w:r>
      <w:r>
        <w:rPr>
          <w:rFonts w:ascii="宋体" w:hAnsi="宋体" w:eastAsia="宋体" w:cs="宋体"/>
          <w:color w:val="auto"/>
          <w:spacing w:val="2"/>
          <w:sz w:val="24"/>
          <w:szCs w:val="24"/>
          <w:highlight w:val="none"/>
        </w:rPr>
        <w:t xml:space="preserve">    </w:t>
      </w:r>
      <w:r>
        <w:rPr>
          <w:rFonts w:ascii="宋体" w:hAnsi="宋体" w:eastAsia="宋体" w:cs="宋体"/>
          <w:color w:val="auto"/>
          <w:spacing w:val="-17"/>
          <w:sz w:val="24"/>
          <w:szCs w:val="24"/>
          <w:highlight w:val="none"/>
        </w:rPr>
        <w:t>址</w:t>
      </w:r>
      <w:r>
        <w:rPr>
          <w:rFonts w:ascii="宋体" w:hAnsi="宋体" w:eastAsia="宋体" w:cs="宋体"/>
          <w:color w:val="auto"/>
          <w:spacing w:val="-88"/>
          <w:sz w:val="24"/>
          <w:szCs w:val="24"/>
          <w:highlight w:val="none"/>
        </w:rPr>
        <w:t xml:space="preserve"> </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p>
    <w:p w14:paraId="76A8678D">
      <w:pPr>
        <w:spacing w:before="171" w:line="219" w:lineRule="auto"/>
        <w:ind w:left="540"/>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姓</w:t>
      </w:r>
      <w:r>
        <w:rPr>
          <w:rFonts w:ascii="宋体" w:hAnsi="宋体" w:eastAsia="宋体" w:cs="宋体"/>
          <w:color w:val="auto"/>
          <w:spacing w:val="6"/>
          <w:sz w:val="24"/>
          <w:szCs w:val="24"/>
          <w:highlight w:val="none"/>
        </w:rPr>
        <w:t xml:space="preserve">    </w:t>
      </w:r>
      <w:r>
        <w:rPr>
          <w:rFonts w:ascii="宋体" w:hAnsi="宋体" w:eastAsia="宋体" w:cs="宋体"/>
          <w:color w:val="auto"/>
          <w:spacing w:val="-11"/>
          <w:sz w:val="24"/>
          <w:szCs w:val="24"/>
          <w:highlight w:val="none"/>
        </w:rPr>
        <w:t>名</w:t>
      </w:r>
      <w:r>
        <w:rPr>
          <w:rFonts w:ascii="宋体" w:hAnsi="宋体" w:eastAsia="宋体" w:cs="宋体"/>
          <w:color w:val="auto"/>
          <w:spacing w:val="-87"/>
          <w:sz w:val="24"/>
          <w:szCs w:val="24"/>
          <w:highlight w:val="none"/>
        </w:rPr>
        <w:t xml:space="preserve"> </w:t>
      </w:r>
      <w:r>
        <w:rPr>
          <w:rFonts w:ascii="宋体" w:hAnsi="宋体" w:eastAsia="宋体" w:cs="宋体"/>
          <w:color w:val="auto"/>
          <w:spacing w:val="-11"/>
          <w:sz w:val="24"/>
          <w:szCs w:val="24"/>
          <w:highlight w:val="none"/>
        </w:rPr>
        <w:t>：</w:t>
      </w:r>
      <w:r>
        <w:rPr>
          <w:rFonts w:ascii="宋体" w:hAnsi="宋体" w:eastAsia="宋体" w:cs="宋体"/>
          <w:color w:val="auto"/>
          <w:spacing w:val="-11"/>
          <w:sz w:val="24"/>
          <w:szCs w:val="24"/>
          <w:highlight w:val="none"/>
          <w:u w:val="single" w:color="auto"/>
        </w:rPr>
        <w:t xml:space="preserve">                </w:t>
      </w:r>
      <w:r>
        <w:rPr>
          <w:rFonts w:ascii="宋体" w:hAnsi="宋体" w:eastAsia="宋体" w:cs="宋体"/>
          <w:color w:val="auto"/>
          <w:spacing w:val="-108"/>
          <w:sz w:val="24"/>
          <w:szCs w:val="24"/>
          <w:highlight w:val="none"/>
        </w:rPr>
        <w:t xml:space="preserve"> </w:t>
      </w:r>
      <w:r>
        <w:rPr>
          <w:rFonts w:ascii="宋体" w:hAnsi="宋体" w:eastAsia="宋体" w:cs="宋体"/>
          <w:color w:val="auto"/>
          <w:spacing w:val="-11"/>
          <w:sz w:val="24"/>
          <w:szCs w:val="24"/>
          <w:highlight w:val="none"/>
        </w:rPr>
        <w:t>性</w:t>
      </w:r>
      <w:r>
        <w:rPr>
          <w:rFonts w:ascii="宋体" w:hAnsi="宋体" w:eastAsia="宋体" w:cs="宋体"/>
          <w:color w:val="auto"/>
          <w:spacing w:val="2"/>
          <w:sz w:val="24"/>
          <w:szCs w:val="24"/>
          <w:highlight w:val="none"/>
        </w:rPr>
        <w:t xml:space="preserve">      </w:t>
      </w:r>
      <w:r>
        <w:rPr>
          <w:rFonts w:ascii="宋体" w:hAnsi="宋体" w:eastAsia="宋体" w:cs="宋体"/>
          <w:color w:val="auto"/>
          <w:spacing w:val="-11"/>
          <w:sz w:val="24"/>
          <w:szCs w:val="24"/>
          <w:highlight w:val="none"/>
        </w:rPr>
        <w:t>别</w:t>
      </w:r>
      <w:r>
        <w:rPr>
          <w:rFonts w:ascii="宋体" w:hAnsi="宋体" w:eastAsia="宋体" w:cs="宋体"/>
          <w:color w:val="auto"/>
          <w:spacing w:val="-90"/>
          <w:sz w:val="24"/>
          <w:szCs w:val="24"/>
          <w:highlight w:val="none"/>
        </w:rPr>
        <w:t xml:space="preserve"> </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u w:val="single" w:color="auto"/>
        </w:rPr>
        <w:t xml:space="preserve">                </w:t>
      </w:r>
    </w:p>
    <w:p w14:paraId="015DF5A0">
      <w:pPr>
        <w:spacing w:before="180" w:line="219" w:lineRule="auto"/>
        <w:ind w:left="540"/>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年</w:t>
      </w:r>
      <w:r>
        <w:rPr>
          <w:rFonts w:ascii="宋体" w:hAnsi="宋体" w:eastAsia="宋体" w:cs="宋体"/>
          <w:color w:val="auto"/>
          <w:spacing w:val="2"/>
          <w:sz w:val="24"/>
          <w:szCs w:val="24"/>
          <w:highlight w:val="none"/>
        </w:rPr>
        <w:t xml:space="preserve">    </w:t>
      </w:r>
      <w:r>
        <w:rPr>
          <w:rFonts w:ascii="宋体" w:hAnsi="宋体" w:eastAsia="宋体" w:cs="宋体"/>
          <w:color w:val="auto"/>
          <w:spacing w:val="-10"/>
          <w:sz w:val="24"/>
          <w:szCs w:val="24"/>
          <w:highlight w:val="none"/>
        </w:rPr>
        <w:t>龄</w:t>
      </w:r>
      <w:r>
        <w:rPr>
          <w:rFonts w:ascii="宋体" w:hAnsi="宋体" w:eastAsia="宋体" w:cs="宋体"/>
          <w:color w:val="auto"/>
          <w:spacing w:val="-89"/>
          <w:sz w:val="24"/>
          <w:szCs w:val="24"/>
          <w:highlight w:val="none"/>
        </w:rPr>
        <w:t xml:space="preserve"> </w:t>
      </w:r>
      <w:r>
        <w:rPr>
          <w:rFonts w:ascii="宋体" w:hAnsi="宋体" w:eastAsia="宋体" w:cs="宋体"/>
          <w:color w:val="auto"/>
          <w:spacing w:val="-10"/>
          <w:sz w:val="24"/>
          <w:szCs w:val="24"/>
          <w:highlight w:val="none"/>
        </w:rPr>
        <w:t>：</w:t>
      </w:r>
      <w:r>
        <w:rPr>
          <w:rFonts w:ascii="宋体" w:hAnsi="宋体" w:eastAsia="宋体" w:cs="宋体"/>
          <w:color w:val="auto"/>
          <w:spacing w:val="-10"/>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10"/>
          <w:sz w:val="24"/>
          <w:szCs w:val="24"/>
          <w:highlight w:val="none"/>
        </w:rPr>
        <w:t>职</w:t>
      </w:r>
      <w:r>
        <w:rPr>
          <w:rFonts w:ascii="宋体" w:hAnsi="宋体" w:eastAsia="宋体" w:cs="宋体"/>
          <w:color w:val="auto"/>
          <w:spacing w:val="1"/>
          <w:sz w:val="24"/>
          <w:szCs w:val="24"/>
          <w:highlight w:val="none"/>
        </w:rPr>
        <w:t xml:space="preserve">      </w:t>
      </w:r>
      <w:r>
        <w:rPr>
          <w:rFonts w:ascii="宋体" w:hAnsi="宋体" w:eastAsia="宋体" w:cs="宋体"/>
          <w:color w:val="auto"/>
          <w:spacing w:val="-11"/>
          <w:sz w:val="24"/>
          <w:szCs w:val="24"/>
          <w:highlight w:val="none"/>
        </w:rPr>
        <w:t>务</w:t>
      </w:r>
      <w:r>
        <w:rPr>
          <w:rFonts w:ascii="宋体" w:hAnsi="宋体" w:eastAsia="宋体" w:cs="宋体"/>
          <w:color w:val="auto"/>
          <w:spacing w:val="-85"/>
          <w:sz w:val="24"/>
          <w:szCs w:val="24"/>
          <w:highlight w:val="none"/>
        </w:rPr>
        <w:t xml:space="preserve"> </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u w:val="single" w:color="auto"/>
        </w:rPr>
        <w:t xml:space="preserve">                </w:t>
      </w:r>
    </w:p>
    <w:p w14:paraId="4826A211">
      <w:pPr>
        <w:spacing w:before="183" w:line="219" w:lineRule="auto"/>
        <w:ind w:left="54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身份证号码：</w:t>
      </w:r>
      <w:r>
        <w:rPr>
          <w:rFonts w:ascii="宋体" w:hAnsi="宋体" w:eastAsia="宋体" w:cs="宋体"/>
          <w:color w:val="auto"/>
          <w:sz w:val="24"/>
          <w:szCs w:val="24"/>
          <w:highlight w:val="none"/>
          <w:u w:val="single" w:color="auto"/>
        </w:rPr>
        <w:t xml:space="preserve">                                        </w:t>
      </w:r>
    </w:p>
    <w:p w14:paraId="390475FA">
      <w:pPr>
        <w:spacing w:before="182" w:line="219" w:lineRule="auto"/>
        <w:ind w:left="54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系</w:t>
      </w:r>
      <w:r>
        <w:rPr>
          <w:rFonts w:ascii="宋体" w:hAnsi="宋体" w:eastAsia="宋体" w:cs="宋体"/>
          <w:color w:val="auto"/>
          <w:spacing w:val="-2"/>
          <w:sz w:val="24"/>
          <w:szCs w:val="24"/>
          <w:highlight w:val="none"/>
          <w:u w:val="single" w:color="auto"/>
        </w:rPr>
        <w:t xml:space="preserve">    （供应商名称）   </w:t>
      </w:r>
      <w:r>
        <w:rPr>
          <w:rFonts w:ascii="宋体" w:hAnsi="宋体" w:eastAsia="宋体" w:cs="宋体"/>
          <w:color w:val="auto"/>
          <w:spacing w:val="-91"/>
          <w:sz w:val="24"/>
          <w:szCs w:val="24"/>
          <w:highlight w:val="none"/>
        </w:rPr>
        <w:t xml:space="preserve"> </w:t>
      </w:r>
      <w:r>
        <w:rPr>
          <w:rFonts w:ascii="宋体" w:hAnsi="宋体" w:eastAsia="宋体" w:cs="宋体"/>
          <w:color w:val="auto"/>
          <w:spacing w:val="-2"/>
          <w:sz w:val="24"/>
          <w:szCs w:val="24"/>
          <w:highlight w:val="none"/>
        </w:rPr>
        <w:t>的法定代表人。</w:t>
      </w:r>
    </w:p>
    <w:p w14:paraId="3601CB2A">
      <w:pPr>
        <w:spacing w:before="182" w:line="219" w:lineRule="auto"/>
        <w:ind w:left="54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特此证明。</w:t>
      </w:r>
    </w:p>
    <w:p w14:paraId="0CA0FFA9">
      <w:pPr>
        <w:spacing w:line="249" w:lineRule="auto"/>
        <w:rPr>
          <w:rFonts w:ascii="Arial"/>
          <w:color w:val="auto"/>
          <w:sz w:val="21"/>
          <w:highlight w:val="none"/>
        </w:rPr>
      </w:pPr>
    </w:p>
    <w:p w14:paraId="1A3BDF68">
      <w:pPr>
        <w:spacing w:line="249" w:lineRule="auto"/>
        <w:rPr>
          <w:rFonts w:ascii="Arial"/>
          <w:color w:val="auto"/>
          <w:sz w:val="21"/>
          <w:highlight w:val="none"/>
        </w:rPr>
      </w:pPr>
    </w:p>
    <w:p w14:paraId="35EB08AE">
      <w:pPr>
        <w:spacing w:line="249" w:lineRule="auto"/>
        <w:rPr>
          <w:rFonts w:ascii="Arial"/>
          <w:color w:val="auto"/>
          <w:sz w:val="21"/>
          <w:highlight w:val="none"/>
        </w:rPr>
      </w:pPr>
    </w:p>
    <w:p w14:paraId="089C7C8E">
      <w:pPr>
        <w:spacing w:line="249" w:lineRule="auto"/>
        <w:rPr>
          <w:rFonts w:ascii="Arial"/>
          <w:color w:val="auto"/>
          <w:sz w:val="21"/>
          <w:highlight w:val="none"/>
        </w:rPr>
      </w:pPr>
    </w:p>
    <w:p w14:paraId="04504091">
      <w:pPr>
        <w:spacing w:line="249" w:lineRule="auto"/>
        <w:rPr>
          <w:rFonts w:ascii="Arial"/>
          <w:color w:val="auto"/>
          <w:sz w:val="21"/>
          <w:highlight w:val="none"/>
        </w:rPr>
      </w:pPr>
    </w:p>
    <w:p w14:paraId="25B4F27B">
      <w:pPr>
        <w:spacing w:line="249" w:lineRule="auto"/>
        <w:rPr>
          <w:rFonts w:ascii="Arial"/>
          <w:color w:val="auto"/>
          <w:sz w:val="21"/>
          <w:highlight w:val="none"/>
        </w:rPr>
      </w:pPr>
    </w:p>
    <w:p w14:paraId="1CDD4F25">
      <w:pPr>
        <w:spacing w:before="78" w:line="219" w:lineRule="auto"/>
        <w:ind w:left="55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附件：法定代表人有效身份证正反面复印件</w:t>
      </w:r>
    </w:p>
    <w:p w14:paraId="1676BE42">
      <w:pPr>
        <w:spacing w:line="284" w:lineRule="auto"/>
        <w:rPr>
          <w:rFonts w:ascii="Arial"/>
          <w:color w:val="auto"/>
          <w:sz w:val="21"/>
          <w:highlight w:val="none"/>
        </w:rPr>
      </w:pPr>
    </w:p>
    <w:p w14:paraId="503CA075">
      <w:pPr>
        <w:spacing w:line="284" w:lineRule="auto"/>
        <w:rPr>
          <w:rFonts w:ascii="Arial"/>
          <w:color w:val="auto"/>
          <w:sz w:val="21"/>
          <w:highlight w:val="none"/>
        </w:rPr>
      </w:pPr>
    </w:p>
    <w:p w14:paraId="181256F9">
      <w:pPr>
        <w:tabs>
          <w:tab w:val="left" w:pos="4670"/>
        </w:tabs>
        <w:spacing w:before="78" w:line="362" w:lineRule="auto"/>
        <w:ind w:left="4070" w:right="31" w:firstLine="177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pacing w:val="-31"/>
          <w:sz w:val="24"/>
          <w:szCs w:val="24"/>
          <w:highlight w:val="none"/>
        </w:rPr>
        <w:t>）：</w:t>
      </w:r>
      <w:r>
        <w:rPr>
          <w:rFonts w:ascii="宋体" w:hAnsi="宋体" w:eastAsia="宋体" w:cs="宋体"/>
          <w:color w:val="auto"/>
          <w:sz w:val="24"/>
          <w:szCs w:val="24"/>
          <w:highlight w:val="none"/>
          <w:u w:val="single" w:color="auto"/>
        </w:rPr>
        <w:tab/>
      </w:r>
      <w:r>
        <w:rPr>
          <w:rFonts w:ascii="宋体" w:hAnsi="宋体" w:eastAsia="宋体" w:cs="宋体"/>
          <w:color w:val="auto"/>
          <w:spacing w:val="-109"/>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9"/>
          <w:sz w:val="24"/>
          <w:szCs w:val="24"/>
          <w:highlight w:val="none"/>
        </w:rPr>
        <w:t>日</w:t>
      </w:r>
    </w:p>
    <w:p w14:paraId="4F224ECC">
      <w:pPr>
        <w:spacing w:line="379" w:lineRule="auto"/>
        <w:rPr>
          <w:rFonts w:ascii="Arial"/>
          <w:color w:val="auto"/>
          <w:sz w:val="21"/>
          <w:highlight w:val="none"/>
        </w:rPr>
      </w:pPr>
    </w:p>
    <w:p w14:paraId="4B8D1482">
      <w:pPr>
        <w:spacing w:before="79" w:line="219"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注：</w:t>
      </w:r>
      <w:r>
        <w:rPr>
          <w:rFonts w:ascii="宋体" w:hAnsi="宋体" w:eastAsia="宋体" w:cs="宋体"/>
          <w:color w:val="auto"/>
          <w:spacing w:val="-72"/>
          <w:sz w:val="24"/>
          <w:szCs w:val="24"/>
          <w:highlight w:val="none"/>
        </w:rPr>
        <w:t xml:space="preserve"> </w:t>
      </w:r>
      <w:r>
        <w:rPr>
          <w:rFonts w:ascii="宋体" w:hAnsi="宋体" w:eastAsia="宋体" w:cs="宋体"/>
          <w:color w:val="auto"/>
          <w:spacing w:val="-2"/>
          <w:sz w:val="24"/>
          <w:szCs w:val="24"/>
          <w:highlight w:val="none"/>
        </w:rPr>
        <w:t>自然人竞标的无需提供，联合体竞标的只需牵</w:t>
      </w:r>
      <w:r>
        <w:rPr>
          <w:rFonts w:ascii="宋体" w:hAnsi="宋体" w:eastAsia="宋体" w:cs="宋体"/>
          <w:color w:val="auto"/>
          <w:spacing w:val="-3"/>
          <w:sz w:val="24"/>
          <w:szCs w:val="24"/>
          <w:highlight w:val="none"/>
        </w:rPr>
        <w:t>头人出具。</w:t>
      </w:r>
    </w:p>
    <w:p w14:paraId="3523D00E">
      <w:pPr>
        <w:spacing w:line="219" w:lineRule="auto"/>
        <w:rPr>
          <w:rFonts w:ascii="宋体" w:hAnsi="宋体" w:eastAsia="宋体" w:cs="宋体"/>
          <w:color w:val="auto"/>
          <w:sz w:val="24"/>
          <w:szCs w:val="24"/>
          <w:highlight w:val="none"/>
        </w:rPr>
        <w:sectPr>
          <w:footerReference r:id="rId54" w:type="default"/>
          <w:pgSz w:w="11910" w:h="16840"/>
          <w:pgMar w:top="1431" w:right="1530" w:bottom="1091" w:left="1689" w:header="0" w:footer="929" w:gutter="0"/>
          <w:pgNumType w:fmt="decimal"/>
          <w:cols w:space="720" w:num="1"/>
        </w:sectPr>
      </w:pPr>
    </w:p>
    <w:p w14:paraId="0F9F173F">
      <w:pPr>
        <w:spacing w:before="80" w:line="163" w:lineRule="auto"/>
        <w:ind w:left="3278"/>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5"/>
          <w:sz w:val="43"/>
          <w:szCs w:val="43"/>
          <w:highlight w:val="none"/>
        </w:rPr>
        <w:t>授权委托书</w:t>
      </w:r>
    </w:p>
    <w:p w14:paraId="7BF8EAFA">
      <w:pPr>
        <w:spacing w:before="3" w:line="168" w:lineRule="auto"/>
        <w:ind w:left="2109"/>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5"/>
          <w:sz w:val="43"/>
          <w:szCs w:val="43"/>
          <w:highlight w:val="none"/>
        </w:rPr>
        <w:t>（</w:t>
      </w:r>
      <w:r>
        <w:rPr>
          <w:rFonts w:ascii="Arial Unicode MS" w:hAnsi="Arial Unicode MS" w:eastAsia="Arial Unicode MS" w:cs="Arial Unicode MS"/>
          <w:color w:val="auto"/>
          <w:spacing w:val="-34"/>
          <w:sz w:val="43"/>
          <w:szCs w:val="43"/>
          <w:highlight w:val="none"/>
        </w:rPr>
        <w:t xml:space="preserve"> </w:t>
      </w:r>
      <w:r>
        <w:rPr>
          <w:rFonts w:ascii="Arial Unicode MS" w:hAnsi="Arial Unicode MS" w:eastAsia="Arial Unicode MS" w:cs="Arial Unicode MS"/>
          <w:color w:val="auto"/>
          <w:spacing w:val="5"/>
          <w:sz w:val="43"/>
          <w:szCs w:val="43"/>
          <w:highlight w:val="none"/>
        </w:rPr>
        <w:t>非联合体竞标格式</w:t>
      </w:r>
      <w:r>
        <w:rPr>
          <w:rFonts w:ascii="Arial Unicode MS" w:hAnsi="Arial Unicode MS" w:eastAsia="Arial Unicode MS" w:cs="Arial Unicode MS"/>
          <w:color w:val="auto"/>
          <w:spacing w:val="-62"/>
          <w:sz w:val="43"/>
          <w:szCs w:val="43"/>
          <w:highlight w:val="none"/>
        </w:rPr>
        <w:t xml:space="preserve"> </w:t>
      </w:r>
      <w:r>
        <w:rPr>
          <w:rFonts w:ascii="Arial Unicode MS" w:hAnsi="Arial Unicode MS" w:eastAsia="Arial Unicode MS" w:cs="Arial Unicode MS"/>
          <w:color w:val="auto"/>
          <w:spacing w:val="5"/>
          <w:sz w:val="43"/>
          <w:szCs w:val="43"/>
          <w:highlight w:val="none"/>
        </w:rPr>
        <w:t>）</w:t>
      </w:r>
    </w:p>
    <w:p w14:paraId="7C5D2BF0">
      <w:pPr>
        <w:spacing w:line="186" w:lineRule="auto"/>
        <w:ind w:left="2769"/>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2"/>
          <w:sz w:val="43"/>
          <w:szCs w:val="43"/>
          <w:highlight w:val="none"/>
        </w:rPr>
        <w:t>（</w:t>
      </w:r>
      <w:r>
        <w:rPr>
          <w:rFonts w:ascii="Arial Unicode MS" w:hAnsi="Arial Unicode MS" w:eastAsia="Arial Unicode MS" w:cs="Arial Unicode MS"/>
          <w:color w:val="auto"/>
          <w:spacing w:val="-28"/>
          <w:sz w:val="43"/>
          <w:szCs w:val="43"/>
          <w:highlight w:val="none"/>
        </w:rPr>
        <w:t xml:space="preserve"> </w:t>
      </w:r>
      <w:r>
        <w:rPr>
          <w:rFonts w:ascii="Arial Unicode MS" w:hAnsi="Arial Unicode MS" w:eastAsia="Arial Unicode MS" w:cs="Arial Unicode MS"/>
          <w:color w:val="auto"/>
          <w:spacing w:val="2"/>
          <w:sz w:val="43"/>
          <w:szCs w:val="43"/>
          <w:highlight w:val="none"/>
        </w:rPr>
        <w:t>如有委托时</w:t>
      </w:r>
      <w:r>
        <w:rPr>
          <w:rFonts w:ascii="Arial Unicode MS" w:hAnsi="Arial Unicode MS" w:eastAsia="Arial Unicode MS" w:cs="Arial Unicode MS"/>
          <w:color w:val="auto"/>
          <w:spacing w:val="-62"/>
          <w:sz w:val="43"/>
          <w:szCs w:val="43"/>
          <w:highlight w:val="none"/>
        </w:rPr>
        <w:t xml:space="preserve"> </w:t>
      </w:r>
      <w:r>
        <w:rPr>
          <w:rFonts w:ascii="Arial Unicode MS" w:hAnsi="Arial Unicode MS" w:eastAsia="Arial Unicode MS" w:cs="Arial Unicode MS"/>
          <w:color w:val="auto"/>
          <w:spacing w:val="2"/>
          <w:sz w:val="43"/>
          <w:szCs w:val="43"/>
          <w:highlight w:val="none"/>
        </w:rPr>
        <w:t>）</w:t>
      </w:r>
    </w:p>
    <w:p w14:paraId="39E040D1">
      <w:pPr>
        <w:spacing w:line="477" w:lineRule="auto"/>
        <w:rPr>
          <w:rFonts w:ascii="Arial"/>
          <w:color w:val="auto"/>
          <w:sz w:val="21"/>
          <w:highlight w:val="none"/>
        </w:rPr>
      </w:pPr>
    </w:p>
    <w:p w14:paraId="56928688">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致</w:t>
      </w:r>
      <w:r>
        <w:rPr>
          <w:rFonts w:ascii="宋体" w:hAnsi="宋体" w:eastAsia="宋体" w:cs="宋体"/>
          <w:color w:val="auto"/>
          <w:spacing w:val="-17"/>
          <w:sz w:val="24"/>
          <w:szCs w:val="24"/>
          <w:highlight w:val="none"/>
        </w:rPr>
        <w:t>：</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9"/>
          <w:sz w:val="24"/>
          <w:szCs w:val="24"/>
          <w:highlight w:val="none"/>
          <w:u w:val="single" w:color="auto"/>
        </w:rPr>
        <w:t>采购人名称</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17"/>
          <w:sz w:val="24"/>
          <w:szCs w:val="24"/>
          <w:highlight w:val="none"/>
        </w:rPr>
        <w:t>：</w:t>
      </w:r>
    </w:p>
    <w:p w14:paraId="260B2E13">
      <w:pPr>
        <w:spacing w:before="182" w:line="359" w:lineRule="auto"/>
        <w:ind w:firstLine="482"/>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我</w:t>
      </w:r>
      <w:r>
        <w:rPr>
          <w:rFonts w:ascii="宋体" w:hAnsi="宋体" w:eastAsia="宋体" w:cs="宋体"/>
          <w:color w:val="auto"/>
          <w:spacing w:val="-1"/>
          <w:sz w:val="24"/>
          <w:szCs w:val="24"/>
          <w:highlight w:val="none"/>
          <w:u w:val="single" w:color="auto"/>
        </w:rPr>
        <w:t xml:space="preserve">  （姓名）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1"/>
          <w:sz w:val="24"/>
          <w:szCs w:val="24"/>
          <w:highlight w:val="none"/>
        </w:rPr>
        <w:t>系</w:t>
      </w:r>
      <w:r>
        <w:rPr>
          <w:rFonts w:ascii="宋体" w:hAnsi="宋体" w:eastAsia="宋体" w:cs="宋体"/>
          <w:color w:val="auto"/>
          <w:spacing w:val="-1"/>
          <w:sz w:val="24"/>
          <w:szCs w:val="24"/>
          <w:highlight w:val="none"/>
          <w:u w:val="single" w:color="auto"/>
        </w:rPr>
        <w:t xml:space="preserve">  （供应商名称）  </w:t>
      </w:r>
      <w:r>
        <w:rPr>
          <w:rFonts w:ascii="宋体" w:hAnsi="宋体" w:eastAsia="宋体" w:cs="宋体"/>
          <w:color w:val="auto"/>
          <w:spacing w:val="-91"/>
          <w:sz w:val="24"/>
          <w:szCs w:val="24"/>
          <w:highlight w:val="none"/>
        </w:rPr>
        <w:t xml:space="preserve"> </w:t>
      </w:r>
      <w:r>
        <w:rPr>
          <w:rFonts w:ascii="宋体" w:hAnsi="宋体" w:eastAsia="宋体" w:cs="宋体"/>
          <w:color w:val="auto"/>
          <w:spacing w:val="-1"/>
          <w:sz w:val="24"/>
          <w:szCs w:val="24"/>
          <w:highlight w:val="none"/>
        </w:rPr>
        <w:t>的 (</w:t>
      </w:r>
      <w:r>
        <w:rPr>
          <w:rFonts w:ascii="宋体" w:hAnsi="宋体" w:eastAsia="宋体" w:cs="宋体"/>
          <w:color w:val="auto"/>
          <w:spacing w:val="-84"/>
          <w:sz w:val="24"/>
          <w:szCs w:val="24"/>
          <w:highlight w:val="none"/>
        </w:rPr>
        <w:t xml:space="preserve"> </w:t>
      </w:r>
      <w:r>
        <w:rPr>
          <w:rFonts w:ascii="宋体" w:hAnsi="宋体" w:eastAsia="宋体" w:cs="宋体"/>
          <w:color w:val="auto"/>
          <w:spacing w:val="-85"/>
          <w:sz w:val="24"/>
          <w:szCs w:val="24"/>
          <w:highlight w:val="none"/>
          <w:u w:val="single" w:color="auto"/>
        </w:rPr>
        <w:t xml:space="preserve"> </w:t>
      </w:r>
      <w:r>
        <w:rPr>
          <w:rFonts w:ascii="宋体" w:hAnsi="宋体" w:eastAsia="宋体" w:cs="宋体"/>
          <w:color w:val="auto"/>
          <w:spacing w:val="-1"/>
          <w:sz w:val="24"/>
          <w:szCs w:val="24"/>
          <w:highlight w:val="none"/>
          <w:u w:val="single" w:color="auto"/>
        </w:rPr>
        <w:t>□法定代表人/□负责人/□自然人本人</w:t>
      </w:r>
      <w:r>
        <w:rPr>
          <w:rFonts w:ascii="宋体" w:hAnsi="宋体" w:eastAsia="宋体" w:cs="宋体"/>
          <w:color w:val="auto"/>
          <w:spacing w:val="13"/>
          <w:sz w:val="24"/>
          <w:szCs w:val="24"/>
          <w:highlight w:val="none"/>
        </w:rPr>
        <w:t>），</w:t>
      </w:r>
      <w:r>
        <w:rPr>
          <w:rFonts w:ascii="宋体" w:hAnsi="宋体" w:eastAsia="宋体" w:cs="宋体"/>
          <w:color w:val="auto"/>
          <w:spacing w:val="-1"/>
          <w:sz w:val="24"/>
          <w:szCs w:val="24"/>
          <w:highlight w:val="none"/>
        </w:rPr>
        <w:t>现授权</w:t>
      </w:r>
      <w:r>
        <w:rPr>
          <w:rFonts w:ascii="宋体" w:hAnsi="宋体" w:eastAsia="宋体" w:cs="宋体"/>
          <w:color w:val="auto"/>
          <w:spacing w:val="-1"/>
          <w:sz w:val="24"/>
          <w:szCs w:val="24"/>
          <w:highlight w:val="none"/>
          <w:u w:val="single" w:color="auto"/>
        </w:rPr>
        <w:t xml:space="preserve"> （姓名） </w:t>
      </w:r>
      <w:r>
        <w:rPr>
          <w:rFonts w:ascii="宋体" w:hAnsi="宋体" w:eastAsia="宋体" w:cs="宋体"/>
          <w:color w:val="auto"/>
          <w:spacing w:val="-84"/>
          <w:sz w:val="24"/>
          <w:szCs w:val="24"/>
          <w:highlight w:val="none"/>
        </w:rPr>
        <w:t xml:space="preserve"> </w:t>
      </w:r>
      <w:r>
        <w:rPr>
          <w:rFonts w:ascii="宋体" w:hAnsi="宋体" w:eastAsia="宋体" w:cs="宋体"/>
          <w:color w:val="auto"/>
          <w:spacing w:val="-1"/>
          <w:sz w:val="24"/>
          <w:szCs w:val="24"/>
          <w:highlight w:val="none"/>
        </w:rPr>
        <w:t>以我方的名义参加</w:t>
      </w:r>
      <w:r>
        <w:rPr>
          <w:rFonts w:ascii="宋体" w:hAnsi="宋体" w:eastAsia="宋体" w:cs="宋体"/>
          <w:color w:val="auto"/>
          <w:spacing w:val="-117"/>
          <w:sz w:val="24"/>
          <w:szCs w:val="24"/>
          <w:highlight w:val="none"/>
        </w:rPr>
        <w:t xml:space="preserve"> </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6"/>
          <w:sz w:val="24"/>
          <w:szCs w:val="24"/>
          <w:highlight w:val="none"/>
        </w:rPr>
        <w:t xml:space="preserve"> </w:t>
      </w:r>
      <w:r>
        <w:rPr>
          <w:rFonts w:ascii="宋体" w:hAnsi="宋体" w:eastAsia="宋体" w:cs="宋体"/>
          <w:color w:val="auto"/>
          <w:spacing w:val="-1"/>
          <w:sz w:val="24"/>
          <w:szCs w:val="24"/>
          <w:highlight w:val="none"/>
        </w:rPr>
        <w:t>项目的竞标活动，并代表我方全权办理针对上述项目的所有采购程序和环节</w:t>
      </w:r>
      <w:r>
        <w:rPr>
          <w:rFonts w:ascii="宋体" w:hAnsi="宋体" w:eastAsia="宋体" w:cs="宋体"/>
          <w:color w:val="auto"/>
          <w:spacing w:val="-2"/>
          <w:sz w:val="24"/>
          <w:szCs w:val="24"/>
          <w:highlight w:val="none"/>
        </w:rPr>
        <w:t>的具体事务和签署相关文件。</w:t>
      </w:r>
    </w:p>
    <w:p w14:paraId="1F784AB4">
      <w:pPr>
        <w:spacing w:line="219" w:lineRule="auto"/>
        <w:ind w:left="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我方对委托代理人的签字或者电子签名事项负全部责任。</w:t>
      </w:r>
    </w:p>
    <w:p w14:paraId="1BA81CD4">
      <w:pPr>
        <w:spacing w:before="180" w:line="360" w:lineRule="auto"/>
        <w:ind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本授权书自签署之日起生效，在撤销授权的书面通知以前，本授权书一直有效。</w:t>
      </w:r>
      <w:r>
        <w:rPr>
          <w:rFonts w:ascii="宋体" w:hAnsi="宋体" w:eastAsia="宋体" w:cs="宋体"/>
          <w:color w:val="auto"/>
          <w:sz w:val="24"/>
          <w:szCs w:val="24"/>
          <w:highlight w:val="none"/>
        </w:rPr>
        <w:t>委托代理人在授权书有效期内签署的所有文件不</w:t>
      </w:r>
      <w:r>
        <w:rPr>
          <w:rFonts w:ascii="宋体" w:hAnsi="宋体" w:eastAsia="宋体" w:cs="宋体"/>
          <w:color w:val="auto"/>
          <w:spacing w:val="-1"/>
          <w:sz w:val="24"/>
          <w:szCs w:val="24"/>
          <w:highlight w:val="none"/>
        </w:rPr>
        <w:t>因授权的撤销而失效。</w:t>
      </w:r>
    </w:p>
    <w:p w14:paraId="1C1CC713">
      <w:pPr>
        <w:spacing w:before="1"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委托代理人无转委托权，特此委托。</w:t>
      </w:r>
    </w:p>
    <w:p w14:paraId="77C475FD">
      <w:pPr>
        <w:spacing w:before="180" w:line="219" w:lineRule="auto"/>
        <w:ind w:left="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附：法定代表人身份证明书及委托代理人有效身份证正反面复印件</w:t>
      </w:r>
    </w:p>
    <w:p w14:paraId="388EF7D6">
      <w:pPr>
        <w:spacing w:line="283" w:lineRule="auto"/>
        <w:rPr>
          <w:rFonts w:ascii="Arial"/>
          <w:color w:val="auto"/>
          <w:sz w:val="21"/>
          <w:highlight w:val="none"/>
        </w:rPr>
      </w:pPr>
    </w:p>
    <w:p w14:paraId="401F7DF1">
      <w:pPr>
        <w:spacing w:line="284" w:lineRule="auto"/>
        <w:rPr>
          <w:rFonts w:ascii="Arial"/>
          <w:color w:val="auto"/>
          <w:sz w:val="21"/>
          <w:highlight w:val="none"/>
        </w:rPr>
      </w:pPr>
    </w:p>
    <w:p w14:paraId="17748A89">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委托代理人（签字或者电子签名）：</w:t>
      </w:r>
      <w:r>
        <w:rPr>
          <w:rFonts w:ascii="宋体" w:hAnsi="宋体" w:eastAsia="宋体" w:cs="宋体"/>
          <w:color w:val="auto"/>
          <w:spacing w:val="9"/>
          <w:sz w:val="24"/>
          <w:szCs w:val="24"/>
          <w:highlight w:val="none"/>
        </w:rPr>
        <w:t xml:space="preserve">     </w:t>
      </w:r>
      <w:r>
        <w:rPr>
          <w:rFonts w:ascii="宋体" w:hAnsi="宋体" w:eastAsia="宋体" w:cs="宋体"/>
          <w:color w:val="auto"/>
          <w:spacing w:val="5"/>
          <w:sz w:val="24"/>
          <w:szCs w:val="24"/>
          <w:highlight w:val="none"/>
        </w:rPr>
        <w:t>法定代表人（签</w:t>
      </w:r>
      <w:r>
        <w:rPr>
          <w:rFonts w:ascii="宋体" w:hAnsi="宋体" w:eastAsia="宋体" w:cs="宋体"/>
          <w:color w:val="auto"/>
          <w:spacing w:val="4"/>
          <w:sz w:val="24"/>
          <w:szCs w:val="24"/>
          <w:highlight w:val="none"/>
        </w:rPr>
        <w:t>字或者盖章或者电子签</w:t>
      </w:r>
    </w:p>
    <w:p w14:paraId="4ED590E5">
      <w:pPr>
        <w:spacing w:before="184" w:line="223" w:lineRule="auto"/>
        <w:ind w:left="3"/>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名</w:t>
      </w:r>
      <w:r>
        <w:rPr>
          <w:rFonts w:ascii="宋体" w:hAnsi="宋体" w:eastAsia="宋体" w:cs="宋体"/>
          <w:color w:val="auto"/>
          <w:sz w:val="24"/>
          <w:szCs w:val="24"/>
          <w:highlight w:val="none"/>
        </w:rPr>
        <w:t>）：</w:t>
      </w:r>
    </w:p>
    <w:p w14:paraId="11BA26CE">
      <w:pPr>
        <w:spacing w:before="176"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委托代理人身份证号码：</w:t>
      </w:r>
    </w:p>
    <w:p w14:paraId="6B84FD00">
      <w:pPr>
        <w:spacing w:line="283" w:lineRule="auto"/>
        <w:rPr>
          <w:rFonts w:ascii="Arial"/>
          <w:color w:val="auto"/>
          <w:sz w:val="21"/>
          <w:highlight w:val="none"/>
        </w:rPr>
      </w:pPr>
    </w:p>
    <w:p w14:paraId="72CF95C3">
      <w:pPr>
        <w:spacing w:line="283" w:lineRule="auto"/>
        <w:rPr>
          <w:rFonts w:ascii="Arial"/>
          <w:color w:val="auto"/>
          <w:sz w:val="21"/>
          <w:highlight w:val="none"/>
        </w:rPr>
      </w:pPr>
    </w:p>
    <w:p w14:paraId="20A591C2">
      <w:pPr>
        <w:spacing w:before="79" w:line="219" w:lineRule="auto"/>
        <w:ind w:left="30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7F80E254">
      <w:pPr>
        <w:spacing w:before="184" w:line="219" w:lineRule="auto"/>
        <w:ind w:left="4921"/>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年</w:t>
      </w:r>
      <w:r>
        <w:rPr>
          <w:rFonts w:ascii="宋体" w:hAnsi="宋体" w:eastAsia="宋体" w:cs="宋体"/>
          <w:color w:val="auto"/>
          <w:spacing w:val="3"/>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pacing w:val="13"/>
          <w:sz w:val="24"/>
          <w:szCs w:val="24"/>
          <w:highlight w:val="none"/>
        </w:rPr>
        <w:t xml:space="preserve">    </w:t>
      </w:r>
      <w:r>
        <w:rPr>
          <w:rFonts w:ascii="宋体" w:hAnsi="宋体" w:eastAsia="宋体" w:cs="宋体"/>
          <w:color w:val="auto"/>
          <w:spacing w:val="-9"/>
          <w:sz w:val="24"/>
          <w:szCs w:val="24"/>
          <w:highlight w:val="none"/>
        </w:rPr>
        <w:t>日</w:t>
      </w:r>
    </w:p>
    <w:p w14:paraId="323262A7">
      <w:pPr>
        <w:spacing w:line="283" w:lineRule="auto"/>
        <w:rPr>
          <w:rFonts w:ascii="Arial"/>
          <w:color w:val="auto"/>
          <w:sz w:val="21"/>
          <w:highlight w:val="none"/>
        </w:rPr>
      </w:pPr>
    </w:p>
    <w:p w14:paraId="6B1E301E">
      <w:pPr>
        <w:spacing w:line="284" w:lineRule="auto"/>
        <w:rPr>
          <w:rFonts w:ascii="Arial"/>
          <w:color w:val="auto"/>
          <w:sz w:val="21"/>
          <w:highlight w:val="none"/>
        </w:rPr>
      </w:pPr>
    </w:p>
    <w:p w14:paraId="2EBCF00E">
      <w:pPr>
        <w:spacing w:before="78" w:line="359" w:lineRule="auto"/>
        <w:ind w:left="3" w:right="109" w:hanging="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注：1. 法定代表人必须在授权委托书上签字或者盖章或者电子签名，委托代理人</w:t>
      </w:r>
      <w:r>
        <w:rPr>
          <w:rFonts w:ascii="宋体" w:hAnsi="宋体" w:eastAsia="宋体" w:cs="宋体"/>
          <w:color w:val="auto"/>
          <w:spacing w:val="-1"/>
          <w:sz w:val="24"/>
          <w:szCs w:val="24"/>
          <w:highlight w:val="none"/>
        </w:rPr>
        <w:t>必须在授权委托书上签字或者电子签名，</w:t>
      </w:r>
      <w:r>
        <w:rPr>
          <w:rFonts w:ascii="宋体" w:hAnsi="宋体" w:eastAsia="宋体" w:cs="宋体"/>
          <w:b/>
          <w:bCs/>
          <w:color w:val="auto"/>
          <w:spacing w:val="-1"/>
          <w:sz w:val="24"/>
          <w:szCs w:val="24"/>
          <w:highlight w:val="none"/>
        </w:rPr>
        <w:t>否则其响应文件</w:t>
      </w:r>
      <w:r>
        <w:rPr>
          <w:rFonts w:ascii="宋体" w:hAnsi="宋体" w:eastAsia="宋体" w:cs="宋体"/>
          <w:b/>
          <w:bCs/>
          <w:color w:val="auto"/>
          <w:spacing w:val="-2"/>
          <w:sz w:val="24"/>
          <w:szCs w:val="24"/>
          <w:highlight w:val="none"/>
        </w:rPr>
        <w:t>按无效响应处理。</w:t>
      </w:r>
    </w:p>
    <w:p w14:paraId="29473F1C">
      <w:pPr>
        <w:spacing w:before="2" w:line="361" w:lineRule="auto"/>
        <w:ind w:left="3" w:right="200" w:firstLine="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2.法人、其他组织竞标时“我方</w:t>
      </w:r>
      <w:r>
        <w:rPr>
          <w:rFonts w:ascii="宋体" w:hAnsi="宋体" w:eastAsia="宋体" w:cs="宋体"/>
          <w:color w:val="auto"/>
          <w:spacing w:val="-71"/>
          <w:sz w:val="24"/>
          <w:szCs w:val="24"/>
          <w:highlight w:val="none"/>
        </w:rPr>
        <w:t xml:space="preserve"> </w:t>
      </w:r>
      <w:r>
        <w:rPr>
          <w:rFonts w:ascii="宋体" w:hAnsi="宋体" w:eastAsia="宋体" w:cs="宋体"/>
          <w:color w:val="auto"/>
          <w:spacing w:val="-5"/>
          <w:sz w:val="24"/>
          <w:szCs w:val="24"/>
          <w:highlight w:val="none"/>
        </w:rPr>
        <w:t>”是指“我单位</w:t>
      </w:r>
      <w:r>
        <w:rPr>
          <w:rFonts w:ascii="宋体" w:hAnsi="宋体" w:eastAsia="宋体" w:cs="宋体"/>
          <w:color w:val="auto"/>
          <w:spacing w:val="-88"/>
          <w:sz w:val="24"/>
          <w:szCs w:val="24"/>
          <w:highlight w:val="none"/>
        </w:rPr>
        <w:t xml:space="preserve"> </w:t>
      </w:r>
      <w:r>
        <w:rPr>
          <w:rFonts w:ascii="宋体" w:hAnsi="宋体" w:eastAsia="宋体" w:cs="宋体"/>
          <w:color w:val="auto"/>
          <w:spacing w:val="-5"/>
          <w:sz w:val="24"/>
          <w:szCs w:val="24"/>
          <w:highlight w:val="none"/>
        </w:rPr>
        <w:t>”，</w:t>
      </w:r>
      <w:r>
        <w:rPr>
          <w:rFonts w:ascii="宋体" w:hAnsi="宋体" w:eastAsia="宋体" w:cs="宋体"/>
          <w:color w:val="auto"/>
          <w:spacing w:val="-72"/>
          <w:sz w:val="24"/>
          <w:szCs w:val="24"/>
          <w:highlight w:val="none"/>
        </w:rPr>
        <w:t xml:space="preserve"> </w:t>
      </w:r>
      <w:r>
        <w:rPr>
          <w:rFonts w:ascii="宋体" w:hAnsi="宋体" w:eastAsia="宋体" w:cs="宋体"/>
          <w:color w:val="auto"/>
          <w:spacing w:val="-5"/>
          <w:sz w:val="24"/>
          <w:szCs w:val="24"/>
          <w:highlight w:val="none"/>
        </w:rPr>
        <w:t>自然人竞标时“我方</w:t>
      </w:r>
      <w:r>
        <w:rPr>
          <w:rFonts w:ascii="宋体" w:hAnsi="宋体" w:eastAsia="宋体" w:cs="宋体"/>
          <w:color w:val="auto"/>
          <w:spacing w:val="-88"/>
          <w:sz w:val="24"/>
          <w:szCs w:val="24"/>
          <w:highlight w:val="none"/>
        </w:rPr>
        <w:t xml:space="preserve"> </w:t>
      </w:r>
      <w:r>
        <w:rPr>
          <w:rFonts w:ascii="宋体" w:hAnsi="宋体" w:eastAsia="宋体" w:cs="宋体"/>
          <w:color w:val="auto"/>
          <w:spacing w:val="-5"/>
          <w:sz w:val="24"/>
          <w:szCs w:val="24"/>
          <w:highlight w:val="none"/>
        </w:rPr>
        <w:t>”是</w:t>
      </w:r>
      <w:r>
        <w:rPr>
          <w:rFonts w:ascii="宋体" w:hAnsi="宋体" w:eastAsia="宋体" w:cs="宋体"/>
          <w:color w:val="auto"/>
          <w:spacing w:val="-2"/>
          <w:sz w:val="24"/>
          <w:szCs w:val="24"/>
          <w:highlight w:val="none"/>
        </w:rPr>
        <w:t>指“本人</w:t>
      </w:r>
      <w:r>
        <w:rPr>
          <w:rFonts w:ascii="宋体" w:hAnsi="宋体" w:eastAsia="宋体" w:cs="宋体"/>
          <w:color w:val="auto"/>
          <w:spacing w:val="-89"/>
          <w:sz w:val="24"/>
          <w:szCs w:val="24"/>
          <w:highlight w:val="none"/>
        </w:rPr>
        <w:t xml:space="preserve"> </w:t>
      </w:r>
      <w:r>
        <w:rPr>
          <w:rFonts w:ascii="宋体" w:hAnsi="宋体" w:eastAsia="宋体" w:cs="宋体"/>
          <w:color w:val="auto"/>
          <w:spacing w:val="-2"/>
          <w:sz w:val="24"/>
          <w:szCs w:val="24"/>
          <w:highlight w:val="none"/>
        </w:rPr>
        <w:t>”。</w:t>
      </w:r>
    </w:p>
    <w:p w14:paraId="28A16506">
      <w:pPr>
        <w:spacing w:line="361" w:lineRule="auto"/>
        <w:rPr>
          <w:rFonts w:ascii="宋体" w:hAnsi="宋体" w:eastAsia="宋体" w:cs="宋体"/>
          <w:color w:val="auto"/>
          <w:sz w:val="24"/>
          <w:szCs w:val="24"/>
          <w:highlight w:val="none"/>
        </w:rPr>
        <w:sectPr>
          <w:footerReference r:id="rId55" w:type="default"/>
          <w:pgSz w:w="11910" w:h="16840"/>
          <w:pgMar w:top="1302" w:right="1389" w:bottom="1091" w:left="1688" w:header="0" w:footer="929" w:gutter="0"/>
          <w:pgNumType w:fmt="decimal"/>
          <w:cols w:space="720" w:num="1"/>
        </w:sectPr>
      </w:pPr>
    </w:p>
    <w:p w14:paraId="52AFE716">
      <w:pPr>
        <w:spacing w:before="80" w:line="163" w:lineRule="auto"/>
        <w:ind w:left="3289"/>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5"/>
          <w:sz w:val="43"/>
          <w:szCs w:val="43"/>
          <w:highlight w:val="none"/>
        </w:rPr>
        <w:t>授权委托书</w:t>
      </w:r>
    </w:p>
    <w:p w14:paraId="3DA1E1F8">
      <w:pPr>
        <w:spacing w:before="3" w:line="168" w:lineRule="auto"/>
        <w:ind w:left="234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5"/>
          <w:sz w:val="43"/>
          <w:szCs w:val="43"/>
          <w:highlight w:val="none"/>
        </w:rPr>
        <w:t>（</w:t>
      </w:r>
      <w:r>
        <w:rPr>
          <w:rFonts w:ascii="Arial Unicode MS" w:hAnsi="Arial Unicode MS" w:eastAsia="Arial Unicode MS" w:cs="Arial Unicode MS"/>
          <w:color w:val="auto"/>
          <w:spacing w:val="-41"/>
          <w:sz w:val="43"/>
          <w:szCs w:val="43"/>
          <w:highlight w:val="none"/>
        </w:rPr>
        <w:t xml:space="preserve"> </w:t>
      </w:r>
      <w:r>
        <w:rPr>
          <w:rFonts w:ascii="Arial Unicode MS" w:hAnsi="Arial Unicode MS" w:eastAsia="Arial Unicode MS" w:cs="Arial Unicode MS"/>
          <w:color w:val="auto"/>
          <w:spacing w:val="5"/>
          <w:sz w:val="43"/>
          <w:szCs w:val="43"/>
          <w:highlight w:val="none"/>
        </w:rPr>
        <w:t>联合体竞标格式</w:t>
      </w:r>
      <w:r>
        <w:rPr>
          <w:rFonts w:ascii="Arial Unicode MS" w:hAnsi="Arial Unicode MS" w:eastAsia="Arial Unicode MS" w:cs="Arial Unicode MS"/>
          <w:color w:val="auto"/>
          <w:spacing w:val="-60"/>
          <w:sz w:val="43"/>
          <w:szCs w:val="43"/>
          <w:highlight w:val="none"/>
        </w:rPr>
        <w:t xml:space="preserve"> </w:t>
      </w:r>
      <w:r>
        <w:rPr>
          <w:rFonts w:ascii="Arial Unicode MS" w:hAnsi="Arial Unicode MS" w:eastAsia="Arial Unicode MS" w:cs="Arial Unicode MS"/>
          <w:color w:val="auto"/>
          <w:spacing w:val="5"/>
          <w:sz w:val="43"/>
          <w:szCs w:val="43"/>
          <w:highlight w:val="none"/>
        </w:rPr>
        <w:t>）</w:t>
      </w:r>
    </w:p>
    <w:p w14:paraId="5475116B">
      <w:pPr>
        <w:spacing w:line="186" w:lineRule="auto"/>
        <w:ind w:left="2779"/>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2"/>
          <w:sz w:val="43"/>
          <w:szCs w:val="43"/>
          <w:highlight w:val="none"/>
        </w:rPr>
        <w:t>（</w:t>
      </w:r>
      <w:r>
        <w:rPr>
          <w:rFonts w:ascii="Arial Unicode MS" w:hAnsi="Arial Unicode MS" w:eastAsia="Arial Unicode MS" w:cs="Arial Unicode MS"/>
          <w:color w:val="auto"/>
          <w:spacing w:val="-28"/>
          <w:sz w:val="43"/>
          <w:szCs w:val="43"/>
          <w:highlight w:val="none"/>
        </w:rPr>
        <w:t xml:space="preserve"> </w:t>
      </w:r>
      <w:r>
        <w:rPr>
          <w:rFonts w:ascii="Arial Unicode MS" w:hAnsi="Arial Unicode MS" w:eastAsia="Arial Unicode MS" w:cs="Arial Unicode MS"/>
          <w:color w:val="auto"/>
          <w:spacing w:val="2"/>
          <w:sz w:val="43"/>
          <w:szCs w:val="43"/>
          <w:highlight w:val="none"/>
        </w:rPr>
        <w:t>如有委托时</w:t>
      </w:r>
      <w:r>
        <w:rPr>
          <w:rFonts w:ascii="Arial Unicode MS" w:hAnsi="Arial Unicode MS" w:eastAsia="Arial Unicode MS" w:cs="Arial Unicode MS"/>
          <w:color w:val="auto"/>
          <w:spacing w:val="-62"/>
          <w:sz w:val="43"/>
          <w:szCs w:val="43"/>
          <w:highlight w:val="none"/>
        </w:rPr>
        <w:t xml:space="preserve"> </w:t>
      </w:r>
      <w:r>
        <w:rPr>
          <w:rFonts w:ascii="Arial Unicode MS" w:hAnsi="Arial Unicode MS" w:eastAsia="Arial Unicode MS" w:cs="Arial Unicode MS"/>
          <w:color w:val="auto"/>
          <w:spacing w:val="2"/>
          <w:sz w:val="43"/>
          <w:szCs w:val="43"/>
          <w:highlight w:val="none"/>
        </w:rPr>
        <w:t>）</w:t>
      </w:r>
    </w:p>
    <w:p w14:paraId="70E6C3D5">
      <w:pPr>
        <w:spacing w:line="477" w:lineRule="auto"/>
        <w:rPr>
          <w:rFonts w:ascii="Arial"/>
          <w:color w:val="auto"/>
          <w:sz w:val="21"/>
          <w:highlight w:val="none"/>
        </w:rPr>
      </w:pPr>
    </w:p>
    <w:p w14:paraId="3C061B3B">
      <w:pPr>
        <w:tabs>
          <w:tab w:val="left" w:pos="8642"/>
          <w:tab w:val="left" w:pos="8730"/>
        </w:tabs>
        <w:spacing w:before="78" w:line="359" w:lineRule="auto"/>
        <w:ind w:left="11" w:right="112" w:firstLine="48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本授权委托书声明：根据</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（牵头人名称）与</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（联合体其他成员名称）签订的《联合体竞标协议书》的内容，</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（牵头人名称）的法定代表人</w:t>
      </w:r>
      <w:r>
        <w:rPr>
          <w:rFonts w:ascii="宋体" w:hAnsi="宋体" w:eastAsia="宋体" w:cs="宋体"/>
          <w:color w:val="auto"/>
          <w:spacing w:val="-120"/>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（姓名）现授权</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（姓名）为联合委托代</w:t>
      </w:r>
      <w:r>
        <w:rPr>
          <w:rFonts w:ascii="宋体" w:hAnsi="宋体" w:eastAsia="宋体" w:cs="宋体"/>
          <w:color w:val="auto"/>
          <w:sz w:val="24"/>
          <w:szCs w:val="24"/>
          <w:highlight w:val="none"/>
        </w:rPr>
        <w:t>理人，并代表我方全权办理针对上述项目的所有采购程序</w:t>
      </w:r>
      <w:r>
        <w:rPr>
          <w:rFonts w:ascii="宋体" w:hAnsi="宋体" w:eastAsia="宋体" w:cs="宋体"/>
          <w:color w:val="auto"/>
          <w:spacing w:val="-1"/>
          <w:sz w:val="24"/>
          <w:szCs w:val="24"/>
          <w:highlight w:val="none"/>
        </w:rPr>
        <w:t>和环节的具体事务和签署</w:t>
      </w:r>
      <w:r>
        <w:rPr>
          <w:rFonts w:ascii="宋体" w:hAnsi="宋体" w:eastAsia="宋体" w:cs="宋体"/>
          <w:color w:val="auto"/>
          <w:spacing w:val="-2"/>
          <w:sz w:val="24"/>
          <w:szCs w:val="24"/>
          <w:highlight w:val="none"/>
        </w:rPr>
        <w:t>相关文件。</w:t>
      </w:r>
    </w:p>
    <w:p w14:paraId="66987836">
      <w:pPr>
        <w:spacing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我方对委托代理人的签字或者电子签名事项负全部责任。</w:t>
      </w:r>
    </w:p>
    <w:p w14:paraId="0F7D9D99">
      <w:pPr>
        <w:spacing w:before="183" w:line="359" w:lineRule="auto"/>
        <w:ind w:left="10" w:firstLine="4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本授权书自签署之日起生效，在撤销授权的书面通知以前，本授权书一直有效。</w:t>
      </w:r>
      <w:r>
        <w:rPr>
          <w:rFonts w:ascii="宋体" w:hAnsi="宋体" w:eastAsia="宋体" w:cs="宋体"/>
          <w:color w:val="auto"/>
          <w:sz w:val="24"/>
          <w:szCs w:val="24"/>
          <w:highlight w:val="none"/>
        </w:rPr>
        <w:t>委托代理人在授权书有效期内签署的所有文件不</w:t>
      </w:r>
      <w:r>
        <w:rPr>
          <w:rFonts w:ascii="宋体" w:hAnsi="宋体" w:eastAsia="宋体" w:cs="宋体"/>
          <w:color w:val="auto"/>
          <w:spacing w:val="-1"/>
          <w:sz w:val="24"/>
          <w:szCs w:val="24"/>
          <w:highlight w:val="none"/>
        </w:rPr>
        <w:t>因授权的撤销而失效。</w:t>
      </w:r>
    </w:p>
    <w:p w14:paraId="5E492AB7">
      <w:pPr>
        <w:spacing w:line="219" w:lineRule="auto"/>
        <w:ind w:left="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委托代理人无转委托权，特此委托。</w:t>
      </w:r>
    </w:p>
    <w:p w14:paraId="5FD03CF0">
      <w:pPr>
        <w:spacing w:before="182" w:line="219" w:lineRule="auto"/>
        <w:ind w:left="51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附：法定代表人身份证明书及委托代理人有效身份证正反面复印件</w:t>
      </w:r>
    </w:p>
    <w:p w14:paraId="63A727FA">
      <w:pPr>
        <w:spacing w:before="181" w:line="219" w:lineRule="auto"/>
        <w:ind w:left="4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牵头人法定代表人（签字或者盖章或者电子签名</w:t>
      </w:r>
      <w:r>
        <w:rPr>
          <w:rFonts w:ascii="宋体" w:hAnsi="宋体" w:eastAsia="宋体" w:cs="宋体"/>
          <w:color w:val="auto"/>
          <w:spacing w:val="4"/>
          <w:sz w:val="24"/>
          <w:szCs w:val="24"/>
          <w:highlight w:val="none"/>
        </w:rPr>
        <w:t>）：</w:t>
      </w:r>
    </w:p>
    <w:p w14:paraId="7262B097">
      <w:pPr>
        <w:spacing w:before="183" w:line="219" w:lineRule="auto"/>
        <w:ind w:left="313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牵头人（电子签章</w:t>
      </w:r>
      <w:r>
        <w:rPr>
          <w:rFonts w:ascii="宋体" w:hAnsi="宋体" w:eastAsia="宋体" w:cs="宋体"/>
          <w:color w:val="auto"/>
          <w:spacing w:val="1"/>
          <w:sz w:val="24"/>
          <w:szCs w:val="24"/>
          <w:highlight w:val="none"/>
        </w:rPr>
        <w:t>）：</w:t>
      </w:r>
    </w:p>
    <w:p w14:paraId="671FCD8E">
      <w:pPr>
        <w:spacing w:before="182" w:line="219" w:lineRule="auto"/>
        <w:ind w:left="3893"/>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2"/>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6"/>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3"/>
          <w:sz w:val="24"/>
          <w:szCs w:val="24"/>
          <w:highlight w:val="none"/>
        </w:rPr>
        <w:t>日</w:t>
      </w:r>
    </w:p>
    <w:p w14:paraId="603891CA">
      <w:pPr>
        <w:spacing w:line="283" w:lineRule="auto"/>
        <w:rPr>
          <w:rFonts w:ascii="Arial"/>
          <w:color w:val="auto"/>
          <w:sz w:val="21"/>
          <w:highlight w:val="none"/>
        </w:rPr>
      </w:pPr>
    </w:p>
    <w:p w14:paraId="7D793630">
      <w:pPr>
        <w:spacing w:line="284" w:lineRule="auto"/>
        <w:rPr>
          <w:rFonts w:ascii="Arial"/>
          <w:color w:val="auto"/>
          <w:sz w:val="21"/>
          <w:highlight w:val="none"/>
        </w:rPr>
      </w:pPr>
    </w:p>
    <w:p w14:paraId="07F78DBD">
      <w:pPr>
        <w:spacing w:before="78" w:line="219" w:lineRule="auto"/>
        <w:ind w:left="313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被授权人（签字或者电子签名</w:t>
      </w:r>
      <w:r>
        <w:rPr>
          <w:rFonts w:ascii="宋体" w:hAnsi="宋体" w:eastAsia="宋体" w:cs="宋体"/>
          <w:color w:val="auto"/>
          <w:spacing w:val="1"/>
          <w:sz w:val="24"/>
          <w:szCs w:val="24"/>
          <w:highlight w:val="none"/>
        </w:rPr>
        <w:t>）：</w:t>
      </w:r>
    </w:p>
    <w:p w14:paraId="60737F7B">
      <w:pPr>
        <w:spacing w:before="184" w:line="219" w:lineRule="auto"/>
        <w:ind w:left="3893"/>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2"/>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6"/>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3"/>
          <w:sz w:val="24"/>
          <w:szCs w:val="24"/>
          <w:highlight w:val="none"/>
        </w:rPr>
        <w:t>日</w:t>
      </w:r>
    </w:p>
    <w:p w14:paraId="256015F4">
      <w:pPr>
        <w:spacing w:line="283" w:lineRule="auto"/>
        <w:rPr>
          <w:rFonts w:ascii="Arial"/>
          <w:color w:val="auto"/>
          <w:sz w:val="21"/>
          <w:highlight w:val="none"/>
        </w:rPr>
      </w:pPr>
    </w:p>
    <w:p w14:paraId="4A72EC2B">
      <w:pPr>
        <w:spacing w:line="283" w:lineRule="auto"/>
        <w:rPr>
          <w:rFonts w:ascii="Arial"/>
          <w:color w:val="auto"/>
          <w:sz w:val="21"/>
          <w:highlight w:val="none"/>
        </w:rPr>
      </w:pPr>
    </w:p>
    <w:p w14:paraId="1BAB1CAC">
      <w:pPr>
        <w:spacing w:before="78" w:line="362" w:lineRule="auto"/>
        <w:ind w:left="14" w:right="109" w:hanging="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注：1. 法定代表人必须在授权委托书上签字或者盖章或者电子签名，委托代理人</w:t>
      </w:r>
      <w:r>
        <w:rPr>
          <w:rFonts w:ascii="宋体" w:hAnsi="宋体" w:eastAsia="宋体" w:cs="宋体"/>
          <w:color w:val="auto"/>
          <w:spacing w:val="-1"/>
          <w:sz w:val="24"/>
          <w:szCs w:val="24"/>
          <w:highlight w:val="none"/>
        </w:rPr>
        <w:t>必须在授权委托书上签字或者电子签名，</w:t>
      </w:r>
      <w:r>
        <w:rPr>
          <w:rFonts w:ascii="宋体" w:hAnsi="宋体" w:eastAsia="宋体" w:cs="宋体"/>
          <w:b/>
          <w:bCs/>
          <w:color w:val="auto"/>
          <w:spacing w:val="-1"/>
          <w:sz w:val="24"/>
          <w:szCs w:val="24"/>
          <w:highlight w:val="none"/>
        </w:rPr>
        <w:t>否则其响应文件</w:t>
      </w:r>
      <w:r>
        <w:rPr>
          <w:rFonts w:ascii="宋体" w:hAnsi="宋体" w:eastAsia="宋体" w:cs="宋体"/>
          <w:b/>
          <w:bCs/>
          <w:color w:val="auto"/>
          <w:spacing w:val="-2"/>
          <w:sz w:val="24"/>
          <w:szCs w:val="24"/>
          <w:highlight w:val="none"/>
        </w:rPr>
        <w:t>按无效响应处理。</w:t>
      </w:r>
    </w:p>
    <w:p w14:paraId="4370AC12">
      <w:pPr>
        <w:spacing w:before="150" w:line="388" w:lineRule="auto"/>
        <w:ind w:right="440" w:firstLine="1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2.法人、其他组织竞标时“我方</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”是指“我单位</w:t>
      </w:r>
      <w:r>
        <w:rPr>
          <w:rFonts w:ascii="宋体" w:hAnsi="宋体" w:eastAsia="宋体" w:cs="宋体"/>
          <w:color w:val="auto"/>
          <w:spacing w:val="-88"/>
          <w:sz w:val="24"/>
          <w:szCs w:val="24"/>
          <w:highlight w:val="none"/>
        </w:rPr>
        <w:t xml:space="preserve"> </w:t>
      </w:r>
      <w:r>
        <w:rPr>
          <w:rFonts w:ascii="宋体" w:hAnsi="宋体" w:eastAsia="宋体" w:cs="宋体"/>
          <w:color w:val="auto"/>
          <w:spacing w:val="-5"/>
          <w:sz w:val="24"/>
          <w:szCs w:val="24"/>
          <w:highlight w:val="none"/>
        </w:rPr>
        <w:t>”，</w:t>
      </w:r>
      <w:r>
        <w:rPr>
          <w:rFonts w:ascii="宋体" w:hAnsi="宋体" w:eastAsia="宋体" w:cs="宋体"/>
          <w:color w:val="auto"/>
          <w:spacing w:val="-72"/>
          <w:sz w:val="24"/>
          <w:szCs w:val="24"/>
          <w:highlight w:val="none"/>
        </w:rPr>
        <w:t xml:space="preserve"> </w:t>
      </w:r>
      <w:r>
        <w:rPr>
          <w:rFonts w:ascii="宋体" w:hAnsi="宋体" w:eastAsia="宋体" w:cs="宋体"/>
          <w:color w:val="auto"/>
          <w:spacing w:val="-5"/>
          <w:sz w:val="24"/>
          <w:szCs w:val="24"/>
          <w:highlight w:val="none"/>
        </w:rPr>
        <w:t>自然人竞标时“我方</w:t>
      </w:r>
      <w:r>
        <w:rPr>
          <w:rFonts w:ascii="宋体" w:hAnsi="宋体" w:eastAsia="宋体" w:cs="宋体"/>
          <w:color w:val="auto"/>
          <w:spacing w:val="-88"/>
          <w:sz w:val="24"/>
          <w:szCs w:val="24"/>
          <w:highlight w:val="none"/>
        </w:rPr>
        <w:t xml:space="preserve"> </w:t>
      </w:r>
      <w:r>
        <w:rPr>
          <w:rFonts w:ascii="宋体" w:hAnsi="宋体" w:eastAsia="宋体" w:cs="宋体"/>
          <w:color w:val="auto"/>
          <w:spacing w:val="-5"/>
          <w:sz w:val="24"/>
          <w:szCs w:val="24"/>
          <w:highlight w:val="none"/>
        </w:rPr>
        <w:t>”是指</w:t>
      </w:r>
      <w:r>
        <w:rPr>
          <w:rFonts w:ascii="宋体" w:hAnsi="宋体" w:eastAsia="宋体" w:cs="宋体"/>
          <w:color w:val="auto"/>
          <w:sz w:val="24"/>
          <w:szCs w:val="24"/>
          <w:highlight w:val="none"/>
        </w:rPr>
        <w:t>“本人</w:t>
      </w:r>
      <w:r>
        <w:rPr>
          <w:rFonts w:ascii="宋体" w:hAnsi="宋体" w:eastAsia="宋体" w:cs="宋体"/>
          <w:color w:val="auto"/>
          <w:spacing w:val="-86"/>
          <w:sz w:val="24"/>
          <w:szCs w:val="24"/>
          <w:highlight w:val="none"/>
        </w:rPr>
        <w:t xml:space="preserve"> </w:t>
      </w:r>
      <w:r>
        <w:rPr>
          <w:rFonts w:ascii="宋体" w:hAnsi="宋体" w:eastAsia="宋体" w:cs="宋体"/>
          <w:color w:val="auto"/>
          <w:sz w:val="24"/>
          <w:szCs w:val="24"/>
          <w:highlight w:val="none"/>
        </w:rPr>
        <w:t>”。</w:t>
      </w:r>
    </w:p>
    <w:p w14:paraId="57EBB282">
      <w:pPr>
        <w:spacing w:line="388" w:lineRule="auto"/>
        <w:rPr>
          <w:rFonts w:ascii="宋体" w:hAnsi="宋体" w:eastAsia="宋体" w:cs="宋体"/>
          <w:color w:val="auto"/>
          <w:sz w:val="24"/>
          <w:szCs w:val="24"/>
          <w:highlight w:val="none"/>
        </w:rPr>
        <w:sectPr>
          <w:footerReference r:id="rId56" w:type="default"/>
          <w:pgSz w:w="11910" w:h="16840"/>
          <w:pgMar w:top="1302" w:right="1389" w:bottom="1091" w:left="1677" w:header="0" w:footer="929" w:gutter="0"/>
          <w:pgNumType w:fmt="decimal"/>
          <w:cols w:space="720" w:num="1"/>
        </w:sectPr>
      </w:pPr>
    </w:p>
    <w:p w14:paraId="0CD41653">
      <w:pPr>
        <w:spacing w:before="80" w:line="185" w:lineRule="auto"/>
        <w:ind w:left="2522"/>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商务要求偏离表格式</w:t>
      </w:r>
    </w:p>
    <w:p w14:paraId="4738009B">
      <w:pPr>
        <w:spacing w:line="356" w:lineRule="auto"/>
        <w:rPr>
          <w:rFonts w:ascii="Arial"/>
          <w:color w:val="auto"/>
          <w:sz w:val="21"/>
          <w:highlight w:val="none"/>
        </w:rPr>
      </w:pPr>
    </w:p>
    <w:p w14:paraId="23A3C1EB">
      <w:pPr>
        <w:spacing w:line="357" w:lineRule="auto"/>
        <w:rPr>
          <w:rFonts w:ascii="Arial"/>
          <w:color w:val="auto"/>
          <w:sz w:val="21"/>
          <w:highlight w:val="none"/>
        </w:rPr>
      </w:pPr>
    </w:p>
    <w:p w14:paraId="33BB9ADC">
      <w:pPr>
        <w:spacing w:before="78" w:line="220" w:lineRule="auto"/>
        <w:ind w:left="12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所竞分标：</w:t>
      </w:r>
      <w:r>
        <w:rPr>
          <w:rFonts w:ascii="宋体" w:hAnsi="宋体" w:eastAsia="宋体" w:cs="宋体"/>
          <w:color w:val="auto"/>
          <w:sz w:val="24"/>
          <w:szCs w:val="24"/>
          <w:highlight w:val="none"/>
          <w:u w:val="single" w:color="auto"/>
        </w:rPr>
        <w:t xml:space="preserve">              </w:t>
      </w:r>
    </w:p>
    <w:p w14:paraId="5F3A353C">
      <w:pPr>
        <w:spacing w:before="214"/>
        <w:rPr>
          <w:color w:val="auto"/>
          <w:highlight w:val="none"/>
        </w:rPr>
      </w:pPr>
    </w:p>
    <w:tbl>
      <w:tblPr>
        <w:tblStyle w:val="11"/>
        <w:tblW w:w="93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82"/>
        <w:gridCol w:w="2666"/>
        <w:gridCol w:w="2631"/>
        <w:gridCol w:w="1833"/>
      </w:tblGrid>
      <w:tr w14:paraId="6C122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2182" w:type="dxa"/>
            <w:vAlign w:val="top"/>
          </w:tcPr>
          <w:p w14:paraId="50A7EE98">
            <w:pPr>
              <w:pStyle w:val="12"/>
              <w:spacing w:before="186" w:line="220" w:lineRule="auto"/>
              <w:ind w:left="862"/>
              <w:rPr>
                <w:rFonts w:hint="eastAsia" w:eastAsia="宋体"/>
                <w:color w:val="auto"/>
                <w:sz w:val="24"/>
                <w:szCs w:val="24"/>
                <w:highlight w:val="none"/>
                <w:lang w:eastAsia="zh-CN"/>
              </w:rPr>
            </w:pPr>
            <w:r>
              <w:rPr>
                <w:rFonts w:hint="eastAsia"/>
                <w:color w:val="auto"/>
                <w:spacing w:val="-7"/>
                <w:sz w:val="24"/>
                <w:szCs w:val="24"/>
                <w:highlight w:val="none"/>
                <w:lang w:val="en-US" w:eastAsia="zh-CN"/>
              </w:rPr>
              <w:t>序号</w:t>
            </w:r>
          </w:p>
        </w:tc>
        <w:tc>
          <w:tcPr>
            <w:tcW w:w="2666" w:type="dxa"/>
            <w:vAlign w:val="top"/>
          </w:tcPr>
          <w:p w14:paraId="516E989B">
            <w:pPr>
              <w:pStyle w:val="12"/>
              <w:spacing w:before="187" w:line="219" w:lineRule="auto"/>
              <w:ind w:left="377"/>
              <w:rPr>
                <w:color w:val="auto"/>
                <w:sz w:val="24"/>
                <w:szCs w:val="24"/>
                <w:highlight w:val="none"/>
              </w:rPr>
            </w:pPr>
            <w:r>
              <w:rPr>
                <w:color w:val="auto"/>
                <w:spacing w:val="-2"/>
                <w:sz w:val="24"/>
                <w:szCs w:val="24"/>
                <w:highlight w:val="none"/>
              </w:rPr>
              <w:t>谈判文件商务要求</w:t>
            </w:r>
          </w:p>
        </w:tc>
        <w:tc>
          <w:tcPr>
            <w:tcW w:w="2631" w:type="dxa"/>
            <w:vAlign w:val="top"/>
          </w:tcPr>
          <w:p w14:paraId="61773A75">
            <w:pPr>
              <w:pStyle w:val="12"/>
              <w:spacing w:before="186" w:line="219" w:lineRule="auto"/>
              <w:ind w:left="601"/>
              <w:rPr>
                <w:color w:val="auto"/>
                <w:sz w:val="24"/>
                <w:szCs w:val="24"/>
                <w:highlight w:val="none"/>
              </w:rPr>
            </w:pPr>
            <w:r>
              <w:rPr>
                <w:color w:val="auto"/>
                <w:spacing w:val="-2"/>
                <w:sz w:val="24"/>
                <w:szCs w:val="24"/>
                <w:highlight w:val="none"/>
              </w:rPr>
              <w:t>供应商的响应</w:t>
            </w:r>
          </w:p>
        </w:tc>
        <w:tc>
          <w:tcPr>
            <w:tcW w:w="1833" w:type="dxa"/>
            <w:vAlign w:val="top"/>
          </w:tcPr>
          <w:p w14:paraId="52E38F74">
            <w:pPr>
              <w:pStyle w:val="12"/>
              <w:spacing w:before="187" w:line="219" w:lineRule="auto"/>
              <w:ind w:left="442"/>
              <w:rPr>
                <w:color w:val="auto"/>
                <w:sz w:val="24"/>
                <w:szCs w:val="24"/>
                <w:highlight w:val="none"/>
              </w:rPr>
            </w:pPr>
            <w:r>
              <w:rPr>
                <w:color w:val="auto"/>
                <w:spacing w:val="-3"/>
                <w:sz w:val="24"/>
                <w:szCs w:val="24"/>
                <w:highlight w:val="none"/>
              </w:rPr>
              <w:t>偏离说明</w:t>
            </w:r>
          </w:p>
        </w:tc>
      </w:tr>
      <w:tr w14:paraId="52A22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182" w:type="dxa"/>
            <w:vAlign w:val="top"/>
          </w:tcPr>
          <w:p w14:paraId="0BD4B90E">
            <w:pPr>
              <w:pStyle w:val="12"/>
              <w:spacing w:before="187" w:line="219" w:lineRule="auto"/>
              <w:ind w:left="377"/>
              <w:rPr>
                <w:rFonts w:hint="default" w:ascii="宋体" w:eastAsia="宋体"/>
                <w:color w:val="auto"/>
                <w:spacing w:val="-2"/>
                <w:sz w:val="24"/>
                <w:szCs w:val="24"/>
                <w:highlight w:val="none"/>
                <w:lang w:val="en-US" w:eastAsia="zh-CN"/>
              </w:rPr>
            </w:pPr>
            <w:r>
              <w:rPr>
                <w:rFonts w:hint="default" w:eastAsia="宋体"/>
                <w:color w:val="auto"/>
                <w:spacing w:val="-2"/>
                <w:sz w:val="24"/>
                <w:szCs w:val="24"/>
                <w:highlight w:val="none"/>
                <w:lang w:val="en-US" w:eastAsia="zh-CN"/>
              </w:rPr>
              <w:t>1</w:t>
            </w:r>
          </w:p>
        </w:tc>
        <w:tc>
          <w:tcPr>
            <w:tcW w:w="2666" w:type="dxa"/>
            <w:vAlign w:val="top"/>
          </w:tcPr>
          <w:p w14:paraId="22B95F76">
            <w:pPr>
              <w:rPr>
                <w:rFonts w:ascii="Arial"/>
                <w:color w:val="auto"/>
                <w:sz w:val="21"/>
                <w:highlight w:val="none"/>
              </w:rPr>
            </w:pPr>
          </w:p>
        </w:tc>
        <w:tc>
          <w:tcPr>
            <w:tcW w:w="2631" w:type="dxa"/>
            <w:vAlign w:val="top"/>
          </w:tcPr>
          <w:p w14:paraId="0141BA0E">
            <w:pPr>
              <w:rPr>
                <w:rFonts w:ascii="Arial"/>
                <w:color w:val="auto"/>
                <w:sz w:val="21"/>
                <w:highlight w:val="none"/>
              </w:rPr>
            </w:pPr>
          </w:p>
        </w:tc>
        <w:tc>
          <w:tcPr>
            <w:tcW w:w="1833" w:type="dxa"/>
            <w:vAlign w:val="top"/>
          </w:tcPr>
          <w:p w14:paraId="4B184404">
            <w:pPr>
              <w:rPr>
                <w:rFonts w:ascii="Arial"/>
                <w:color w:val="auto"/>
                <w:sz w:val="21"/>
                <w:highlight w:val="none"/>
              </w:rPr>
            </w:pPr>
          </w:p>
        </w:tc>
      </w:tr>
      <w:tr w14:paraId="1C8BB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2182" w:type="dxa"/>
            <w:vAlign w:val="top"/>
          </w:tcPr>
          <w:p w14:paraId="7A1AEC2E">
            <w:pPr>
              <w:pStyle w:val="12"/>
              <w:spacing w:before="187" w:line="219" w:lineRule="auto"/>
              <w:ind w:left="377"/>
              <w:rPr>
                <w:rFonts w:hint="default" w:ascii="宋体" w:eastAsia="宋体"/>
                <w:color w:val="auto"/>
                <w:spacing w:val="-2"/>
                <w:sz w:val="24"/>
                <w:szCs w:val="24"/>
                <w:highlight w:val="none"/>
                <w:lang w:val="en-US" w:eastAsia="zh-CN"/>
              </w:rPr>
            </w:pPr>
            <w:r>
              <w:rPr>
                <w:rFonts w:hint="default" w:eastAsia="宋体"/>
                <w:color w:val="auto"/>
                <w:spacing w:val="-2"/>
                <w:sz w:val="24"/>
                <w:szCs w:val="24"/>
                <w:highlight w:val="none"/>
                <w:lang w:val="en-US" w:eastAsia="zh-CN"/>
              </w:rPr>
              <w:t>2</w:t>
            </w:r>
          </w:p>
        </w:tc>
        <w:tc>
          <w:tcPr>
            <w:tcW w:w="2666" w:type="dxa"/>
            <w:vAlign w:val="top"/>
          </w:tcPr>
          <w:p w14:paraId="413CD60B">
            <w:pPr>
              <w:rPr>
                <w:rFonts w:ascii="Arial"/>
                <w:color w:val="auto"/>
                <w:sz w:val="21"/>
                <w:highlight w:val="none"/>
              </w:rPr>
            </w:pPr>
          </w:p>
        </w:tc>
        <w:tc>
          <w:tcPr>
            <w:tcW w:w="2631" w:type="dxa"/>
            <w:vAlign w:val="top"/>
          </w:tcPr>
          <w:p w14:paraId="4974E132">
            <w:pPr>
              <w:rPr>
                <w:rFonts w:ascii="Arial"/>
                <w:color w:val="auto"/>
                <w:sz w:val="21"/>
                <w:highlight w:val="none"/>
              </w:rPr>
            </w:pPr>
          </w:p>
        </w:tc>
        <w:tc>
          <w:tcPr>
            <w:tcW w:w="1833" w:type="dxa"/>
            <w:vAlign w:val="top"/>
          </w:tcPr>
          <w:p w14:paraId="36418C4B">
            <w:pPr>
              <w:rPr>
                <w:rFonts w:ascii="Arial"/>
                <w:color w:val="auto"/>
                <w:sz w:val="21"/>
                <w:highlight w:val="none"/>
              </w:rPr>
            </w:pPr>
          </w:p>
        </w:tc>
      </w:tr>
      <w:tr w14:paraId="17BC9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2182" w:type="dxa"/>
            <w:vAlign w:val="top"/>
          </w:tcPr>
          <w:p w14:paraId="2931E999">
            <w:pPr>
              <w:pStyle w:val="12"/>
              <w:spacing w:before="187" w:line="219" w:lineRule="auto"/>
              <w:ind w:left="377"/>
              <w:rPr>
                <w:rFonts w:hint="default" w:ascii="宋体" w:eastAsia="宋体"/>
                <w:color w:val="auto"/>
                <w:spacing w:val="-2"/>
                <w:sz w:val="24"/>
                <w:szCs w:val="24"/>
                <w:highlight w:val="none"/>
                <w:lang w:val="en-US" w:eastAsia="zh-CN"/>
              </w:rPr>
            </w:pPr>
            <w:r>
              <w:rPr>
                <w:rFonts w:hint="default" w:eastAsia="宋体"/>
                <w:color w:val="auto"/>
                <w:spacing w:val="-2"/>
                <w:sz w:val="24"/>
                <w:szCs w:val="24"/>
                <w:highlight w:val="none"/>
                <w:lang w:val="en-US" w:eastAsia="zh-CN"/>
              </w:rPr>
              <w:t>3</w:t>
            </w:r>
          </w:p>
        </w:tc>
        <w:tc>
          <w:tcPr>
            <w:tcW w:w="2666" w:type="dxa"/>
            <w:vAlign w:val="top"/>
          </w:tcPr>
          <w:p w14:paraId="7CD04151">
            <w:pPr>
              <w:rPr>
                <w:rFonts w:ascii="Arial"/>
                <w:color w:val="auto"/>
                <w:sz w:val="21"/>
                <w:highlight w:val="none"/>
              </w:rPr>
            </w:pPr>
          </w:p>
        </w:tc>
        <w:tc>
          <w:tcPr>
            <w:tcW w:w="2631" w:type="dxa"/>
            <w:vAlign w:val="top"/>
          </w:tcPr>
          <w:p w14:paraId="52B7229A">
            <w:pPr>
              <w:rPr>
                <w:rFonts w:ascii="Arial"/>
                <w:color w:val="auto"/>
                <w:sz w:val="21"/>
                <w:highlight w:val="none"/>
              </w:rPr>
            </w:pPr>
          </w:p>
        </w:tc>
        <w:tc>
          <w:tcPr>
            <w:tcW w:w="1833" w:type="dxa"/>
            <w:vAlign w:val="top"/>
          </w:tcPr>
          <w:p w14:paraId="6D9660A8">
            <w:pPr>
              <w:rPr>
                <w:rFonts w:ascii="Arial"/>
                <w:color w:val="auto"/>
                <w:sz w:val="21"/>
                <w:highlight w:val="none"/>
              </w:rPr>
            </w:pPr>
          </w:p>
        </w:tc>
      </w:tr>
      <w:tr w14:paraId="509CF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2182" w:type="dxa"/>
            <w:vAlign w:val="top"/>
          </w:tcPr>
          <w:p w14:paraId="27B03293">
            <w:pPr>
              <w:pStyle w:val="12"/>
              <w:spacing w:before="187" w:line="219" w:lineRule="auto"/>
              <w:ind w:left="377"/>
              <w:rPr>
                <w:rFonts w:hint="default" w:eastAsia="宋体"/>
                <w:color w:val="auto"/>
                <w:spacing w:val="-2"/>
                <w:sz w:val="24"/>
                <w:szCs w:val="24"/>
                <w:highlight w:val="none"/>
                <w:lang w:val="en-US" w:eastAsia="zh-CN"/>
              </w:rPr>
            </w:pPr>
            <w:r>
              <w:rPr>
                <w:rFonts w:hint="eastAsia"/>
                <w:color w:val="auto"/>
                <w:spacing w:val="-2"/>
                <w:sz w:val="24"/>
                <w:szCs w:val="24"/>
                <w:highlight w:val="none"/>
                <w:lang w:val="en-US" w:eastAsia="zh-CN"/>
              </w:rPr>
              <w:t>...</w:t>
            </w:r>
          </w:p>
        </w:tc>
        <w:tc>
          <w:tcPr>
            <w:tcW w:w="2666" w:type="dxa"/>
            <w:vAlign w:val="top"/>
          </w:tcPr>
          <w:p w14:paraId="5D267DAF">
            <w:pPr>
              <w:pStyle w:val="12"/>
              <w:spacing w:before="187" w:line="219" w:lineRule="auto"/>
              <w:ind w:left="377"/>
              <w:rPr>
                <w:rFonts w:hint="default" w:ascii="宋体" w:eastAsia="宋体"/>
                <w:color w:val="auto"/>
                <w:spacing w:val="-2"/>
                <w:sz w:val="24"/>
                <w:szCs w:val="24"/>
                <w:highlight w:val="none"/>
                <w:lang w:val="en-US" w:eastAsia="zh-CN"/>
              </w:rPr>
            </w:pPr>
            <w:r>
              <w:rPr>
                <w:rFonts w:hint="default" w:eastAsia="宋体"/>
                <w:color w:val="auto"/>
                <w:spacing w:val="-2"/>
                <w:sz w:val="24"/>
                <w:szCs w:val="24"/>
                <w:highlight w:val="none"/>
                <w:lang w:val="en-US" w:eastAsia="zh-CN"/>
              </w:rPr>
              <w:t>...</w:t>
            </w:r>
          </w:p>
        </w:tc>
        <w:tc>
          <w:tcPr>
            <w:tcW w:w="2631" w:type="dxa"/>
            <w:vAlign w:val="top"/>
          </w:tcPr>
          <w:p w14:paraId="12C7A368">
            <w:pPr>
              <w:pStyle w:val="12"/>
              <w:spacing w:before="187" w:line="219" w:lineRule="auto"/>
              <w:ind w:left="377"/>
              <w:rPr>
                <w:rFonts w:hint="default" w:ascii="宋体" w:eastAsia="宋体"/>
                <w:color w:val="auto"/>
                <w:spacing w:val="-2"/>
                <w:sz w:val="24"/>
                <w:szCs w:val="24"/>
                <w:highlight w:val="none"/>
                <w:lang w:val="en-US" w:eastAsia="zh-CN"/>
              </w:rPr>
            </w:pPr>
            <w:r>
              <w:rPr>
                <w:rFonts w:hint="default" w:eastAsia="宋体"/>
                <w:color w:val="auto"/>
                <w:spacing w:val="-2"/>
                <w:sz w:val="24"/>
                <w:szCs w:val="24"/>
                <w:highlight w:val="none"/>
                <w:lang w:val="en-US" w:eastAsia="zh-CN"/>
              </w:rPr>
              <w:t>...</w:t>
            </w:r>
          </w:p>
        </w:tc>
        <w:tc>
          <w:tcPr>
            <w:tcW w:w="1833" w:type="dxa"/>
            <w:vAlign w:val="top"/>
          </w:tcPr>
          <w:p w14:paraId="354D1014">
            <w:pPr>
              <w:pStyle w:val="12"/>
              <w:spacing w:before="187" w:line="219" w:lineRule="auto"/>
              <w:ind w:left="377"/>
              <w:rPr>
                <w:rFonts w:hint="default" w:ascii="宋体" w:eastAsia="宋体"/>
                <w:color w:val="auto"/>
                <w:spacing w:val="-2"/>
                <w:sz w:val="24"/>
                <w:szCs w:val="24"/>
                <w:highlight w:val="none"/>
                <w:lang w:val="en-US" w:eastAsia="zh-CN"/>
              </w:rPr>
            </w:pPr>
            <w:r>
              <w:rPr>
                <w:rFonts w:hint="default" w:eastAsia="宋体"/>
                <w:color w:val="auto"/>
                <w:spacing w:val="-2"/>
                <w:sz w:val="24"/>
                <w:szCs w:val="24"/>
                <w:highlight w:val="none"/>
                <w:lang w:val="en-US" w:eastAsia="zh-CN"/>
              </w:rPr>
              <w:t>...</w:t>
            </w:r>
          </w:p>
        </w:tc>
      </w:tr>
    </w:tbl>
    <w:p w14:paraId="47EEB0F4">
      <w:pPr>
        <w:spacing w:before="37" w:line="224" w:lineRule="auto"/>
        <w:ind w:left="122"/>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注：</w:t>
      </w:r>
    </w:p>
    <w:p w14:paraId="663506F7">
      <w:pPr>
        <w:spacing w:before="175" w:line="359" w:lineRule="auto"/>
        <w:ind w:left="127" w:right="534" w:firstLine="1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 说明：应对照谈判文件“第三章 采购需求</w:t>
      </w:r>
      <w:r>
        <w:rPr>
          <w:rFonts w:ascii="宋体" w:hAnsi="宋体" w:eastAsia="宋体" w:cs="宋体"/>
          <w:color w:val="auto"/>
          <w:spacing w:val="-75"/>
          <w:sz w:val="24"/>
          <w:szCs w:val="24"/>
          <w:highlight w:val="none"/>
        </w:rPr>
        <w:t xml:space="preserve"> </w:t>
      </w:r>
      <w:r>
        <w:rPr>
          <w:rFonts w:ascii="宋体" w:hAnsi="宋体" w:eastAsia="宋体" w:cs="宋体"/>
          <w:color w:val="auto"/>
          <w:spacing w:val="-2"/>
          <w:sz w:val="24"/>
          <w:szCs w:val="24"/>
          <w:highlight w:val="none"/>
        </w:rPr>
        <w:t>”中的</w:t>
      </w:r>
      <w:r>
        <w:rPr>
          <w:rFonts w:ascii="宋体" w:hAnsi="宋体" w:eastAsia="宋体" w:cs="宋体"/>
          <w:b/>
          <w:bCs/>
          <w:color w:val="auto"/>
          <w:spacing w:val="-2"/>
          <w:sz w:val="24"/>
          <w:szCs w:val="24"/>
          <w:highlight w:val="none"/>
        </w:rPr>
        <w:t>商务要求逐条作出明确响应，</w:t>
      </w:r>
      <w:r>
        <w:rPr>
          <w:rFonts w:ascii="宋体" w:hAnsi="宋体" w:eastAsia="宋体" w:cs="宋体"/>
          <w:b/>
          <w:bCs/>
          <w:color w:val="auto"/>
          <w:spacing w:val="-3"/>
          <w:sz w:val="24"/>
          <w:szCs w:val="24"/>
          <w:highlight w:val="none"/>
        </w:rPr>
        <w:t>并作出偏离说明，否则按无效竞标处理。</w:t>
      </w:r>
    </w:p>
    <w:p w14:paraId="429E1D48">
      <w:pPr>
        <w:spacing w:before="2" w:line="360" w:lineRule="auto"/>
        <w:ind w:left="110" w:right="364" w:firstLine="1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2.供应商应根据自身的承诺，对照谈判文件要求在“偏离说明</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”中注明“正偏</w:t>
      </w:r>
      <w:r>
        <w:rPr>
          <w:rFonts w:ascii="宋体" w:hAnsi="宋体" w:eastAsia="宋体" w:cs="宋体"/>
          <w:color w:val="auto"/>
          <w:spacing w:val="-4"/>
          <w:sz w:val="24"/>
          <w:szCs w:val="24"/>
          <w:highlight w:val="none"/>
        </w:rPr>
        <w:t>离</w:t>
      </w:r>
      <w:r>
        <w:rPr>
          <w:rFonts w:ascii="宋体" w:hAnsi="宋体" w:eastAsia="宋体" w:cs="宋体"/>
          <w:color w:val="auto"/>
          <w:spacing w:val="-89"/>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“负偏离</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”或者“无偏离</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”。既不属于“正偏离</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pacing w:val="-2"/>
          <w:sz w:val="24"/>
          <w:szCs w:val="24"/>
          <w:highlight w:val="none"/>
        </w:rPr>
        <w:t>也不属于“负偏离</w:t>
      </w:r>
      <w:r>
        <w:rPr>
          <w:rFonts w:ascii="宋体" w:hAnsi="宋体" w:eastAsia="宋体" w:cs="宋体"/>
          <w:color w:val="auto"/>
          <w:spacing w:val="-85"/>
          <w:sz w:val="24"/>
          <w:szCs w:val="24"/>
          <w:highlight w:val="none"/>
        </w:rPr>
        <w:t xml:space="preserve"> </w:t>
      </w:r>
      <w:r>
        <w:rPr>
          <w:rFonts w:ascii="宋体" w:hAnsi="宋体" w:eastAsia="宋体" w:cs="宋体"/>
          <w:color w:val="auto"/>
          <w:spacing w:val="-2"/>
          <w:sz w:val="24"/>
          <w:szCs w:val="24"/>
          <w:highlight w:val="none"/>
        </w:rPr>
        <w:t>”即填“无偏</w:t>
      </w:r>
      <w:r>
        <w:rPr>
          <w:rFonts w:ascii="宋体" w:hAnsi="宋体" w:eastAsia="宋体" w:cs="宋体"/>
          <w:color w:val="auto"/>
          <w:spacing w:val="1"/>
          <w:sz w:val="24"/>
          <w:szCs w:val="24"/>
          <w:highlight w:val="none"/>
        </w:rPr>
        <w:t>离</w:t>
      </w:r>
      <w:r>
        <w:rPr>
          <w:rFonts w:ascii="宋体" w:hAnsi="宋体" w:eastAsia="宋体" w:cs="宋体"/>
          <w:color w:val="auto"/>
          <w:spacing w:val="-89"/>
          <w:sz w:val="24"/>
          <w:szCs w:val="24"/>
          <w:highlight w:val="none"/>
        </w:rPr>
        <w:t xml:space="preserve"> </w:t>
      </w:r>
      <w:r>
        <w:rPr>
          <w:rFonts w:ascii="宋体" w:hAnsi="宋体" w:eastAsia="宋体" w:cs="宋体"/>
          <w:color w:val="auto"/>
          <w:spacing w:val="1"/>
          <w:sz w:val="24"/>
          <w:szCs w:val="24"/>
          <w:highlight w:val="none"/>
        </w:rPr>
        <w:t>”。</w:t>
      </w:r>
    </w:p>
    <w:p w14:paraId="408BF133">
      <w:pPr>
        <w:spacing w:line="261" w:lineRule="auto"/>
        <w:rPr>
          <w:rFonts w:ascii="Arial"/>
          <w:color w:val="auto"/>
          <w:sz w:val="21"/>
          <w:highlight w:val="none"/>
        </w:rPr>
      </w:pPr>
    </w:p>
    <w:p w14:paraId="4381B5EE">
      <w:pPr>
        <w:spacing w:line="261" w:lineRule="auto"/>
        <w:rPr>
          <w:rFonts w:ascii="Arial"/>
          <w:color w:val="auto"/>
          <w:sz w:val="21"/>
          <w:highlight w:val="none"/>
        </w:rPr>
      </w:pPr>
    </w:p>
    <w:p w14:paraId="4A9096E4">
      <w:pPr>
        <w:spacing w:line="262" w:lineRule="auto"/>
        <w:rPr>
          <w:rFonts w:ascii="Arial"/>
          <w:color w:val="auto"/>
          <w:sz w:val="21"/>
          <w:highlight w:val="none"/>
        </w:rPr>
      </w:pPr>
    </w:p>
    <w:p w14:paraId="2EC38D9B">
      <w:pPr>
        <w:spacing w:line="262" w:lineRule="auto"/>
        <w:rPr>
          <w:rFonts w:ascii="Arial"/>
          <w:color w:val="auto"/>
          <w:sz w:val="21"/>
          <w:highlight w:val="none"/>
        </w:rPr>
      </w:pPr>
    </w:p>
    <w:p w14:paraId="7E455233">
      <w:pPr>
        <w:spacing w:line="262" w:lineRule="auto"/>
        <w:rPr>
          <w:rFonts w:ascii="Arial"/>
          <w:color w:val="auto"/>
          <w:sz w:val="21"/>
          <w:highlight w:val="none"/>
        </w:rPr>
      </w:pPr>
    </w:p>
    <w:p w14:paraId="0AC0BC16">
      <w:pPr>
        <w:spacing w:before="78" w:line="219" w:lineRule="auto"/>
        <w:ind w:left="213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法定代表人或者委托代理人（签字或者电子签名</w:t>
      </w:r>
      <w:r>
        <w:rPr>
          <w:rFonts w:ascii="宋体" w:hAnsi="宋体" w:eastAsia="宋体" w:cs="宋体"/>
          <w:color w:val="auto"/>
          <w:spacing w:val="4"/>
          <w:sz w:val="24"/>
          <w:szCs w:val="24"/>
          <w:highlight w:val="none"/>
        </w:rPr>
        <w:t>）：</w:t>
      </w:r>
    </w:p>
    <w:p w14:paraId="024A7768">
      <w:pPr>
        <w:spacing w:before="182" w:line="219" w:lineRule="auto"/>
        <w:ind w:left="300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608E5823">
      <w:pPr>
        <w:spacing w:before="182" w:line="219" w:lineRule="auto"/>
        <w:ind w:left="3043"/>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3"/>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3"/>
          <w:sz w:val="24"/>
          <w:szCs w:val="24"/>
          <w:highlight w:val="none"/>
        </w:rPr>
        <w:t>日</w:t>
      </w:r>
    </w:p>
    <w:p w14:paraId="06F24E51">
      <w:pPr>
        <w:spacing w:line="219" w:lineRule="auto"/>
        <w:rPr>
          <w:rFonts w:ascii="宋体" w:hAnsi="宋体" w:eastAsia="宋体" w:cs="宋体"/>
          <w:color w:val="auto"/>
          <w:sz w:val="24"/>
          <w:szCs w:val="24"/>
          <w:highlight w:val="none"/>
        </w:rPr>
        <w:sectPr>
          <w:footerReference r:id="rId57" w:type="default"/>
          <w:pgSz w:w="11910" w:h="16840"/>
          <w:pgMar w:top="1283" w:right="1025" w:bottom="1091" w:left="1567" w:header="0" w:footer="929" w:gutter="0"/>
          <w:pgNumType w:fmt="decimal"/>
          <w:cols w:space="720" w:num="1"/>
        </w:sectPr>
      </w:pPr>
    </w:p>
    <w:p w14:paraId="5FC477B4">
      <w:pPr>
        <w:spacing w:before="331" w:line="185" w:lineRule="auto"/>
        <w:ind w:left="2953"/>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技术要求偏离表</w:t>
      </w:r>
    </w:p>
    <w:p w14:paraId="209F27E7">
      <w:pPr>
        <w:spacing w:line="325" w:lineRule="auto"/>
        <w:rPr>
          <w:rFonts w:ascii="Arial"/>
          <w:color w:val="auto"/>
          <w:sz w:val="21"/>
          <w:highlight w:val="none"/>
        </w:rPr>
      </w:pPr>
    </w:p>
    <w:p w14:paraId="59D0FB6F">
      <w:pPr>
        <w:spacing w:line="325" w:lineRule="auto"/>
        <w:rPr>
          <w:rFonts w:ascii="Arial"/>
          <w:color w:val="auto"/>
          <w:sz w:val="21"/>
          <w:highlight w:val="none"/>
        </w:rPr>
      </w:pPr>
    </w:p>
    <w:p w14:paraId="5DB27641">
      <w:pPr>
        <w:spacing w:before="78" w:line="219" w:lineRule="auto"/>
        <w:ind w:left="12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采购项目编号：</w:t>
      </w:r>
      <w:r>
        <w:rPr>
          <w:rFonts w:ascii="宋体" w:hAnsi="宋体" w:eastAsia="宋体" w:cs="宋体"/>
          <w:color w:val="auto"/>
          <w:sz w:val="24"/>
          <w:szCs w:val="24"/>
          <w:highlight w:val="none"/>
          <w:u w:val="single" w:color="auto"/>
        </w:rPr>
        <w:t xml:space="preserve">                 </w:t>
      </w:r>
    </w:p>
    <w:p w14:paraId="7717BA19">
      <w:pPr>
        <w:spacing w:before="183" w:line="219" w:lineRule="auto"/>
        <w:ind w:left="12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采购项目名称：</w:t>
      </w:r>
      <w:r>
        <w:rPr>
          <w:rFonts w:ascii="宋体" w:hAnsi="宋体" w:eastAsia="宋体" w:cs="宋体"/>
          <w:color w:val="auto"/>
          <w:sz w:val="24"/>
          <w:szCs w:val="24"/>
          <w:highlight w:val="none"/>
          <w:u w:val="single" w:color="auto"/>
        </w:rPr>
        <w:t xml:space="preserve">                 </w:t>
      </w:r>
    </w:p>
    <w:p w14:paraId="0E693905">
      <w:pPr>
        <w:spacing w:before="181" w:line="220" w:lineRule="auto"/>
        <w:ind w:left="125"/>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分标号：</w:t>
      </w:r>
      <w:r>
        <w:rPr>
          <w:rFonts w:ascii="宋体" w:hAnsi="宋体" w:eastAsia="宋体" w:cs="宋体"/>
          <w:color w:val="auto"/>
          <w:sz w:val="24"/>
          <w:szCs w:val="24"/>
          <w:highlight w:val="none"/>
          <w:u w:val="single" w:color="auto"/>
        </w:rPr>
        <w:t xml:space="preserve">                       </w:t>
      </w:r>
    </w:p>
    <w:p w14:paraId="4C9C5405">
      <w:pPr>
        <w:spacing w:line="146" w:lineRule="exact"/>
        <w:rPr>
          <w:color w:val="auto"/>
          <w:highlight w:val="none"/>
        </w:rPr>
      </w:pPr>
    </w:p>
    <w:tbl>
      <w:tblPr>
        <w:tblStyle w:val="11"/>
        <w:tblW w:w="89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899"/>
        <w:gridCol w:w="2987"/>
        <w:gridCol w:w="2689"/>
        <w:gridCol w:w="1471"/>
      </w:tblGrid>
      <w:tr w14:paraId="62E6C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904" w:type="dxa"/>
            <w:vAlign w:val="top"/>
          </w:tcPr>
          <w:p w14:paraId="48D7CC94">
            <w:pPr>
              <w:pStyle w:val="12"/>
              <w:spacing w:before="40" w:line="221" w:lineRule="auto"/>
              <w:ind w:left="216"/>
              <w:rPr>
                <w:color w:val="auto"/>
                <w:sz w:val="24"/>
                <w:szCs w:val="24"/>
                <w:highlight w:val="none"/>
              </w:rPr>
            </w:pPr>
            <w:r>
              <w:rPr>
                <w:color w:val="auto"/>
                <w:spacing w:val="-5"/>
                <w:sz w:val="24"/>
                <w:szCs w:val="24"/>
                <w:highlight w:val="none"/>
              </w:rPr>
              <w:t>序号</w:t>
            </w:r>
          </w:p>
        </w:tc>
        <w:tc>
          <w:tcPr>
            <w:tcW w:w="899" w:type="dxa"/>
            <w:vAlign w:val="top"/>
          </w:tcPr>
          <w:p w14:paraId="32B7F1EF">
            <w:pPr>
              <w:pStyle w:val="12"/>
              <w:spacing w:before="41" w:line="221" w:lineRule="auto"/>
              <w:ind w:left="216"/>
              <w:rPr>
                <w:color w:val="auto"/>
                <w:sz w:val="24"/>
                <w:szCs w:val="24"/>
                <w:highlight w:val="none"/>
              </w:rPr>
            </w:pPr>
            <w:r>
              <w:rPr>
                <w:color w:val="auto"/>
                <w:spacing w:val="-7"/>
                <w:sz w:val="24"/>
                <w:szCs w:val="24"/>
                <w:highlight w:val="none"/>
              </w:rPr>
              <w:t>名称</w:t>
            </w:r>
          </w:p>
        </w:tc>
        <w:tc>
          <w:tcPr>
            <w:tcW w:w="2987" w:type="dxa"/>
            <w:vAlign w:val="top"/>
          </w:tcPr>
          <w:p w14:paraId="45295878">
            <w:pPr>
              <w:pStyle w:val="12"/>
              <w:spacing w:before="40" w:line="219" w:lineRule="auto"/>
              <w:ind w:left="777"/>
              <w:rPr>
                <w:color w:val="auto"/>
                <w:sz w:val="24"/>
                <w:szCs w:val="24"/>
                <w:highlight w:val="none"/>
              </w:rPr>
            </w:pPr>
            <w:r>
              <w:rPr>
                <w:color w:val="auto"/>
                <w:spacing w:val="-2"/>
                <w:sz w:val="24"/>
                <w:szCs w:val="24"/>
                <w:highlight w:val="none"/>
              </w:rPr>
              <w:t>谈判文件要求</w:t>
            </w:r>
          </w:p>
        </w:tc>
        <w:tc>
          <w:tcPr>
            <w:tcW w:w="2689" w:type="dxa"/>
            <w:vAlign w:val="top"/>
          </w:tcPr>
          <w:p w14:paraId="79F789FD">
            <w:pPr>
              <w:pStyle w:val="12"/>
              <w:spacing w:before="40" w:line="220" w:lineRule="auto"/>
              <w:ind w:left="876"/>
              <w:rPr>
                <w:color w:val="auto"/>
                <w:sz w:val="24"/>
                <w:szCs w:val="24"/>
                <w:highlight w:val="none"/>
              </w:rPr>
            </w:pPr>
            <w:r>
              <w:rPr>
                <w:color w:val="auto"/>
                <w:spacing w:val="-4"/>
                <w:sz w:val="24"/>
                <w:szCs w:val="24"/>
                <w:highlight w:val="none"/>
              </w:rPr>
              <w:t>竞标响应</w:t>
            </w:r>
          </w:p>
        </w:tc>
        <w:tc>
          <w:tcPr>
            <w:tcW w:w="1471" w:type="dxa"/>
            <w:vAlign w:val="top"/>
          </w:tcPr>
          <w:p w14:paraId="56230361">
            <w:pPr>
              <w:pStyle w:val="12"/>
              <w:spacing w:before="40" w:line="219" w:lineRule="auto"/>
              <w:ind w:left="262"/>
              <w:rPr>
                <w:color w:val="auto"/>
                <w:sz w:val="24"/>
                <w:szCs w:val="24"/>
                <w:highlight w:val="none"/>
              </w:rPr>
            </w:pPr>
            <w:r>
              <w:rPr>
                <w:color w:val="auto"/>
                <w:spacing w:val="-3"/>
                <w:sz w:val="24"/>
                <w:szCs w:val="24"/>
                <w:highlight w:val="none"/>
              </w:rPr>
              <w:t>偏离说明</w:t>
            </w:r>
          </w:p>
        </w:tc>
      </w:tr>
      <w:tr w14:paraId="141AE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04" w:type="dxa"/>
            <w:vAlign w:val="top"/>
          </w:tcPr>
          <w:p w14:paraId="6D395354">
            <w:pPr>
              <w:pStyle w:val="12"/>
              <w:spacing w:before="34" w:line="241" w:lineRule="auto"/>
              <w:ind w:left="415"/>
              <w:rPr>
                <w:color w:val="auto"/>
                <w:sz w:val="24"/>
                <w:szCs w:val="24"/>
                <w:highlight w:val="none"/>
              </w:rPr>
            </w:pPr>
            <w:r>
              <w:rPr>
                <w:color w:val="auto"/>
                <w:sz w:val="24"/>
                <w:szCs w:val="24"/>
                <w:highlight w:val="none"/>
              </w:rPr>
              <w:t>1</w:t>
            </w:r>
          </w:p>
        </w:tc>
        <w:tc>
          <w:tcPr>
            <w:tcW w:w="899" w:type="dxa"/>
            <w:vAlign w:val="top"/>
          </w:tcPr>
          <w:p w14:paraId="702EA742">
            <w:pPr>
              <w:rPr>
                <w:rFonts w:ascii="Arial"/>
                <w:color w:val="auto"/>
                <w:sz w:val="21"/>
                <w:highlight w:val="none"/>
              </w:rPr>
            </w:pPr>
          </w:p>
        </w:tc>
        <w:tc>
          <w:tcPr>
            <w:tcW w:w="2987" w:type="dxa"/>
            <w:vAlign w:val="top"/>
          </w:tcPr>
          <w:p w14:paraId="5F8231EC">
            <w:pPr>
              <w:rPr>
                <w:rFonts w:ascii="Arial"/>
                <w:color w:val="auto"/>
                <w:sz w:val="21"/>
                <w:highlight w:val="none"/>
              </w:rPr>
            </w:pPr>
          </w:p>
        </w:tc>
        <w:tc>
          <w:tcPr>
            <w:tcW w:w="2689" w:type="dxa"/>
            <w:vAlign w:val="top"/>
          </w:tcPr>
          <w:p w14:paraId="6E6928E6">
            <w:pPr>
              <w:rPr>
                <w:rFonts w:ascii="Arial"/>
                <w:color w:val="auto"/>
                <w:sz w:val="21"/>
                <w:highlight w:val="none"/>
              </w:rPr>
            </w:pPr>
          </w:p>
        </w:tc>
        <w:tc>
          <w:tcPr>
            <w:tcW w:w="1471" w:type="dxa"/>
            <w:vAlign w:val="top"/>
          </w:tcPr>
          <w:p w14:paraId="10CDB979">
            <w:pPr>
              <w:rPr>
                <w:rFonts w:ascii="Arial"/>
                <w:color w:val="auto"/>
                <w:sz w:val="21"/>
                <w:highlight w:val="none"/>
              </w:rPr>
            </w:pPr>
          </w:p>
        </w:tc>
      </w:tr>
      <w:tr w14:paraId="47CEC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04" w:type="dxa"/>
            <w:vAlign w:val="top"/>
          </w:tcPr>
          <w:p w14:paraId="6F45FB50">
            <w:pPr>
              <w:pStyle w:val="12"/>
              <w:spacing w:before="36" w:line="241" w:lineRule="auto"/>
              <w:ind w:left="400"/>
              <w:rPr>
                <w:color w:val="auto"/>
                <w:sz w:val="24"/>
                <w:szCs w:val="24"/>
                <w:highlight w:val="none"/>
              </w:rPr>
            </w:pPr>
            <w:r>
              <w:rPr>
                <w:color w:val="auto"/>
                <w:sz w:val="24"/>
                <w:szCs w:val="24"/>
                <w:highlight w:val="none"/>
              </w:rPr>
              <w:t>2</w:t>
            </w:r>
          </w:p>
        </w:tc>
        <w:tc>
          <w:tcPr>
            <w:tcW w:w="899" w:type="dxa"/>
            <w:vAlign w:val="top"/>
          </w:tcPr>
          <w:p w14:paraId="1EB5B4B0">
            <w:pPr>
              <w:rPr>
                <w:rFonts w:ascii="Arial"/>
                <w:color w:val="auto"/>
                <w:sz w:val="21"/>
                <w:highlight w:val="none"/>
              </w:rPr>
            </w:pPr>
          </w:p>
        </w:tc>
        <w:tc>
          <w:tcPr>
            <w:tcW w:w="2987" w:type="dxa"/>
            <w:vAlign w:val="top"/>
          </w:tcPr>
          <w:p w14:paraId="6576A254">
            <w:pPr>
              <w:rPr>
                <w:rFonts w:ascii="Arial"/>
                <w:color w:val="auto"/>
                <w:sz w:val="21"/>
                <w:highlight w:val="none"/>
              </w:rPr>
            </w:pPr>
          </w:p>
        </w:tc>
        <w:tc>
          <w:tcPr>
            <w:tcW w:w="2689" w:type="dxa"/>
            <w:vAlign w:val="top"/>
          </w:tcPr>
          <w:p w14:paraId="12A29C1B">
            <w:pPr>
              <w:rPr>
                <w:rFonts w:ascii="Arial"/>
                <w:color w:val="auto"/>
                <w:sz w:val="21"/>
                <w:highlight w:val="none"/>
              </w:rPr>
            </w:pPr>
          </w:p>
        </w:tc>
        <w:tc>
          <w:tcPr>
            <w:tcW w:w="1471" w:type="dxa"/>
            <w:vAlign w:val="top"/>
          </w:tcPr>
          <w:p w14:paraId="48D65C1B">
            <w:pPr>
              <w:rPr>
                <w:rFonts w:ascii="Arial"/>
                <w:color w:val="auto"/>
                <w:sz w:val="21"/>
                <w:highlight w:val="none"/>
              </w:rPr>
            </w:pPr>
          </w:p>
        </w:tc>
      </w:tr>
      <w:tr w14:paraId="390C5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04" w:type="dxa"/>
            <w:vAlign w:val="top"/>
          </w:tcPr>
          <w:p w14:paraId="5E843C94">
            <w:pPr>
              <w:pStyle w:val="12"/>
              <w:spacing w:before="37"/>
              <w:ind w:left="402"/>
              <w:rPr>
                <w:color w:val="auto"/>
                <w:sz w:val="24"/>
                <w:szCs w:val="24"/>
                <w:highlight w:val="none"/>
              </w:rPr>
            </w:pPr>
            <w:r>
              <w:rPr>
                <w:color w:val="auto"/>
                <w:sz w:val="24"/>
                <w:szCs w:val="24"/>
                <w:highlight w:val="none"/>
              </w:rPr>
              <w:t>3</w:t>
            </w:r>
          </w:p>
        </w:tc>
        <w:tc>
          <w:tcPr>
            <w:tcW w:w="899" w:type="dxa"/>
            <w:vAlign w:val="top"/>
          </w:tcPr>
          <w:p w14:paraId="71CA1099">
            <w:pPr>
              <w:rPr>
                <w:rFonts w:ascii="Arial"/>
                <w:color w:val="auto"/>
                <w:sz w:val="21"/>
                <w:highlight w:val="none"/>
              </w:rPr>
            </w:pPr>
          </w:p>
        </w:tc>
        <w:tc>
          <w:tcPr>
            <w:tcW w:w="2987" w:type="dxa"/>
            <w:vAlign w:val="top"/>
          </w:tcPr>
          <w:p w14:paraId="21046A3E">
            <w:pPr>
              <w:rPr>
                <w:rFonts w:ascii="Arial"/>
                <w:color w:val="auto"/>
                <w:sz w:val="21"/>
                <w:highlight w:val="none"/>
              </w:rPr>
            </w:pPr>
          </w:p>
        </w:tc>
        <w:tc>
          <w:tcPr>
            <w:tcW w:w="2689" w:type="dxa"/>
            <w:vAlign w:val="top"/>
          </w:tcPr>
          <w:p w14:paraId="0CE0D988">
            <w:pPr>
              <w:rPr>
                <w:rFonts w:ascii="Arial"/>
                <w:color w:val="auto"/>
                <w:sz w:val="21"/>
                <w:highlight w:val="none"/>
              </w:rPr>
            </w:pPr>
          </w:p>
        </w:tc>
        <w:tc>
          <w:tcPr>
            <w:tcW w:w="1471" w:type="dxa"/>
            <w:vAlign w:val="top"/>
          </w:tcPr>
          <w:p w14:paraId="29DE0FAC">
            <w:pPr>
              <w:rPr>
                <w:rFonts w:ascii="Arial"/>
                <w:color w:val="auto"/>
                <w:sz w:val="21"/>
                <w:highlight w:val="none"/>
              </w:rPr>
            </w:pPr>
          </w:p>
        </w:tc>
      </w:tr>
      <w:tr w14:paraId="4BBBF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04" w:type="dxa"/>
            <w:vAlign w:val="top"/>
          </w:tcPr>
          <w:p w14:paraId="48DD76AD">
            <w:pPr>
              <w:pStyle w:val="12"/>
              <w:spacing w:before="39" w:line="241" w:lineRule="auto"/>
              <w:ind w:left="396"/>
              <w:rPr>
                <w:color w:val="auto"/>
                <w:sz w:val="24"/>
                <w:szCs w:val="24"/>
                <w:highlight w:val="none"/>
              </w:rPr>
            </w:pPr>
            <w:r>
              <w:rPr>
                <w:color w:val="auto"/>
                <w:sz w:val="24"/>
                <w:szCs w:val="24"/>
                <w:highlight w:val="none"/>
              </w:rPr>
              <w:t>4</w:t>
            </w:r>
          </w:p>
        </w:tc>
        <w:tc>
          <w:tcPr>
            <w:tcW w:w="899" w:type="dxa"/>
            <w:vAlign w:val="top"/>
          </w:tcPr>
          <w:p w14:paraId="382163FC">
            <w:pPr>
              <w:rPr>
                <w:rFonts w:ascii="Arial"/>
                <w:color w:val="auto"/>
                <w:sz w:val="21"/>
                <w:highlight w:val="none"/>
              </w:rPr>
            </w:pPr>
          </w:p>
        </w:tc>
        <w:tc>
          <w:tcPr>
            <w:tcW w:w="2987" w:type="dxa"/>
            <w:vAlign w:val="top"/>
          </w:tcPr>
          <w:p w14:paraId="42759E41">
            <w:pPr>
              <w:rPr>
                <w:rFonts w:ascii="Arial"/>
                <w:color w:val="auto"/>
                <w:sz w:val="21"/>
                <w:highlight w:val="none"/>
              </w:rPr>
            </w:pPr>
          </w:p>
        </w:tc>
        <w:tc>
          <w:tcPr>
            <w:tcW w:w="2689" w:type="dxa"/>
            <w:vAlign w:val="top"/>
          </w:tcPr>
          <w:p w14:paraId="0F8F647A">
            <w:pPr>
              <w:rPr>
                <w:rFonts w:ascii="Arial"/>
                <w:color w:val="auto"/>
                <w:sz w:val="21"/>
                <w:highlight w:val="none"/>
              </w:rPr>
            </w:pPr>
          </w:p>
        </w:tc>
        <w:tc>
          <w:tcPr>
            <w:tcW w:w="1471" w:type="dxa"/>
            <w:vAlign w:val="top"/>
          </w:tcPr>
          <w:p w14:paraId="10D47255">
            <w:pPr>
              <w:rPr>
                <w:rFonts w:ascii="Arial"/>
                <w:color w:val="auto"/>
                <w:sz w:val="21"/>
                <w:highlight w:val="none"/>
              </w:rPr>
            </w:pPr>
          </w:p>
        </w:tc>
      </w:tr>
      <w:tr w14:paraId="7B56C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04" w:type="dxa"/>
            <w:vAlign w:val="top"/>
          </w:tcPr>
          <w:p w14:paraId="20D6DF87">
            <w:pPr>
              <w:pStyle w:val="12"/>
              <w:spacing w:before="38"/>
              <w:ind w:left="402"/>
              <w:rPr>
                <w:color w:val="auto"/>
                <w:sz w:val="24"/>
                <w:szCs w:val="24"/>
                <w:highlight w:val="none"/>
              </w:rPr>
            </w:pPr>
            <w:r>
              <w:rPr>
                <w:color w:val="auto"/>
                <w:sz w:val="24"/>
                <w:szCs w:val="24"/>
                <w:highlight w:val="none"/>
              </w:rPr>
              <w:t>5</w:t>
            </w:r>
          </w:p>
        </w:tc>
        <w:tc>
          <w:tcPr>
            <w:tcW w:w="899" w:type="dxa"/>
            <w:vAlign w:val="top"/>
          </w:tcPr>
          <w:p w14:paraId="31CC85A0">
            <w:pPr>
              <w:rPr>
                <w:rFonts w:ascii="Arial"/>
                <w:color w:val="auto"/>
                <w:sz w:val="21"/>
                <w:highlight w:val="none"/>
              </w:rPr>
            </w:pPr>
          </w:p>
        </w:tc>
        <w:tc>
          <w:tcPr>
            <w:tcW w:w="2987" w:type="dxa"/>
            <w:vAlign w:val="top"/>
          </w:tcPr>
          <w:p w14:paraId="356B477B">
            <w:pPr>
              <w:rPr>
                <w:rFonts w:ascii="Arial"/>
                <w:color w:val="auto"/>
                <w:sz w:val="21"/>
                <w:highlight w:val="none"/>
              </w:rPr>
            </w:pPr>
          </w:p>
        </w:tc>
        <w:tc>
          <w:tcPr>
            <w:tcW w:w="2689" w:type="dxa"/>
            <w:vAlign w:val="top"/>
          </w:tcPr>
          <w:p w14:paraId="5F5BE5D3">
            <w:pPr>
              <w:rPr>
                <w:rFonts w:ascii="Arial"/>
                <w:color w:val="auto"/>
                <w:sz w:val="21"/>
                <w:highlight w:val="none"/>
              </w:rPr>
            </w:pPr>
          </w:p>
        </w:tc>
        <w:tc>
          <w:tcPr>
            <w:tcW w:w="1471" w:type="dxa"/>
            <w:vAlign w:val="top"/>
          </w:tcPr>
          <w:p w14:paraId="3DCC6D2A">
            <w:pPr>
              <w:rPr>
                <w:rFonts w:ascii="Arial"/>
                <w:color w:val="auto"/>
                <w:sz w:val="21"/>
                <w:highlight w:val="none"/>
              </w:rPr>
            </w:pPr>
          </w:p>
        </w:tc>
      </w:tr>
      <w:tr w14:paraId="316DE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904" w:type="dxa"/>
            <w:vAlign w:val="top"/>
          </w:tcPr>
          <w:p w14:paraId="1F9289A1">
            <w:pPr>
              <w:pStyle w:val="12"/>
              <w:spacing w:before="40" w:line="378" w:lineRule="exact"/>
              <w:ind w:left="353"/>
              <w:rPr>
                <w:color w:val="auto"/>
                <w:sz w:val="24"/>
                <w:szCs w:val="24"/>
                <w:highlight w:val="none"/>
              </w:rPr>
            </w:pPr>
            <w:r>
              <w:rPr>
                <w:color w:val="auto"/>
                <w:position w:val="3"/>
                <w:sz w:val="24"/>
                <w:szCs w:val="24"/>
                <w:highlight w:val="none"/>
              </w:rPr>
              <w:t>…</w:t>
            </w:r>
          </w:p>
        </w:tc>
        <w:tc>
          <w:tcPr>
            <w:tcW w:w="899" w:type="dxa"/>
            <w:vAlign w:val="top"/>
          </w:tcPr>
          <w:p w14:paraId="3701B6D2">
            <w:pPr>
              <w:rPr>
                <w:rFonts w:ascii="Arial"/>
                <w:color w:val="auto"/>
                <w:sz w:val="21"/>
                <w:highlight w:val="none"/>
              </w:rPr>
            </w:pPr>
          </w:p>
        </w:tc>
        <w:tc>
          <w:tcPr>
            <w:tcW w:w="2987" w:type="dxa"/>
            <w:vAlign w:val="top"/>
          </w:tcPr>
          <w:p w14:paraId="5AEB0C7A">
            <w:pPr>
              <w:rPr>
                <w:rFonts w:ascii="Arial"/>
                <w:color w:val="auto"/>
                <w:sz w:val="21"/>
                <w:highlight w:val="none"/>
              </w:rPr>
            </w:pPr>
          </w:p>
        </w:tc>
        <w:tc>
          <w:tcPr>
            <w:tcW w:w="2689" w:type="dxa"/>
            <w:vAlign w:val="top"/>
          </w:tcPr>
          <w:p w14:paraId="20474924">
            <w:pPr>
              <w:rPr>
                <w:rFonts w:ascii="Arial"/>
                <w:color w:val="auto"/>
                <w:sz w:val="21"/>
                <w:highlight w:val="none"/>
              </w:rPr>
            </w:pPr>
          </w:p>
        </w:tc>
        <w:tc>
          <w:tcPr>
            <w:tcW w:w="1471" w:type="dxa"/>
            <w:vAlign w:val="top"/>
          </w:tcPr>
          <w:p w14:paraId="603AC960">
            <w:pPr>
              <w:rPr>
                <w:rFonts w:ascii="Arial"/>
                <w:color w:val="auto"/>
                <w:sz w:val="21"/>
                <w:highlight w:val="none"/>
              </w:rPr>
            </w:pPr>
          </w:p>
        </w:tc>
      </w:tr>
    </w:tbl>
    <w:p w14:paraId="71CFFC0D">
      <w:pPr>
        <w:spacing w:before="35" w:line="224" w:lineRule="auto"/>
        <w:ind w:left="122"/>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注：</w:t>
      </w:r>
    </w:p>
    <w:p w14:paraId="2737AE0D">
      <w:pPr>
        <w:spacing w:before="175" w:line="359" w:lineRule="auto"/>
        <w:ind w:left="123" w:right="266" w:firstLine="1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1.说明：应对照谈判文件</w:t>
      </w:r>
      <w:r>
        <w:rPr>
          <w:rFonts w:ascii="宋体" w:hAnsi="宋体" w:eastAsia="宋体" w:cs="宋体"/>
          <w:b/>
          <w:bCs/>
          <w:color w:val="auto"/>
          <w:spacing w:val="2"/>
          <w:sz w:val="24"/>
          <w:szCs w:val="24"/>
          <w:highlight w:val="none"/>
        </w:rPr>
        <w:t>“第三章</w:t>
      </w:r>
      <w:r>
        <w:rPr>
          <w:rFonts w:ascii="宋体" w:hAnsi="宋体" w:eastAsia="宋体" w:cs="宋体"/>
          <w:color w:val="auto"/>
          <w:spacing w:val="2"/>
          <w:sz w:val="24"/>
          <w:szCs w:val="24"/>
          <w:highlight w:val="none"/>
        </w:rPr>
        <w:t xml:space="preserve"> </w:t>
      </w:r>
      <w:r>
        <w:rPr>
          <w:rFonts w:ascii="宋体" w:hAnsi="宋体" w:eastAsia="宋体" w:cs="宋体"/>
          <w:b/>
          <w:bCs/>
          <w:color w:val="auto"/>
          <w:spacing w:val="2"/>
          <w:sz w:val="24"/>
          <w:szCs w:val="24"/>
          <w:highlight w:val="none"/>
        </w:rPr>
        <w:t>采购需求</w:t>
      </w:r>
      <w:r>
        <w:rPr>
          <w:rFonts w:ascii="宋体" w:hAnsi="宋体" w:eastAsia="宋体" w:cs="宋体"/>
          <w:color w:val="auto"/>
          <w:spacing w:val="-74"/>
          <w:sz w:val="24"/>
          <w:szCs w:val="24"/>
          <w:highlight w:val="none"/>
        </w:rPr>
        <w:t xml:space="preserve"> </w:t>
      </w:r>
      <w:r>
        <w:rPr>
          <w:rFonts w:ascii="宋体" w:hAnsi="宋体" w:eastAsia="宋体" w:cs="宋体"/>
          <w:b/>
          <w:bCs/>
          <w:color w:val="auto"/>
          <w:spacing w:val="2"/>
          <w:sz w:val="24"/>
          <w:szCs w:val="24"/>
          <w:highlight w:val="none"/>
        </w:rPr>
        <w:t>”中技术要求逐条作出明确响应，并</w:t>
      </w:r>
      <w:r>
        <w:rPr>
          <w:rFonts w:ascii="宋体" w:hAnsi="宋体" w:eastAsia="宋体" w:cs="宋体"/>
          <w:b/>
          <w:bCs/>
          <w:color w:val="auto"/>
          <w:spacing w:val="-3"/>
          <w:sz w:val="24"/>
          <w:szCs w:val="24"/>
          <w:highlight w:val="none"/>
        </w:rPr>
        <w:t>作出偏离说明，否则按无效竞标处理。</w:t>
      </w:r>
    </w:p>
    <w:p w14:paraId="566EA2A2">
      <w:pPr>
        <w:spacing w:before="3" w:line="360" w:lineRule="auto"/>
        <w:ind w:left="110" w:firstLine="1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2.供应商应根据自身的承诺，对照谈判文件要求，在“偏离说明</w:t>
      </w:r>
      <w:r>
        <w:rPr>
          <w:rFonts w:ascii="宋体" w:hAnsi="宋体" w:eastAsia="宋体" w:cs="宋体"/>
          <w:color w:val="auto"/>
          <w:spacing w:val="-89"/>
          <w:sz w:val="24"/>
          <w:szCs w:val="24"/>
          <w:highlight w:val="none"/>
        </w:rPr>
        <w:t xml:space="preserve"> </w:t>
      </w:r>
      <w:r>
        <w:rPr>
          <w:rFonts w:ascii="宋体" w:hAnsi="宋体" w:eastAsia="宋体" w:cs="宋体"/>
          <w:color w:val="auto"/>
          <w:spacing w:val="1"/>
          <w:sz w:val="24"/>
          <w:szCs w:val="24"/>
          <w:highlight w:val="none"/>
        </w:rPr>
        <w:t>”中注明“正偏离</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“负偏离</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”或者“无偏离</w:t>
      </w:r>
      <w:r>
        <w:rPr>
          <w:rFonts w:ascii="宋体" w:hAnsi="宋体" w:eastAsia="宋体" w:cs="宋体"/>
          <w:color w:val="auto"/>
          <w:spacing w:val="-83"/>
          <w:sz w:val="24"/>
          <w:szCs w:val="24"/>
          <w:highlight w:val="none"/>
        </w:rPr>
        <w:t xml:space="preserve"> </w:t>
      </w:r>
      <w:r>
        <w:rPr>
          <w:rFonts w:ascii="宋体" w:hAnsi="宋体" w:eastAsia="宋体" w:cs="宋体"/>
          <w:color w:val="auto"/>
          <w:spacing w:val="-1"/>
          <w:sz w:val="24"/>
          <w:szCs w:val="24"/>
          <w:highlight w:val="none"/>
        </w:rPr>
        <w:t>”。既不属于“正偏离</w:t>
      </w:r>
      <w:r>
        <w:rPr>
          <w:rFonts w:ascii="宋体" w:hAnsi="宋体" w:eastAsia="宋体" w:cs="宋体"/>
          <w:color w:val="auto"/>
          <w:spacing w:val="-86"/>
          <w:sz w:val="24"/>
          <w:szCs w:val="24"/>
          <w:highlight w:val="none"/>
        </w:rPr>
        <w:t xml:space="preserve"> </w:t>
      </w:r>
      <w:r>
        <w:rPr>
          <w:rFonts w:ascii="宋体" w:hAnsi="宋体" w:eastAsia="宋体" w:cs="宋体"/>
          <w:color w:val="auto"/>
          <w:spacing w:val="-1"/>
          <w:sz w:val="24"/>
          <w:szCs w:val="24"/>
          <w:highlight w:val="none"/>
        </w:rPr>
        <w:t>”</w:t>
      </w:r>
      <w:r>
        <w:rPr>
          <w:rFonts w:ascii="宋体" w:hAnsi="宋体" w:eastAsia="宋体" w:cs="宋体"/>
          <w:color w:val="auto"/>
          <w:spacing w:val="-2"/>
          <w:sz w:val="24"/>
          <w:szCs w:val="24"/>
          <w:highlight w:val="none"/>
        </w:rPr>
        <w:t>也不属于“负偏离</w:t>
      </w:r>
      <w:r>
        <w:rPr>
          <w:rFonts w:ascii="宋体" w:hAnsi="宋体" w:eastAsia="宋体" w:cs="宋体"/>
          <w:color w:val="auto"/>
          <w:spacing w:val="-85"/>
          <w:sz w:val="24"/>
          <w:szCs w:val="24"/>
          <w:highlight w:val="none"/>
        </w:rPr>
        <w:t xml:space="preserve"> </w:t>
      </w:r>
      <w:r>
        <w:rPr>
          <w:rFonts w:ascii="宋体" w:hAnsi="宋体" w:eastAsia="宋体" w:cs="宋体"/>
          <w:color w:val="auto"/>
          <w:spacing w:val="-2"/>
          <w:sz w:val="24"/>
          <w:szCs w:val="24"/>
          <w:highlight w:val="none"/>
        </w:rPr>
        <w:t>”即填“无偏</w:t>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离</w:t>
      </w:r>
      <w:r>
        <w:rPr>
          <w:rFonts w:ascii="宋体" w:hAnsi="宋体" w:eastAsia="宋体" w:cs="宋体"/>
          <w:color w:val="auto"/>
          <w:spacing w:val="-89"/>
          <w:sz w:val="24"/>
          <w:szCs w:val="24"/>
          <w:highlight w:val="none"/>
        </w:rPr>
        <w:t xml:space="preserve"> </w:t>
      </w:r>
      <w:r>
        <w:rPr>
          <w:rFonts w:ascii="宋体" w:hAnsi="宋体" w:eastAsia="宋体" w:cs="宋体"/>
          <w:color w:val="auto"/>
          <w:spacing w:val="1"/>
          <w:sz w:val="24"/>
          <w:szCs w:val="24"/>
          <w:highlight w:val="none"/>
        </w:rPr>
        <w:t>”。</w:t>
      </w:r>
    </w:p>
    <w:p w14:paraId="035F37AD">
      <w:pPr>
        <w:spacing w:line="281" w:lineRule="auto"/>
        <w:rPr>
          <w:rFonts w:ascii="Arial"/>
          <w:color w:val="auto"/>
          <w:sz w:val="21"/>
          <w:highlight w:val="none"/>
        </w:rPr>
      </w:pPr>
    </w:p>
    <w:p w14:paraId="68DB10F1">
      <w:pPr>
        <w:spacing w:line="282" w:lineRule="auto"/>
        <w:rPr>
          <w:rFonts w:ascii="Arial"/>
          <w:color w:val="auto"/>
          <w:sz w:val="21"/>
          <w:highlight w:val="none"/>
        </w:rPr>
      </w:pPr>
    </w:p>
    <w:p w14:paraId="1C952793">
      <w:pPr>
        <w:spacing w:line="282" w:lineRule="auto"/>
        <w:rPr>
          <w:rFonts w:ascii="Arial"/>
          <w:color w:val="auto"/>
          <w:sz w:val="21"/>
          <w:highlight w:val="none"/>
        </w:rPr>
      </w:pPr>
    </w:p>
    <w:p w14:paraId="6835E483">
      <w:pPr>
        <w:spacing w:before="79" w:line="219" w:lineRule="auto"/>
        <w:ind w:left="213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法定代表人或者委托代理人（签字或者电子签名</w:t>
      </w:r>
      <w:r>
        <w:rPr>
          <w:rFonts w:ascii="宋体" w:hAnsi="宋体" w:eastAsia="宋体" w:cs="宋体"/>
          <w:color w:val="auto"/>
          <w:spacing w:val="4"/>
          <w:sz w:val="24"/>
          <w:szCs w:val="24"/>
          <w:highlight w:val="none"/>
        </w:rPr>
        <w:t>）：</w:t>
      </w:r>
    </w:p>
    <w:p w14:paraId="7852E52F">
      <w:pPr>
        <w:spacing w:before="180" w:line="219" w:lineRule="auto"/>
        <w:ind w:left="300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供应商名称（电子签章</w:t>
      </w:r>
      <w:r>
        <w:rPr>
          <w:rFonts w:ascii="宋体" w:hAnsi="宋体" w:eastAsia="宋体" w:cs="宋体"/>
          <w:color w:val="auto"/>
          <w:sz w:val="24"/>
          <w:szCs w:val="24"/>
          <w:highlight w:val="none"/>
        </w:rPr>
        <w:t>）：</w:t>
      </w:r>
    </w:p>
    <w:p w14:paraId="34D5E25E">
      <w:pPr>
        <w:spacing w:before="184" w:line="219" w:lineRule="auto"/>
        <w:ind w:left="3043"/>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3"/>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13"/>
          <w:sz w:val="24"/>
          <w:szCs w:val="24"/>
          <w:highlight w:val="none"/>
        </w:rPr>
        <w:t>日</w:t>
      </w:r>
    </w:p>
    <w:p w14:paraId="6B9AF66D">
      <w:pPr>
        <w:spacing w:line="219" w:lineRule="auto"/>
        <w:rPr>
          <w:rFonts w:ascii="宋体" w:hAnsi="宋体" w:eastAsia="宋体" w:cs="宋体"/>
          <w:color w:val="auto"/>
          <w:sz w:val="24"/>
          <w:szCs w:val="24"/>
          <w:highlight w:val="none"/>
        </w:rPr>
        <w:sectPr>
          <w:footerReference r:id="rId58" w:type="default"/>
          <w:pgSz w:w="11910" w:h="16840"/>
          <w:pgMar w:top="1431" w:right="1235" w:bottom="1091" w:left="1567" w:header="0" w:footer="929" w:gutter="0"/>
          <w:pgNumType w:fmt="decimal"/>
          <w:cols w:space="720" w:num="1"/>
        </w:sectPr>
      </w:pPr>
    </w:p>
    <w:p w14:paraId="54A82E36">
      <w:pPr>
        <w:spacing w:before="48" w:line="219" w:lineRule="auto"/>
        <w:ind w:left="145"/>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项目实施人员一览表格式（如有）</w:t>
      </w:r>
    </w:p>
    <w:p w14:paraId="7B648A4E">
      <w:pPr>
        <w:spacing w:line="278" w:lineRule="auto"/>
        <w:rPr>
          <w:rFonts w:ascii="Arial"/>
          <w:color w:val="auto"/>
          <w:sz w:val="21"/>
          <w:highlight w:val="none"/>
        </w:rPr>
      </w:pPr>
    </w:p>
    <w:p w14:paraId="7EFF1CC6">
      <w:pPr>
        <w:spacing w:line="278" w:lineRule="auto"/>
        <w:rPr>
          <w:rFonts w:ascii="Arial"/>
          <w:color w:val="auto"/>
          <w:sz w:val="21"/>
          <w:highlight w:val="none"/>
        </w:rPr>
      </w:pPr>
    </w:p>
    <w:p w14:paraId="123C420A">
      <w:pPr>
        <w:spacing w:before="101" w:line="225" w:lineRule="auto"/>
        <w:ind w:left="2998"/>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项目实施人员一览表</w:t>
      </w:r>
    </w:p>
    <w:p w14:paraId="17FA558E">
      <w:pPr>
        <w:spacing w:before="231" w:line="220"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所竞分标：</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7"/>
          <w:sz w:val="24"/>
          <w:szCs w:val="24"/>
          <w:highlight w:val="none"/>
        </w:rPr>
        <w:t xml:space="preserve"> </w:t>
      </w:r>
      <w:r>
        <w:rPr>
          <w:rFonts w:ascii="宋体" w:hAnsi="宋体" w:eastAsia="宋体" w:cs="宋体"/>
          <w:color w:val="auto"/>
          <w:spacing w:val="-2"/>
          <w:sz w:val="24"/>
          <w:szCs w:val="24"/>
          <w:highlight w:val="none"/>
        </w:rPr>
        <w:t>分标</w:t>
      </w:r>
    </w:p>
    <w:p w14:paraId="1318C7DC">
      <w:pPr>
        <w:spacing w:line="145" w:lineRule="exact"/>
        <w:rPr>
          <w:color w:val="auto"/>
          <w:highlight w:val="none"/>
        </w:rPr>
      </w:pPr>
    </w:p>
    <w:tbl>
      <w:tblPr>
        <w:tblStyle w:val="11"/>
        <w:tblW w:w="8192" w:type="dxa"/>
        <w:tblInd w:w="2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08"/>
        <w:gridCol w:w="1700"/>
        <w:gridCol w:w="1419"/>
        <w:gridCol w:w="1697"/>
        <w:gridCol w:w="1847"/>
      </w:tblGrid>
      <w:tr w14:paraId="44C59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2" w:hRule="atLeast"/>
        </w:trPr>
        <w:tc>
          <w:tcPr>
            <w:tcW w:w="821" w:type="dxa"/>
            <w:vAlign w:val="top"/>
          </w:tcPr>
          <w:p w14:paraId="2107B230">
            <w:pPr>
              <w:spacing w:line="297" w:lineRule="auto"/>
              <w:rPr>
                <w:rFonts w:ascii="Arial"/>
                <w:color w:val="auto"/>
                <w:sz w:val="21"/>
                <w:highlight w:val="none"/>
              </w:rPr>
            </w:pPr>
          </w:p>
          <w:p w14:paraId="6BC8BBD3">
            <w:pPr>
              <w:spacing w:line="297" w:lineRule="auto"/>
              <w:rPr>
                <w:rFonts w:ascii="Arial"/>
                <w:color w:val="auto"/>
                <w:sz w:val="21"/>
                <w:highlight w:val="none"/>
              </w:rPr>
            </w:pPr>
          </w:p>
          <w:p w14:paraId="41D358FE">
            <w:pPr>
              <w:spacing w:line="297" w:lineRule="auto"/>
              <w:rPr>
                <w:rFonts w:ascii="Arial"/>
                <w:color w:val="auto"/>
                <w:sz w:val="21"/>
                <w:highlight w:val="none"/>
              </w:rPr>
            </w:pPr>
          </w:p>
          <w:p w14:paraId="77B9A644">
            <w:pPr>
              <w:pStyle w:val="12"/>
              <w:spacing w:before="78" w:line="219" w:lineRule="auto"/>
              <w:ind w:left="177"/>
              <w:rPr>
                <w:color w:val="auto"/>
                <w:sz w:val="24"/>
                <w:szCs w:val="24"/>
                <w:highlight w:val="none"/>
              </w:rPr>
            </w:pPr>
            <w:r>
              <w:rPr>
                <w:color w:val="auto"/>
                <w:spacing w:val="-5"/>
                <w:sz w:val="24"/>
                <w:szCs w:val="24"/>
                <w:highlight w:val="none"/>
              </w:rPr>
              <w:t>姓名</w:t>
            </w:r>
          </w:p>
        </w:tc>
        <w:tc>
          <w:tcPr>
            <w:tcW w:w="708" w:type="dxa"/>
            <w:vAlign w:val="top"/>
          </w:tcPr>
          <w:p w14:paraId="49B9A451">
            <w:pPr>
              <w:spacing w:line="297" w:lineRule="auto"/>
              <w:rPr>
                <w:rFonts w:ascii="Arial"/>
                <w:color w:val="auto"/>
                <w:sz w:val="21"/>
                <w:highlight w:val="none"/>
              </w:rPr>
            </w:pPr>
          </w:p>
          <w:p w14:paraId="03BF33BD">
            <w:pPr>
              <w:spacing w:line="297" w:lineRule="auto"/>
              <w:rPr>
                <w:rFonts w:ascii="Arial"/>
                <w:color w:val="auto"/>
                <w:sz w:val="21"/>
                <w:highlight w:val="none"/>
              </w:rPr>
            </w:pPr>
          </w:p>
          <w:p w14:paraId="6E64F1F4">
            <w:pPr>
              <w:spacing w:line="297" w:lineRule="auto"/>
              <w:rPr>
                <w:rFonts w:ascii="Arial"/>
                <w:color w:val="auto"/>
                <w:sz w:val="21"/>
                <w:highlight w:val="none"/>
              </w:rPr>
            </w:pPr>
          </w:p>
          <w:p w14:paraId="14ED09C2">
            <w:pPr>
              <w:pStyle w:val="12"/>
              <w:spacing w:before="78" w:line="219" w:lineRule="auto"/>
              <w:ind w:left="120"/>
              <w:rPr>
                <w:color w:val="auto"/>
                <w:sz w:val="24"/>
                <w:szCs w:val="24"/>
                <w:highlight w:val="none"/>
              </w:rPr>
            </w:pPr>
            <w:r>
              <w:rPr>
                <w:color w:val="auto"/>
                <w:spacing w:val="-6"/>
                <w:sz w:val="24"/>
                <w:szCs w:val="24"/>
                <w:highlight w:val="none"/>
              </w:rPr>
              <w:t>职务</w:t>
            </w:r>
          </w:p>
        </w:tc>
        <w:tc>
          <w:tcPr>
            <w:tcW w:w="1700" w:type="dxa"/>
            <w:vAlign w:val="top"/>
          </w:tcPr>
          <w:p w14:paraId="05012CC2">
            <w:pPr>
              <w:pStyle w:val="12"/>
              <w:spacing w:before="41" w:line="219" w:lineRule="auto"/>
              <w:ind w:left="137"/>
              <w:rPr>
                <w:color w:val="auto"/>
                <w:sz w:val="24"/>
                <w:szCs w:val="24"/>
                <w:highlight w:val="none"/>
              </w:rPr>
            </w:pPr>
            <w:r>
              <w:rPr>
                <w:color w:val="auto"/>
                <w:spacing w:val="-2"/>
                <w:sz w:val="24"/>
                <w:szCs w:val="24"/>
                <w:highlight w:val="none"/>
              </w:rPr>
              <w:t>专业技术资格</w:t>
            </w:r>
          </w:p>
          <w:p w14:paraId="2D0C6A31">
            <w:pPr>
              <w:pStyle w:val="12"/>
              <w:spacing w:before="180" w:line="351" w:lineRule="auto"/>
              <w:ind w:left="136" w:right="128" w:firstLine="11"/>
              <w:jc w:val="both"/>
              <w:rPr>
                <w:color w:val="auto"/>
                <w:sz w:val="24"/>
                <w:szCs w:val="24"/>
                <w:highlight w:val="none"/>
              </w:rPr>
            </w:pPr>
            <w:r>
              <w:rPr>
                <w:color w:val="auto"/>
                <w:spacing w:val="-4"/>
                <w:sz w:val="24"/>
                <w:szCs w:val="24"/>
                <w:highlight w:val="none"/>
              </w:rPr>
              <w:t>（职称）或者</w:t>
            </w:r>
            <w:r>
              <w:rPr>
                <w:color w:val="auto"/>
                <w:spacing w:val="-2"/>
                <w:sz w:val="24"/>
                <w:szCs w:val="24"/>
                <w:highlight w:val="none"/>
              </w:rPr>
              <w:t>职业资格或者执业资格证或</w:t>
            </w:r>
            <w:r>
              <w:rPr>
                <w:color w:val="auto"/>
                <w:spacing w:val="22"/>
                <w:sz w:val="24"/>
                <w:szCs w:val="24"/>
                <w:highlight w:val="none"/>
              </w:rPr>
              <w:t>者其他证书</w:t>
            </w:r>
          </w:p>
        </w:tc>
        <w:tc>
          <w:tcPr>
            <w:tcW w:w="1419" w:type="dxa"/>
            <w:vAlign w:val="top"/>
          </w:tcPr>
          <w:p w14:paraId="009C4955">
            <w:pPr>
              <w:spacing w:line="296" w:lineRule="auto"/>
              <w:rPr>
                <w:rFonts w:ascii="Arial"/>
                <w:color w:val="auto"/>
                <w:sz w:val="21"/>
                <w:highlight w:val="none"/>
              </w:rPr>
            </w:pPr>
          </w:p>
          <w:p w14:paraId="3757C0FB">
            <w:pPr>
              <w:spacing w:line="297" w:lineRule="auto"/>
              <w:rPr>
                <w:rFonts w:ascii="Arial"/>
                <w:color w:val="auto"/>
                <w:sz w:val="21"/>
                <w:highlight w:val="none"/>
              </w:rPr>
            </w:pPr>
          </w:p>
          <w:p w14:paraId="7B0A4163">
            <w:pPr>
              <w:spacing w:line="297" w:lineRule="auto"/>
              <w:rPr>
                <w:rFonts w:ascii="Arial"/>
                <w:color w:val="auto"/>
                <w:sz w:val="21"/>
                <w:highlight w:val="none"/>
              </w:rPr>
            </w:pPr>
          </w:p>
          <w:p w14:paraId="09B64ABA">
            <w:pPr>
              <w:pStyle w:val="12"/>
              <w:spacing w:before="78" w:line="219" w:lineRule="auto"/>
              <w:ind w:left="236"/>
              <w:rPr>
                <w:color w:val="auto"/>
                <w:sz w:val="24"/>
                <w:szCs w:val="24"/>
                <w:highlight w:val="none"/>
              </w:rPr>
            </w:pPr>
            <w:r>
              <w:rPr>
                <w:color w:val="auto"/>
                <w:spacing w:val="-3"/>
                <w:sz w:val="24"/>
                <w:szCs w:val="24"/>
                <w:highlight w:val="none"/>
              </w:rPr>
              <w:t>证书编号</w:t>
            </w:r>
          </w:p>
        </w:tc>
        <w:tc>
          <w:tcPr>
            <w:tcW w:w="1697" w:type="dxa"/>
            <w:vAlign w:val="top"/>
          </w:tcPr>
          <w:p w14:paraId="4ABD2505">
            <w:pPr>
              <w:spacing w:line="329" w:lineRule="auto"/>
              <w:rPr>
                <w:rFonts w:ascii="Arial"/>
                <w:color w:val="auto"/>
                <w:sz w:val="21"/>
                <w:highlight w:val="none"/>
              </w:rPr>
            </w:pPr>
          </w:p>
          <w:p w14:paraId="36E98F9C">
            <w:pPr>
              <w:spacing w:line="329" w:lineRule="auto"/>
              <w:rPr>
                <w:rFonts w:ascii="Arial"/>
                <w:color w:val="auto"/>
                <w:sz w:val="21"/>
                <w:highlight w:val="none"/>
              </w:rPr>
            </w:pPr>
          </w:p>
          <w:p w14:paraId="58CC7191">
            <w:pPr>
              <w:pStyle w:val="12"/>
              <w:spacing w:before="78" w:line="362" w:lineRule="auto"/>
              <w:ind w:left="379" w:right="244" w:hanging="120"/>
              <w:rPr>
                <w:color w:val="auto"/>
                <w:sz w:val="24"/>
                <w:szCs w:val="24"/>
                <w:highlight w:val="none"/>
              </w:rPr>
            </w:pPr>
            <w:r>
              <w:rPr>
                <w:color w:val="auto"/>
                <w:spacing w:val="-3"/>
                <w:sz w:val="24"/>
                <w:szCs w:val="24"/>
                <w:highlight w:val="none"/>
              </w:rPr>
              <w:t>参加本单位</w:t>
            </w:r>
            <w:r>
              <w:rPr>
                <w:color w:val="auto"/>
                <w:spacing w:val="-4"/>
                <w:sz w:val="24"/>
                <w:szCs w:val="24"/>
                <w:highlight w:val="none"/>
              </w:rPr>
              <w:t>工作时间</w:t>
            </w:r>
          </w:p>
        </w:tc>
        <w:tc>
          <w:tcPr>
            <w:tcW w:w="1847" w:type="dxa"/>
            <w:vAlign w:val="top"/>
          </w:tcPr>
          <w:p w14:paraId="4F829466">
            <w:pPr>
              <w:spacing w:line="297" w:lineRule="auto"/>
              <w:rPr>
                <w:rFonts w:ascii="Arial"/>
                <w:color w:val="auto"/>
                <w:sz w:val="21"/>
                <w:highlight w:val="none"/>
              </w:rPr>
            </w:pPr>
          </w:p>
          <w:p w14:paraId="1971169C">
            <w:pPr>
              <w:spacing w:line="297" w:lineRule="auto"/>
              <w:rPr>
                <w:rFonts w:ascii="Arial"/>
                <w:color w:val="auto"/>
                <w:sz w:val="21"/>
                <w:highlight w:val="none"/>
              </w:rPr>
            </w:pPr>
          </w:p>
          <w:p w14:paraId="47D304D3">
            <w:pPr>
              <w:spacing w:line="297" w:lineRule="auto"/>
              <w:rPr>
                <w:rFonts w:ascii="Arial"/>
                <w:color w:val="auto"/>
                <w:sz w:val="21"/>
                <w:highlight w:val="none"/>
              </w:rPr>
            </w:pPr>
          </w:p>
          <w:p w14:paraId="07BFCF12">
            <w:pPr>
              <w:pStyle w:val="12"/>
              <w:spacing w:before="78" w:line="219" w:lineRule="auto"/>
              <w:ind w:left="214"/>
              <w:rPr>
                <w:color w:val="auto"/>
                <w:sz w:val="24"/>
                <w:szCs w:val="24"/>
                <w:highlight w:val="none"/>
              </w:rPr>
            </w:pPr>
            <w:r>
              <w:rPr>
                <w:color w:val="auto"/>
                <w:spacing w:val="-3"/>
                <w:sz w:val="24"/>
                <w:szCs w:val="24"/>
                <w:highlight w:val="none"/>
              </w:rPr>
              <w:t>劳动合同编号</w:t>
            </w:r>
          </w:p>
        </w:tc>
      </w:tr>
      <w:tr w14:paraId="35BF1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21" w:type="dxa"/>
            <w:vAlign w:val="top"/>
          </w:tcPr>
          <w:p w14:paraId="28AD880A">
            <w:pPr>
              <w:rPr>
                <w:rFonts w:ascii="Arial"/>
                <w:color w:val="auto"/>
                <w:sz w:val="21"/>
                <w:highlight w:val="none"/>
              </w:rPr>
            </w:pPr>
          </w:p>
        </w:tc>
        <w:tc>
          <w:tcPr>
            <w:tcW w:w="708" w:type="dxa"/>
            <w:vAlign w:val="top"/>
          </w:tcPr>
          <w:p w14:paraId="69EB4C61">
            <w:pPr>
              <w:rPr>
                <w:rFonts w:ascii="Arial"/>
                <w:color w:val="auto"/>
                <w:sz w:val="21"/>
                <w:highlight w:val="none"/>
              </w:rPr>
            </w:pPr>
          </w:p>
        </w:tc>
        <w:tc>
          <w:tcPr>
            <w:tcW w:w="1700" w:type="dxa"/>
            <w:vAlign w:val="top"/>
          </w:tcPr>
          <w:p w14:paraId="5CB78032">
            <w:pPr>
              <w:rPr>
                <w:rFonts w:ascii="Arial"/>
                <w:color w:val="auto"/>
                <w:sz w:val="21"/>
                <w:highlight w:val="none"/>
              </w:rPr>
            </w:pPr>
          </w:p>
        </w:tc>
        <w:tc>
          <w:tcPr>
            <w:tcW w:w="1419" w:type="dxa"/>
            <w:vAlign w:val="top"/>
          </w:tcPr>
          <w:p w14:paraId="027A66E1">
            <w:pPr>
              <w:rPr>
                <w:rFonts w:ascii="Arial"/>
                <w:color w:val="auto"/>
                <w:sz w:val="21"/>
                <w:highlight w:val="none"/>
              </w:rPr>
            </w:pPr>
          </w:p>
        </w:tc>
        <w:tc>
          <w:tcPr>
            <w:tcW w:w="1697" w:type="dxa"/>
            <w:vAlign w:val="top"/>
          </w:tcPr>
          <w:p w14:paraId="08050F29">
            <w:pPr>
              <w:rPr>
                <w:rFonts w:ascii="Arial"/>
                <w:color w:val="auto"/>
                <w:sz w:val="21"/>
                <w:highlight w:val="none"/>
              </w:rPr>
            </w:pPr>
          </w:p>
        </w:tc>
        <w:tc>
          <w:tcPr>
            <w:tcW w:w="1847" w:type="dxa"/>
            <w:vAlign w:val="top"/>
          </w:tcPr>
          <w:p w14:paraId="5FD0E769">
            <w:pPr>
              <w:rPr>
                <w:rFonts w:ascii="Arial"/>
                <w:color w:val="auto"/>
                <w:sz w:val="21"/>
                <w:highlight w:val="none"/>
              </w:rPr>
            </w:pPr>
          </w:p>
        </w:tc>
      </w:tr>
      <w:tr w14:paraId="15D25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821" w:type="dxa"/>
            <w:vAlign w:val="top"/>
          </w:tcPr>
          <w:p w14:paraId="262029A5">
            <w:pPr>
              <w:rPr>
                <w:rFonts w:ascii="Arial"/>
                <w:color w:val="auto"/>
                <w:sz w:val="21"/>
                <w:highlight w:val="none"/>
              </w:rPr>
            </w:pPr>
          </w:p>
        </w:tc>
        <w:tc>
          <w:tcPr>
            <w:tcW w:w="708" w:type="dxa"/>
            <w:vAlign w:val="top"/>
          </w:tcPr>
          <w:p w14:paraId="40414277">
            <w:pPr>
              <w:rPr>
                <w:rFonts w:ascii="Arial"/>
                <w:color w:val="auto"/>
                <w:sz w:val="21"/>
                <w:highlight w:val="none"/>
              </w:rPr>
            </w:pPr>
          </w:p>
        </w:tc>
        <w:tc>
          <w:tcPr>
            <w:tcW w:w="1700" w:type="dxa"/>
            <w:vAlign w:val="top"/>
          </w:tcPr>
          <w:p w14:paraId="20DEF949">
            <w:pPr>
              <w:rPr>
                <w:rFonts w:ascii="Arial"/>
                <w:color w:val="auto"/>
                <w:sz w:val="21"/>
                <w:highlight w:val="none"/>
              </w:rPr>
            </w:pPr>
          </w:p>
        </w:tc>
        <w:tc>
          <w:tcPr>
            <w:tcW w:w="1419" w:type="dxa"/>
            <w:vAlign w:val="top"/>
          </w:tcPr>
          <w:p w14:paraId="6485B81D">
            <w:pPr>
              <w:rPr>
                <w:rFonts w:ascii="Arial"/>
                <w:color w:val="auto"/>
                <w:sz w:val="21"/>
                <w:highlight w:val="none"/>
              </w:rPr>
            </w:pPr>
          </w:p>
        </w:tc>
        <w:tc>
          <w:tcPr>
            <w:tcW w:w="1697" w:type="dxa"/>
            <w:vAlign w:val="top"/>
          </w:tcPr>
          <w:p w14:paraId="5D0E94C5">
            <w:pPr>
              <w:rPr>
                <w:rFonts w:ascii="Arial"/>
                <w:color w:val="auto"/>
                <w:sz w:val="21"/>
                <w:highlight w:val="none"/>
              </w:rPr>
            </w:pPr>
          </w:p>
        </w:tc>
        <w:tc>
          <w:tcPr>
            <w:tcW w:w="1847" w:type="dxa"/>
            <w:vAlign w:val="top"/>
          </w:tcPr>
          <w:p w14:paraId="17D22A84">
            <w:pPr>
              <w:rPr>
                <w:rFonts w:ascii="Arial"/>
                <w:color w:val="auto"/>
                <w:sz w:val="21"/>
                <w:highlight w:val="none"/>
              </w:rPr>
            </w:pPr>
          </w:p>
        </w:tc>
      </w:tr>
      <w:tr w14:paraId="63636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821" w:type="dxa"/>
            <w:vAlign w:val="top"/>
          </w:tcPr>
          <w:p w14:paraId="1139CB9C">
            <w:pPr>
              <w:rPr>
                <w:rFonts w:ascii="Arial"/>
                <w:color w:val="auto"/>
                <w:sz w:val="21"/>
                <w:highlight w:val="none"/>
              </w:rPr>
            </w:pPr>
          </w:p>
        </w:tc>
        <w:tc>
          <w:tcPr>
            <w:tcW w:w="708" w:type="dxa"/>
            <w:vAlign w:val="top"/>
          </w:tcPr>
          <w:p w14:paraId="25BF3B96">
            <w:pPr>
              <w:rPr>
                <w:rFonts w:ascii="Arial"/>
                <w:color w:val="auto"/>
                <w:sz w:val="21"/>
                <w:highlight w:val="none"/>
              </w:rPr>
            </w:pPr>
          </w:p>
        </w:tc>
        <w:tc>
          <w:tcPr>
            <w:tcW w:w="1700" w:type="dxa"/>
            <w:vAlign w:val="top"/>
          </w:tcPr>
          <w:p w14:paraId="4F204888">
            <w:pPr>
              <w:rPr>
                <w:rFonts w:ascii="Arial"/>
                <w:color w:val="auto"/>
                <w:sz w:val="21"/>
                <w:highlight w:val="none"/>
              </w:rPr>
            </w:pPr>
          </w:p>
        </w:tc>
        <w:tc>
          <w:tcPr>
            <w:tcW w:w="1419" w:type="dxa"/>
            <w:vAlign w:val="top"/>
          </w:tcPr>
          <w:p w14:paraId="5A03E4E7">
            <w:pPr>
              <w:rPr>
                <w:rFonts w:ascii="Arial"/>
                <w:color w:val="auto"/>
                <w:sz w:val="21"/>
                <w:highlight w:val="none"/>
              </w:rPr>
            </w:pPr>
          </w:p>
        </w:tc>
        <w:tc>
          <w:tcPr>
            <w:tcW w:w="1697" w:type="dxa"/>
            <w:vAlign w:val="top"/>
          </w:tcPr>
          <w:p w14:paraId="0ED301C8">
            <w:pPr>
              <w:rPr>
                <w:rFonts w:ascii="Arial"/>
                <w:color w:val="auto"/>
                <w:sz w:val="21"/>
                <w:highlight w:val="none"/>
              </w:rPr>
            </w:pPr>
          </w:p>
        </w:tc>
        <w:tc>
          <w:tcPr>
            <w:tcW w:w="1847" w:type="dxa"/>
            <w:vAlign w:val="top"/>
          </w:tcPr>
          <w:p w14:paraId="6E967C31">
            <w:pPr>
              <w:rPr>
                <w:rFonts w:ascii="Arial"/>
                <w:color w:val="auto"/>
                <w:sz w:val="21"/>
                <w:highlight w:val="none"/>
              </w:rPr>
            </w:pPr>
          </w:p>
        </w:tc>
      </w:tr>
    </w:tbl>
    <w:p w14:paraId="7A82D08F">
      <w:pPr>
        <w:spacing w:before="36" w:line="224" w:lineRule="auto"/>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注：</w:t>
      </w:r>
    </w:p>
    <w:p w14:paraId="594E8B32">
      <w:pPr>
        <w:spacing w:before="174" w:line="219" w:lineRule="auto"/>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1.在填写时，如本表格不适合供应商的实际情况，可根据本表格式自行制表填写。</w:t>
      </w:r>
    </w:p>
    <w:p w14:paraId="0E65AE18">
      <w:pPr>
        <w:spacing w:before="181" w:line="219" w:lineRule="auto"/>
        <w:ind w:left="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2.供应商应当附本表所列证书的复印件并加盖供应商电子签章。</w:t>
      </w:r>
    </w:p>
    <w:p w14:paraId="50183CC1">
      <w:pPr>
        <w:spacing w:line="258" w:lineRule="auto"/>
        <w:rPr>
          <w:rFonts w:ascii="Arial"/>
          <w:color w:val="auto"/>
          <w:sz w:val="21"/>
          <w:highlight w:val="none"/>
        </w:rPr>
      </w:pPr>
    </w:p>
    <w:p w14:paraId="03E66B61">
      <w:pPr>
        <w:spacing w:line="258" w:lineRule="auto"/>
        <w:rPr>
          <w:rFonts w:ascii="Arial"/>
          <w:color w:val="auto"/>
          <w:sz w:val="21"/>
          <w:highlight w:val="none"/>
        </w:rPr>
      </w:pPr>
    </w:p>
    <w:p w14:paraId="76B2B57B">
      <w:pPr>
        <w:spacing w:line="258" w:lineRule="auto"/>
        <w:rPr>
          <w:rFonts w:ascii="Arial"/>
          <w:color w:val="auto"/>
          <w:sz w:val="21"/>
          <w:highlight w:val="none"/>
        </w:rPr>
      </w:pPr>
    </w:p>
    <w:p w14:paraId="541431F3">
      <w:pPr>
        <w:spacing w:line="259" w:lineRule="auto"/>
        <w:rPr>
          <w:rFonts w:ascii="Arial"/>
          <w:color w:val="auto"/>
          <w:sz w:val="21"/>
          <w:highlight w:val="none"/>
        </w:rPr>
      </w:pPr>
    </w:p>
    <w:p w14:paraId="2A38B515">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法定代表人或者委托代理人（签字或者电子签名</w:t>
      </w:r>
      <w:r>
        <w:rPr>
          <w:rFonts w:ascii="宋体" w:hAnsi="宋体" w:eastAsia="宋体" w:cs="宋体"/>
          <w:color w:val="auto"/>
          <w:spacing w:val="-11"/>
          <w:sz w:val="24"/>
          <w:szCs w:val="24"/>
          <w:highlight w:val="none"/>
        </w:rPr>
        <w:t>）</w:t>
      </w:r>
      <w:r>
        <w:rPr>
          <w:rFonts w:ascii="宋体" w:hAnsi="宋体" w:eastAsia="宋体" w:cs="宋体"/>
          <w:color w:val="auto"/>
          <w:spacing w:val="-49"/>
          <w:sz w:val="24"/>
          <w:szCs w:val="24"/>
          <w:highlight w:val="none"/>
        </w:rPr>
        <w:t xml:space="preserve"> </w:t>
      </w:r>
      <w:r>
        <w:rPr>
          <w:rFonts w:ascii="宋体" w:hAnsi="宋体" w:eastAsia="宋体" w:cs="宋体"/>
          <w:color w:val="auto"/>
          <w:spacing w:val="-11"/>
          <w:sz w:val="24"/>
          <w:szCs w:val="24"/>
          <w:highlight w:val="none"/>
        </w:rPr>
        <w:t>：</w:t>
      </w:r>
      <w:r>
        <w:rPr>
          <w:rFonts w:ascii="宋体" w:hAnsi="宋体" w:eastAsia="宋体" w:cs="宋体"/>
          <w:color w:val="auto"/>
          <w:spacing w:val="-82"/>
          <w:sz w:val="24"/>
          <w:szCs w:val="24"/>
          <w:highlight w:val="none"/>
        </w:rPr>
        <w:t xml:space="preserve"> </w:t>
      </w:r>
      <w:r>
        <w:rPr>
          <w:rFonts w:ascii="宋体" w:hAnsi="宋体" w:eastAsia="宋体" w:cs="宋体"/>
          <w:color w:val="auto"/>
          <w:sz w:val="24"/>
          <w:szCs w:val="24"/>
          <w:highlight w:val="none"/>
          <w:u w:val="single" w:color="auto"/>
        </w:rPr>
        <w:t xml:space="preserve">           </w:t>
      </w:r>
    </w:p>
    <w:p w14:paraId="3F20E918">
      <w:pPr>
        <w:spacing w:before="183" w:line="219" w:lineRule="auto"/>
        <w:rPr>
          <w:rFonts w:ascii="宋体" w:hAnsi="宋体" w:eastAsia="宋体" w:cs="宋体"/>
          <w:color w:val="auto"/>
          <w:sz w:val="24"/>
          <w:szCs w:val="24"/>
          <w:highlight w:val="none"/>
        </w:rPr>
      </w:pPr>
      <w:r>
        <w:rPr>
          <w:rFonts w:ascii="宋体" w:hAnsi="宋体" w:eastAsia="宋体" w:cs="宋体"/>
          <w:color w:val="auto"/>
          <w:spacing w:val="20"/>
          <w:sz w:val="24"/>
          <w:szCs w:val="24"/>
          <w:highlight w:val="none"/>
        </w:rPr>
        <w:t>供应商名称（ 电子签章</w:t>
      </w:r>
      <w:r>
        <w:rPr>
          <w:rFonts w:ascii="宋体" w:hAnsi="宋体" w:eastAsia="宋体" w:cs="宋体"/>
          <w:color w:val="auto"/>
          <w:spacing w:val="-44"/>
          <w:sz w:val="24"/>
          <w:szCs w:val="24"/>
          <w:highlight w:val="none"/>
        </w:rPr>
        <w:t xml:space="preserve"> </w:t>
      </w:r>
      <w:r>
        <w:rPr>
          <w:rFonts w:ascii="宋体" w:hAnsi="宋体" w:eastAsia="宋体" w:cs="宋体"/>
          <w:color w:val="auto"/>
          <w:spacing w:val="-28"/>
          <w:sz w:val="24"/>
          <w:szCs w:val="24"/>
          <w:highlight w:val="none"/>
        </w:rPr>
        <w:t>）</w:t>
      </w:r>
      <w:r>
        <w:rPr>
          <w:rFonts w:ascii="宋体" w:hAnsi="宋体" w:eastAsia="宋体" w:cs="宋体"/>
          <w:color w:val="auto"/>
          <w:spacing w:val="-52"/>
          <w:sz w:val="24"/>
          <w:szCs w:val="24"/>
          <w:highlight w:val="none"/>
        </w:rPr>
        <w:t xml:space="preserve"> </w:t>
      </w:r>
      <w:r>
        <w:rPr>
          <w:rFonts w:ascii="宋体" w:hAnsi="宋体" w:eastAsia="宋体" w:cs="宋体"/>
          <w:color w:val="auto"/>
          <w:spacing w:val="-28"/>
          <w:sz w:val="24"/>
          <w:szCs w:val="24"/>
          <w:highlight w:val="none"/>
        </w:rPr>
        <w:t>：</w:t>
      </w:r>
      <w:r>
        <w:rPr>
          <w:rFonts w:ascii="宋体" w:hAnsi="宋体" w:eastAsia="宋体" w:cs="宋体"/>
          <w:color w:val="auto"/>
          <w:spacing w:val="-79"/>
          <w:sz w:val="24"/>
          <w:szCs w:val="24"/>
          <w:highlight w:val="none"/>
        </w:rPr>
        <w:t xml:space="preserve"> </w:t>
      </w:r>
      <w:r>
        <w:rPr>
          <w:rFonts w:ascii="宋体" w:hAnsi="宋体" w:eastAsia="宋体" w:cs="宋体"/>
          <w:color w:val="auto"/>
          <w:sz w:val="24"/>
          <w:szCs w:val="24"/>
          <w:highlight w:val="none"/>
          <w:u w:val="single" w:color="auto"/>
        </w:rPr>
        <w:t xml:space="preserve">                </w:t>
      </w:r>
    </w:p>
    <w:p w14:paraId="2B37AB04">
      <w:pPr>
        <w:spacing w:before="181" w:line="220" w:lineRule="auto"/>
        <w:ind w:left="41"/>
        <w:rPr>
          <w:rFonts w:ascii="宋体" w:hAnsi="宋体" w:eastAsia="宋体" w:cs="宋体"/>
          <w:color w:val="auto"/>
          <w:sz w:val="24"/>
          <w:szCs w:val="24"/>
          <w:highlight w:val="none"/>
        </w:rPr>
      </w:pPr>
      <w:r>
        <w:rPr>
          <w:rFonts w:ascii="宋体" w:hAnsi="宋体" w:eastAsia="宋体" w:cs="宋体"/>
          <w:color w:val="auto"/>
          <w:spacing w:val="-25"/>
          <w:sz w:val="24"/>
          <w:szCs w:val="24"/>
          <w:highlight w:val="none"/>
        </w:rPr>
        <w:t>日  期</w:t>
      </w:r>
      <w:r>
        <w:rPr>
          <w:rFonts w:ascii="宋体" w:hAnsi="宋体" w:eastAsia="宋体" w:cs="宋体"/>
          <w:color w:val="auto"/>
          <w:spacing w:val="-47"/>
          <w:sz w:val="24"/>
          <w:szCs w:val="24"/>
          <w:highlight w:val="none"/>
        </w:rPr>
        <w:t xml:space="preserve"> </w:t>
      </w:r>
      <w:r>
        <w:rPr>
          <w:rFonts w:ascii="宋体" w:hAnsi="宋体" w:eastAsia="宋体" w:cs="宋体"/>
          <w:color w:val="auto"/>
          <w:spacing w:val="-25"/>
          <w:sz w:val="24"/>
          <w:szCs w:val="24"/>
          <w:highlight w:val="none"/>
        </w:rPr>
        <w:t>：</w:t>
      </w:r>
      <w:r>
        <w:rPr>
          <w:rFonts w:ascii="宋体" w:hAnsi="宋体" w:eastAsia="宋体" w:cs="宋体"/>
          <w:color w:val="auto"/>
          <w:spacing w:val="-80"/>
          <w:sz w:val="24"/>
          <w:szCs w:val="24"/>
          <w:highlight w:val="none"/>
        </w:rPr>
        <w:t xml:space="preserve"> </w:t>
      </w:r>
      <w:r>
        <w:rPr>
          <w:rFonts w:ascii="宋体" w:hAnsi="宋体" w:eastAsia="宋体" w:cs="宋体"/>
          <w:color w:val="auto"/>
          <w:sz w:val="24"/>
          <w:szCs w:val="24"/>
          <w:highlight w:val="none"/>
          <w:u w:val="single" w:color="auto"/>
        </w:rPr>
        <w:t xml:space="preserve">            </w:t>
      </w:r>
    </w:p>
    <w:p w14:paraId="56777B80">
      <w:pPr>
        <w:spacing w:line="220" w:lineRule="auto"/>
        <w:rPr>
          <w:rFonts w:ascii="宋体" w:hAnsi="宋体" w:eastAsia="宋体" w:cs="宋体"/>
          <w:color w:val="auto"/>
          <w:sz w:val="24"/>
          <w:szCs w:val="24"/>
          <w:highlight w:val="none"/>
        </w:rPr>
        <w:sectPr>
          <w:footerReference r:id="rId59" w:type="default"/>
          <w:pgSz w:w="11910" w:h="16840"/>
          <w:pgMar w:top="1328" w:right="1629" w:bottom="1091" w:left="1689" w:header="0" w:footer="929" w:gutter="0"/>
          <w:pgNumType w:fmt="decimal"/>
          <w:cols w:space="720" w:num="1"/>
        </w:sectPr>
      </w:pPr>
    </w:p>
    <w:p w14:paraId="77AA38A6">
      <w:pPr>
        <w:spacing w:before="64" w:line="219" w:lineRule="auto"/>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代理服务费承诺书（如本项目为采购人支付代理服务费的，无需提供）</w:t>
      </w:r>
    </w:p>
    <w:p w14:paraId="12805330">
      <w:pPr>
        <w:spacing w:line="445" w:lineRule="auto"/>
        <w:rPr>
          <w:rFonts w:ascii="Arial"/>
          <w:color w:val="auto"/>
          <w:sz w:val="21"/>
          <w:highlight w:val="none"/>
        </w:rPr>
      </w:pPr>
    </w:p>
    <w:p w14:paraId="075972E5">
      <w:pPr>
        <w:spacing w:before="187" w:line="184" w:lineRule="auto"/>
        <w:ind w:left="2615"/>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代理服务费承诺书</w:t>
      </w:r>
    </w:p>
    <w:p w14:paraId="7693109A">
      <w:pPr>
        <w:spacing w:line="445" w:lineRule="auto"/>
        <w:rPr>
          <w:rFonts w:ascii="Arial"/>
          <w:color w:val="auto"/>
          <w:sz w:val="21"/>
          <w:highlight w:val="none"/>
        </w:rPr>
      </w:pPr>
    </w:p>
    <w:p w14:paraId="2363BF66">
      <w:pPr>
        <w:spacing w:before="78"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致：采购代理机构名称：</w:t>
      </w:r>
    </w:p>
    <w:p w14:paraId="443A2EFF">
      <w:pPr>
        <w:spacing w:before="183"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本单位参加了贵方组织的</w:t>
      </w:r>
      <w:r>
        <w:rPr>
          <w:rFonts w:ascii="宋体" w:hAnsi="宋体" w:eastAsia="宋体" w:cs="宋体"/>
          <w:color w:val="auto"/>
          <w:spacing w:val="-1"/>
          <w:sz w:val="24"/>
          <w:szCs w:val="24"/>
          <w:highlight w:val="none"/>
          <w:u w:val="single" w:color="auto"/>
        </w:rPr>
        <w:t xml:space="preserve">  项目名称（项目编号）  </w:t>
      </w:r>
      <w:r>
        <w:rPr>
          <w:rFonts w:ascii="宋体" w:hAnsi="宋体" w:eastAsia="宋体" w:cs="宋体"/>
          <w:color w:val="auto"/>
          <w:spacing w:val="-96"/>
          <w:sz w:val="24"/>
          <w:szCs w:val="24"/>
          <w:highlight w:val="none"/>
        </w:rPr>
        <w:t xml:space="preserve"> </w:t>
      </w:r>
      <w:r>
        <w:rPr>
          <w:rFonts w:ascii="宋体" w:hAnsi="宋体" w:eastAsia="宋体" w:cs="宋体"/>
          <w:color w:val="auto"/>
          <w:spacing w:val="-1"/>
          <w:sz w:val="24"/>
          <w:szCs w:val="24"/>
          <w:highlight w:val="none"/>
        </w:rPr>
        <w:t>项目， 在此说明如下：</w:t>
      </w:r>
    </w:p>
    <w:p w14:paraId="678BBAF4">
      <w:pPr>
        <w:spacing w:before="182" w:line="359" w:lineRule="auto"/>
        <w:ind w:left="1" w:right="271" w:firstLine="376"/>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1.我方承诺，若本单位成交，保证在发出成交通知书之后，按本项目采购文件的规定标准向贵单位一次性足额支付代理服务费， 在领取成交通知书后，由于被</w:t>
      </w:r>
      <w:r>
        <w:rPr>
          <w:rFonts w:ascii="宋体" w:hAnsi="宋体" w:eastAsia="宋体" w:cs="宋体"/>
          <w:color w:val="auto"/>
          <w:spacing w:val="2"/>
          <w:sz w:val="24"/>
          <w:szCs w:val="24"/>
          <w:highlight w:val="none"/>
        </w:rPr>
        <w:t>质疑、投诉或者其他原因而导致成交结果改变，我方将放弃对已缴纳的成交代理服</w:t>
      </w:r>
      <w:r>
        <w:rPr>
          <w:rFonts w:ascii="宋体" w:hAnsi="宋体" w:eastAsia="宋体" w:cs="宋体"/>
          <w:color w:val="auto"/>
          <w:spacing w:val="-2"/>
          <w:sz w:val="24"/>
          <w:szCs w:val="24"/>
          <w:highlight w:val="none"/>
        </w:rPr>
        <w:t>务费追还的一切权利。</w:t>
      </w:r>
    </w:p>
    <w:p w14:paraId="72862ED4">
      <w:pPr>
        <w:spacing w:line="359" w:lineRule="auto"/>
        <w:ind w:left="360" w:right="2820" w:firstLine="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2.本单位选择第</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3"/>
          <w:sz w:val="24"/>
          <w:szCs w:val="24"/>
          <w:highlight w:val="none"/>
        </w:rPr>
        <w:t>种方式作为代理服务费开票类型：</w:t>
      </w:r>
      <w:r>
        <w:rPr>
          <w:rFonts w:ascii="宋体" w:hAnsi="宋体" w:eastAsia="宋体" w:cs="宋体"/>
          <w:color w:val="auto"/>
          <w:spacing w:val="-1"/>
          <w:sz w:val="24"/>
          <w:szCs w:val="24"/>
          <w:highlight w:val="none"/>
        </w:rPr>
        <w:t>第一种方式：开具增值税普通发票。开票信息如下：</w:t>
      </w:r>
    </w:p>
    <w:p w14:paraId="6095D980">
      <w:pPr>
        <w:spacing w:line="221" w:lineRule="auto"/>
        <w:ind w:left="3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（1）公司名称</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0AEA5306">
      <w:pPr>
        <w:spacing w:before="181" w:line="220" w:lineRule="auto"/>
        <w:ind w:left="3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（2）纳税人识别号</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2391A352">
      <w:pPr>
        <w:spacing w:before="182" w:line="219" w:lineRule="auto"/>
        <w:ind w:left="36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第二种方式：开具增值税专用发票，开票信息如下：</w:t>
      </w:r>
    </w:p>
    <w:p w14:paraId="6B876549">
      <w:pPr>
        <w:spacing w:before="181" w:line="221" w:lineRule="auto"/>
        <w:ind w:left="3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（1）公司名称</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3E12D09B">
      <w:pPr>
        <w:spacing w:before="180" w:line="220" w:lineRule="auto"/>
        <w:ind w:left="3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（2）纳税人识别号</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763F4769">
      <w:pPr>
        <w:spacing w:before="180" w:line="219" w:lineRule="auto"/>
        <w:ind w:left="3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（3）在税务局登记的地址</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3A4ECF1C">
      <w:pPr>
        <w:spacing w:before="183" w:line="219" w:lineRule="auto"/>
        <w:ind w:left="3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（4）在税务局登记的电话</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716A9DD4">
      <w:pPr>
        <w:spacing w:before="181" w:line="220" w:lineRule="auto"/>
        <w:ind w:left="3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（5）开户银行</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73312D9D">
      <w:pPr>
        <w:spacing w:before="182" w:line="220" w:lineRule="auto"/>
        <w:ind w:left="3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（6）银行账户</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w:t>
      </w:r>
    </w:p>
    <w:p w14:paraId="5609041E">
      <w:pPr>
        <w:spacing w:line="282" w:lineRule="auto"/>
        <w:rPr>
          <w:rFonts w:ascii="Arial"/>
          <w:color w:val="auto"/>
          <w:sz w:val="21"/>
          <w:highlight w:val="none"/>
        </w:rPr>
      </w:pPr>
    </w:p>
    <w:p w14:paraId="03D861AE">
      <w:pPr>
        <w:spacing w:line="282" w:lineRule="auto"/>
        <w:rPr>
          <w:rFonts w:ascii="Arial"/>
          <w:color w:val="auto"/>
          <w:sz w:val="21"/>
          <w:highlight w:val="none"/>
        </w:rPr>
      </w:pPr>
    </w:p>
    <w:p w14:paraId="7FCD6252">
      <w:pPr>
        <w:spacing w:line="283" w:lineRule="auto"/>
        <w:rPr>
          <w:rFonts w:ascii="Arial"/>
          <w:color w:val="auto"/>
          <w:sz w:val="21"/>
          <w:highlight w:val="none"/>
        </w:rPr>
      </w:pPr>
    </w:p>
    <w:p w14:paraId="110C89D7">
      <w:pPr>
        <w:spacing w:line="283" w:lineRule="auto"/>
        <w:rPr>
          <w:rFonts w:ascii="Arial"/>
          <w:color w:val="auto"/>
          <w:sz w:val="21"/>
          <w:highlight w:val="none"/>
        </w:rPr>
      </w:pPr>
    </w:p>
    <w:p w14:paraId="1F6B74C4">
      <w:pPr>
        <w:spacing w:line="283" w:lineRule="auto"/>
        <w:rPr>
          <w:rFonts w:ascii="Arial"/>
          <w:color w:val="auto"/>
          <w:sz w:val="21"/>
          <w:highlight w:val="none"/>
        </w:rPr>
      </w:pPr>
    </w:p>
    <w:p w14:paraId="25C513A3">
      <w:pPr>
        <w:spacing w:before="78" w:line="219" w:lineRule="auto"/>
        <w:ind w:left="191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法定代表人或者委托代理人（签字或者电子签名</w:t>
      </w:r>
      <w:r>
        <w:rPr>
          <w:rFonts w:ascii="宋体" w:hAnsi="宋体" w:eastAsia="宋体" w:cs="宋体"/>
          <w:color w:val="auto"/>
          <w:spacing w:val="4"/>
          <w:sz w:val="24"/>
          <w:szCs w:val="24"/>
          <w:highlight w:val="none"/>
        </w:rPr>
        <w:t>）：</w:t>
      </w:r>
    </w:p>
    <w:p w14:paraId="3C5C5011">
      <w:pPr>
        <w:spacing w:before="183" w:line="219" w:lineRule="auto"/>
        <w:ind w:left="452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供应商公章（电子签章</w:t>
      </w:r>
      <w:r>
        <w:rPr>
          <w:rFonts w:ascii="宋体" w:hAnsi="宋体" w:eastAsia="宋体" w:cs="宋体"/>
          <w:color w:val="auto"/>
          <w:sz w:val="24"/>
          <w:szCs w:val="24"/>
          <w:highlight w:val="none"/>
        </w:rPr>
        <w:t>）：</w:t>
      </w:r>
    </w:p>
    <w:p w14:paraId="3125E89F">
      <w:pPr>
        <w:spacing w:before="232" w:line="219" w:lineRule="auto"/>
        <w:jc w:val="right"/>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r>
        <w:rPr>
          <w:rFonts w:ascii="宋体" w:hAnsi="宋体" w:eastAsia="宋体" w:cs="宋体"/>
          <w:color w:val="auto"/>
          <w:spacing w:val="3"/>
          <w:sz w:val="24"/>
          <w:szCs w:val="24"/>
          <w:highlight w:val="none"/>
        </w:rPr>
        <w:t xml:space="preserve">    </w:t>
      </w:r>
      <w:r>
        <w:rPr>
          <w:rFonts w:ascii="宋体" w:hAnsi="宋体" w:eastAsia="宋体" w:cs="宋体"/>
          <w:color w:val="auto"/>
          <w:spacing w:val="-22"/>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22"/>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22"/>
          <w:sz w:val="24"/>
          <w:szCs w:val="24"/>
          <w:highlight w:val="none"/>
        </w:rPr>
        <w:t>日</w:t>
      </w:r>
    </w:p>
    <w:p w14:paraId="6B8C9E70">
      <w:pPr>
        <w:spacing w:line="219" w:lineRule="auto"/>
        <w:rPr>
          <w:rFonts w:ascii="宋体" w:hAnsi="宋体" w:eastAsia="宋体" w:cs="宋体"/>
          <w:color w:val="auto"/>
          <w:sz w:val="24"/>
          <w:szCs w:val="24"/>
          <w:highlight w:val="none"/>
        </w:rPr>
        <w:sectPr>
          <w:footerReference r:id="rId60" w:type="default"/>
          <w:pgSz w:w="11910" w:h="16840"/>
          <w:pgMar w:top="1431" w:right="1230" w:bottom="1091" w:left="1688" w:header="0" w:footer="929" w:gutter="0"/>
          <w:pgNumType w:fmt="decimal"/>
          <w:cols w:space="720" w:num="1"/>
        </w:sectPr>
      </w:pPr>
    </w:p>
    <w:p w14:paraId="26C92237">
      <w:pPr>
        <w:spacing w:before="47" w:line="219" w:lineRule="auto"/>
        <w:ind w:left="429"/>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其他文书、文件格式</w:t>
      </w:r>
    </w:p>
    <w:p w14:paraId="016C6D55">
      <w:pPr>
        <w:spacing w:line="264" w:lineRule="auto"/>
        <w:rPr>
          <w:rFonts w:ascii="Arial"/>
          <w:color w:val="auto"/>
          <w:sz w:val="21"/>
          <w:highlight w:val="none"/>
        </w:rPr>
      </w:pPr>
    </w:p>
    <w:p w14:paraId="51833660">
      <w:pPr>
        <w:spacing w:line="264" w:lineRule="auto"/>
        <w:rPr>
          <w:rFonts w:ascii="Arial"/>
          <w:color w:val="auto"/>
          <w:sz w:val="21"/>
          <w:highlight w:val="none"/>
        </w:rPr>
      </w:pPr>
    </w:p>
    <w:p w14:paraId="10F0428C">
      <w:pPr>
        <w:spacing w:line="265" w:lineRule="auto"/>
        <w:rPr>
          <w:rFonts w:ascii="Arial"/>
          <w:color w:val="auto"/>
          <w:sz w:val="21"/>
          <w:highlight w:val="none"/>
        </w:rPr>
      </w:pPr>
    </w:p>
    <w:p w14:paraId="0B0F3073">
      <w:pPr>
        <w:spacing w:before="188" w:line="186" w:lineRule="auto"/>
        <w:ind w:left="242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3"/>
          <w:sz w:val="43"/>
          <w:szCs w:val="43"/>
          <w:highlight w:val="none"/>
        </w:rPr>
        <w:t>中小企业声明函（货物</w:t>
      </w:r>
      <w:r>
        <w:rPr>
          <w:rFonts w:ascii="Arial Unicode MS" w:hAnsi="Arial Unicode MS" w:eastAsia="Arial Unicode MS" w:cs="Arial Unicode MS"/>
          <w:color w:val="auto"/>
          <w:spacing w:val="-56"/>
          <w:sz w:val="43"/>
          <w:szCs w:val="43"/>
          <w:highlight w:val="none"/>
        </w:rPr>
        <w:t xml:space="preserve"> </w:t>
      </w:r>
      <w:r>
        <w:rPr>
          <w:rFonts w:ascii="Arial Unicode MS" w:hAnsi="Arial Unicode MS" w:eastAsia="Arial Unicode MS" w:cs="Arial Unicode MS"/>
          <w:color w:val="auto"/>
          <w:spacing w:val="3"/>
          <w:sz w:val="43"/>
          <w:szCs w:val="43"/>
          <w:highlight w:val="none"/>
        </w:rPr>
        <w:t>）</w:t>
      </w:r>
    </w:p>
    <w:p w14:paraId="7FF742D1">
      <w:pPr>
        <w:spacing w:line="373" w:lineRule="auto"/>
        <w:rPr>
          <w:rFonts w:ascii="Arial"/>
          <w:color w:val="auto"/>
          <w:sz w:val="21"/>
          <w:highlight w:val="none"/>
        </w:rPr>
      </w:pPr>
    </w:p>
    <w:p w14:paraId="3BFF2AA2">
      <w:pPr>
        <w:spacing w:before="78" w:line="359" w:lineRule="auto"/>
        <w:ind w:right="199" w:firstLine="642"/>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本公司（联合体）郑重声明，根据《政府采购促进中小企业发展管理办法》</w:t>
      </w:r>
      <w:r>
        <w:rPr>
          <w:rFonts w:ascii="宋体" w:hAnsi="宋体" w:eastAsia="宋体" w:cs="宋体"/>
          <w:color w:val="auto"/>
          <w:spacing w:val="3"/>
          <w:sz w:val="24"/>
          <w:szCs w:val="24"/>
          <w:highlight w:val="none"/>
        </w:rPr>
        <w:t xml:space="preserve"> </w:t>
      </w:r>
      <w:r>
        <w:rPr>
          <w:rFonts w:ascii="宋体" w:hAnsi="宋体" w:eastAsia="宋体" w:cs="宋体"/>
          <w:color w:val="auto"/>
          <w:spacing w:val="1"/>
          <w:sz w:val="24"/>
          <w:szCs w:val="24"/>
          <w:highlight w:val="none"/>
        </w:rPr>
        <w:t>（财库﹝2020﹞46</w:t>
      </w:r>
      <w:r>
        <w:rPr>
          <w:rFonts w:ascii="宋体" w:hAnsi="宋体" w:eastAsia="宋体" w:cs="宋体"/>
          <w:color w:val="auto"/>
          <w:spacing w:val="-36"/>
          <w:sz w:val="24"/>
          <w:szCs w:val="24"/>
          <w:highlight w:val="none"/>
        </w:rPr>
        <w:t xml:space="preserve"> </w:t>
      </w:r>
      <w:r>
        <w:rPr>
          <w:rFonts w:ascii="宋体" w:hAnsi="宋体" w:eastAsia="宋体" w:cs="宋体"/>
          <w:color w:val="auto"/>
          <w:spacing w:val="1"/>
          <w:sz w:val="24"/>
          <w:szCs w:val="24"/>
          <w:highlight w:val="none"/>
        </w:rPr>
        <w:t>号）的规定，本公司（联合体）参加</w:t>
      </w:r>
      <w:r>
        <w:rPr>
          <w:rFonts w:ascii="宋体" w:hAnsi="宋体" w:eastAsia="宋体" w:cs="宋体"/>
          <w:color w:val="auto"/>
          <w:spacing w:val="1"/>
          <w:sz w:val="24"/>
          <w:szCs w:val="24"/>
          <w:highlight w:val="none"/>
          <w:u w:val="single" w:color="auto"/>
        </w:rPr>
        <w:t>（单位名称）</w:t>
      </w:r>
      <w:r>
        <w:rPr>
          <w:rFonts w:ascii="宋体" w:hAnsi="宋体" w:eastAsia="宋体" w:cs="宋体"/>
          <w:color w:val="auto"/>
          <w:spacing w:val="1"/>
          <w:sz w:val="24"/>
          <w:szCs w:val="24"/>
          <w:highlight w:val="none"/>
        </w:rPr>
        <w:t>的</w:t>
      </w:r>
      <w:r>
        <w:rPr>
          <w:rFonts w:ascii="宋体" w:hAnsi="宋体" w:eastAsia="宋体" w:cs="宋体"/>
          <w:color w:val="auto"/>
          <w:spacing w:val="1"/>
          <w:sz w:val="24"/>
          <w:szCs w:val="24"/>
          <w:highlight w:val="none"/>
          <w:u w:val="single" w:color="auto"/>
        </w:rPr>
        <w:t>（项目名称）</w:t>
      </w:r>
      <w:r>
        <w:rPr>
          <w:rFonts w:ascii="宋体" w:hAnsi="宋体" w:eastAsia="宋体" w:cs="宋体"/>
          <w:color w:val="auto"/>
          <w:spacing w:val="3"/>
          <w:sz w:val="24"/>
          <w:szCs w:val="24"/>
          <w:highlight w:val="none"/>
        </w:rPr>
        <w:t>采购活动，提供的货物全部由符合政策要求的中小企业制造。相关企业（含联合体中</w:t>
      </w:r>
      <w:r>
        <w:rPr>
          <w:rFonts w:ascii="宋体" w:hAnsi="宋体" w:eastAsia="宋体" w:cs="宋体"/>
          <w:color w:val="auto"/>
          <w:spacing w:val="-1"/>
          <w:sz w:val="24"/>
          <w:szCs w:val="24"/>
          <w:highlight w:val="none"/>
        </w:rPr>
        <w:t>的中小企业、签订分包意向协议的中小企业）的具体情况如下：</w:t>
      </w:r>
    </w:p>
    <w:p w14:paraId="21567036">
      <w:pPr>
        <w:spacing w:before="1" w:line="359" w:lineRule="auto"/>
        <w:ind w:firstLine="67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w:t>
      </w:r>
      <w:r>
        <w:rPr>
          <w:rFonts w:ascii="宋体" w:hAnsi="宋体" w:eastAsia="宋体" w:cs="宋体"/>
          <w:color w:val="auto"/>
          <w:spacing w:val="3"/>
          <w:sz w:val="24"/>
          <w:szCs w:val="24"/>
          <w:highlight w:val="none"/>
          <w:u w:val="single" w:color="auto"/>
        </w:rPr>
        <w:t>（标的名称</w:t>
      </w:r>
      <w:r>
        <w:rPr>
          <w:rFonts w:ascii="宋体" w:hAnsi="宋体" w:eastAsia="宋体" w:cs="宋体"/>
          <w:color w:val="auto"/>
          <w:spacing w:val="14"/>
          <w:sz w:val="24"/>
          <w:szCs w:val="24"/>
          <w:highlight w:val="none"/>
          <w:u w:val="single" w:color="auto"/>
        </w:rPr>
        <w:t>）</w:t>
      </w:r>
      <w:r>
        <w:rPr>
          <w:rFonts w:ascii="宋体" w:hAnsi="宋体" w:eastAsia="宋体" w:cs="宋体"/>
          <w:color w:val="auto"/>
          <w:spacing w:val="14"/>
          <w:sz w:val="24"/>
          <w:szCs w:val="24"/>
          <w:highlight w:val="none"/>
        </w:rPr>
        <w:t>，</w:t>
      </w:r>
      <w:r>
        <w:rPr>
          <w:rFonts w:ascii="宋体" w:hAnsi="宋体" w:eastAsia="宋体" w:cs="宋体"/>
          <w:color w:val="auto"/>
          <w:spacing w:val="3"/>
          <w:sz w:val="24"/>
          <w:szCs w:val="24"/>
          <w:highlight w:val="none"/>
        </w:rPr>
        <w:t>属于</w:t>
      </w:r>
      <w:r>
        <w:rPr>
          <w:rFonts w:ascii="宋体" w:hAnsi="宋体" w:eastAsia="宋体" w:cs="宋体"/>
          <w:color w:val="auto"/>
          <w:spacing w:val="3"/>
          <w:sz w:val="24"/>
          <w:szCs w:val="24"/>
          <w:highlight w:val="none"/>
          <w:u w:val="single" w:color="auto"/>
        </w:rPr>
        <w:t>（采购文件中明确的所属行业）</w:t>
      </w:r>
      <w:r>
        <w:rPr>
          <w:rFonts w:ascii="宋体" w:hAnsi="宋体" w:eastAsia="宋体" w:cs="宋体"/>
          <w:color w:val="auto"/>
          <w:spacing w:val="3"/>
          <w:sz w:val="24"/>
          <w:szCs w:val="24"/>
          <w:highlight w:val="none"/>
        </w:rPr>
        <w:t>行业；制造商为</w:t>
      </w:r>
      <w:r>
        <w:rPr>
          <w:rFonts w:ascii="宋体" w:hAnsi="宋体" w:eastAsia="宋体" w:cs="宋体"/>
          <w:color w:val="auto"/>
          <w:spacing w:val="3"/>
          <w:sz w:val="24"/>
          <w:szCs w:val="24"/>
          <w:highlight w:val="none"/>
          <w:u w:val="single" w:color="auto"/>
        </w:rPr>
        <w:t>（企业名</w:t>
      </w:r>
      <w:r>
        <w:rPr>
          <w:rFonts w:ascii="宋体" w:hAnsi="宋体" w:eastAsia="宋体" w:cs="宋体"/>
          <w:color w:val="auto"/>
          <w:sz w:val="24"/>
          <w:szCs w:val="24"/>
          <w:highlight w:val="none"/>
          <w:u w:val="single" w:color="auto"/>
        </w:rPr>
        <w:t>称</w:t>
      </w:r>
      <w:r>
        <w:rPr>
          <w:rFonts w:ascii="宋体" w:hAnsi="宋体" w:eastAsia="宋体" w:cs="宋体"/>
          <w:color w:val="auto"/>
          <w:spacing w:val="9"/>
          <w:sz w:val="24"/>
          <w:szCs w:val="24"/>
          <w:highlight w:val="none"/>
          <w:u w:val="single" w:color="auto"/>
        </w:rPr>
        <w:t>）</w:t>
      </w:r>
      <w:r>
        <w:rPr>
          <w:rFonts w:ascii="宋体" w:hAnsi="宋体" w:eastAsia="宋体" w:cs="宋体"/>
          <w:color w:val="auto"/>
          <w:spacing w:val="9"/>
          <w:sz w:val="24"/>
          <w:szCs w:val="24"/>
          <w:highlight w:val="none"/>
        </w:rPr>
        <w:t>，</w:t>
      </w:r>
      <w:r>
        <w:rPr>
          <w:rFonts w:ascii="宋体" w:hAnsi="宋体" w:eastAsia="宋体" w:cs="宋体"/>
          <w:color w:val="auto"/>
          <w:sz w:val="24"/>
          <w:szCs w:val="24"/>
          <w:highlight w:val="none"/>
        </w:rPr>
        <w:t>从业人员</w:t>
      </w:r>
      <w:r>
        <w:rPr>
          <w:rFonts w:ascii="宋体" w:hAnsi="宋体" w:eastAsia="宋体" w:cs="宋体"/>
          <w:color w:val="auto"/>
          <w:spacing w:val="-116"/>
          <w:sz w:val="24"/>
          <w:szCs w:val="24"/>
          <w:highlight w:val="none"/>
        </w:rPr>
        <w:t xml:space="preserve"> </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z w:val="24"/>
          <w:szCs w:val="24"/>
          <w:highlight w:val="none"/>
        </w:rPr>
        <w:t>人，营业收入为</w:t>
      </w:r>
      <w:r>
        <w:rPr>
          <w:rFonts w:ascii="宋体" w:hAnsi="宋体" w:eastAsia="宋体" w:cs="宋体"/>
          <w:color w:val="auto"/>
          <w:spacing w:val="-118"/>
          <w:sz w:val="24"/>
          <w:szCs w:val="24"/>
          <w:highlight w:val="none"/>
        </w:rPr>
        <w:t xml:space="preserve"> </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2"/>
          <w:sz w:val="24"/>
          <w:szCs w:val="24"/>
          <w:highlight w:val="none"/>
        </w:rPr>
        <w:t xml:space="preserve"> </w:t>
      </w:r>
      <w:r>
        <w:rPr>
          <w:rFonts w:ascii="宋体" w:hAnsi="宋体" w:eastAsia="宋体" w:cs="宋体"/>
          <w:color w:val="auto"/>
          <w:sz w:val="24"/>
          <w:szCs w:val="24"/>
          <w:highlight w:val="none"/>
        </w:rPr>
        <w:t>万元，资产总额为</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1"/>
          <w:sz w:val="24"/>
          <w:szCs w:val="24"/>
          <w:highlight w:val="none"/>
        </w:rPr>
        <w:t>万元，属于</w:t>
      </w:r>
      <w:r>
        <w:rPr>
          <w:rFonts w:ascii="宋体" w:hAnsi="宋体" w:eastAsia="宋体" w:cs="宋体"/>
          <w:color w:val="auto"/>
          <w:spacing w:val="-1"/>
          <w:sz w:val="24"/>
          <w:szCs w:val="24"/>
          <w:highlight w:val="none"/>
          <w:u w:val="single" w:color="auto"/>
        </w:rPr>
        <w:t>（中型企业、小型企业、微型企业</w:t>
      </w:r>
      <w:r>
        <w:rPr>
          <w:rFonts w:ascii="宋体" w:hAnsi="宋体" w:eastAsia="宋体" w:cs="宋体"/>
          <w:color w:val="auto"/>
          <w:spacing w:val="1"/>
          <w:sz w:val="24"/>
          <w:szCs w:val="24"/>
          <w:highlight w:val="none"/>
          <w:u w:val="single" w:color="auto"/>
        </w:rPr>
        <w:t>）</w:t>
      </w:r>
      <w:r>
        <w:rPr>
          <w:rFonts w:ascii="宋体" w:hAnsi="宋体" w:eastAsia="宋体" w:cs="宋体"/>
          <w:color w:val="auto"/>
          <w:spacing w:val="1"/>
          <w:sz w:val="24"/>
          <w:szCs w:val="24"/>
          <w:highlight w:val="none"/>
        </w:rPr>
        <w:t>；</w:t>
      </w:r>
    </w:p>
    <w:p w14:paraId="2968799B">
      <w:pPr>
        <w:spacing w:before="1" w:line="359" w:lineRule="auto"/>
        <w:ind w:firstLine="65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w:t>
      </w:r>
      <w:r>
        <w:rPr>
          <w:rFonts w:ascii="宋体" w:hAnsi="宋体" w:eastAsia="宋体" w:cs="宋体"/>
          <w:color w:val="auto"/>
          <w:spacing w:val="3"/>
          <w:sz w:val="24"/>
          <w:szCs w:val="24"/>
          <w:highlight w:val="none"/>
          <w:u w:val="single" w:color="auto"/>
        </w:rPr>
        <w:t>（标的名称</w:t>
      </w:r>
      <w:r>
        <w:rPr>
          <w:rFonts w:ascii="宋体" w:hAnsi="宋体" w:eastAsia="宋体" w:cs="宋体"/>
          <w:color w:val="auto"/>
          <w:spacing w:val="21"/>
          <w:sz w:val="24"/>
          <w:szCs w:val="24"/>
          <w:highlight w:val="none"/>
          <w:u w:val="single" w:color="auto"/>
        </w:rPr>
        <w:t>）</w:t>
      </w:r>
      <w:r>
        <w:rPr>
          <w:rFonts w:ascii="宋体" w:hAnsi="宋体" w:eastAsia="宋体" w:cs="宋体"/>
          <w:color w:val="auto"/>
          <w:spacing w:val="21"/>
          <w:sz w:val="24"/>
          <w:szCs w:val="24"/>
          <w:highlight w:val="none"/>
        </w:rPr>
        <w:t>，</w:t>
      </w:r>
      <w:r>
        <w:rPr>
          <w:rFonts w:ascii="宋体" w:hAnsi="宋体" w:eastAsia="宋体" w:cs="宋体"/>
          <w:color w:val="auto"/>
          <w:spacing w:val="3"/>
          <w:sz w:val="24"/>
          <w:szCs w:val="24"/>
          <w:highlight w:val="none"/>
        </w:rPr>
        <w:t>属于</w:t>
      </w:r>
      <w:r>
        <w:rPr>
          <w:rFonts w:ascii="宋体" w:hAnsi="宋体" w:eastAsia="宋体" w:cs="宋体"/>
          <w:color w:val="auto"/>
          <w:spacing w:val="3"/>
          <w:sz w:val="24"/>
          <w:szCs w:val="24"/>
          <w:highlight w:val="none"/>
          <w:u w:val="single" w:color="auto"/>
        </w:rPr>
        <w:t>（采购文件中明确的所属行业）</w:t>
      </w:r>
      <w:r>
        <w:rPr>
          <w:rFonts w:ascii="宋体" w:hAnsi="宋体" w:eastAsia="宋体" w:cs="宋体"/>
          <w:color w:val="auto"/>
          <w:spacing w:val="3"/>
          <w:sz w:val="24"/>
          <w:szCs w:val="24"/>
          <w:highlight w:val="none"/>
        </w:rPr>
        <w:t>行业；制造商为</w:t>
      </w:r>
      <w:r>
        <w:rPr>
          <w:rFonts w:ascii="宋体" w:hAnsi="宋体" w:eastAsia="宋体" w:cs="宋体"/>
          <w:color w:val="auto"/>
          <w:spacing w:val="3"/>
          <w:sz w:val="24"/>
          <w:szCs w:val="24"/>
          <w:highlight w:val="none"/>
          <w:u w:val="single" w:color="auto"/>
        </w:rPr>
        <w:t>（企业名</w:t>
      </w:r>
      <w:r>
        <w:rPr>
          <w:rFonts w:ascii="宋体" w:hAnsi="宋体" w:eastAsia="宋体" w:cs="宋体"/>
          <w:color w:val="auto"/>
          <w:sz w:val="24"/>
          <w:szCs w:val="24"/>
          <w:highlight w:val="none"/>
          <w:u w:val="single" w:color="auto"/>
        </w:rPr>
        <w:t>称</w:t>
      </w:r>
      <w:r>
        <w:rPr>
          <w:rFonts w:ascii="宋体" w:hAnsi="宋体" w:eastAsia="宋体" w:cs="宋体"/>
          <w:color w:val="auto"/>
          <w:spacing w:val="9"/>
          <w:sz w:val="24"/>
          <w:szCs w:val="24"/>
          <w:highlight w:val="none"/>
          <w:u w:val="single" w:color="auto"/>
        </w:rPr>
        <w:t>）</w:t>
      </w:r>
      <w:r>
        <w:rPr>
          <w:rFonts w:ascii="宋体" w:hAnsi="宋体" w:eastAsia="宋体" w:cs="宋体"/>
          <w:color w:val="auto"/>
          <w:spacing w:val="9"/>
          <w:sz w:val="24"/>
          <w:szCs w:val="24"/>
          <w:highlight w:val="none"/>
        </w:rPr>
        <w:t>，</w:t>
      </w:r>
      <w:r>
        <w:rPr>
          <w:rFonts w:ascii="宋体" w:hAnsi="宋体" w:eastAsia="宋体" w:cs="宋体"/>
          <w:color w:val="auto"/>
          <w:sz w:val="24"/>
          <w:szCs w:val="24"/>
          <w:highlight w:val="none"/>
        </w:rPr>
        <w:t>从业人员</w:t>
      </w:r>
      <w:r>
        <w:rPr>
          <w:rFonts w:ascii="宋体" w:hAnsi="宋体" w:eastAsia="宋体" w:cs="宋体"/>
          <w:color w:val="auto"/>
          <w:spacing w:val="-116"/>
          <w:sz w:val="24"/>
          <w:szCs w:val="24"/>
          <w:highlight w:val="none"/>
        </w:rPr>
        <w:t xml:space="preserve"> </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z w:val="24"/>
          <w:szCs w:val="24"/>
          <w:highlight w:val="none"/>
        </w:rPr>
        <w:t>人，营业收入为</w:t>
      </w:r>
      <w:r>
        <w:rPr>
          <w:rFonts w:ascii="宋体" w:hAnsi="宋体" w:eastAsia="宋体" w:cs="宋体"/>
          <w:color w:val="auto"/>
          <w:spacing w:val="-118"/>
          <w:sz w:val="24"/>
          <w:szCs w:val="24"/>
          <w:highlight w:val="none"/>
        </w:rPr>
        <w:t xml:space="preserve"> </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2"/>
          <w:sz w:val="24"/>
          <w:szCs w:val="24"/>
          <w:highlight w:val="none"/>
        </w:rPr>
        <w:t xml:space="preserve"> </w:t>
      </w:r>
      <w:r>
        <w:rPr>
          <w:rFonts w:ascii="宋体" w:hAnsi="宋体" w:eastAsia="宋体" w:cs="宋体"/>
          <w:color w:val="auto"/>
          <w:sz w:val="24"/>
          <w:szCs w:val="24"/>
          <w:highlight w:val="none"/>
        </w:rPr>
        <w:t>万元，资产总额为</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1"/>
          <w:sz w:val="24"/>
          <w:szCs w:val="24"/>
          <w:highlight w:val="none"/>
        </w:rPr>
        <w:t>万元，属于</w:t>
      </w:r>
      <w:r>
        <w:rPr>
          <w:rFonts w:ascii="宋体" w:hAnsi="宋体" w:eastAsia="宋体" w:cs="宋体"/>
          <w:color w:val="auto"/>
          <w:spacing w:val="-1"/>
          <w:sz w:val="24"/>
          <w:szCs w:val="24"/>
          <w:highlight w:val="none"/>
          <w:u w:val="single" w:color="auto"/>
        </w:rPr>
        <w:t>（中型企业、小型企业、微型企业</w:t>
      </w:r>
      <w:r>
        <w:rPr>
          <w:rFonts w:ascii="宋体" w:hAnsi="宋体" w:eastAsia="宋体" w:cs="宋体"/>
          <w:color w:val="auto"/>
          <w:spacing w:val="1"/>
          <w:sz w:val="24"/>
          <w:szCs w:val="24"/>
          <w:highlight w:val="none"/>
          <w:u w:val="single" w:color="auto"/>
        </w:rPr>
        <w:t>）</w:t>
      </w:r>
      <w:r>
        <w:rPr>
          <w:rFonts w:ascii="宋体" w:hAnsi="宋体" w:eastAsia="宋体" w:cs="宋体"/>
          <w:color w:val="auto"/>
          <w:spacing w:val="1"/>
          <w:sz w:val="24"/>
          <w:szCs w:val="24"/>
          <w:highlight w:val="none"/>
        </w:rPr>
        <w:t>；</w:t>
      </w:r>
    </w:p>
    <w:p w14:paraId="5E868749">
      <w:pPr>
        <w:spacing w:line="377" w:lineRule="exact"/>
        <w:ind w:left="584"/>
        <w:rPr>
          <w:rFonts w:ascii="宋体" w:hAnsi="宋体" w:eastAsia="宋体" w:cs="宋体"/>
          <w:color w:val="auto"/>
          <w:sz w:val="24"/>
          <w:szCs w:val="24"/>
          <w:highlight w:val="none"/>
        </w:rPr>
      </w:pPr>
      <w:r>
        <w:rPr>
          <w:rFonts w:ascii="宋体" w:hAnsi="宋体" w:eastAsia="宋体" w:cs="宋体"/>
          <w:color w:val="auto"/>
          <w:spacing w:val="-13"/>
          <w:position w:val="3"/>
          <w:sz w:val="24"/>
          <w:szCs w:val="24"/>
          <w:highlight w:val="none"/>
        </w:rPr>
        <w:t>……</w:t>
      </w:r>
    </w:p>
    <w:p w14:paraId="237CB77E">
      <w:pPr>
        <w:spacing w:before="88" w:line="359" w:lineRule="auto"/>
        <w:ind w:left="21" w:right="199" w:firstLine="48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以上企业，不属于大企业的分支机构，不存在控股股东为大企业的情形</w:t>
      </w:r>
      <w:r>
        <w:rPr>
          <w:rFonts w:ascii="宋体" w:hAnsi="宋体" w:eastAsia="宋体" w:cs="宋体"/>
          <w:color w:val="auto"/>
          <w:spacing w:val="2"/>
          <w:sz w:val="24"/>
          <w:szCs w:val="24"/>
          <w:highlight w:val="none"/>
        </w:rPr>
        <w:t>，也不存</w:t>
      </w:r>
      <w:r>
        <w:rPr>
          <w:rFonts w:ascii="宋体" w:hAnsi="宋体" w:eastAsia="宋体" w:cs="宋体"/>
          <w:color w:val="auto"/>
          <w:spacing w:val="-1"/>
          <w:sz w:val="24"/>
          <w:szCs w:val="24"/>
          <w:highlight w:val="none"/>
        </w:rPr>
        <w:t>在与大企业的负责人为同一人的情形。</w:t>
      </w:r>
    </w:p>
    <w:p w14:paraId="213A03B4">
      <w:pPr>
        <w:spacing w:before="1" w:line="218" w:lineRule="auto"/>
        <w:ind w:left="570"/>
        <w:rPr>
          <w:rFonts w:ascii="宋体" w:hAnsi="宋体" w:eastAsia="宋体" w:cs="宋体"/>
          <w:color w:val="auto"/>
          <w:sz w:val="24"/>
          <w:szCs w:val="24"/>
          <w:highlight w:val="none"/>
        </w:rPr>
      </w:pPr>
      <w:r>
        <w:rPr>
          <w:rFonts w:ascii="宋体" w:hAnsi="宋体" w:eastAsia="宋体" w:cs="宋体"/>
          <w:color w:val="auto"/>
          <w:sz w:val="24"/>
          <w:szCs w:val="24"/>
          <w:highlight w:val="none"/>
        </w:rPr>
        <w:t>本企业对上述声明内容的真实性负责。如有虚</w:t>
      </w:r>
      <w:r>
        <w:rPr>
          <w:rFonts w:ascii="宋体" w:hAnsi="宋体" w:eastAsia="宋体" w:cs="宋体"/>
          <w:color w:val="auto"/>
          <w:spacing w:val="-1"/>
          <w:sz w:val="24"/>
          <w:szCs w:val="24"/>
          <w:highlight w:val="none"/>
        </w:rPr>
        <w:t>假，将依法承担相应责任。</w:t>
      </w:r>
    </w:p>
    <w:p w14:paraId="661547AF">
      <w:pPr>
        <w:spacing w:line="283" w:lineRule="auto"/>
        <w:rPr>
          <w:rFonts w:ascii="Arial"/>
          <w:color w:val="auto"/>
          <w:sz w:val="21"/>
          <w:highlight w:val="none"/>
        </w:rPr>
      </w:pPr>
    </w:p>
    <w:p w14:paraId="634F546B">
      <w:pPr>
        <w:spacing w:line="284" w:lineRule="auto"/>
        <w:rPr>
          <w:rFonts w:ascii="Arial"/>
          <w:color w:val="auto"/>
          <w:sz w:val="21"/>
          <w:highlight w:val="none"/>
        </w:rPr>
      </w:pPr>
    </w:p>
    <w:p w14:paraId="79F1DB98">
      <w:pPr>
        <w:spacing w:before="79" w:line="219" w:lineRule="auto"/>
        <w:ind w:left="43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企业名称（章</w:t>
      </w:r>
      <w:r>
        <w:rPr>
          <w:rFonts w:ascii="宋体" w:hAnsi="宋体" w:eastAsia="宋体" w:cs="宋体"/>
          <w:color w:val="auto"/>
          <w:spacing w:val="1"/>
          <w:sz w:val="24"/>
          <w:szCs w:val="24"/>
          <w:highlight w:val="none"/>
        </w:rPr>
        <w:t>）：</w:t>
      </w:r>
    </w:p>
    <w:p w14:paraId="25A664ED">
      <w:pPr>
        <w:spacing w:before="183" w:line="220" w:lineRule="auto"/>
        <w:ind w:left="4429"/>
        <w:rPr>
          <w:rFonts w:ascii="宋体" w:hAnsi="宋体" w:eastAsia="宋体" w:cs="宋体"/>
          <w:color w:val="auto"/>
          <w:sz w:val="24"/>
          <w:szCs w:val="24"/>
          <w:highlight w:val="none"/>
        </w:rPr>
      </w:pPr>
      <w:r>
        <w:rPr>
          <w:rFonts w:ascii="宋体" w:hAnsi="宋体" w:eastAsia="宋体" w:cs="宋体"/>
          <w:color w:val="auto"/>
          <w:spacing w:val="-21"/>
          <w:sz w:val="24"/>
          <w:szCs w:val="24"/>
          <w:highlight w:val="none"/>
        </w:rPr>
        <w:t>日</w:t>
      </w:r>
      <w:r>
        <w:rPr>
          <w:rFonts w:ascii="宋体" w:hAnsi="宋体" w:eastAsia="宋体" w:cs="宋体"/>
          <w:color w:val="auto"/>
          <w:spacing w:val="12"/>
          <w:sz w:val="24"/>
          <w:szCs w:val="24"/>
          <w:highlight w:val="none"/>
        </w:rPr>
        <w:t xml:space="preserve"> </w:t>
      </w:r>
      <w:r>
        <w:rPr>
          <w:rFonts w:ascii="宋体" w:hAnsi="宋体" w:eastAsia="宋体" w:cs="宋体"/>
          <w:color w:val="auto"/>
          <w:spacing w:val="-21"/>
          <w:sz w:val="24"/>
          <w:szCs w:val="24"/>
          <w:highlight w:val="none"/>
        </w:rPr>
        <w:t>期：</w:t>
      </w:r>
    </w:p>
    <w:p w14:paraId="41C9A6CE">
      <w:pPr>
        <w:spacing w:line="463" w:lineRule="auto"/>
        <w:rPr>
          <w:rFonts w:ascii="Arial"/>
          <w:color w:val="auto"/>
          <w:sz w:val="21"/>
          <w:highlight w:val="none"/>
        </w:rPr>
      </w:pPr>
    </w:p>
    <w:p w14:paraId="1CCE03EF">
      <w:pPr>
        <w:spacing w:before="79" w:line="360" w:lineRule="auto"/>
        <w:ind w:left="429" w:right="86" w:hanging="1"/>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注：享受《政府采购促进中小企业发展管理办法》（财库〔2020〕46</w:t>
      </w:r>
      <w:r>
        <w:rPr>
          <w:rFonts w:ascii="宋体" w:hAnsi="宋体" w:eastAsia="宋体" w:cs="宋体"/>
          <w:color w:val="auto"/>
          <w:spacing w:val="-32"/>
          <w:sz w:val="24"/>
          <w:szCs w:val="24"/>
          <w:highlight w:val="none"/>
        </w:rPr>
        <w:t xml:space="preserve"> </w:t>
      </w:r>
      <w:r>
        <w:rPr>
          <w:rFonts w:ascii="宋体" w:hAnsi="宋体" w:eastAsia="宋体" w:cs="宋体"/>
          <w:color w:val="auto"/>
          <w:spacing w:val="-1"/>
          <w:sz w:val="24"/>
          <w:szCs w:val="24"/>
          <w:highlight w:val="none"/>
        </w:rPr>
        <w:t>号）规定的中</w:t>
      </w:r>
      <w:r>
        <w:rPr>
          <w:rFonts w:ascii="宋体" w:hAnsi="宋体" w:eastAsia="宋体" w:cs="宋体"/>
          <w:color w:val="auto"/>
          <w:sz w:val="24"/>
          <w:szCs w:val="24"/>
          <w:highlight w:val="none"/>
        </w:rPr>
        <w:t>小企业扶持政策的，采购人、采购代理机构应当随成</w:t>
      </w:r>
      <w:r>
        <w:rPr>
          <w:rFonts w:ascii="宋体" w:hAnsi="宋体" w:eastAsia="宋体" w:cs="宋体"/>
          <w:color w:val="auto"/>
          <w:spacing w:val="-1"/>
          <w:sz w:val="24"/>
          <w:szCs w:val="24"/>
          <w:highlight w:val="none"/>
        </w:rPr>
        <w:t>交结果公开成交供应商的《中</w:t>
      </w:r>
      <w:r>
        <w:rPr>
          <w:rFonts w:ascii="宋体" w:hAnsi="宋体" w:eastAsia="宋体" w:cs="宋体"/>
          <w:color w:val="auto"/>
          <w:sz w:val="24"/>
          <w:szCs w:val="24"/>
          <w:highlight w:val="none"/>
        </w:rPr>
        <w:t>小企业声明函》。从业人员、营业收入、资产总额填</w:t>
      </w:r>
      <w:r>
        <w:rPr>
          <w:rFonts w:ascii="宋体" w:hAnsi="宋体" w:eastAsia="宋体" w:cs="宋体"/>
          <w:color w:val="auto"/>
          <w:spacing w:val="-1"/>
          <w:sz w:val="24"/>
          <w:szCs w:val="24"/>
          <w:highlight w:val="none"/>
        </w:rPr>
        <w:t>报上一年度数据，无上一年度数据的新成立企业可不填报。</w:t>
      </w:r>
    </w:p>
    <w:p w14:paraId="49D5AA14">
      <w:pPr>
        <w:spacing w:line="360" w:lineRule="auto"/>
        <w:rPr>
          <w:rFonts w:ascii="宋体" w:hAnsi="宋体" w:eastAsia="宋体" w:cs="宋体"/>
          <w:color w:val="auto"/>
          <w:sz w:val="24"/>
          <w:szCs w:val="24"/>
          <w:highlight w:val="none"/>
        </w:rPr>
        <w:sectPr>
          <w:footerReference r:id="rId61" w:type="default"/>
          <w:pgSz w:w="11910" w:h="16840"/>
          <w:pgMar w:top="1328" w:right="1443" w:bottom="1091" w:left="1261" w:header="0" w:footer="929" w:gutter="0"/>
          <w:pgNumType w:fmt="decimal"/>
          <w:cols w:space="720" w:num="1"/>
        </w:sectPr>
      </w:pPr>
    </w:p>
    <w:p w14:paraId="0353C527">
      <w:pPr>
        <w:spacing w:before="80" w:line="186" w:lineRule="auto"/>
        <w:ind w:left="1956"/>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残疾人福利性单位声明函</w:t>
      </w:r>
    </w:p>
    <w:p w14:paraId="30FD8B76">
      <w:pPr>
        <w:spacing w:line="273" w:lineRule="auto"/>
        <w:rPr>
          <w:rFonts w:ascii="Arial"/>
          <w:color w:val="auto"/>
          <w:sz w:val="21"/>
          <w:highlight w:val="none"/>
        </w:rPr>
      </w:pPr>
    </w:p>
    <w:p w14:paraId="2479BFDF">
      <w:pPr>
        <w:spacing w:line="273" w:lineRule="auto"/>
        <w:rPr>
          <w:rFonts w:ascii="Arial"/>
          <w:color w:val="auto"/>
          <w:sz w:val="21"/>
          <w:highlight w:val="none"/>
        </w:rPr>
      </w:pPr>
    </w:p>
    <w:p w14:paraId="7940D6C8">
      <w:pPr>
        <w:spacing w:line="273" w:lineRule="auto"/>
        <w:rPr>
          <w:rFonts w:ascii="Arial"/>
          <w:color w:val="auto"/>
          <w:sz w:val="21"/>
          <w:highlight w:val="none"/>
        </w:rPr>
      </w:pPr>
    </w:p>
    <w:p w14:paraId="266F1E07">
      <w:pPr>
        <w:spacing w:before="78" w:line="359" w:lineRule="auto"/>
        <w:ind w:firstLine="481"/>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本单位郑重声明，根据《财政部</w:t>
      </w:r>
      <w:r>
        <w:rPr>
          <w:rFonts w:ascii="宋体" w:hAnsi="宋体" w:eastAsia="宋体" w:cs="宋体"/>
          <w:color w:val="auto"/>
          <w:spacing w:val="40"/>
          <w:sz w:val="24"/>
          <w:szCs w:val="24"/>
          <w:highlight w:val="none"/>
        </w:rPr>
        <w:t xml:space="preserve"> </w:t>
      </w:r>
      <w:r>
        <w:rPr>
          <w:rFonts w:ascii="宋体" w:hAnsi="宋体" w:eastAsia="宋体" w:cs="宋体"/>
          <w:color w:val="auto"/>
          <w:sz w:val="24"/>
          <w:szCs w:val="24"/>
          <w:highlight w:val="none"/>
        </w:rPr>
        <w:t>民政部</w:t>
      </w:r>
      <w:r>
        <w:rPr>
          <w:rFonts w:ascii="宋体" w:hAnsi="宋体" w:eastAsia="宋体" w:cs="宋体"/>
          <w:color w:val="auto"/>
          <w:spacing w:val="39"/>
          <w:sz w:val="24"/>
          <w:szCs w:val="24"/>
          <w:highlight w:val="none"/>
        </w:rPr>
        <w:t xml:space="preserve"> </w:t>
      </w:r>
      <w:r>
        <w:rPr>
          <w:rFonts w:ascii="宋体" w:hAnsi="宋体" w:eastAsia="宋体" w:cs="宋体"/>
          <w:color w:val="auto"/>
          <w:sz w:val="24"/>
          <w:szCs w:val="24"/>
          <w:highlight w:val="none"/>
        </w:rPr>
        <w:t>中国残疾人联合会关于促进残疾人就</w:t>
      </w:r>
      <w:r>
        <w:rPr>
          <w:rFonts w:ascii="宋体" w:hAnsi="宋体" w:eastAsia="宋体" w:cs="宋体"/>
          <w:color w:val="auto"/>
          <w:spacing w:val="3"/>
          <w:sz w:val="24"/>
          <w:szCs w:val="24"/>
          <w:highlight w:val="none"/>
        </w:rPr>
        <w:t>业政府采购政策的通知》（财库〔2017〕141</w:t>
      </w:r>
      <w:r>
        <w:rPr>
          <w:rFonts w:ascii="宋体" w:hAnsi="宋体" w:eastAsia="宋体" w:cs="宋体"/>
          <w:color w:val="auto"/>
          <w:spacing w:val="-38"/>
          <w:sz w:val="24"/>
          <w:szCs w:val="24"/>
          <w:highlight w:val="none"/>
        </w:rPr>
        <w:t xml:space="preserve"> </w:t>
      </w:r>
      <w:r>
        <w:rPr>
          <w:rFonts w:ascii="宋体" w:hAnsi="宋体" w:eastAsia="宋体" w:cs="宋体"/>
          <w:color w:val="auto"/>
          <w:spacing w:val="3"/>
          <w:sz w:val="24"/>
          <w:szCs w:val="24"/>
          <w:highlight w:val="none"/>
        </w:rPr>
        <w:t>号）的规定，本单位为符合条件的残疾人福利性单位，且本单位参加</w:t>
      </w:r>
      <w:r>
        <w:rPr>
          <w:rFonts w:ascii="宋体" w:hAnsi="宋体" w:eastAsia="宋体" w:cs="宋体"/>
          <w:color w:val="auto"/>
          <w:spacing w:val="-109"/>
          <w:sz w:val="24"/>
          <w:szCs w:val="24"/>
          <w:highlight w:val="none"/>
        </w:rPr>
        <w:t xml:space="preserve"> </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08"/>
          <w:sz w:val="24"/>
          <w:szCs w:val="24"/>
          <w:highlight w:val="none"/>
        </w:rPr>
        <w:t xml:space="preserve"> </w:t>
      </w:r>
      <w:r>
        <w:rPr>
          <w:rFonts w:ascii="宋体" w:hAnsi="宋体" w:eastAsia="宋体" w:cs="宋体"/>
          <w:color w:val="auto"/>
          <w:spacing w:val="3"/>
          <w:sz w:val="24"/>
          <w:szCs w:val="24"/>
          <w:highlight w:val="none"/>
        </w:rPr>
        <w:t>单位的</w:t>
      </w:r>
      <w:r>
        <w:rPr>
          <w:rFonts w:ascii="宋体" w:hAnsi="宋体" w:eastAsia="宋体" w:cs="宋体"/>
          <w:color w:val="auto"/>
          <w:spacing w:val="-115"/>
          <w:sz w:val="24"/>
          <w:szCs w:val="24"/>
          <w:highlight w:val="none"/>
        </w:rPr>
        <w:t xml:space="preserve"> </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06"/>
          <w:sz w:val="24"/>
          <w:szCs w:val="24"/>
          <w:highlight w:val="none"/>
        </w:rPr>
        <w:t xml:space="preserve"> </w:t>
      </w:r>
      <w:r>
        <w:rPr>
          <w:rFonts w:ascii="宋体" w:hAnsi="宋体" w:eastAsia="宋体" w:cs="宋体"/>
          <w:color w:val="auto"/>
          <w:spacing w:val="3"/>
          <w:sz w:val="24"/>
          <w:szCs w:val="24"/>
          <w:highlight w:val="none"/>
        </w:rPr>
        <w:t>项目采购活动提供本单位</w:t>
      </w:r>
      <w:r>
        <w:rPr>
          <w:rFonts w:ascii="宋体" w:hAnsi="宋体" w:eastAsia="宋体" w:cs="宋体"/>
          <w:color w:val="auto"/>
          <w:spacing w:val="5"/>
          <w:sz w:val="24"/>
          <w:szCs w:val="24"/>
          <w:highlight w:val="none"/>
        </w:rPr>
        <w:t>制造的货物（由本单位承担工程/提供服务</w:t>
      </w:r>
      <w:r>
        <w:rPr>
          <w:rFonts w:ascii="宋体" w:hAnsi="宋体" w:eastAsia="宋体" w:cs="宋体"/>
          <w:color w:val="auto"/>
          <w:spacing w:val="16"/>
          <w:sz w:val="24"/>
          <w:szCs w:val="24"/>
          <w:highlight w:val="none"/>
        </w:rPr>
        <w:t>），</w:t>
      </w:r>
      <w:r>
        <w:rPr>
          <w:rFonts w:ascii="宋体" w:hAnsi="宋体" w:eastAsia="宋体" w:cs="宋体"/>
          <w:color w:val="auto"/>
          <w:spacing w:val="5"/>
          <w:sz w:val="24"/>
          <w:szCs w:val="24"/>
          <w:highlight w:val="none"/>
        </w:rPr>
        <w:t>或者提供其他残疾人福利性</w:t>
      </w:r>
      <w:r>
        <w:rPr>
          <w:rFonts w:ascii="宋体" w:hAnsi="宋体" w:eastAsia="宋体" w:cs="宋体"/>
          <w:color w:val="auto"/>
          <w:spacing w:val="4"/>
          <w:sz w:val="24"/>
          <w:szCs w:val="24"/>
          <w:highlight w:val="none"/>
        </w:rPr>
        <w:t>单位制</w:t>
      </w:r>
      <w:r>
        <w:rPr>
          <w:rFonts w:ascii="宋体" w:hAnsi="宋体" w:eastAsia="宋体" w:cs="宋体"/>
          <w:color w:val="auto"/>
          <w:spacing w:val="-1"/>
          <w:sz w:val="24"/>
          <w:szCs w:val="24"/>
          <w:highlight w:val="none"/>
        </w:rPr>
        <w:t>造的货物（不包括使用非残疾人福利性单位注册商标的货物）。</w:t>
      </w:r>
    </w:p>
    <w:p w14:paraId="07B91D33">
      <w:pPr>
        <w:spacing w:line="218"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本单位对上述声明的真实性负责。如有虚假，将依法承担相应责任。</w:t>
      </w:r>
    </w:p>
    <w:p w14:paraId="4A87AC42">
      <w:pPr>
        <w:spacing w:line="249" w:lineRule="auto"/>
        <w:rPr>
          <w:rFonts w:ascii="Arial"/>
          <w:color w:val="auto"/>
          <w:sz w:val="21"/>
          <w:highlight w:val="none"/>
        </w:rPr>
      </w:pPr>
    </w:p>
    <w:p w14:paraId="55432AC7">
      <w:pPr>
        <w:spacing w:line="249" w:lineRule="auto"/>
        <w:rPr>
          <w:rFonts w:ascii="Arial"/>
          <w:color w:val="auto"/>
          <w:sz w:val="21"/>
          <w:highlight w:val="none"/>
        </w:rPr>
      </w:pPr>
    </w:p>
    <w:p w14:paraId="4F5DD305">
      <w:pPr>
        <w:spacing w:line="249" w:lineRule="auto"/>
        <w:rPr>
          <w:rFonts w:ascii="Arial"/>
          <w:color w:val="auto"/>
          <w:sz w:val="21"/>
          <w:highlight w:val="none"/>
        </w:rPr>
      </w:pPr>
    </w:p>
    <w:p w14:paraId="2A723FE6">
      <w:pPr>
        <w:spacing w:line="249" w:lineRule="auto"/>
        <w:rPr>
          <w:rFonts w:ascii="Arial"/>
          <w:color w:val="auto"/>
          <w:sz w:val="21"/>
          <w:highlight w:val="none"/>
        </w:rPr>
      </w:pPr>
    </w:p>
    <w:p w14:paraId="5254203A">
      <w:pPr>
        <w:spacing w:line="249" w:lineRule="auto"/>
        <w:rPr>
          <w:rFonts w:ascii="Arial"/>
          <w:color w:val="auto"/>
          <w:sz w:val="21"/>
          <w:highlight w:val="none"/>
        </w:rPr>
      </w:pPr>
    </w:p>
    <w:p w14:paraId="082452C8">
      <w:pPr>
        <w:spacing w:line="250" w:lineRule="auto"/>
        <w:rPr>
          <w:rFonts w:ascii="Arial"/>
          <w:color w:val="auto"/>
          <w:sz w:val="21"/>
          <w:highlight w:val="none"/>
        </w:rPr>
      </w:pPr>
    </w:p>
    <w:p w14:paraId="5E1BB82A">
      <w:pPr>
        <w:spacing w:before="78" w:line="219" w:lineRule="auto"/>
        <w:ind w:left="240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单位名称（盖章</w:t>
      </w:r>
      <w:r>
        <w:rPr>
          <w:rFonts w:ascii="宋体" w:hAnsi="宋体" w:eastAsia="宋体" w:cs="宋体"/>
          <w:color w:val="auto"/>
          <w:sz w:val="24"/>
          <w:szCs w:val="24"/>
          <w:highlight w:val="none"/>
        </w:rPr>
        <w:t>）：</w:t>
      </w:r>
    </w:p>
    <w:p w14:paraId="66471F62">
      <w:pPr>
        <w:spacing w:before="184" w:line="220" w:lineRule="auto"/>
        <w:ind w:left="3642"/>
        <w:rPr>
          <w:rFonts w:ascii="宋体" w:hAnsi="宋体" w:eastAsia="宋体" w:cs="宋体"/>
          <w:color w:val="auto"/>
          <w:sz w:val="24"/>
          <w:szCs w:val="24"/>
          <w:highlight w:val="none"/>
        </w:rPr>
      </w:pPr>
      <w:r>
        <w:rPr>
          <w:rFonts w:ascii="宋体" w:hAnsi="宋体" w:eastAsia="宋体" w:cs="宋体"/>
          <w:color w:val="auto"/>
          <w:spacing w:val="-21"/>
          <w:sz w:val="24"/>
          <w:szCs w:val="24"/>
          <w:highlight w:val="none"/>
        </w:rPr>
        <w:t>日</w:t>
      </w:r>
      <w:r>
        <w:rPr>
          <w:rFonts w:ascii="宋体" w:hAnsi="宋体" w:eastAsia="宋体" w:cs="宋体"/>
          <w:color w:val="auto"/>
          <w:spacing w:val="6"/>
          <w:sz w:val="24"/>
          <w:szCs w:val="24"/>
          <w:highlight w:val="none"/>
        </w:rPr>
        <w:t xml:space="preserve">  </w:t>
      </w:r>
      <w:r>
        <w:rPr>
          <w:rFonts w:ascii="宋体" w:hAnsi="宋体" w:eastAsia="宋体" w:cs="宋体"/>
          <w:color w:val="auto"/>
          <w:spacing w:val="-21"/>
          <w:sz w:val="24"/>
          <w:szCs w:val="24"/>
          <w:highlight w:val="none"/>
        </w:rPr>
        <w:t>期：</w:t>
      </w:r>
    </w:p>
    <w:p w14:paraId="7AA3EB1D">
      <w:pPr>
        <w:spacing w:line="248" w:lineRule="auto"/>
        <w:rPr>
          <w:rFonts w:ascii="Arial"/>
          <w:color w:val="auto"/>
          <w:sz w:val="21"/>
          <w:highlight w:val="none"/>
        </w:rPr>
      </w:pPr>
    </w:p>
    <w:p w14:paraId="10D49D75">
      <w:pPr>
        <w:spacing w:line="248" w:lineRule="auto"/>
        <w:rPr>
          <w:rFonts w:ascii="Arial"/>
          <w:color w:val="auto"/>
          <w:sz w:val="21"/>
          <w:highlight w:val="none"/>
        </w:rPr>
      </w:pPr>
    </w:p>
    <w:p w14:paraId="765EEED8">
      <w:pPr>
        <w:spacing w:line="249" w:lineRule="auto"/>
        <w:rPr>
          <w:rFonts w:ascii="Arial"/>
          <w:color w:val="auto"/>
          <w:sz w:val="21"/>
          <w:highlight w:val="none"/>
        </w:rPr>
      </w:pPr>
    </w:p>
    <w:p w14:paraId="05E7633B">
      <w:pPr>
        <w:spacing w:line="249" w:lineRule="auto"/>
        <w:rPr>
          <w:rFonts w:ascii="Arial"/>
          <w:color w:val="auto"/>
          <w:sz w:val="21"/>
          <w:highlight w:val="none"/>
        </w:rPr>
      </w:pPr>
    </w:p>
    <w:p w14:paraId="7A6B6AAB">
      <w:pPr>
        <w:spacing w:line="249" w:lineRule="auto"/>
        <w:rPr>
          <w:rFonts w:ascii="Arial"/>
          <w:color w:val="auto"/>
          <w:sz w:val="21"/>
          <w:highlight w:val="none"/>
        </w:rPr>
      </w:pPr>
    </w:p>
    <w:p w14:paraId="209C641D">
      <w:pPr>
        <w:spacing w:line="249" w:lineRule="auto"/>
        <w:rPr>
          <w:rFonts w:ascii="Arial"/>
          <w:color w:val="auto"/>
          <w:sz w:val="21"/>
          <w:highlight w:val="none"/>
        </w:rPr>
      </w:pPr>
    </w:p>
    <w:p w14:paraId="209B3D11">
      <w:pPr>
        <w:spacing w:before="78" w:line="361" w:lineRule="auto"/>
        <w:ind w:right="2"/>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注：请根据自己的真实情况出具《残疾人福利性单位声明函》。依法享受中小企业优惠政策的，采购人或者采购代理机构在公告成交结果时，同时公告其《残疾人福</w:t>
      </w:r>
      <w:r>
        <w:rPr>
          <w:rFonts w:ascii="宋体" w:hAnsi="宋体" w:eastAsia="宋体" w:cs="宋体"/>
          <w:color w:val="auto"/>
          <w:spacing w:val="-1"/>
          <w:sz w:val="24"/>
          <w:szCs w:val="24"/>
          <w:highlight w:val="none"/>
        </w:rPr>
        <w:t>利性单位声明函》，接受社会监督。</w:t>
      </w:r>
    </w:p>
    <w:p w14:paraId="333EA371">
      <w:pPr>
        <w:spacing w:line="361" w:lineRule="auto"/>
        <w:rPr>
          <w:rFonts w:ascii="宋体" w:hAnsi="宋体" w:eastAsia="宋体" w:cs="宋体"/>
          <w:color w:val="auto"/>
          <w:sz w:val="24"/>
          <w:szCs w:val="24"/>
          <w:highlight w:val="none"/>
        </w:rPr>
        <w:sectPr>
          <w:footerReference r:id="rId62" w:type="default"/>
          <w:pgSz w:w="11910" w:h="16840"/>
          <w:pgMar w:top="1337" w:right="1498" w:bottom="1091" w:left="1688" w:header="0" w:footer="929" w:gutter="0"/>
          <w:pgNumType w:fmt="decimal"/>
          <w:cols w:space="720" w:num="1"/>
        </w:sectPr>
      </w:pPr>
    </w:p>
    <w:p w14:paraId="18E26AA2">
      <w:pPr>
        <w:spacing w:before="82" w:line="188" w:lineRule="auto"/>
        <w:ind w:left="130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8"/>
          <w:sz w:val="43"/>
          <w:szCs w:val="43"/>
          <w:highlight w:val="none"/>
        </w:rPr>
        <w:t>关于符合本国产品标准的声明函</w:t>
      </w:r>
    </w:p>
    <w:p w14:paraId="147775E7">
      <w:pPr>
        <w:spacing w:line="359" w:lineRule="auto"/>
        <w:rPr>
          <w:rFonts w:ascii="Arial"/>
          <w:color w:val="auto"/>
          <w:sz w:val="21"/>
          <w:highlight w:val="none"/>
        </w:rPr>
      </w:pPr>
    </w:p>
    <w:p w14:paraId="45A1E735">
      <w:pPr>
        <w:spacing w:line="359" w:lineRule="auto"/>
        <w:rPr>
          <w:rFonts w:ascii="Arial"/>
          <w:color w:val="auto"/>
          <w:sz w:val="21"/>
          <w:highlight w:val="none"/>
        </w:rPr>
      </w:pPr>
    </w:p>
    <w:p w14:paraId="503C04CD">
      <w:pPr>
        <w:spacing w:before="78" w:line="278" w:lineRule="auto"/>
        <w:ind w:left="29" w:right="201" w:firstLine="461"/>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本公司（单位）郑重声明，根据《国务院办公厅关</w:t>
      </w:r>
      <w:r>
        <w:rPr>
          <w:rFonts w:ascii="宋体" w:hAnsi="宋体" w:eastAsia="宋体" w:cs="宋体"/>
          <w:color w:val="auto"/>
          <w:spacing w:val="-1"/>
          <w:sz w:val="24"/>
          <w:szCs w:val="24"/>
          <w:highlight w:val="none"/>
        </w:rPr>
        <w:t>于在政府采购中实施本国产品标准及相关政策的通知》（国办发〔2025〕34</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号）的规定，本公</w:t>
      </w:r>
      <w:r>
        <w:rPr>
          <w:rFonts w:ascii="宋体" w:hAnsi="宋体" w:eastAsia="宋体" w:cs="宋体"/>
          <w:color w:val="auto"/>
          <w:spacing w:val="-2"/>
          <w:sz w:val="24"/>
          <w:szCs w:val="24"/>
          <w:highlight w:val="none"/>
        </w:rPr>
        <w:t>司（单位）提供的以下产品属于本国产品。具体情况如下：</w:t>
      </w:r>
    </w:p>
    <w:p w14:paraId="293F76DD">
      <w:pPr>
        <w:spacing w:before="7" w:line="267" w:lineRule="auto"/>
        <w:ind w:left="8" w:firstLine="498"/>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1.</w:t>
      </w:r>
      <w:r>
        <w:rPr>
          <w:rFonts w:ascii="宋体" w:hAnsi="宋体" w:eastAsia="宋体" w:cs="宋体"/>
          <w:i/>
          <w:iCs/>
          <w:color w:val="auto"/>
          <w:spacing w:val="-7"/>
          <w:sz w:val="25"/>
          <w:szCs w:val="25"/>
          <w:highlight w:val="none"/>
        </w:rPr>
        <w:t>（产品名称</w:t>
      </w:r>
      <w:r>
        <w:rPr>
          <w:rFonts w:ascii="宋体" w:hAnsi="宋体" w:eastAsia="宋体" w:cs="宋体"/>
          <w:color w:val="auto"/>
          <w:spacing w:val="-45"/>
          <w:sz w:val="25"/>
          <w:szCs w:val="25"/>
          <w:highlight w:val="none"/>
        </w:rPr>
        <w:t xml:space="preserve"> </w:t>
      </w:r>
      <w:r>
        <w:rPr>
          <w:rFonts w:ascii="宋体" w:hAnsi="宋体" w:eastAsia="宋体" w:cs="宋体"/>
          <w:i/>
          <w:iCs/>
          <w:color w:val="auto"/>
          <w:spacing w:val="-7"/>
          <w:sz w:val="25"/>
          <w:szCs w:val="25"/>
          <w:highlight w:val="none"/>
        </w:rPr>
        <w:t>1）</w:t>
      </w:r>
      <w:r>
        <w:rPr>
          <w:rFonts w:ascii="宋体" w:hAnsi="宋体" w:eastAsia="宋体" w:cs="宋体"/>
          <w:i/>
          <w:iCs/>
          <w:color w:val="auto"/>
          <w:spacing w:val="-7"/>
          <w:position w:val="11"/>
          <w:sz w:val="12"/>
          <w:szCs w:val="12"/>
          <w:highlight w:val="none"/>
        </w:rPr>
        <w:t>1</w:t>
      </w:r>
      <w:r>
        <w:rPr>
          <w:rFonts w:ascii="宋体" w:hAnsi="宋体" w:eastAsia="宋体" w:cs="宋体"/>
          <w:color w:val="auto"/>
          <w:spacing w:val="-7"/>
          <w:sz w:val="24"/>
          <w:szCs w:val="24"/>
          <w:highlight w:val="none"/>
        </w:rPr>
        <w:t>，生产厂为</w:t>
      </w:r>
      <w:r>
        <w:rPr>
          <w:rFonts w:ascii="宋体" w:hAnsi="宋体" w:eastAsia="宋体" w:cs="宋体"/>
          <w:i/>
          <w:iCs/>
          <w:color w:val="auto"/>
          <w:spacing w:val="-7"/>
          <w:sz w:val="25"/>
          <w:szCs w:val="25"/>
          <w:highlight w:val="none"/>
        </w:rPr>
        <w:t>（厂名）</w:t>
      </w:r>
      <w:r>
        <w:rPr>
          <w:rFonts w:ascii="宋体" w:hAnsi="宋体" w:eastAsia="宋体" w:cs="宋体"/>
          <w:i/>
          <w:iCs/>
          <w:color w:val="auto"/>
          <w:spacing w:val="-7"/>
          <w:position w:val="11"/>
          <w:sz w:val="12"/>
          <w:szCs w:val="12"/>
          <w:highlight w:val="none"/>
        </w:rPr>
        <w:t>2</w:t>
      </w:r>
      <w:r>
        <w:rPr>
          <w:rFonts w:ascii="宋体" w:hAnsi="宋体" w:eastAsia="宋体" w:cs="宋体"/>
          <w:color w:val="auto"/>
          <w:spacing w:val="-7"/>
          <w:sz w:val="24"/>
          <w:szCs w:val="24"/>
          <w:highlight w:val="none"/>
        </w:rPr>
        <w:t>，厂址为</w:t>
      </w:r>
      <w:r>
        <w:rPr>
          <w:rFonts w:ascii="宋体" w:hAnsi="宋体" w:eastAsia="宋体" w:cs="宋体"/>
          <w:i/>
          <w:iCs/>
          <w:color w:val="auto"/>
          <w:spacing w:val="-7"/>
          <w:sz w:val="25"/>
          <w:szCs w:val="25"/>
          <w:highlight w:val="none"/>
        </w:rPr>
        <w:t>（生</w:t>
      </w:r>
      <w:r>
        <w:rPr>
          <w:rFonts w:ascii="宋体" w:hAnsi="宋体" w:eastAsia="宋体" w:cs="宋体"/>
          <w:i/>
          <w:iCs/>
          <w:color w:val="auto"/>
          <w:spacing w:val="-8"/>
          <w:sz w:val="25"/>
          <w:szCs w:val="25"/>
          <w:highlight w:val="none"/>
        </w:rPr>
        <w:t>产厂址）</w:t>
      </w:r>
      <w:r>
        <w:rPr>
          <w:rFonts w:ascii="宋体" w:hAnsi="宋体" w:eastAsia="宋体" w:cs="宋体"/>
          <w:color w:val="auto"/>
          <w:spacing w:val="-8"/>
          <w:sz w:val="24"/>
          <w:szCs w:val="24"/>
          <w:highlight w:val="none"/>
        </w:rPr>
        <w:t>。</w:t>
      </w:r>
      <w:r>
        <w:rPr>
          <w:rFonts w:ascii="宋体" w:hAnsi="宋体" w:eastAsia="宋体" w:cs="宋体"/>
          <w:i/>
          <w:iCs/>
          <w:color w:val="auto"/>
          <w:spacing w:val="-8"/>
          <w:sz w:val="25"/>
          <w:szCs w:val="25"/>
          <w:highlight w:val="none"/>
        </w:rPr>
        <w:t>（产品名称</w:t>
      </w:r>
      <w:r>
        <w:rPr>
          <w:rFonts w:ascii="宋体" w:hAnsi="宋体" w:eastAsia="宋体" w:cs="宋体"/>
          <w:color w:val="auto"/>
          <w:spacing w:val="-44"/>
          <w:sz w:val="25"/>
          <w:szCs w:val="25"/>
          <w:highlight w:val="none"/>
        </w:rPr>
        <w:t xml:space="preserve"> </w:t>
      </w:r>
      <w:r>
        <w:rPr>
          <w:rFonts w:ascii="宋体" w:hAnsi="宋体" w:eastAsia="宋体" w:cs="宋体"/>
          <w:i/>
          <w:iCs/>
          <w:color w:val="auto"/>
          <w:spacing w:val="-8"/>
          <w:sz w:val="25"/>
          <w:szCs w:val="25"/>
          <w:highlight w:val="none"/>
        </w:rPr>
        <w:t>1）</w:t>
      </w:r>
      <w:r>
        <w:rPr>
          <w:rFonts w:ascii="宋体" w:hAnsi="宋体" w:eastAsia="宋体" w:cs="宋体"/>
          <w:color w:val="auto"/>
          <w:spacing w:val="-5"/>
          <w:sz w:val="24"/>
          <w:szCs w:val="24"/>
          <w:highlight w:val="none"/>
        </w:rPr>
        <w:t>的中国境内生产的组件成本占比≥</w:t>
      </w:r>
      <w:r>
        <w:rPr>
          <w:rFonts w:ascii="宋体" w:hAnsi="宋体" w:eastAsia="宋体" w:cs="宋体"/>
          <w:i/>
          <w:iCs/>
          <w:color w:val="auto"/>
          <w:spacing w:val="-5"/>
          <w:sz w:val="25"/>
          <w:szCs w:val="25"/>
          <w:highlight w:val="none"/>
        </w:rPr>
        <w:t>（规定比例）</w:t>
      </w:r>
      <w:r>
        <w:rPr>
          <w:rFonts w:ascii="宋体" w:hAnsi="宋体" w:eastAsia="宋体" w:cs="宋体"/>
          <w:i/>
          <w:iCs/>
          <w:color w:val="auto"/>
          <w:spacing w:val="-5"/>
          <w:position w:val="11"/>
          <w:sz w:val="12"/>
          <w:szCs w:val="12"/>
          <w:highlight w:val="none"/>
        </w:rPr>
        <w:t>3</w:t>
      </w:r>
      <w:r>
        <w:rPr>
          <w:rFonts w:ascii="宋体" w:hAnsi="宋体" w:eastAsia="宋体" w:cs="宋体"/>
          <w:color w:val="auto"/>
          <w:spacing w:val="-5"/>
          <w:sz w:val="24"/>
          <w:szCs w:val="24"/>
          <w:highlight w:val="none"/>
        </w:rPr>
        <w:t>。</w:t>
      </w:r>
      <w:r>
        <w:rPr>
          <w:rFonts w:ascii="宋体" w:hAnsi="宋体" w:eastAsia="宋体" w:cs="宋体"/>
          <w:i/>
          <w:iCs/>
          <w:color w:val="auto"/>
          <w:spacing w:val="-5"/>
          <w:sz w:val="25"/>
          <w:szCs w:val="25"/>
          <w:highlight w:val="none"/>
        </w:rPr>
        <w:t>（产品名称</w:t>
      </w:r>
      <w:r>
        <w:rPr>
          <w:rFonts w:ascii="宋体" w:hAnsi="宋体" w:eastAsia="宋体" w:cs="宋体"/>
          <w:color w:val="auto"/>
          <w:spacing w:val="-44"/>
          <w:sz w:val="25"/>
          <w:szCs w:val="25"/>
          <w:highlight w:val="none"/>
        </w:rPr>
        <w:t xml:space="preserve"> </w:t>
      </w:r>
      <w:r>
        <w:rPr>
          <w:rFonts w:ascii="宋体" w:hAnsi="宋体" w:eastAsia="宋体" w:cs="宋体"/>
          <w:i/>
          <w:iCs/>
          <w:color w:val="auto"/>
          <w:spacing w:val="-6"/>
          <w:sz w:val="25"/>
          <w:szCs w:val="25"/>
          <w:highlight w:val="none"/>
        </w:rPr>
        <w:t>1）</w:t>
      </w:r>
      <w:r>
        <w:rPr>
          <w:rFonts w:ascii="宋体" w:hAnsi="宋体" w:eastAsia="宋体" w:cs="宋体"/>
          <w:color w:val="auto"/>
          <w:spacing w:val="-6"/>
          <w:sz w:val="24"/>
          <w:szCs w:val="24"/>
          <w:highlight w:val="none"/>
        </w:rPr>
        <w:t>的</w:t>
      </w:r>
      <w:r>
        <w:rPr>
          <w:rFonts w:ascii="宋体" w:hAnsi="宋体" w:eastAsia="宋体" w:cs="宋体"/>
          <w:i/>
          <w:iCs/>
          <w:color w:val="auto"/>
          <w:spacing w:val="-6"/>
          <w:sz w:val="25"/>
          <w:szCs w:val="25"/>
          <w:highlight w:val="none"/>
        </w:rPr>
        <w:t>（关键组件）</w:t>
      </w:r>
      <w:r>
        <w:rPr>
          <w:rFonts w:ascii="宋体" w:hAnsi="宋体" w:eastAsia="宋体" w:cs="宋体"/>
          <w:i/>
          <w:iCs/>
          <w:color w:val="auto"/>
          <w:spacing w:val="-6"/>
          <w:position w:val="11"/>
          <w:sz w:val="12"/>
          <w:szCs w:val="12"/>
          <w:highlight w:val="none"/>
        </w:rPr>
        <w:t>4</w:t>
      </w:r>
      <w:r>
        <w:rPr>
          <w:rFonts w:ascii="宋体" w:hAnsi="宋体" w:eastAsia="宋体" w:cs="宋体"/>
          <w:color w:val="auto"/>
          <w:spacing w:val="-4"/>
          <w:sz w:val="24"/>
          <w:szCs w:val="24"/>
          <w:highlight w:val="none"/>
        </w:rPr>
        <w:t>在中国境内生产。</w:t>
      </w:r>
      <w:r>
        <w:rPr>
          <w:rFonts w:ascii="宋体" w:hAnsi="宋体" w:eastAsia="宋体" w:cs="宋体"/>
          <w:i/>
          <w:iCs/>
          <w:color w:val="auto"/>
          <w:spacing w:val="-4"/>
          <w:sz w:val="25"/>
          <w:szCs w:val="25"/>
          <w:highlight w:val="none"/>
        </w:rPr>
        <w:t>（产品名称</w:t>
      </w:r>
      <w:r>
        <w:rPr>
          <w:rFonts w:ascii="宋体" w:hAnsi="宋体" w:eastAsia="宋体" w:cs="宋体"/>
          <w:color w:val="auto"/>
          <w:spacing w:val="-44"/>
          <w:sz w:val="25"/>
          <w:szCs w:val="25"/>
          <w:highlight w:val="none"/>
        </w:rPr>
        <w:t xml:space="preserve"> </w:t>
      </w:r>
      <w:r>
        <w:rPr>
          <w:rFonts w:ascii="宋体" w:hAnsi="宋体" w:eastAsia="宋体" w:cs="宋体"/>
          <w:i/>
          <w:iCs/>
          <w:color w:val="auto"/>
          <w:spacing w:val="-4"/>
          <w:sz w:val="25"/>
          <w:szCs w:val="25"/>
          <w:highlight w:val="none"/>
        </w:rPr>
        <w:t>1）</w:t>
      </w:r>
      <w:r>
        <w:rPr>
          <w:rFonts w:ascii="宋体" w:hAnsi="宋体" w:eastAsia="宋体" w:cs="宋体"/>
          <w:color w:val="auto"/>
          <w:spacing w:val="-4"/>
          <w:sz w:val="24"/>
          <w:szCs w:val="24"/>
          <w:highlight w:val="none"/>
        </w:rPr>
        <w:t>的</w:t>
      </w:r>
      <w:r>
        <w:rPr>
          <w:rFonts w:ascii="宋体" w:hAnsi="宋体" w:eastAsia="宋体" w:cs="宋体"/>
          <w:i/>
          <w:iCs/>
          <w:color w:val="auto"/>
          <w:spacing w:val="-4"/>
          <w:sz w:val="25"/>
          <w:szCs w:val="25"/>
          <w:highlight w:val="none"/>
        </w:rPr>
        <w:t>（关键工序）</w:t>
      </w:r>
      <w:r>
        <w:rPr>
          <w:rFonts w:ascii="宋体" w:hAnsi="宋体" w:eastAsia="宋体" w:cs="宋体"/>
          <w:i/>
          <w:iCs/>
          <w:color w:val="auto"/>
          <w:spacing w:val="-4"/>
          <w:position w:val="11"/>
          <w:sz w:val="12"/>
          <w:szCs w:val="12"/>
          <w:highlight w:val="none"/>
        </w:rPr>
        <w:t>5</w:t>
      </w:r>
      <w:r>
        <w:rPr>
          <w:rFonts w:ascii="宋体" w:hAnsi="宋体" w:eastAsia="宋体" w:cs="宋体"/>
          <w:color w:val="auto"/>
          <w:spacing w:val="-4"/>
          <w:sz w:val="24"/>
          <w:szCs w:val="24"/>
          <w:highlight w:val="none"/>
        </w:rPr>
        <w:t>在中国境内</w:t>
      </w:r>
      <w:r>
        <w:rPr>
          <w:rFonts w:ascii="宋体" w:hAnsi="宋体" w:eastAsia="宋体" w:cs="宋体"/>
          <w:color w:val="auto"/>
          <w:spacing w:val="-5"/>
          <w:sz w:val="24"/>
          <w:szCs w:val="24"/>
          <w:highlight w:val="none"/>
        </w:rPr>
        <w:t>完成。</w:t>
      </w:r>
    </w:p>
    <w:p w14:paraId="5B2021CF">
      <w:pPr>
        <w:spacing w:before="10" w:line="268" w:lineRule="auto"/>
        <w:ind w:left="8" w:right="120" w:firstLine="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w:t>
      </w:r>
      <w:r>
        <w:rPr>
          <w:rFonts w:ascii="宋体" w:hAnsi="宋体" w:eastAsia="宋体" w:cs="宋体"/>
          <w:i/>
          <w:iCs/>
          <w:color w:val="auto"/>
          <w:spacing w:val="-1"/>
          <w:sz w:val="25"/>
          <w:szCs w:val="25"/>
          <w:highlight w:val="none"/>
        </w:rPr>
        <w:t>（产品名称2</w:t>
      </w:r>
      <w:r>
        <w:rPr>
          <w:rFonts w:ascii="宋体" w:hAnsi="宋体" w:eastAsia="宋体" w:cs="宋体"/>
          <w:i/>
          <w:iCs/>
          <w:color w:val="auto"/>
          <w:spacing w:val="-15"/>
          <w:sz w:val="25"/>
          <w:szCs w:val="25"/>
          <w:highlight w:val="none"/>
        </w:rPr>
        <w:t>）</w:t>
      </w:r>
      <w:r>
        <w:rPr>
          <w:rFonts w:ascii="宋体" w:hAnsi="宋体" w:eastAsia="宋体" w:cs="宋体"/>
          <w:color w:val="auto"/>
          <w:spacing w:val="-15"/>
          <w:sz w:val="24"/>
          <w:szCs w:val="24"/>
          <w:highlight w:val="none"/>
        </w:rPr>
        <w:t>，</w:t>
      </w:r>
      <w:r>
        <w:rPr>
          <w:rFonts w:ascii="宋体" w:hAnsi="宋体" w:eastAsia="宋体" w:cs="宋体"/>
          <w:color w:val="auto"/>
          <w:spacing w:val="-1"/>
          <w:sz w:val="24"/>
          <w:szCs w:val="24"/>
          <w:highlight w:val="none"/>
        </w:rPr>
        <w:t>生产厂为</w:t>
      </w:r>
      <w:r>
        <w:rPr>
          <w:rFonts w:ascii="宋体" w:hAnsi="宋体" w:eastAsia="宋体" w:cs="宋体"/>
          <w:i/>
          <w:iCs/>
          <w:color w:val="auto"/>
          <w:spacing w:val="-1"/>
          <w:sz w:val="25"/>
          <w:szCs w:val="25"/>
          <w:highlight w:val="none"/>
        </w:rPr>
        <w:t>（厂名</w:t>
      </w:r>
      <w:r>
        <w:rPr>
          <w:rFonts w:ascii="宋体" w:hAnsi="宋体" w:eastAsia="宋体" w:cs="宋体"/>
          <w:i/>
          <w:iCs/>
          <w:color w:val="auto"/>
          <w:spacing w:val="-15"/>
          <w:sz w:val="25"/>
          <w:szCs w:val="25"/>
          <w:highlight w:val="none"/>
        </w:rPr>
        <w:t>）</w:t>
      </w:r>
      <w:r>
        <w:rPr>
          <w:rFonts w:ascii="宋体" w:hAnsi="宋体" w:eastAsia="宋体" w:cs="宋体"/>
          <w:color w:val="auto"/>
          <w:spacing w:val="-15"/>
          <w:sz w:val="24"/>
          <w:szCs w:val="24"/>
          <w:highlight w:val="none"/>
        </w:rPr>
        <w:t>，</w:t>
      </w:r>
      <w:r>
        <w:rPr>
          <w:rFonts w:ascii="宋体" w:hAnsi="宋体" w:eastAsia="宋体" w:cs="宋体"/>
          <w:color w:val="auto"/>
          <w:spacing w:val="-1"/>
          <w:sz w:val="24"/>
          <w:szCs w:val="24"/>
          <w:highlight w:val="none"/>
        </w:rPr>
        <w:t>厂址为</w:t>
      </w:r>
      <w:r>
        <w:rPr>
          <w:rFonts w:ascii="宋体" w:hAnsi="宋体" w:eastAsia="宋体" w:cs="宋体"/>
          <w:i/>
          <w:iCs/>
          <w:color w:val="auto"/>
          <w:spacing w:val="-1"/>
          <w:sz w:val="25"/>
          <w:szCs w:val="25"/>
          <w:highlight w:val="none"/>
        </w:rPr>
        <w:t>（生</w:t>
      </w:r>
      <w:r>
        <w:rPr>
          <w:rFonts w:ascii="宋体" w:hAnsi="宋体" w:eastAsia="宋体" w:cs="宋体"/>
          <w:i/>
          <w:iCs/>
          <w:color w:val="auto"/>
          <w:spacing w:val="-2"/>
          <w:sz w:val="25"/>
          <w:szCs w:val="25"/>
          <w:highlight w:val="none"/>
        </w:rPr>
        <w:t>产厂址）</w:t>
      </w:r>
      <w:r>
        <w:rPr>
          <w:rFonts w:ascii="宋体" w:hAnsi="宋体" w:eastAsia="宋体" w:cs="宋体"/>
          <w:color w:val="auto"/>
          <w:spacing w:val="-2"/>
          <w:sz w:val="24"/>
          <w:szCs w:val="24"/>
          <w:highlight w:val="none"/>
        </w:rPr>
        <w:t>。</w:t>
      </w:r>
      <w:r>
        <w:rPr>
          <w:rFonts w:ascii="宋体" w:hAnsi="宋体" w:eastAsia="宋体" w:cs="宋体"/>
          <w:i/>
          <w:iCs/>
          <w:color w:val="auto"/>
          <w:spacing w:val="-2"/>
          <w:sz w:val="25"/>
          <w:szCs w:val="25"/>
          <w:highlight w:val="none"/>
        </w:rPr>
        <w:t>（产品名称2）</w:t>
      </w:r>
      <w:r>
        <w:rPr>
          <w:rFonts w:ascii="宋体" w:hAnsi="宋体" w:eastAsia="宋体" w:cs="宋体"/>
          <w:color w:val="auto"/>
          <w:spacing w:val="-3"/>
          <w:sz w:val="24"/>
          <w:szCs w:val="24"/>
          <w:highlight w:val="none"/>
        </w:rPr>
        <w:t>的中国境内生产的组件成本占比≥</w:t>
      </w:r>
      <w:r>
        <w:rPr>
          <w:rFonts w:ascii="宋体" w:hAnsi="宋体" w:eastAsia="宋体" w:cs="宋体"/>
          <w:i/>
          <w:iCs/>
          <w:color w:val="auto"/>
          <w:spacing w:val="-3"/>
          <w:sz w:val="25"/>
          <w:szCs w:val="25"/>
          <w:highlight w:val="none"/>
        </w:rPr>
        <w:t>（规定比例）</w:t>
      </w:r>
      <w:r>
        <w:rPr>
          <w:rFonts w:ascii="宋体" w:hAnsi="宋体" w:eastAsia="宋体" w:cs="宋体"/>
          <w:color w:val="auto"/>
          <w:spacing w:val="-3"/>
          <w:sz w:val="24"/>
          <w:szCs w:val="24"/>
          <w:highlight w:val="none"/>
        </w:rPr>
        <w:t>。</w:t>
      </w:r>
      <w:r>
        <w:rPr>
          <w:rFonts w:ascii="宋体" w:hAnsi="宋体" w:eastAsia="宋体" w:cs="宋体"/>
          <w:i/>
          <w:iCs/>
          <w:color w:val="auto"/>
          <w:spacing w:val="-3"/>
          <w:sz w:val="25"/>
          <w:szCs w:val="25"/>
          <w:highlight w:val="none"/>
        </w:rPr>
        <w:t>（产品名称2）</w:t>
      </w:r>
      <w:r>
        <w:rPr>
          <w:rFonts w:ascii="宋体" w:hAnsi="宋体" w:eastAsia="宋体" w:cs="宋体"/>
          <w:color w:val="auto"/>
          <w:spacing w:val="-3"/>
          <w:sz w:val="24"/>
          <w:szCs w:val="24"/>
          <w:highlight w:val="none"/>
        </w:rPr>
        <w:t>的</w:t>
      </w:r>
      <w:r>
        <w:rPr>
          <w:rFonts w:ascii="宋体" w:hAnsi="宋体" w:eastAsia="宋体" w:cs="宋体"/>
          <w:i/>
          <w:iCs/>
          <w:color w:val="auto"/>
          <w:spacing w:val="-3"/>
          <w:sz w:val="25"/>
          <w:szCs w:val="25"/>
          <w:highlight w:val="none"/>
        </w:rPr>
        <w:t>（</w:t>
      </w:r>
      <w:r>
        <w:rPr>
          <w:rFonts w:ascii="宋体" w:hAnsi="宋体" w:eastAsia="宋体" w:cs="宋体"/>
          <w:i/>
          <w:iCs/>
          <w:color w:val="auto"/>
          <w:spacing w:val="-4"/>
          <w:sz w:val="25"/>
          <w:szCs w:val="25"/>
          <w:highlight w:val="none"/>
        </w:rPr>
        <w:t>关键组件）</w:t>
      </w:r>
      <w:r>
        <w:rPr>
          <w:rFonts w:ascii="宋体" w:hAnsi="宋体" w:eastAsia="宋体" w:cs="宋体"/>
          <w:color w:val="auto"/>
          <w:spacing w:val="-3"/>
          <w:sz w:val="24"/>
          <w:szCs w:val="24"/>
          <w:highlight w:val="none"/>
        </w:rPr>
        <w:t>在中国境内生产。</w:t>
      </w:r>
      <w:r>
        <w:rPr>
          <w:rFonts w:ascii="宋体" w:hAnsi="宋体" w:eastAsia="宋体" w:cs="宋体"/>
          <w:i/>
          <w:iCs/>
          <w:color w:val="auto"/>
          <w:spacing w:val="-3"/>
          <w:sz w:val="25"/>
          <w:szCs w:val="25"/>
          <w:highlight w:val="none"/>
        </w:rPr>
        <w:t>（产品名称2）</w:t>
      </w:r>
      <w:r>
        <w:rPr>
          <w:rFonts w:ascii="宋体" w:hAnsi="宋体" w:eastAsia="宋体" w:cs="宋体"/>
          <w:color w:val="auto"/>
          <w:spacing w:val="-3"/>
          <w:sz w:val="24"/>
          <w:szCs w:val="24"/>
          <w:highlight w:val="none"/>
        </w:rPr>
        <w:t>的</w:t>
      </w:r>
      <w:r>
        <w:rPr>
          <w:rFonts w:ascii="宋体" w:hAnsi="宋体" w:eastAsia="宋体" w:cs="宋体"/>
          <w:i/>
          <w:iCs/>
          <w:color w:val="auto"/>
          <w:spacing w:val="-3"/>
          <w:sz w:val="25"/>
          <w:szCs w:val="25"/>
          <w:highlight w:val="none"/>
        </w:rPr>
        <w:t>（关键工序）</w:t>
      </w:r>
      <w:r>
        <w:rPr>
          <w:rFonts w:ascii="宋体" w:hAnsi="宋体" w:eastAsia="宋体" w:cs="宋体"/>
          <w:color w:val="auto"/>
          <w:spacing w:val="-3"/>
          <w:sz w:val="24"/>
          <w:szCs w:val="24"/>
          <w:highlight w:val="none"/>
        </w:rPr>
        <w:t>在中国境内完成。</w:t>
      </w:r>
    </w:p>
    <w:p w14:paraId="6796B341">
      <w:pPr>
        <w:spacing w:before="23" w:line="378" w:lineRule="exact"/>
        <w:ind w:left="504"/>
        <w:rPr>
          <w:rFonts w:ascii="宋体" w:hAnsi="宋体" w:eastAsia="宋体" w:cs="宋体"/>
          <w:color w:val="auto"/>
          <w:sz w:val="24"/>
          <w:szCs w:val="24"/>
          <w:highlight w:val="none"/>
        </w:rPr>
      </w:pPr>
      <w:r>
        <w:rPr>
          <w:rFonts w:ascii="宋体" w:hAnsi="宋体" w:eastAsia="宋体" w:cs="宋体"/>
          <w:color w:val="auto"/>
          <w:spacing w:val="-13"/>
          <w:position w:val="3"/>
          <w:sz w:val="24"/>
          <w:szCs w:val="24"/>
          <w:highlight w:val="none"/>
        </w:rPr>
        <w:t>……</w:t>
      </w:r>
    </w:p>
    <w:p w14:paraId="005CF59D">
      <w:pPr>
        <w:spacing w:before="11" w:line="279" w:lineRule="auto"/>
        <w:ind w:left="8" w:right="261" w:firstLine="481"/>
        <w:rPr>
          <w:rFonts w:ascii="宋体" w:hAnsi="宋体" w:eastAsia="宋体" w:cs="宋体"/>
          <w:color w:val="auto"/>
          <w:sz w:val="24"/>
          <w:szCs w:val="24"/>
          <w:highlight w:val="none"/>
        </w:rPr>
      </w:pPr>
      <w:r>
        <w:rPr>
          <w:rFonts w:ascii="宋体" w:hAnsi="宋体" w:eastAsia="宋体" w:cs="宋体"/>
          <w:color w:val="auto"/>
          <w:sz w:val="24"/>
          <w:szCs w:val="24"/>
          <w:highlight w:val="none"/>
        </w:rPr>
        <w:t>本公司（单位）对上述声明内容的真实性负责。如</w:t>
      </w:r>
      <w:r>
        <w:rPr>
          <w:rFonts w:ascii="宋体" w:hAnsi="宋体" w:eastAsia="宋体" w:cs="宋体"/>
          <w:color w:val="auto"/>
          <w:spacing w:val="-1"/>
          <w:sz w:val="24"/>
          <w:szCs w:val="24"/>
          <w:highlight w:val="none"/>
        </w:rPr>
        <w:t>有虚假，愿承担相应法律责</w:t>
      </w:r>
      <w:r>
        <w:rPr>
          <w:rFonts w:ascii="宋体" w:hAnsi="宋体" w:eastAsia="宋体" w:cs="宋体"/>
          <w:color w:val="auto"/>
          <w:spacing w:val="-5"/>
          <w:sz w:val="24"/>
          <w:szCs w:val="24"/>
          <w:highlight w:val="none"/>
        </w:rPr>
        <w:t>任。</w:t>
      </w:r>
    </w:p>
    <w:p w14:paraId="4962C25E">
      <w:pPr>
        <w:spacing w:line="334" w:lineRule="auto"/>
        <w:rPr>
          <w:rFonts w:ascii="Arial"/>
          <w:color w:val="auto"/>
          <w:sz w:val="21"/>
          <w:highlight w:val="none"/>
        </w:rPr>
      </w:pPr>
    </w:p>
    <w:p w14:paraId="5789D543">
      <w:pPr>
        <w:spacing w:before="78" w:line="219" w:lineRule="auto"/>
        <w:ind w:left="442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公司（单位）名称（盖章</w:t>
      </w:r>
      <w:r>
        <w:rPr>
          <w:rFonts w:ascii="宋体" w:hAnsi="宋体" w:eastAsia="宋体" w:cs="宋体"/>
          <w:color w:val="auto"/>
          <w:spacing w:val="2"/>
          <w:sz w:val="24"/>
          <w:szCs w:val="24"/>
          <w:highlight w:val="none"/>
        </w:rPr>
        <w:t>）：</w:t>
      </w:r>
    </w:p>
    <w:p w14:paraId="7C126961">
      <w:pPr>
        <w:spacing w:before="107" w:line="219" w:lineRule="auto"/>
        <w:ind w:left="4459"/>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pacing w:val="1"/>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4"/>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13"/>
          <w:sz w:val="24"/>
          <w:szCs w:val="24"/>
          <w:highlight w:val="none"/>
        </w:rPr>
        <w:t xml:space="preserve">    </w:t>
      </w:r>
      <w:r>
        <w:rPr>
          <w:rFonts w:ascii="宋体" w:hAnsi="宋体" w:eastAsia="宋体" w:cs="宋体"/>
          <w:color w:val="auto"/>
          <w:spacing w:val="-13"/>
          <w:sz w:val="24"/>
          <w:szCs w:val="24"/>
          <w:highlight w:val="none"/>
        </w:rPr>
        <w:t>日</w:t>
      </w:r>
    </w:p>
    <w:p w14:paraId="731299FD">
      <w:pPr>
        <w:spacing w:line="414" w:lineRule="auto"/>
        <w:rPr>
          <w:rFonts w:ascii="Arial"/>
          <w:color w:val="auto"/>
          <w:sz w:val="21"/>
          <w:highlight w:val="none"/>
        </w:rPr>
      </w:pPr>
      <w:r>
        <w:rPr>
          <w:color w:val="auto"/>
          <w:highlight w:val="none"/>
        </w:rPr>
        <w:drawing>
          <wp:anchor distT="0" distB="0" distL="0" distR="0" simplePos="0" relativeHeight="251660288" behindDoc="0" locked="0" layoutInCell="1" allowOverlap="1">
            <wp:simplePos x="0" y="0"/>
            <wp:positionH relativeFrom="column">
              <wp:posOffset>0</wp:posOffset>
            </wp:positionH>
            <wp:positionV relativeFrom="paragraph">
              <wp:posOffset>212725</wp:posOffset>
            </wp:positionV>
            <wp:extent cx="1371600" cy="63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8"/>
                    <a:stretch>
                      <a:fillRect/>
                    </a:stretch>
                  </pic:blipFill>
                  <pic:spPr>
                    <a:xfrm>
                      <a:off x="0" y="0"/>
                      <a:ext cx="1371600" cy="6350"/>
                    </a:xfrm>
                    <a:prstGeom prst="rect">
                      <a:avLst/>
                    </a:prstGeom>
                  </pic:spPr>
                </pic:pic>
              </a:graphicData>
            </a:graphic>
          </wp:anchor>
        </w:drawing>
      </w:r>
    </w:p>
    <w:p w14:paraId="4368EB48">
      <w:pPr>
        <w:spacing w:before="79" w:line="219" w:lineRule="auto"/>
        <w:ind w:left="50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1.产品如有型号，请在“产品名称</w:t>
      </w:r>
      <w:r>
        <w:rPr>
          <w:rFonts w:ascii="宋体" w:hAnsi="宋体" w:eastAsia="宋体" w:cs="宋体"/>
          <w:color w:val="auto"/>
          <w:spacing w:val="-80"/>
          <w:sz w:val="24"/>
          <w:szCs w:val="24"/>
          <w:highlight w:val="none"/>
        </w:rPr>
        <w:t xml:space="preserve"> </w:t>
      </w:r>
      <w:r>
        <w:rPr>
          <w:rFonts w:ascii="宋体" w:hAnsi="宋体" w:eastAsia="宋体" w:cs="宋体"/>
          <w:color w:val="auto"/>
          <w:spacing w:val="-3"/>
          <w:sz w:val="24"/>
          <w:szCs w:val="24"/>
          <w:highlight w:val="none"/>
        </w:rPr>
        <w:t>”栏一并填写。</w:t>
      </w:r>
    </w:p>
    <w:p w14:paraId="0624B0B4">
      <w:pPr>
        <w:spacing w:before="75" w:line="219" w:lineRule="auto"/>
        <w:ind w:left="4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2.生产厂名与厂址应与生产厂营业执照载明的相关信息保持一致。</w:t>
      </w:r>
    </w:p>
    <w:p w14:paraId="0FAF2152">
      <w:pPr>
        <w:spacing w:before="75" w:line="277" w:lineRule="auto"/>
        <w:ind w:left="13" w:right="261" w:firstLine="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3.该产品的中国境内生产的组件成本占比相关要</w:t>
      </w:r>
      <w:r>
        <w:rPr>
          <w:rFonts w:ascii="宋体" w:hAnsi="宋体" w:eastAsia="宋体" w:cs="宋体"/>
          <w:color w:val="auto"/>
          <w:spacing w:val="-2"/>
          <w:sz w:val="24"/>
          <w:szCs w:val="24"/>
          <w:highlight w:val="none"/>
        </w:rPr>
        <w:t>求实施前，“规定比例</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”栏可</w:t>
      </w:r>
      <w:r>
        <w:rPr>
          <w:rFonts w:ascii="宋体" w:hAnsi="宋体" w:eastAsia="宋体" w:cs="宋体"/>
          <w:color w:val="auto"/>
          <w:spacing w:val="-3"/>
          <w:sz w:val="24"/>
          <w:szCs w:val="24"/>
          <w:highlight w:val="none"/>
        </w:rPr>
        <w:t>不填，下同。</w:t>
      </w:r>
    </w:p>
    <w:p w14:paraId="0B8F83B7">
      <w:pPr>
        <w:spacing w:line="219" w:lineRule="auto"/>
        <w:ind w:left="48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4.该产品的关键组件要求实施前，“关键组件</w:t>
      </w:r>
      <w:r>
        <w:rPr>
          <w:rFonts w:ascii="宋体" w:hAnsi="宋体" w:eastAsia="宋体" w:cs="宋体"/>
          <w:color w:val="auto"/>
          <w:spacing w:val="-70"/>
          <w:sz w:val="24"/>
          <w:szCs w:val="24"/>
          <w:highlight w:val="none"/>
        </w:rPr>
        <w:t xml:space="preserve"> </w:t>
      </w:r>
      <w:r>
        <w:rPr>
          <w:rFonts w:ascii="宋体" w:hAnsi="宋体" w:eastAsia="宋体" w:cs="宋体"/>
          <w:color w:val="auto"/>
          <w:spacing w:val="-2"/>
          <w:sz w:val="24"/>
          <w:szCs w:val="24"/>
          <w:highlight w:val="none"/>
        </w:rPr>
        <w:t>”栏可不填，下同。</w:t>
      </w:r>
    </w:p>
    <w:p w14:paraId="4E6AFCAA">
      <w:pPr>
        <w:spacing w:before="76" w:line="219"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5.该产品的关键工序要求实施前，“关键工序</w:t>
      </w:r>
      <w:r>
        <w:rPr>
          <w:rFonts w:ascii="宋体" w:hAnsi="宋体" w:eastAsia="宋体" w:cs="宋体"/>
          <w:color w:val="auto"/>
          <w:spacing w:val="-76"/>
          <w:sz w:val="24"/>
          <w:szCs w:val="24"/>
          <w:highlight w:val="none"/>
        </w:rPr>
        <w:t xml:space="preserve"> </w:t>
      </w:r>
      <w:r>
        <w:rPr>
          <w:rFonts w:ascii="宋体" w:hAnsi="宋体" w:eastAsia="宋体" w:cs="宋体"/>
          <w:color w:val="auto"/>
          <w:spacing w:val="-2"/>
          <w:sz w:val="24"/>
          <w:szCs w:val="24"/>
          <w:highlight w:val="none"/>
        </w:rPr>
        <w:t>”栏可不填，下同。</w:t>
      </w:r>
    </w:p>
    <w:p w14:paraId="47667B9F">
      <w:pPr>
        <w:spacing w:line="219" w:lineRule="auto"/>
        <w:rPr>
          <w:rFonts w:ascii="宋体" w:hAnsi="宋体" w:eastAsia="宋体" w:cs="宋体"/>
          <w:color w:val="auto"/>
          <w:sz w:val="24"/>
          <w:szCs w:val="24"/>
          <w:highlight w:val="none"/>
        </w:rPr>
        <w:sectPr>
          <w:footerReference r:id="rId63" w:type="default"/>
          <w:pgSz w:w="11910" w:h="16840"/>
          <w:pgMar w:top="1330" w:right="1328" w:bottom="1091" w:left="1680" w:header="0" w:footer="929" w:gutter="0"/>
          <w:pgNumType w:fmt="decimal"/>
          <w:cols w:space="720" w:num="1"/>
        </w:sectPr>
      </w:pPr>
    </w:p>
    <w:p w14:paraId="5998F923">
      <w:pPr>
        <w:spacing w:before="92" w:line="185" w:lineRule="auto"/>
        <w:ind w:left="2729"/>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6"/>
          <w:sz w:val="43"/>
          <w:szCs w:val="43"/>
          <w:highlight w:val="none"/>
        </w:rPr>
        <w:t>质疑函（格式</w:t>
      </w:r>
      <w:r>
        <w:rPr>
          <w:rFonts w:ascii="Arial Unicode MS" w:hAnsi="Arial Unicode MS" w:eastAsia="Arial Unicode MS" w:cs="Arial Unicode MS"/>
          <w:color w:val="auto"/>
          <w:spacing w:val="-57"/>
          <w:sz w:val="43"/>
          <w:szCs w:val="43"/>
          <w:highlight w:val="none"/>
        </w:rPr>
        <w:t xml:space="preserve"> </w:t>
      </w:r>
      <w:r>
        <w:rPr>
          <w:rFonts w:ascii="Arial Unicode MS" w:hAnsi="Arial Unicode MS" w:eastAsia="Arial Unicode MS" w:cs="Arial Unicode MS"/>
          <w:color w:val="auto"/>
          <w:spacing w:val="6"/>
          <w:sz w:val="43"/>
          <w:szCs w:val="43"/>
          <w:highlight w:val="none"/>
        </w:rPr>
        <w:t>）</w:t>
      </w:r>
    </w:p>
    <w:p w14:paraId="394D7AF9">
      <w:pPr>
        <w:spacing w:line="306" w:lineRule="auto"/>
        <w:rPr>
          <w:rFonts w:ascii="Arial"/>
          <w:color w:val="auto"/>
          <w:sz w:val="21"/>
          <w:highlight w:val="none"/>
        </w:rPr>
      </w:pPr>
    </w:p>
    <w:p w14:paraId="6AF94049">
      <w:pPr>
        <w:spacing w:line="306" w:lineRule="auto"/>
        <w:rPr>
          <w:rFonts w:ascii="Arial"/>
          <w:color w:val="auto"/>
          <w:sz w:val="21"/>
          <w:highlight w:val="none"/>
        </w:rPr>
      </w:pPr>
    </w:p>
    <w:p w14:paraId="68D1F600">
      <w:pPr>
        <w:spacing w:line="306" w:lineRule="auto"/>
        <w:rPr>
          <w:rFonts w:ascii="Arial"/>
          <w:color w:val="auto"/>
          <w:sz w:val="21"/>
          <w:highlight w:val="none"/>
        </w:rPr>
      </w:pPr>
    </w:p>
    <w:p w14:paraId="6DDDB20F">
      <w:pPr>
        <w:spacing w:before="78" w:line="219" w:lineRule="auto"/>
        <w:ind w:left="389"/>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一、质疑供应商基本信息：</w:t>
      </w:r>
    </w:p>
    <w:p w14:paraId="5B03990F">
      <w:pPr>
        <w:spacing w:before="180" w:line="219" w:lineRule="auto"/>
        <w:ind w:left="3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质疑供应商：</w:t>
      </w:r>
      <w:r>
        <w:rPr>
          <w:rFonts w:ascii="宋体" w:hAnsi="宋体" w:eastAsia="宋体" w:cs="宋体"/>
          <w:color w:val="auto"/>
          <w:sz w:val="24"/>
          <w:szCs w:val="24"/>
          <w:highlight w:val="none"/>
          <w:u w:val="single" w:color="auto"/>
        </w:rPr>
        <w:t xml:space="preserve">                                       </w:t>
      </w:r>
    </w:p>
    <w:p w14:paraId="2FE34C5F">
      <w:pPr>
        <w:spacing w:before="184" w:line="219" w:lineRule="auto"/>
        <w:ind w:left="38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地址：</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93"/>
          <w:sz w:val="24"/>
          <w:szCs w:val="24"/>
          <w:highlight w:val="none"/>
        </w:rPr>
        <w:t xml:space="preserve"> </w:t>
      </w:r>
      <w:r>
        <w:rPr>
          <w:rFonts w:ascii="宋体" w:hAnsi="宋体" w:eastAsia="宋体" w:cs="宋体"/>
          <w:color w:val="auto"/>
          <w:spacing w:val="-4"/>
          <w:sz w:val="24"/>
          <w:szCs w:val="24"/>
          <w:highlight w:val="none"/>
        </w:rPr>
        <w:t>邮编：</w:t>
      </w:r>
      <w:r>
        <w:rPr>
          <w:rFonts w:ascii="宋体" w:hAnsi="宋体" w:eastAsia="宋体" w:cs="宋体"/>
          <w:color w:val="auto"/>
          <w:sz w:val="24"/>
          <w:szCs w:val="24"/>
          <w:highlight w:val="none"/>
          <w:u w:val="single" w:color="auto"/>
        </w:rPr>
        <w:t xml:space="preserve">               </w:t>
      </w:r>
    </w:p>
    <w:p w14:paraId="512AFA64">
      <w:pPr>
        <w:spacing w:before="181" w:line="221" w:lineRule="auto"/>
        <w:ind w:left="3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联系人：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2"/>
          <w:sz w:val="24"/>
          <w:szCs w:val="24"/>
          <w:highlight w:val="none"/>
        </w:rPr>
        <w:t xml:space="preserve"> </w:t>
      </w:r>
      <w:r>
        <w:rPr>
          <w:rFonts w:ascii="宋体" w:hAnsi="宋体" w:eastAsia="宋体" w:cs="宋体"/>
          <w:color w:val="auto"/>
          <w:spacing w:val="-1"/>
          <w:sz w:val="24"/>
          <w:szCs w:val="24"/>
          <w:highlight w:val="none"/>
        </w:rPr>
        <w:t>联系电话：</w:t>
      </w:r>
      <w:r>
        <w:rPr>
          <w:rFonts w:ascii="宋体" w:hAnsi="宋体" w:eastAsia="宋体" w:cs="宋体"/>
          <w:color w:val="auto"/>
          <w:sz w:val="24"/>
          <w:szCs w:val="24"/>
          <w:highlight w:val="none"/>
          <w:u w:val="single" w:color="auto"/>
        </w:rPr>
        <w:t xml:space="preserve">                 </w:t>
      </w:r>
    </w:p>
    <w:p w14:paraId="54A34E5E">
      <w:pPr>
        <w:spacing w:before="180" w:line="219" w:lineRule="auto"/>
        <w:ind w:left="38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授权代表：</w:t>
      </w:r>
      <w:r>
        <w:rPr>
          <w:rFonts w:ascii="宋体" w:hAnsi="宋体" w:eastAsia="宋体" w:cs="宋体"/>
          <w:color w:val="auto"/>
          <w:sz w:val="24"/>
          <w:szCs w:val="24"/>
          <w:highlight w:val="none"/>
          <w:u w:val="single" w:color="auto"/>
        </w:rPr>
        <w:t xml:space="preserve">                      </w:t>
      </w:r>
    </w:p>
    <w:p w14:paraId="0A23FC5D">
      <w:pPr>
        <w:spacing w:before="184" w:line="221" w:lineRule="auto"/>
        <w:ind w:left="38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联系电话：</w:t>
      </w:r>
      <w:r>
        <w:rPr>
          <w:rFonts w:ascii="宋体" w:hAnsi="宋体" w:eastAsia="宋体" w:cs="宋体"/>
          <w:color w:val="auto"/>
          <w:sz w:val="24"/>
          <w:szCs w:val="24"/>
          <w:highlight w:val="none"/>
          <w:u w:val="single" w:color="auto"/>
        </w:rPr>
        <w:t xml:space="preserve">                      </w:t>
      </w:r>
    </w:p>
    <w:p w14:paraId="5303E38D">
      <w:pPr>
        <w:spacing w:before="178" w:line="219" w:lineRule="auto"/>
        <w:ind w:left="382"/>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地址：</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9"/>
          <w:sz w:val="24"/>
          <w:szCs w:val="24"/>
          <w:highlight w:val="none"/>
        </w:rPr>
        <w:t xml:space="preserve"> </w:t>
      </w:r>
      <w:r>
        <w:rPr>
          <w:rFonts w:ascii="宋体" w:hAnsi="宋体" w:eastAsia="宋体" w:cs="宋体"/>
          <w:color w:val="auto"/>
          <w:spacing w:val="-7"/>
          <w:sz w:val="24"/>
          <w:szCs w:val="24"/>
          <w:highlight w:val="none"/>
        </w:rPr>
        <w:t>邮编：</w:t>
      </w:r>
      <w:r>
        <w:rPr>
          <w:rFonts w:ascii="宋体" w:hAnsi="宋体" w:eastAsia="宋体" w:cs="宋体"/>
          <w:color w:val="auto"/>
          <w:sz w:val="24"/>
          <w:szCs w:val="24"/>
          <w:highlight w:val="none"/>
          <w:u w:val="single" w:color="auto"/>
        </w:rPr>
        <w:t xml:space="preserve">                  </w:t>
      </w:r>
    </w:p>
    <w:p w14:paraId="2D3520BD">
      <w:pPr>
        <w:spacing w:before="182" w:line="219" w:lineRule="auto"/>
        <w:ind w:left="389"/>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二、质疑项目基本情况：</w:t>
      </w:r>
    </w:p>
    <w:p w14:paraId="221B963C">
      <w:pPr>
        <w:spacing w:before="182" w:line="220" w:lineRule="auto"/>
        <w:ind w:left="4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质疑项目的名称：</w:t>
      </w:r>
      <w:r>
        <w:rPr>
          <w:rFonts w:ascii="宋体" w:hAnsi="宋体" w:eastAsia="宋体" w:cs="宋体"/>
          <w:color w:val="auto"/>
          <w:sz w:val="24"/>
          <w:szCs w:val="24"/>
          <w:highlight w:val="none"/>
          <w:u w:val="single" w:color="auto"/>
        </w:rPr>
        <w:t xml:space="preserve">                                      </w:t>
      </w:r>
    </w:p>
    <w:p w14:paraId="62CF241A">
      <w:pPr>
        <w:spacing w:before="180" w:line="219" w:lineRule="auto"/>
        <w:ind w:left="4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质疑项目的编号：</w:t>
      </w:r>
      <w:r>
        <w:rPr>
          <w:rFonts w:ascii="宋体" w:hAnsi="宋体" w:eastAsia="宋体" w:cs="宋体"/>
          <w:color w:val="auto"/>
          <w:sz w:val="24"/>
          <w:szCs w:val="24"/>
          <w:highlight w:val="none"/>
          <w:u w:val="single" w:color="auto"/>
        </w:rPr>
        <w:t xml:space="preserve">                                      </w:t>
      </w:r>
    </w:p>
    <w:p w14:paraId="085DC08A">
      <w:pPr>
        <w:spacing w:before="182" w:line="219" w:lineRule="auto"/>
        <w:ind w:left="39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采购人名称：</w:t>
      </w:r>
      <w:r>
        <w:rPr>
          <w:rFonts w:ascii="宋体" w:hAnsi="宋体" w:eastAsia="宋体" w:cs="宋体"/>
          <w:color w:val="auto"/>
          <w:sz w:val="24"/>
          <w:szCs w:val="24"/>
          <w:highlight w:val="none"/>
          <w:u w:val="single" w:color="auto"/>
        </w:rPr>
        <w:t xml:space="preserve">                                         </w:t>
      </w:r>
    </w:p>
    <w:p w14:paraId="4657BF6B">
      <w:pPr>
        <w:spacing w:before="184" w:line="220" w:lineRule="auto"/>
        <w:ind w:left="4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质疑事项：</w:t>
      </w:r>
    </w:p>
    <w:p w14:paraId="67FF9A0C">
      <w:pPr>
        <w:spacing w:before="179" w:line="219" w:lineRule="auto"/>
        <w:ind w:left="30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□采购文件   采购文件获取日期：</w:t>
      </w:r>
      <w:r>
        <w:rPr>
          <w:rFonts w:ascii="宋体" w:hAnsi="宋体" w:eastAsia="宋体" w:cs="宋体"/>
          <w:color w:val="auto"/>
          <w:spacing w:val="-3"/>
          <w:sz w:val="24"/>
          <w:szCs w:val="24"/>
          <w:highlight w:val="none"/>
          <w:u w:val="single" w:color="auto"/>
        </w:rPr>
        <w:t xml:space="preserve">                                    </w:t>
      </w:r>
    </w:p>
    <w:p w14:paraId="4BFF74A9">
      <w:pPr>
        <w:spacing w:before="183" w:line="219" w:lineRule="auto"/>
        <w:ind w:left="304"/>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□采购过程</w:t>
      </w:r>
    </w:p>
    <w:p w14:paraId="332C19B9">
      <w:pPr>
        <w:spacing w:before="182" w:line="220" w:lineRule="auto"/>
        <w:ind w:left="304"/>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□成交结果</w:t>
      </w:r>
    </w:p>
    <w:p w14:paraId="465158CD">
      <w:pPr>
        <w:spacing w:before="182" w:line="219" w:lineRule="auto"/>
        <w:ind w:left="399"/>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三、质疑事项具体内容</w:t>
      </w:r>
    </w:p>
    <w:p w14:paraId="53FA358C">
      <w:pPr>
        <w:tabs>
          <w:tab w:val="left" w:pos="8620"/>
        </w:tabs>
        <w:spacing w:before="182" w:line="359" w:lineRule="auto"/>
        <w:ind w:left="399"/>
        <w:jc w:val="both"/>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质疑事项</w:t>
      </w:r>
      <w:r>
        <w:rPr>
          <w:rFonts w:ascii="宋体" w:hAnsi="宋体" w:eastAsia="宋体" w:cs="宋体"/>
          <w:color w:val="auto"/>
          <w:spacing w:val="-31"/>
          <w:sz w:val="24"/>
          <w:szCs w:val="24"/>
          <w:highlight w:val="none"/>
        </w:rPr>
        <w:t xml:space="preserve"> </w:t>
      </w:r>
      <w:r>
        <w:rPr>
          <w:rFonts w:ascii="宋体" w:hAnsi="宋体" w:eastAsia="宋体" w:cs="宋体"/>
          <w:color w:val="auto"/>
          <w:spacing w:val="-7"/>
          <w:sz w:val="24"/>
          <w:szCs w:val="24"/>
          <w:highlight w:val="none"/>
        </w:rPr>
        <w:t>1：</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3"/>
          <w:sz w:val="24"/>
          <w:szCs w:val="24"/>
          <w:highlight w:val="none"/>
        </w:rPr>
        <w:t>事实依据：</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3"/>
          <w:sz w:val="24"/>
          <w:szCs w:val="24"/>
          <w:highlight w:val="none"/>
        </w:rPr>
        <w:t>法律依据：</w:t>
      </w:r>
      <w:r>
        <w:rPr>
          <w:rFonts w:ascii="宋体" w:hAnsi="宋体" w:eastAsia="宋体" w:cs="宋体"/>
          <w:color w:val="auto"/>
          <w:sz w:val="24"/>
          <w:szCs w:val="24"/>
          <w:highlight w:val="none"/>
          <w:u w:val="single" w:color="auto"/>
        </w:rPr>
        <w:t xml:space="preserve">                                                           </w:t>
      </w:r>
    </w:p>
    <w:p w14:paraId="31A26572">
      <w:pPr>
        <w:spacing w:line="359" w:lineRule="auto"/>
        <w:ind w:left="414" w:right="7091" w:hanging="1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质疑事项</w:t>
      </w:r>
      <w:r>
        <w:rPr>
          <w:rFonts w:ascii="宋体" w:hAnsi="宋体" w:eastAsia="宋体" w:cs="宋体"/>
          <w:color w:val="auto"/>
          <w:spacing w:val="-47"/>
          <w:sz w:val="24"/>
          <w:szCs w:val="24"/>
          <w:highlight w:val="none"/>
        </w:rPr>
        <w:t xml:space="preserve"> </w:t>
      </w:r>
      <w:r>
        <w:rPr>
          <w:rFonts w:ascii="宋体" w:hAnsi="宋体" w:eastAsia="宋体" w:cs="宋体"/>
          <w:color w:val="auto"/>
          <w:spacing w:val="-5"/>
          <w:sz w:val="24"/>
          <w:szCs w:val="24"/>
          <w:highlight w:val="none"/>
        </w:rPr>
        <w:t>2</w:t>
      </w:r>
      <w:r>
        <w:rPr>
          <w:rFonts w:ascii="宋体" w:hAnsi="宋体" w:eastAsia="宋体" w:cs="宋体"/>
          <w:color w:val="auto"/>
          <w:sz w:val="24"/>
          <w:szCs w:val="24"/>
          <w:highlight w:val="none"/>
        </w:rPr>
        <w:t xml:space="preserve"> </w:t>
      </w:r>
      <w:r>
        <w:rPr>
          <w:rFonts w:ascii="宋体" w:hAnsi="宋体" w:eastAsia="宋体" w:cs="宋体"/>
          <w:color w:val="auto"/>
          <w:spacing w:val="-13"/>
          <w:sz w:val="24"/>
          <w:szCs w:val="24"/>
          <w:highlight w:val="none"/>
        </w:rPr>
        <w:t>……</w:t>
      </w:r>
    </w:p>
    <w:p w14:paraId="191C3057">
      <w:pPr>
        <w:spacing w:line="220" w:lineRule="auto"/>
        <w:ind w:left="42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四、与质疑事项相关的质疑请求：</w:t>
      </w:r>
    </w:p>
    <w:p w14:paraId="2BE8CE58">
      <w:pPr>
        <w:spacing w:before="182" w:line="220" w:lineRule="auto"/>
        <w:ind w:left="39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请求：</w:t>
      </w:r>
      <w:r>
        <w:rPr>
          <w:rFonts w:ascii="宋体" w:hAnsi="宋体" w:eastAsia="宋体" w:cs="宋体"/>
          <w:color w:val="auto"/>
          <w:sz w:val="24"/>
          <w:szCs w:val="24"/>
          <w:highlight w:val="none"/>
          <w:u w:val="single" w:color="auto"/>
        </w:rPr>
        <w:t xml:space="preserve">                                                               </w:t>
      </w:r>
    </w:p>
    <w:p w14:paraId="55A1F825">
      <w:pPr>
        <w:spacing w:line="281" w:lineRule="auto"/>
        <w:rPr>
          <w:rFonts w:ascii="Arial"/>
          <w:color w:val="auto"/>
          <w:sz w:val="21"/>
          <w:highlight w:val="none"/>
        </w:rPr>
      </w:pPr>
    </w:p>
    <w:p w14:paraId="1F01FC30">
      <w:pPr>
        <w:spacing w:line="282" w:lineRule="auto"/>
        <w:rPr>
          <w:rFonts w:ascii="Arial"/>
          <w:color w:val="auto"/>
          <w:sz w:val="21"/>
          <w:highlight w:val="none"/>
        </w:rPr>
      </w:pPr>
    </w:p>
    <w:p w14:paraId="08AEA1C7">
      <w:pPr>
        <w:spacing w:before="78" w:line="219" w:lineRule="auto"/>
        <w:ind w:left="39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签字（签章</w:t>
      </w:r>
      <w:r>
        <w:rPr>
          <w:rFonts w:ascii="宋体" w:hAnsi="宋体" w:eastAsia="宋体" w:cs="宋体"/>
          <w:color w:val="auto"/>
          <w:spacing w:val="2"/>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公章：</w:t>
      </w:r>
    </w:p>
    <w:p w14:paraId="4C2A6002">
      <w:pPr>
        <w:spacing w:line="285" w:lineRule="auto"/>
        <w:rPr>
          <w:rFonts w:ascii="Arial"/>
          <w:color w:val="auto"/>
          <w:sz w:val="21"/>
          <w:highlight w:val="none"/>
        </w:rPr>
      </w:pPr>
    </w:p>
    <w:p w14:paraId="5020D297">
      <w:pPr>
        <w:spacing w:line="285" w:lineRule="auto"/>
        <w:rPr>
          <w:rFonts w:ascii="Arial"/>
          <w:color w:val="auto"/>
          <w:sz w:val="21"/>
          <w:highlight w:val="none"/>
        </w:rPr>
      </w:pPr>
    </w:p>
    <w:p w14:paraId="4630D3AC">
      <w:pPr>
        <w:spacing w:before="79" w:line="220" w:lineRule="auto"/>
        <w:ind w:left="440"/>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日期：</w:t>
      </w:r>
    </w:p>
    <w:p w14:paraId="511BD81B">
      <w:pPr>
        <w:spacing w:line="220" w:lineRule="auto"/>
        <w:rPr>
          <w:rFonts w:ascii="宋体" w:hAnsi="宋体" w:eastAsia="宋体" w:cs="宋体"/>
          <w:color w:val="auto"/>
          <w:sz w:val="24"/>
          <w:szCs w:val="24"/>
          <w:highlight w:val="none"/>
        </w:rPr>
        <w:sectPr>
          <w:footerReference r:id="rId64" w:type="default"/>
          <w:pgSz w:w="11910" w:h="16840"/>
          <w:pgMar w:top="1331" w:right="1501" w:bottom="1091" w:left="1786" w:header="0" w:footer="929" w:gutter="0"/>
          <w:pgNumType w:fmt="decimal"/>
          <w:cols w:space="720" w:num="1"/>
        </w:sectPr>
      </w:pPr>
    </w:p>
    <w:p w14:paraId="1549F842">
      <w:pPr>
        <w:spacing w:line="331" w:lineRule="auto"/>
        <w:rPr>
          <w:rFonts w:ascii="Arial"/>
          <w:color w:val="auto"/>
          <w:sz w:val="21"/>
          <w:highlight w:val="none"/>
        </w:rPr>
      </w:pPr>
    </w:p>
    <w:p w14:paraId="14E2017D">
      <w:pPr>
        <w:spacing w:before="78" w:line="219" w:lineRule="auto"/>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说明：</w:t>
      </w:r>
    </w:p>
    <w:p w14:paraId="523C3110">
      <w:pPr>
        <w:spacing w:before="179" w:line="219" w:lineRule="auto"/>
        <w:ind w:left="39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1.供应商提出质疑时，应提交质疑函和必要的证明材料。</w:t>
      </w:r>
    </w:p>
    <w:p w14:paraId="3E2F1C72">
      <w:pPr>
        <w:spacing w:before="185" w:line="359" w:lineRule="auto"/>
        <w:ind w:left="22" w:firstLine="357"/>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2.质疑供应商若委托代理人进行质疑的，质疑函应按要求列明“授权代表</w:t>
      </w:r>
      <w:r>
        <w:rPr>
          <w:rFonts w:ascii="宋体" w:hAnsi="宋体" w:eastAsia="宋体" w:cs="宋体"/>
          <w:color w:val="auto"/>
          <w:spacing w:val="-67"/>
          <w:sz w:val="24"/>
          <w:szCs w:val="24"/>
          <w:highlight w:val="none"/>
        </w:rPr>
        <w:t xml:space="preserve"> </w:t>
      </w:r>
      <w:r>
        <w:rPr>
          <w:rFonts w:ascii="宋体" w:hAnsi="宋体" w:eastAsia="宋体" w:cs="宋体"/>
          <w:b/>
          <w:bCs/>
          <w:color w:val="auto"/>
          <w:spacing w:val="1"/>
          <w:sz w:val="24"/>
          <w:szCs w:val="24"/>
          <w:highlight w:val="none"/>
        </w:rPr>
        <w:t>”的</w:t>
      </w:r>
      <w:r>
        <w:rPr>
          <w:rFonts w:ascii="宋体" w:hAnsi="宋体" w:eastAsia="宋体" w:cs="宋体"/>
          <w:b/>
          <w:bCs/>
          <w:color w:val="auto"/>
          <w:spacing w:val="-1"/>
          <w:sz w:val="24"/>
          <w:szCs w:val="24"/>
          <w:highlight w:val="none"/>
        </w:rPr>
        <w:t>有关内容，并在附件中提交由质疑供应商签署的授权委托书。授权委托书应载</w:t>
      </w:r>
      <w:r>
        <w:rPr>
          <w:rFonts w:ascii="宋体" w:hAnsi="宋体" w:eastAsia="宋体" w:cs="宋体"/>
          <w:b/>
          <w:bCs/>
          <w:color w:val="auto"/>
          <w:spacing w:val="-2"/>
          <w:sz w:val="24"/>
          <w:szCs w:val="24"/>
          <w:highlight w:val="none"/>
        </w:rPr>
        <w:t>明代理人的姓名或者名称、代理事项、具体权限、期限和相关事</w:t>
      </w:r>
      <w:r>
        <w:rPr>
          <w:rFonts w:ascii="宋体" w:hAnsi="宋体" w:eastAsia="宋体" w:cs="宋体"/>
          <w:b/>
          <w:bCs/>
          <w:color w:val="auto"/>
          <w:spacing w:val="-3"/>
          <w:sz w:val="24"/>
          <w:szCs w:val="24"/>
          <w:highlight w:val="none"/>
        </w:rPr>
        <w:t>项。</w:t>
      </w:r>
    </w:p>
    <w:p w14:paraId="77E20ED6">
      <w:pPr>
        <w:spacing w:line="218" w:lineRule="auto"/>
        <w:ind w:left="381"/>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3.质疑函的质疑事项应具体、明确，并有必要的事实依据</w:t>
      </w:r>
      <w:r>
        <w:rPr>
          <w:rFonts w:ascii="宋体" w:hAnsi="宋体" w:eastAsia="宋体" w:cs="宋体"/>
          <w:b/>
          <w:bCs/>
          <w:color w:val="auto"/>
          <w:spacing w:val="-3"/>
          <w:sz w:val="24"/>
          <w:szCs w:val="24"/>
          <w:highlight w:val="none"/>
        </w:rPr>
        <w:t>和法律依据。</w:t>
      </w:r>
    </w:p>
    <w:p w14:paraId="28A665CD">
      <w:pPr>
        <w:spacing w:before="181" w:line="220" w:lineRule="auto"/>
        <w:ind w:left="375"/>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4.质疑函的质疑请求应与质疑事项相关。</w:t>
      </w:r>
    </w:p>
    <w:p w14:paraId="1BF8525B">
      <w:pPr>
        <w:spacing w:before="182" w:line="360" w:lineRule="auto"/>
        <w:ind w:left="23" w:right="61" w:firstLine="357"/>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5.质疑供应商为法人或者其他组织的，质疑函应由法定</w:t>
      </w:r>
      <w:r>
        <w:rPr>
          <w:rFonts w:ascii="宋体" w:hAnsi="宋体" w:eastAsia="宋体" w:cs="宋体"/>
          <w:b/>
          <w:bCs/>
          <w:color w:val="auto"/>
          <w:sz w:val="24"/>
          <w:szCs w:val="24"/>
          <w:highlight w:val="none"/>
        </w:rPr>
        <w:t>代表人、主要负责人，</w:t>
      </w:r>
      <w:r>
        <w:rPr>
          <w:rFonts w:ascii="宋体" w:hAnsi="宋体" w:eastAsia="宋体" w:cs="宋体"/>
          <w:b/>
          <w:bCs/>
          <w:color w:val="auto"/>
          <w:spacing w:val="-3"/>
          <w:sz w:val="24"/>
          <w:szCs w:val="24"/>
          <w:highlight w:val="none"/>
        </w:rPr>
        <w:t>或者其授权代表签字或者盖章，并加盖公章。</w:t>
      </w:r>
    </w:p>
    <w:p w14:paraId="588A7797">
      <w:pPr>
        <w:spacing w:line="360" w:lineRule="auto"/>
        <w:rPr>
          <w:rFonts w:ascii="宋体" w:hAnsi="宋体" w:eastAsia="宋体" w:cs="宋体"/>
          <w:color w:val="auto"/>
          <w:sz w:val="24"/>
          <w:szCs w:val="24"/>
          <w:highlight w:val="none"/>
        </w:rPr>
        <w:sectPr>
          <w:footerReference r:id="rId65" w:type="default"/>
          <w:pgSz w:w="11910" w:h="16840"/>
          <w:pgMar w:top="1431" w:right="1501" w:bottom="1091" w:left="1692" w:header="0" w:footer="929" w:gutter="0"/>
          <w:pgNumType w:fmt="decimal"/>
          <w:cols w:space="720" w:num="1"/>
        </w:sectPr>
      </w:pPr>
    </w:p>
    <w:p w14:paraId="5A195392">
      <w:pPr>
        <w:spacing w:before="92" w:line="185" w:lineRule="auto"/>
        <w:ind w:left="2813"/>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5"/>
          <w:sz w:val="43"/>
          <w:szCs w:val="43"/>
          <w:highlight w:val="none"/>
        </w:rPr>
        <w:t>投诉书（格式</w:t>
      </w:r>
      <w:r>
        <w:rPr>
          <w:rFonts w:ascii="Arial Unicode MS" w:hAnsi="Arial Unicode MS" w:eastAsia="Arial Unicode MS" w:cs="Arial Unicode MS"/>
          <w:color w:val="auto"/>
          <w:spacing w:val="-63"/>
          <w:sz w:val="43"/>
          <w:szCs w:val="43"/>
          <w:highlight w:val="none"/>
        </w:rPr>
        <w:t xml:space="preserve"> </w:t>
      </w:r>
      <w:r>
        <w:rPr>
          <w:rFonts w:ascii="Arial Unicode MS" w:hAnsi="Arial Unicode MS" w:eastAsia="Arial Unicode MS" w:cs="Arial Unicode MS"/>
          <w:color w:val="auto"/>
          <w:spacing w:val="5"/>
          <w:sz w:val="43"/>
          <w:szCs w:val="43"/>
          <w:highlight w:val="none"/>
        </w:rPr>
        <w:t>）</w:t>
      </w:r>
    </w:p>
    <w:p w14:paraId="1FC45DE0">
      <w:pPr>
        <w:spacing w:line="298" w:lineRule="auto"/>
        <w:rPr>
          <w:rFonts w:ascii="Arial"/>
          <w:color w:val="auto"/>
          <w:sz w:val="21"/>
          <w:highlight w:val="none"/>
        </w:rPr>
      </w:pPr>
    </w:p>
    <w:p w14:paraId="6C69CDC2">
      <w:pPr>
        <w:spacing w:before="78" w:line="219" w:lineRule="auto"/>
        <w:ind w:left="459"/>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一、投诉相关主体基本情况：</w:t>
      </w:r>
    </w:p>
    <w:p w14:paraId="180BBF14">
      <w:pPr>
        <w:spacing w:before="183" w:line="219" w:lineRule="auto"/>
        <w:ind w:left="45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供应商：</w:t>
      </w:r>
      <w:r>
        <w:rPr>
          <w:rFonts w:ascii="宋体" w:hAnsi="宋体" w:eastAsia="宋体" w:cs="宋体"/>
          <w:color w:val="auto"/>
          <w:sz w:val="24"/>
          <w:szCs w:val="24"/>
          <w:highlight w:val="none"/>
          <w:u w:val="single" w:color="auto"/>
        </w:rPr>
        <w:t xml:space="preserve">                                                             </w:t>
      </w:r>
    </w:p>
    <w:p w14:paraId="286EC648">
      <w:pPr>
        <w:spacing w:before="184" w:line="219" w:lineRule="auto"/>
        <w:ind w:left="45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地址：</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93"/>
          <w:sz w:val="24"/>
          <w:szCs w:val="24"/>
          <w:highlight w:val="none"/>
        </w:rPr>
        <w:t xml:space="preserve"> </w:t>
      </w:r>
      <w:r>
        <w:rPr>
          <w:rFonts w:ascii="宋体" w:hAnsi="宋体" w:eastAsia="宋体" w:cs="宋体"/>
          <w:color w:val="auto"/>
          <w:spacing w:val="-4"/>
          <w:sz w:val="24"/>
          <w:szCs w:val="24"/>
          <w:highlight w:val="none"/>
        </w:rPr>
        <w:t>邮编：</w:t>
      </w:r>
      <w:r>
        <w:rPr>
          <w:rFonts w:ascii="宋体" w:hAnsi="宋体" w:eastAsia="宋体" w:cs="宋体"/>
          <w:color w:val="auto"/>
          <w:sz w:val="24"/>
          <w:szCs w:val="24"/>
          <w:highlight w:val="none"/>
          <w:u w:val="single" w:color="auto"/>
        </w:rPr>
        <w:t xml:space="preserve">               </w:t>
      </w:r>
    </w:p>
    <w:p w14:paraId="5FD4B884">
      <w:pPr>
        <w:spacing w:before="180" w:line="219" w:lineRule="auto"/>
        <w:ind w:left="45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法定代表人/主要负责人：</w:t>
      </w:r>
      <w:r>
        <w:rPr>
          <w:rFonts w:ascii="宋体" w:hAnsi="宋体" w:eastAsia="宋体" w:cs="宋体"/>
          <w:color w:val="auto"/>
          <w:spacing w:val="-1"/>
          <w:sz w:val="24"/>
          <w:szCs w:val="24"/>
          <w:highlight w:val="none"/>
          <w:u w:val="single" w:color="auto"/>
        </w:rPr>
        <w:t xml:space="preserve">                                              </w:t>
      </w:r>
    </w:p>
    <w:p w14:paraId="783685E0">
      <w:pPr>
        <w:spacing w:before="181" w:line="221" w:lineRule="auto"/>
        <w:ind w:left="45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联系电话：</w:t>
      </w:r>
      <w:r>
        <w:rPr>
          <w:rFonts w:ascii="宋体" w:hAnsi="宋体" w:eastAsia="宋体" w:cs="宋体"/>
          <w:color w:val="auto"/>
          <w:sz w:val="24"/>
          <w:szCs w:val="24"/>
          <w:highlight w:val="none"/>
          <w:u w:val="single" w:color="auto"/>
        </w:rPr>
        <w:t xml:space="preserve">                                         </w:t>
      </w:r>
    </w:p>
    <w:p w14:paraId="63F4A78E">
      <w:pPr>
        <w:spacing w:before="180" w:line="219" w:lineRule="auto"/>
        <w:ind w:left="45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授权代表：</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
          <w:sz w:val="24"/>
          <w:szCs w:val="24"/>
          <w:highlight w:val="none"/>
        </w:rPr>
        <w:t>联系电话：</w:t>
      </w:r>
      <w:r>
        <w:rPr>
          <w:rFonts w:ascii="宋体" w:hAnsi="宋体" w:eastAsia="宋体" w:cs="宋体"/>
          <w:color w:val="auto"/>
          <w:spacing w:val="-1"/>
          <w:sz w:val="24"/>
          <w:szCs w:val="24"/>
          <w:highlight w:val="none"/>
          <w:u w:val="single" w:color="auto"/>
        </w:rPr>
        <w:t xml:space="preserve">        </w:t>
      </w:r>
    </w:p>
    <w:p w14:paraId="58BC4708">
      <w:pPr>
        <w:spacing w:before="183" w:line="229" w:lineRule="auto"/>
        <w:ind w:left="45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地址：</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3"/>
          <w:sz w:val="24"/>
          <w:szCs w:val="24"/>
          <w:highlight w:val="none"/>
          <w:u w:val="single" w:color="auto"/>
        </w:rPr>
        <w:t xml:space="preserve">   </w:t>
      </w:r>
    </w:p>
    <w:p w14:paraId="6827FBBD">
      <w:pPr>
        <w:spacing w:before="169" w:line="219" w:lineRule="auto"/>
        <w:ind w:left="470"/>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邮编：</w:t>
      </w:r>
      <w:r>
        <w:rPr>
          <w:rFonts w:ascii="宋体" w:hAnsi="宋体" w:eastAsia="宋体" w:cs="宋体"/>
          <w:color w:val="auto"/>
          <w:sz w:val="24"/>
          <w:szCs w:val="24"/>
          <w:highlight w:val="none"/>
          <w:u w:val="single" w:color="auto"/>
        </w:rPr>
        <w:t xml:space="preserve">         </w:t>
      </w:r>
    </w:p>
    <w:p w14:paraId="338CAD85">
      <w:pPr>
        <w:spacing w:before="183" w:line="219" w:lineRule="auto"/>
        <w:ind w:left="453"/>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被投诉人</w:t>
      </w:r>
      <w:r>
        <w:rPr>
          <w:rFonts w:ascii="宋体" w:hAnsi="宋体" w:eastAsia="宋体" w:cs="宋体"/>
          <w:color w:val="auto"/>
          <w:spacing w:val="-29"/>
          <w:sz w:val="24"/>
          <w:szCs w:val="24"/>
          <w:highlight w:val="none"/>
        </w:rPr>
        <w:t xml:space="preserve"> </w:t>
      </w:r>
      <w:r>
        <w:rPr>
          <w:rFonts w:ascii="宋体" w:hAnsi="宋体" w:eastAsia="宋体" w:cs="宋体"/>
          <w:color w:val="auto"/>
          <w:spacing w:val="-7"/>
          <w:sz w:val="24"/>
          <w:szCs w:val="24"/>
          <w:highlight w:val="none"/>
        </w:rPr>
        <w:t>1：</w:t>
      </w:r>
    </w:p>
    <w:p w14:paraId="648105F2">
      <w:pPr>
        <w:spacing w:before="180" w:line="229" w:lineRule="auto"/>
        <w:ind w:left="45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地址：</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3"/>
          <w:sz w:val="24"/>
          <w:szCs w:val="24"/>
          <w:highlight w:val="none"/>
          <w:u w:val="single" w:color="auto"/>
        </w:rPr>
        <w:t xml:space="preserve">   </w:t>
      </w:r>
    </w:p>
    <w:p w14:paraId="5A22A16A">
      <w:pPr>
        <w:spacing w:before="171" w:line="219" w:lineRule="auto"/>
        <w:ind w:left="470"/>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邮编：</w:t>
      </w:r>
      <w:r>
        <w:rPr>
          <w:rFonts w:ascii="宋体" w:hAnsi="宋体" w:eastAsia="宋体" w:cs="宋体"/>
          <w:color w:val="auto"/>
          <w:sz w:val="24"/>
          <w:szCs w:val="24"/>
          <w:highlight w:val="none"/>
          <w:u w:val="single" w:color="auto"/>
        </w:rPr>
        <w:t xml:space="preserve">         </w:t>
      </w:r>
    </w:p>
    <w:p w14:paraId="264405CC">
      <w:pPr>
        <w:spacing w:before="181" w:line="221" w:lineRule="auto"/>
        <w:ind w:left="45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联系人：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1"/>
          <w:sz w:val="24"/>
          <w:szCs w:val="24"/>
          <w:highlight w:val="none"/>
        </w:rPr>
        <w:t>联系电话：</w:t>
      </w:r>
      <w:r>
        <w:rPr>
          <w:rFonts w:ascii="宋体" w:hAnsi="宋体" w:eastAsia="宋体" w:cs="宋体"/>
          <w:color w:val="auto"/>
          <w:spacing w:val="-1"/>
          <w:sz w:val="24"/>
          <w:szCs w:val="24"/>
          <w:highlight w:val="none"/>
          <w:u w:val="single" w:color="auto"/>
        </w:rPr>
        <w:t xml:space="preserve">   </w:t>
      </w:r>
    </w:p>
    <w:p w14:paraId="10B164B3">
      <w:pPr>
        <w:spacing w:before="181" w:line="219" w:lineRule="auto"/>
        <w:ind w:left="45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被投诉人</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2：</w:t>
      </w:r>
    </w:p>
    <w:p w14:paraId="65B394CD">
      <w:pPr>
        <w:spacing w:before="180" w:line="378" w:lineRule="exact"/>
        <w:ind w:left="468"/>
        <w:rPr>
          <w:rFonts w:ascii="宋体" w:hAnsi="宋体" w:eastAsia="宋体" w:cs="宋体"/>
          <w:color w:val="auto"/>
          <w:sz w:val="24"/>
          <w:szCs w:val="24"/>
          <w:highlight w:val="none"/>
        </w:rPr>
      </w:pPr>
      <w:r>
        <w:rPr>
          <w:rFonts w:ascii="宋体" w:hAnsi="宋体" w:eastAsia="宋体" w:cs="宋体"/>
          <w:color w:val="auto"/>
          <w:spacing w:val="-13"/>
          <w:position w:val="3"/>
          <w:sz w:val="24"/>
          <w:szCs w:val="24"/>
          <w:highlight w:val="none"/>
        </w:rPr>
        <w:t>……</w:t>
      </w:r>
    </w:p>
    <w:p w14:paraId="0EBDB36D">
      <w:pPr>
        <w:spacing w:before="90" w:line="219" w:lineRule="auto"/>
        <w:ind w:left="45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相关供应商：</w:t>
      </w:r>
      <w:r>
        <w:rPr>
          <w:rFonts w:ascii="宋体" w:hAnsi="宋体" w:eastAsia="宋体" w:cs="宋体"/>
          <w:color w:val="auto"/>
          <w:sz w:val="24"/>
          <w:szCs w:val="24"/>
          <w:highlight w:val="none"/>
          <w:u w:val="single" w:color="auto"/>
        </w:rPr>
        <w:t xml:space="preserve">                                                         </w:t>
      </w:r>
    </w:p>
    <w:p w14:paraId="142D4816">
      <w:pPr>
        <w:spacing w:before="182" w:line="219" w:lineRule="auto"/>
        <w:ind w:left="45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地址：</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92"/>
          <w:sz w:val="24"/>
          <w:szCs w:val="24"/>
          <w:highlight w:val="none"/>
        </w:rPr>
        <w:t xml:space="preserve"> </w:t>
      </w:r>
      <w:r>
        <w:rPr>
          <w:rFonts w:ascii="宋体" w:hAnsi="宋体" w:eastAsia="宋体" w:cs="宋体"/>
          <w:color w:val="auto"/>
          <w:spacing w:val="-3"/>
          <w:sz w:val="24"/>
          <w:szCs w:val="24"/>
          <w:highlight w:val="none"/>
        </w:rPr>
        <w:t>邮编：</w:t>
      </w:r>
      <w:r>
        <w:rPr>
          <w:rFonts w:ascii="宋体" w:hAnsi="宋体" w:eastAsia="宋体" w:cs="宋体"/>
          <w:color w:val="auto"/>
          <w:sz w:val="24"/>
          <w:szCs w:val="24"/>
          <w:highlight w:val="none"/>
          <w:u w:val="single" w:color="auto"/>
        </w:rPr>
        <w:t xml:space="preserve">           </w:t>
      </w:r>
    </w:p>
    <w:p w14:paraId="0EA8951C">
      <w:pPr>
        <w:spacing w:before="183" w:line="221" w:lineRule="auto"/>
        <w:ind w:left="45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联系人：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1"/>
          <w:sz w:val="24"/>
          <w:szCs w:val="24"/>
          <w:highlight w:val="none"/>
        </w:rPr>
        <w:t>联系电话：</w:t>
      </w:r>
      <w:r>
        <w:rPr>
          <w:rFonts w:ascii="宋体" w:hAnsi="宋体" w:eastAsia="宋体" w:cs="宋体"/>
          <w:color w:val="auto"/>
          <w:spacing w:val="-1"/>
          <w:sz w:val="24"/>
          <w:szCs w:val="24"/>
          <w:highlight w:val="none"/>
          <w:u w:val="single" w:color="auto"/>
        </w:rPr>
        <w:t xml:space="preserve">       </w:t>
      </w:r>
    </w:p>
    <w:p w14:paraId="4ED2031B">
      <w:pPr>
        <w:spacing w:before="180" w:line="219" w:lineRule="auto"/>
        <w:ind w:left="459"/>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二、投诉项目基本情况：</w:t>
      </w:r>
    </w:p>
    <w:p w14:paraId="353683F4">
      <w:pPr>
        <w:spacing w:before="180" w:line="219" w:lineRule="auto"/>
        <w:ind w:left="46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采购项目的名称：</w:t>
      </w:r>
      <w:r>
        <w:rPr>
          <w:rFonts w:ascii="宋体" w:hAnsi="宋体" w:eastAsia="宋体" w:cs="宋体"/>
          <w:color w:val="auto"/>
          <w:spacing w:val="-1"/>
          <w:sz w:val="24"/>
          <w:szCs w:val="24"/>
          <w:highlight w:val="none"/>
          <w:u w:val="single" w:color="auto"/>
        </w:rPr>
        <w:t xml:space="preserve">                                                     </w:t>
      </w:r>
    </w:p>
    <w:p w14:paraId="3B91122A">
      <w:pPr>
        <w:spacing w:before="184" w:line="219" w:lineRule="auto"/>
        <w:ind w:left="46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采购项目的编号：</w:t>
      </w:r>
      <w:r>
        <w:rPr>
          <w:rFonts w:ascii="宋体" w:hAnsi="宋体" w:eastAsia="宋体" w:cs="宋体"/>
          <w:color w:val="auto"/>
          <w:sz w:val="24"/>
          <w:szCs w:val="24"/>
          <w:highlight w:val="none"/>
          <w:u w:val="single" w:color="auto"/>
        </w:rPr>
        <w:t xml:space="preserve">                                           </w:t>
      </w:r>
    </w:p>
    <w:p w14:paraId="209B5FC6">
      <w:pPr>
        <w:tabs>
          <w:tab w:val="left" w:pos="8690"/>
        </w:tabs>
        <w:spacing w:before="183" w:line="359" w:lineRule="auto"/>
        <w:ind w:left="468"/>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采购人名称：</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2"/>
          <w:sz w:val="24"/>
          <w:szCs w:val="24"/>
          <w:highlight w:val="none"/>
        </w:rPr>
        <w:t>代理机构名称：</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采购文件公告：</w:t>
      </w:r>
      <w:r>
        <w:rPr>
          <w:rFonts w:ascii="宋体" w:hAnsi="宋体" w:eastAsia="宋体" w:cs="宋体"/>
          <w:color w:val="auto"/>
          <w:spacing w:val="-1"/>
          <w:sz w:val="24"/>
          <w:szCs w:val="24"/>
          <w:highlight w:val="none"/>
          <w:u w:val="single" w:color="auto"/>
        </w:rPr>
        <w:t>是/否</w:t>
      </w:r>
      <w:r>
        <w:rPr>
          <w:rFonts w:ascii="宋体" w:hAnsi="宋体" w:eastAsia="宋体" w:cs="宋体"/>
          <w:color w:val="auto"/>
          <w:spacing w:val="-1"/>
          <w:sz w:val="24"/>
          <w:szCs w:val="24"/>
          <w:highlight w:val="none"/>
        </w:rPr>
        <w:t>公告期限：</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p>
    <w:p w14:paraId="1685DBCA">
      <w:pPr>
        <w:spacing w:before="1" w:line="217" w:lineRule="auto"/>
        <w:ind w:left="46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采购结果公告：</w:t>
      </w:r>
      <w:r>
        <w:rPr>
          <w:rFonts w:ascii="宋体" w:hAnsi="宋体" w:eastAsia="宋体" w:cs="宋体"/>
          <w:color w:val="auto"/>
          <w:spacing w:val="-1"/>
          <w:sz w:val="24"/>
          <w:szCs w:val="24"/>
          <w:highlight w:val="none"/>
          <w:u w:val="single" w:color="auto"/>
        </w:rPr>
        <w:t>是/否</w:t>
      </w:r>
      <w:r>
        <w:rPr>
          <w:rFonts w:ascii="宋体" w:hAnsi="宋体" w:eastAsia="宋体" w:cs="宋体"/>
          <w:color w:val="auto"/>
          <w:spacing w:val="-1"/>
          <w:sz w:val="24"/>
          <w:szCs w:val="24"/>
          <w:highlight w:val="none"/>
        </w:rPr>
        <w:t>公告期限：</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p>
    <w:p w14:paraId="38B7A567">
      <w:pPr>
        <w:spacing w:before="182" w:line="219" w:lineRule="auto"/>
        <w:ind w:left="469"/>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三、质疑基本情况</w:t>
      </w:r>
    </w:p>
    <w:p w14:paraId="787BA368">
      <w:pPr>
        <w:spacing w:before="182" w:line="361" w:lineRule="auto"/>
        <w:ind w:firstLine="540"/>
        <w:rPr>
          <w:rFonts w:ascii="宋体" w:hAnsi="宋体" w:eastAsia="宋体" w:cs="宋体"/>
          <w:color w:val="auto"/>
          <w:sz w:val="24"/>
          <w:szCs w:val="24"/>
          <w:highlight w:val="none"/>
        </w:rPr>
      </w:pPr>
      <w:r>
        <w:rPr>
          <w:color w:val="auto"/>
          <w:highlight w:val="none"/>
        </w:rPr>
        <w:pict>
          <v:shape id="_x0000_s1026" o:spid="_x0000_s1026" style="position:absolute;left:0pt;margin-left:50.65pt;margin-top:67.45pt;height:0.6pt;width:384.25pt;z-index:251661312;mso-width-relative:page;mso-height-relative:page;" filled="f" stroked="t" coordsize="7685,12" path="m0,5l7684,5e">
            <v:fill on="f" focussize="0,0"/>
            <v:stroke weight="0.6pt" color="#000000" miterlimit="2" joinstyle="bevel"/>
            <v:imagedata o:title=""/>
            <o:lock v:ext="edit"/>
          </v:shape>
        </w:pict>
      </w:r>
      <w:r>
        <w:rPr>
          <w:rFonts w:ascii="宋体" w:hAnsi="宋体" w:eastAsia="宋体" w:cs="宋体"/>
          <w:color w:val="auto"/>
          <w:spacing w:val="-4"/>
          <w:sz w:val="24"/>
          <w:szCs w:val="24"/>
          <w:highlight w:val="none"/>
        </w:rPr>
        <w:t>投诉人于</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4"/>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4"/>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4"/>
          <w:sz w:val="24"/>
          <w:szCs w:val="24"/>
          <w:highlight w:val="none"/>
        </w:rPr>
        <w:t>日，向</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5"/>
          <w:sz w:val="24"/>
          <w:szCs w:val="24"/>
          <w:highlight w:val="none"/>
        </w:rPr>
        <w:t>提出质</w:t>
      </w:r>
      <w:r>
        <w:rPr>
          <w:rFonts w:ascii="宋体" w:hAnsi="宋体" w:eastAsia="宋体" w:cs="宋体"/>
          <w:color w:val="auto"/>
          <w:spacing w:val="-2"/>
          <w:sz w:val="24"/>
          <w:szCs w:val="24"/>
          <w:highlight w:val="none"/>
        </w:rPr>
        <w:t>疑，质疑事项为：</w:t>
      </w:r>
    </w:p>
    <w:p w14:paraId="3735FBAF">
      <w:pPr>
        <w:spacing w:line="361" w:lineRule="auto"/>
        <w:rPr>
          <w:rFonts w:ascii="宋体" w:hAnsi="宋体" w:eastAsia="宋体" w:cs="宋体"/>
          <w:color w:val="auto"/>
          <w:sz w:val="24"/>
          <w:szCs w:val="24"/>
          <w:highlight w:val="none"/>
        </w:rPr>
        <w:sectPr>
          <w:footerReference r:id="rId66" w:type="default"/>
          <w:pgSz w:w="11910" w:h="16840"/>
          <w:pgMar w:top="1331" w:right="1501" w:bottom="1091" w:left="1716" w:header="0" w:footer="929" w:gutter="0"/>
          <w:pgNumType w:fmt="decimal"/>
          <w:cols w:space="720" w:num="1"/>
        </w:sectPr>
      </w:pPr>
    </w:p>
    <w:p w14:paraId="3123A084">
      <w:pPr>
        <w:spacing w:line="330" w:lineRule="auto"/>
        <w:rPr>
          <w:rFonts w:ascii="Arial"/>
          <w:color w:val="auto"/>
          <w:sz w:val="21"/>
          <w:highlight w:val="none"/>
        </w:rPr>
      </w:pPr>
      <w:r>
        <w:rPr>
          <w:color w:val="auto"/>
          <w:highlight w:val="none"/>
        </w:rPr>
        <w:pict>
          <v:shape id="_x0000_s1027" o:spid="_x0000_s1027" style="position:absolute;left:0pt;margin-left:51.85pt;margin-top:8.8pt;height:0.65pt;width:384.25pt;z-index:251662336;mso-width-relative:page;mso-height-relative:page;" filled="f" stroked="t" coordsize="7685,12" path="m0,6l7684,6e">
            <v:fill on="f" focussize="0,0"/>
            <v:stroke weight="0.6pt" color="#000000" miterlimit="2" joinstyle="bevel"/>
            <v:imagedata o:title=""/>
            <o:lock v:ext="edit"/>
          </v:shape>
        </w:pict>
      </w:r>
    </w:p>
    <w:p w14:paraId="50EED329">
      <w:pPr>
        <w:spacing w:before="78" w:line="359" w:lineRule="auto"/>
        <w:ind w:left="23" w:firstLine="53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u w:val="single" w:color="auto"/>
        </w:rPr>
        <w:t>采购人/代理机构</w:t>
      </w:r>
      <w:r>
        <w:rPr>
          <w:rFonts w:ascii="宋体" w:hAnsi="宋体" w:eastAsia="宋体" w:cs="宋体"/>
          <w:color w:val="auto"/>
          <w:spacing w:val="-2"/>
          <w:sz w:val="24"/>
          <w:szCs w:val="24"/>
          <w:highlight w:val="none"/>
        </w:rPr>
        <w:t>于</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2"/>
          <w:sz w:val="24"/>
          <w:szCs w:val="24"/>
          <w:highlight w:val="none"/>
        </w:rPr>
        <w:t>年</w:t>
      </w:r>
      <w:r>
        <w:rPr>
          <w:rFonts w:ascii="宋体" w:hAnsi="宋体" w:eastAsia="宋体" w:cs="宋体"/>
          <w:color w:val="auto"/>
          <w:spacing w:val="-120"/>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2"/>
          <w:sz w:val="24"/>
          <w:szCs w:val="24"/>
          <w:highlight w:val="none"/>
        </w:rPr>
        <w:t xml:space="preserve"> </w:t>
      </w:r>
      <w:r>
        <w:rPr>
          <w:rFonts w:ascii="宋体" w:hAnsi="宋体" w:eastAsia="宋体" w:cs="宋体"/>
          <w:color w:val="auto"/>
          <w:spacing w:val="-2"/>
          <w:sz w:val="24"/>
          <w:szCs w:val="24"/>
          <w:highlight w:val="none"/>
        </w:rPr>
        <w:t>月</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2"/>
          <w:sz w:val="24"/>
          <w:szCs w:val="24"/>
          <w:highlight w:val="none"/>
        </w:rPr>
        <w:t>日，就质疑事项作出了</w:t>
      </w:r>
      <w:r>
        <w:rPr>
          <w:rFonts w:ascii="宋体" w:hAnsi="宋体" w:eastAsia="宋体" w:cs="宋体"/>
          <w:color w:val="auto"/>
          <w:spacing w:val="-3"/>
          <w:sz w:val="24"/>
          <w:szCs w:val="24"/>
          <w:highlight w:val="none"/>
        </w:rPr>
        <w:t>答复/没有在法定</w:t>
      </w:r>
      <w:r>
        <w:rPr>
          <w:rFonts w:ascii="宋体" w:hAnsi="宋体" w:eastAsia="宋体" w:cs="宋体"/>
          <w:color w:val="auto"/>
          <w:spacing w:val="-2"/>
          <w:sz w:val="24"/>
          <w:szCs w:val="24"/>
          <w:highlight w:val="none"/>
        </w:rPr>
        <w:t>期限内作出答复。</w:t>
      </w:r>
    </w:p>
    <w:p w14:paraId="5B542532">
      <w:pPr>
        <w:spacing w:line="219" w:lineRule="auto"/>
        <w:ind w:left="51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四、投诉事项具体内容</w:t>
      </w:r>
    </w:p>
    <w:p w14:paraId="246D6982">
      <w:pPr>
        <w:tabs>
          <w:tab w:val="left" w:pos="8715"/>
        </w:tabs>
        <w:spacing w:before="182" w:line="388" w:lineRule="auto"/>
        <w:ind w:left="477" w:firstLine="19"/>
        <w:jc w:val="both"/>
        <w:rPr>
          <w:rFonts w:ascii="Arial" w:hAnsi="Arial" w:eastAsia="Arial" w:cs="Arial"/>
          <w:color w:val="auto"/>
          <w:sz w:val="21"/>
          <w:szCs w:val="21"/>
          <w:highlight w:val="none"/>
        </w:rPr>
      </w:pPr>
      <w:r>
        <w:rPr>
          <w:rFonts w:ascii="宋体" w:hAnsi="宋体" w:eastAsia="宋体" w:cs="宋体"/>
          <w:color w:val="auto"/>
          <w:spacing w:val="-7"/>
          <w:sz w:val="24"/>
          <w:szCs w:val="24"/>
          <w:highlight w:val="none"/>
        </w:rPr>
        <w:t>投诉事项</w:t>
      </w:r>
      <w:r>
        <w:rPr>
          <w:rFonts w:ascii="宋体" w:hAnsi="宋体" w:eastAsia="宋体" w:cs="宋体"/>
          <w:color w:val="auto"/>
          <w:spacing w:val="-33"/>
          <w:sz w:val="24"/>
          <w:szCs w:val="24"/>
          <w:highlight w:val="none"/>
        </w:rPr>
        <w:t xml:space="preserve"> </w:t>
      </w:r>
      <w:r>
        <w:rPr>
          <w:rFonts w:ascii="宋体" w:hAnsi="宋体" w:eastAsia="宋体" w:cs="宋体"/>
          <w:color w:val="auto"/>
          <w:spacing w:val="-7"/>
          <w:sz w:val="24"/>
          <w:szCs w:val="24"/>
          <w:highlight w:val="none"/>
        </w:rPr>
        <w:t>1：</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2"/>
          <w:sz w:val="24"/>
          <w:szCs w:val="24"/>
          <w:highlight w:val="none"/>
        </w:rPr>
        <w:t xml:space="preserve">事实依据： </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Arial" w:hAnsi="Arial" w:eastAsia="Arial" w:cs="Arial"/>
          <w:color w:val="auto"/>
          <w:sz w:val="21"/>
          <w:szCs w:val="21"/>
          <w:highlight w:val="none"/>
          <w:u w:val="single" w:color="auto"/>
        </w:rPr>
        <w:tab/>
      </w:r>
    </w:p>
    <w:p w14:paraId="6A68F980">
      <w:pPr>
        <w:tabs>
          <w:tab w:val="left" w:pos="8715"/>
        </w:tabs>
        <w:spacing w:before="2" w:line="404" w:lineRule="auto"/>
        <w:ind w:left="483" w:hanging="5"/>
        <w:rPr>
          <w:rFonts w:ascii="Arial" w:hAnsi="Arial" w:eastAsia="Arial" w:cs="Arial"/>
          <w:color w:val="auto"/>
          <w:sz w:val="21"/>
          <w:szCs w:val="21"/>
          <w:highlight w:val="none"/>
        </w:rPr>
      </w:pPr>
      <w:r>
        <w:rPr>
          <w:rFonts w:ascii="宋体" w:hAnsi="宋体" w:eastAsia="宋体" w:cs="宋体"/>
          <w:color w:val="auto"/>
          <w:sz w:val="24"/>
          <w:szCs w:val="24"/>
          <w:highlight w:val="none"/>
        </w:rPr>
        <w:t xml:space="preserve">法律依据：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u w:val="single" w:color="auto"/>
        </w:rPr>
        <w:t xml:space="preserve">                                            </w:t>
      </w:r>
      <w:r>
        <w:rPr>
          <w:rFonts w:ascii="Arial" w:hAnsi="Arial" w:eastAsia="Arial" w:cs="Arial"/>
          <w:color w:val="auto"/>
          <w:sz w:val="21"/>
          <w:szCs w:val="21"/>
          <w:highlight w:val="none"/>
          <w:u w:val="single" w:color="auto"/>
        </w:rPr>
        <w:tab/>
      </w:r>
    </w:p>
    <w:p w14:paraId="6A3FA7BA">
      <w:pPr>
        <w:spacing w:line="220" w:lineRule="auto"/>
        <w:ind w:left="49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投诉事项</w:t>
      </w:r>
      <w:r>
        <w:rPr>
          <w:rFonts w:ascii="宋体" w:hAnsi="宋体" w:eastAsia="宋体" w:cs="宋体"/>
          <w:color w:val="auto"/>
          <w:spacing w:val="-47"/>
          <w:sz w:val="24"/>
          <w:szCs w:val="24"/>
          <w:highlight w:val="none"/>
        </w:rPr>
        <w:t xml:space="preserve"> </w:t>
      </w:r>
      <w:r>
        <w:rPr>
          <w:rFonts w:ascii="宋体" w:hAnsi="宋体" w:eastAsia="宋体" w:cs="宋体"/>
          <w:color w:val="auto"/>
          <w:spacing w:val="-3"/>
          <w:sz w:val="24"/>
          <w:szCs w:val="24"/>
          <w:highlight w:val="none"/>
        </w:rPr>
        <w:t>2</w:t>
      </w:r>
    </w:p>
    <w:p w14:paraId="7DC702E5">
      <w:pPr>
        <w:spacing w:before="182" w:line="377" w:lineRule="exact"/>
        <w:ind w:left="509"/>
        <w:rPr>
          <w:rFonts w:ascii="宋体" w:hAnsi="宋体" w:eastAsia="宋体" w:cs="宋体"/>
          <w:color w:val="auto"/>
          <w:sz w:val="24"/>
          <w:szCs w:val="24"/>
          <w:highlight w:val="none"/>
        </w:rPr>
      </w:pPr>
      <w:r>
        <w:rPr>
          <w:rFonts w:ascii="宋体" w:hAnsi="宋体" w:eastAsia="宋体" w:cs="宋体"/>
          <w:color w:val="auto"/>
          <w:spacing w:val="-13"/>
          <w:position w:val="3"/>
          <w:sz w:val="24"/>
          <w:szCs w:val="24"/>
          <w:highlight w:val="none"/>
        </w:rPr>
        <w:t>……</w:t>
      </w:r>
    </w:p>
    <w:p w14:paraId="3DAB64FD">
      <w:pPr>
        <w:spacing w:before="88" w:line="220" w:lineRule="auto"/>
        <w:ind w:left="497"/>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五、与投诉事项相关的投诉请求：</w:t>
      </w:r>
    </w:p>
    <w:p w14:paraId="380590DB">
      <w:pPr>
        <w:spacing w:before="182" w:line="220" w:lineRule="auto"/>
        <w:ind w:left="49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请求：</w:t>
      </w:r>
      <w:r>
        <w:rPr>
          <w:rFonts w:ascii="宋体" w:hAnsi="宋体" w:eastAsia="宋体" w:cs="宋体"/>
          <w:color w:val="auto"/>
          <w:sz w:val="24"/>
          <w:szCs w:val="24"/>
          <w:highlight w:val="none"/>
          <w:u w:val="single" w:color="auto"/>
        </w:rPr>
        <w:t xml:space="preserve">                                                               </w:t>
      </w:r>
    </w:p>
    <w:p w14:paraId="231EC841">
      <w:pPr>
        <w:spacing w:line="282" w:lineRule="auto"/>
        <w:rPr>
          <w:rFonts w:ascii="Arial"/>
          <w:color w:val="auto"/>
          <w:sz w:val="21"/>
          <w:highlight w:val="none"/>
        </w:rPr>
      </w:pPr>
    </w:p>
    <w:p w14:paraId="07380470">
      <w:pPr>
        <w:spacing w:line="283" w:lineRule="auto"/>
        <w:rPr>
          <w:rFonts w:ascii="Arial"/>
          <w:color w:val="auto"/>
          <w:sz w:val="21"/>
          <w:highlight w:val="none"/>
        </w:rPr>
      </w:pPr>
    </w:p>
    <w:p w14:paraId="7C1FBC4A">
      <w:pPr>
        <w:spacing w:before="79" w:line="219" w:lineRule="auto"/>
        <w:ind w:left="49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签字（签章</w:t>
      </w:r>
      <w:r>
        <w:rPr>
          <w:rFonts w:ascii="宋体" w:hAnsi="宋体" w:eastAsia="宋体" w:cs="宋体"/>
          <w:color w:val="auto"/>
          <w:spacing w:val="2"/>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公章：</w:t>
      </w:r>
    </w:p>
    <w:p w14:paraId="1EF328A3">
      <w:pPr>
        <w:spacing w:line="283" w:lineRule="auto"/>
        <w:rPr>
          <w:rFonts w:ascii="Arial"/>
          <w:color w:val="auto"/>
          <w:sz w:val="21"/>
          <w:highlight w:val="none"/>
        </w:rPr>
      </w:pPr>
    </w:p>
    <w:p w14:paraId="1D5F1597">
      <w:pPr>
        <w:spacing w:line="284" w:lineRule="auto"/>
        <w:rPr>
          <w:rFonts w:ascii="Arial"/>
          <w:color w:val="auto"/>
          <w:sz w:val="21"/>
          <w:highlight w:val="none"/>
        </w:rPr>
      </w:pPr>
    </w:p>
    <w:p w14:paraId="42EBB052">
      <w:pPr>
        <w:spacing w:before="79" w:line="220" w:lineRule="auto"/>
        <w:ind w:left="535"/>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日期：</w:t>
      </w:r>
    </w:p>
    <w:p w14:paraId="50B9AFDC">
      <w:pPr>
        <w:spacing w:line="257" w:lineRule="auto"/>
        <w:rPr>
          <w:rFonts w:ascii="Arial"/>
          <w:color w:val="auto"/>
          <w:sz w:val="21"/>
          <w:highlight w:val="none"/>
        </w:rPr>
      </w:pPr>
    </w:p>
    <w:p w14:paraId="794230E3">
      <w:pPr>
        <w:spacing w:line="258" w:lineRule="auto"/>
        <w:rPr>
          <w:rFonts w:ascii="Arial"/>
          <w:color w:val="auto"/>
          <w:sz w:val="21"/>
          <w:highlight w:val="none"/>
        </w:rPr>
      </w:pPr>
    </w:p>
    <w:p w14:paraId="0A276875">
      <w:pPr>
        <w:spacing w:line="258" w:lineRule="auto"/>
        <w:rPr>
          <w:rFonts w:ascii="Arial"/>
          <w:color w:val="auto"/>
          <w:sz w:val="21"/>
          <w:highlight w:val="none"/>
        </w:rPr>
      </w:pPr>
    </w:p>
    <w:p w14:paraId="4B8391C3">
      <w:pPr>
        <w:spacing w:line="258" w:lineRule="auto"/>
        <w:rPr>
          <w:rFonts w:ascii="Arial"/>
          <w:color w:val="auto"/>
          <w:sz w:val="21"/>
          <w:highlight w:val="none"/>
        </w:rPr>
      </w:pPr>
    </w:p>
    <w:p w14:paraId="2C8CA512">
      <w:pPr>
        <w:spacing w:before="78" w:line="219" w:lineRule="auto"/>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说明：</w:t>
      </w:r>
    </w:p>
    <w:p w14:paraId="4EDFCE54">
      <w:pPr>
        <w:spacing w:before="181" w:line="359" w:lineRule="auto"/>
        <w:ind w:left="25" w:right="2" w:firstLine="368"/>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1.投诉人提起投诉时，应当提交投诉书和必要的证明材料，并按照被投诉人和</w:t>
      </w:r>
      <w:r>
        <w:rPr>
          <w:rFonts w:ascii="宋体" w:hAnsi="宋体" w:eastAsia="宋体" w:cs="宋体"/>
          <w:b/>
          <w:bCs/>
          <w:color w:val="auto"/>
          <w:spacing w:val="-3"/>
          <w:sz w:val="24"/>
          <w:szCs w:val="24"/>
          <w:highlight w:val="none"/>
        </w:rPr>
        <w:t>与投诉事项有关的供应商数量提供投诉书副本。</w:t>
      </w:r>
    </w:p>
    <w:p w14:paraId="11B57480">
      <w:pPr>
        <w:spacing w:before="1" w:line="359" w:lineRule="auto"/>
        <w:ind w:left="21" w:firstLine="358"/>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2.投诉人若委托代理人进行投诉的，投诉书应按要求列明“授权代表</w:t>
      </w:r>
      <w:r>
        <w:rPr>
          <w:rFonts w:ascii="宋体" w:hAnsi="宋体" w:eastAsia="宋体" w:cs="宋体"/>
          <w:color w:val="auto"/>
          <w:spacing w:val="-67"/>
          <w:sz w:val="24"/>
          <w:szCs w:val="24"/>
          <w:highlight w:val="none"/>
        </w:rPr>
        <w:t xml:space="preserve"> </w:t>
      </w:r>
      <w:r>
        <w:rPr>
          <w:rFonts w:ascii="宋体" w:hAnsi="宋体" w:eastAsia="宋体" w:cs="宋体"/>
          <w:b/>
          <w:bCs/>
          <w:color w:val="auto"/>
          <w:spacing w:val="1"/>
          <w:sz w:val="24"/>
          <w:szCs w:val="24"/>
          <w:highlight w:val="none"/>
        </w:rPr>
        <w:t>”的有关</w:t>
      </w:r>
      <w:r>
        <w:rPr>
          <w:rFonts w:ascii="宋体" w:hAnsi="宋体" w:eastAsia="宋体" w:cs="宋体"/>
          <w:b/>
          <w:bCs/>
          <w:color w:val="auto"/>
          <w:spacing w:val="-1"/>
          <w:sz w:val="24"/>
          <w:szCs w:val="24"/>
          <w:highlight w:val="none"/>
        </w:rPr>
        <w:t>内容，并在附件中提交由投诉人签署的授权委托书。授权委托书应当载明代理人的</w:t>
      </w:r>
      <w:r>
        <w:rPr>
          <w:rFonts w:ascii="宋体" w:hAnsi="宋体" w:eastAsia="宋体" w:cs="宋体"/>
          <w:b/>
          <w:bCs/>
          <w:color w:val="auto"/>
          <w:spacing w:val="-2"/>
          <w:sz w:val="24"/>
          <w:szCs w:val="24"/>
          <w:highlight w:val="none"/>
        </w:rPr>
        <w:t>姓名或者名称、代理事项、具体权限、期限和相关事</w:t>
      </w:r>
      <w:r>
        <w:rPr>
          <w:rFonts w:ascii="宋体" w:hAnsi="宋体" w:eastAsia="宋体" w:cs="宋体"/>
          <w:b/>
          <w:bCs/>
          <w:color w:val="auto"/>
          <w:spacing w:val="-3"/>
          <w:sz w:val="24"/>
          <w:szCs w:val="24"/>
          <w:highlight w:val="none"/>
        </w:rPr>
        <w:t>项。</w:t>
      </w:r>
    </w:p>
    <w:p w14:paraId="6F4076E6">
      <w:pPr>
        <w:spacing w:before="1" w:line="218" w:lineRule="auto"/>
        <w:ind w:left="381"/>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3.投诉书应简要列明质疑事项，质疑函、质疑答复等作为</w:t>
      </w:r>
      <w:r>
        <w:rPr>
          <w:rFonts w:ascii="宋体" w:hAnsi="宋体" w:eastAsia="宋体" w:cs="宋体"/>
          <w:b/>
          <w:bCs/>
          <w:color w:val="auto"/>
          <w:spacing w:val="-3"/>
          <w:sz w:val="24"/>
          <w:szCs w:val="24"/>
          <w:highlight w:val="none"/>
        </w:rPr>
        <w:t>附件材料提供。</w:t>
      </w:r>
    </w:p>
    <w:p w14:paraId="746F6377">
      <w:pPr>
        <w:spacing w:before="181" w:line="219" w:lineRule="auto"/>
        <w:ind w:left="375"/>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4.投诉书的投诉事项应具体、明确，并有必要的事实依据和法律依据。</w:t>
      </w:r>
    </w:p>
    <w:p w14:paraId="025C586E">
      <w:pPr>
        <w:spacing w:before="183" w:line="219" w:lineRule="auto"/>
        <w:ind w:left="38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5.投诉书的投诉请求应与投诉事项相关。</w:t>
      </w:r>
    </w:p>
    <w:p w14:paraId="1B3B1FF7">
      <w:pPr>
        <w:spacing w:before="181" w:line="362" w:lineRule="auto"/>
        <w:ind w:left="22" w:right="2" w:firstLine="356"/>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6.投诉人为法人或者其他组织的，投诉书应由法定代表人、主要负责人，或者</w:t>
      </w:r>
      <w:r>
        <w:rPr>
          <w:rFonts w:ascii="宋体" w:hAnsi="宋体" w:eastAsia="宋体" w:cs="宋体"/>
          <w:b/>
          <w:bCs/>
          <w:color w:val="auto"/>
          <w:spacing w:val="-3"/>
          <w:sz w:val="24"/>
          <w:szCs w:val="24"/>
          <w:highlight w:val="none"/>
        </w:rPr>
        <w:t>其授权代表签字或者盖章，并加盖公章。</w:t>
      </w:r>
    </w:p>
    <w:p w14:paraId="780C93A0">
      <w:pPr>
        <w:spacing w:line="362" w:lineRule="auto"/>
        <w:rPr>
          <w:rFonts w:ascii="宋体" w:hAnsi="宋体" w:eastAsia="宋体" w:cs="宋体"/>
          <w:color w:val="auto"/>
          <w:sz w:val="24"/>
          <w:szCs w:val="24"/>
          <w:highlight w:val="none"/>
        </w:rPr>
        <w:sectPr>
          <w:footerReference r:id="rId67" w:type="default"/>
          <w:pgSz w:w="11910" w:h="16840"/>
          <w:pgMar w:top="1431" w:right="1501" w:bottom="1091" w:left="1692" w:header="0" w:footer="929" w:gutter="0"/>
          <w:pgNumType w:fmt="decimal"/>
          <w:cols w:space="720" w:num="1"/>
        </w:sectPr>
      </w:pPr>
    </w:p>
    <w:p w14:paraId="26BC9927">
      <w:pPr>
        <w:spacing w:line="241" w:lineRule="auto"/>
        <w:rPr>
          <w:rFonts w:ascii="Arial"/>
          <w:color w:val="auto"/>
          <w:sz w:val="21"/>
          <w:highlight w:val="none"/>
        </w:rPr>
      </w:pPr>
    </w:p>
    <w:p w14:paraId="2B463A75">
      <w:pPr>
        <w:spacing w:line="241" w:lineRule="auto"/>
        <w:rPr>
          <w:rFonts w:ascii="Arial"/>
          <w:color w:val="auto"/>
          <w:sz w:val="21"/>
          <w:highlight w:val="none"/>
        </w:rPr>
      </w:pPr>
    </w:p>
    <w:p w14:paraId="23B717F6">
      <w:pPr>
        <w:spacing w:line="241" w:lineRule="auto"/>
        <w:rPr>
          <w:rFonts w:ascii="Arial"/>
          <w:color w:val="auto"/>
          <w:sz w:val="21"/>
          <w:highlight w:val="none"/>
        </w:rPr>
      </w:pPr>
    </w:p>
    <w:p w14:paraId="39EAFBAE">
      <w:pPr>
        <w:spacing w:line="241" w:lineRule="auto"/>
        <w:rPr>
          <w:rFonts w:ascii="Arial"/>
          <w:color w:val="auto"/>
          <w:sz w:val="21"/>
          <w:highlight w:val="none"/>
        </w:rPr>
      </w:pPr>
    </w:p>
    <w:p w14:paraId="252ADD6E">
      <w:pPr>
        <w:spacing w:line="241" w:lineRule="auto"/>
        <w:rPr>
          <w:rFonts w:ascii="Arial"/>
          <w:color w:val="auto"/>
          <w:sz w:val="21"/>
          <w:highlight w:val="none"/>
        </w:rPr>
      </w:pPr>
    </w:p>
    <w:p w14:paraId="4EC12ACF">
      <w:pPr>
        <w:spacing w:line="241" w:lineRule="auto"/>
        <w:rPr>
          <w:rFonts w:ascii="Arial"/>
          <w:color w:val="auto"/>
          <w:sz w:val="21"/>
          <w:highlight w:val="none"/>
        </w:rPr>
      </w:pPr>
    </w:p>
    <w:p w14:paraId="3C0817D8">
      <w:pPr>
        <w:spacing w:line="241" w:lineRule="auto"/>
        <w:rPr>
          <w:rFonts w:ascii="Arial"/>
          <w:color w:val="auto"/>
          <w:sz w:val="21"/>
          <w:highlight w:val="none"/>
        </w:rPr>
      </w:pPr>
    </w:p>
    <w:p w14:paraId="2F676B5E">
      <w:pPr>
        <w:spacing w:line="241" w:lineRule="auto"/>
        <w:rPr>
          <w:rFonts w:ascii="Arial"/>
          <w:color w:val="auto"/>
          <w:sz w:val="21"/>
          <w:highlight w:val="none"/>
        </w:rPr>
      </w:pPr>
    </w:p>
    <w:p w14:paraId="5E7E729C">
      <w:pPr>
        <w:spacing w:line="241" w:lineRule="auto"/>
        <w:rPr>
          <w:rFonts w:ascii="Arial"/>
          <w:color w:val="auto"/>
          <w:sz w:val="21"/>
          <w:highlight w:val="none"/>
        </w:rPr>
      </w:pPr>
    </w:p>
    <w:p w14:paraId="65B4210D">
      <w:pPr>
        <w:spacing w:line="241" w:lineRule="auto"/>
        <w:rPr>
          <w:rFonts w:ascii="Arial"/>
          <w:color w:val="auto"/>
          <w:sz w:val="21"/>
          <w:highlight w:val="none"/>
        </w:rPr>
      </w:pPr>
    </w:p>
    <w:p w14:paraId="5B808F98">
      <w:pPr>
        <w:spacing w:line="241" w:lineRule="auto"/>
        <w:rPr>
          <w:rFonts w:ascii="Arial"/>
          <w:color w:val="auto"/>
          <w:sz w:val="21"/>
          <w:highlight w:val="none"/>
        </w:rPr>
      </w:pPr>
    </w:p>
    <w:p w14:paraId="6EECFE61">
      <w:pPr>
        <w:spacing w:line="241" w:lineRule="auto"/>
        <w:rPr>
          <w:rFonts w:ascii="Arial"/>
          <w:color w:val="auto"/>
          <w:sz w:val="21"/>
          <w:highlight w:val="none"/>
        </w:rPr>
      </w:pPr>
    </w:p>
    <w:p w14:paraId="2BB3E516">
      <w:pPr>
        <w:spacing w:line="241" w:lineRule="auto"/>
        <w:rPr>
          <w:rFonts w:ascii="Arial"/>
          <w:color w:val="auto"/>
          <w:sz w:val="21"/>
          <w:highlight w:val="none"/>
        </w:rPr>
      </w:pPr>
    </w:p>
    <w:p w14:paraId="2C78348E">
      <w:pPr>
        <w:spacing w:line="241" w:lineRule="auto"/>
        <w:rPr>
          <w:rFonts w:ascii="Arial"/>
          <w:color w:val="auto"/>
          <w:sz w:val="21"/>
          <w:highlight w:val="none"/>
        </w:rPr>
      </w:pPr>
    </w:p>
    <w:p w14:paraId="74B8E082">
      <w:pPr>
        <w:spacing w:line="241" w:lineRule="auto"/>
        <w:rPr>
          <w:rFonts w:ascii="Arial"/>
          <w:color w:val="auto"/>
          <w:sz w:val="21"/>
          <w:highlight w:val="none"/>
        </w:rPr>
      </w:pPr>
    </w:p>
    <w:p w14:paraId="3CF5B278">
      <w:pPr>
        <w:spacing w:line="241" w:lineRule="auto"/>
        <w:rPr>
          <w:rFonts w:ascii="Arial"/>
          <w:color w:val="auto"/>
          <w:sz w:val="21"/>
          <w:highlight w:val="none"/>
        </w:rPr>
      </w:pPr>
    </w:p>
    <w:p w14:paraId="69444140">
      <w:pPr>
        <w:spacing w:line="241" w:lineRule="auto"/>
        <w:rPr>
          <w:rFonts w:ascii="Arial"/>
          <w:color w:val="auto"/>
          <w:sz w:val="21"/>
          <w:highlight w:val="none"/>
        </w:rPr>
      </w:pPr>
    </w:p>
    <w:p w14:paraId="21D258F9">
      <w:pPr>
        <w:spacing w:line="241" w:lineRule="auto"/>
        <w:rPr>
          <w:rFonts w:ascii="Arial"/>
          <w:color w:val="auto"/>
          <w:sz w:val="21"/>
          <w:highlight w:val="none"/>
        </w:rPr>
      </w:pPr>
    </w:p>
    <w:p w14:paraId="3735C2E7">
      <w:pPr>
        <w:spacing w:line="242" w:lineRule="auto"/>
        <w:rPr>
          <w:rFonts w:ascii="Arial"/>
          <w:color w:val="auto"/>
          <w:sz w:val="21"/>
          <w:highlight w:val="none"/>
        </w:rPr>
      </w:pPr>
    </w:p>
    <w:p w14:paraId="79D18A0A">
      <w:pPr>
        <w:spacing w:line="242" w:lineRule="auto"/>
        <w:rPr>
          <w:rFonts w:ascii="Arial"/>
          <w:color w:val="auto"/>
          <w:sz w:val="21"/>
          <w:highlight w:val="none"/>
        </w:rPr>
      </w:pPr>
    </w:p>
    <w:p w14:paraId="24751CB8">
      <w:pPr>
        <w:spacing w:line="242" w:lineRule="auto"/>
        <w:rPr>
          <w:rFonts w:ascii="Arial"/>
          <w:color w:val="auto"/>
          <w:sz w:val="21"/>
          <w:highlight w:val="none"/>
        </w:rPr>
      </w:pPr>
    </w:p>
    <w:p w14:paraId="449C0A83">
      <w:pPr>
        <w:spacing w:line="242" w:lineRule="auto"/>
        <w:rPr>
          <w:rFonts w:ascii="Arial"/>
          <w:color w:val="auto"/>
          <w:sz w:val="21"/>
          <w:highlight w:val="none"/>
        </w:rPr>
      </w:pPr>
    </w:p>
    <w:p w14:paraId="4A4A8271">
      <w:pPr>
        <w:spacing w:line="242" w:lineRule="auto"/>
        <w:rPr>
          <w:rFonts w:ascii="Arial"/>
          <w:color w:val="auto"/>
          <w:sz w:val="21"/>
          <w:highlight w:val="none"/>
        </w:rPr>
      </w:pPr>
    </w:p>
    <w:p w14:paraId="35C6A504">
      <w:pPr>
        <w:spacing w:line="242" w:lineRule="auto"/>
        <w:rPr>
          <w:rFonts w:ascii="Arial"/>
          <w:color w:val="auto"/>
          <w:sz w:val="21"/>
          <w:highlight w:val="none"/>
        </w:rPr>
      </w:pPr>
    </w:p>
    <w:p w14:paraId="1B13126A">
      <w:pPr>
        <w:spacing w:line="242" w:lineRule="auto"/>
        <w:rPr>
          <w:rFonts w:ascii="Arial"/>
          <w:color w:val="auto"/>
          <w:sz w:val="21"/>
          <w:highlight w:val="none"/>
        </w:rPr>
      </w:pPr>
    </w:p>
    <w:p w14:paraId="793F2D2B">
      <w:pPr>
        <w:spacing w:before="140" w:line="222" w:lineRule="auto"/>
        <w:ind w:left="2620"/>
        <w:outlineLvl w:val="0"/>
        <w:rPr>
          <w:rFonts w:ascii="宋体" w:hAnsi="宋体" w:eastAsia="宋体" w:cs="宋体"/>
          <w:color w:val="auto"/>
          <w:sz w:val="43"/>
          <w:szCs w:val="43"/>
          <w:highlight w:val="none"/>
        </w:rPr>
      </w:pPr>
      <w:bookmarkStart w:id="9" w:name="_Toc29627"/>
      <w:r>
        <w:rPr>
          <w:rFonts w:ascii="宋体" w:hAnsi="宋体" w:eastAsia="宋体" w:cs="宋体"/>
          <w:b/>
          <w:bCs/>
          <w:color w:val="auto"/>
          <w:spacing w:val="4"/>
          <w:sz w:val="43"/>
          <w:szCs w:val="43"/>
          <w:highlight w:val="none"/>
        </w:rPr>
        <w:t>第六章</w:t>
      </w:r>
      <w:r>
        <w:rPr>
          <w:rFonts w:ascii="宋体" w:hAnsi="宋体" w:eastAsia="宋体" w:cs="宋体"/>
          <w:color w:val="auto"/>
          <w:spacing w:val="4"/>
          <w:sz w:val="43"/>
          <w:szCs w:val="43"/>
          <w:highlight w:val="none"/>
        </w:rPr>
        <w:t xml:space="preserve"> </w:t>
      </w:r>
      <w:r>
        <w:rPr>
          <w:rFonts w:ascii="宋体" w:hAnsi="宋体" w:eastAsia="宋体" w:cs="宋体"/>
          <w:b/>
          <w:bCs/>
          <w:color w:val="auto"/>
          <w:spacing w:val="4"/>
          <w:sz w:val="43"/>
          <w:szCs w:val="43"/>
          <w:highlight w:val="none"/>
        </w:rPr>
        <w:t>合同文本</w:t>
      </w:r>
      <w:bookmarkEnd w:id="9"/>
    </w:p>
    <w:p w14:paraId="566E9DC7">
      <w:pPr>
        <w:spacing w:line="222" w:lineRule="auto"/>
        <w:rPr>
          <w:rFonts w:ascii="宋体" w:hAnsi="宋体" w:eastAsia="宋体" w:cs="宋体"/>
          <w:color w:val="auto"/>
          <w:sz w:val="43"/>
          <w:szCs w:val="43"/>
          <w:highlight w:val="none"/>
        </w:rPr>
        <w:sectPr>
          <w:footerReference r:id="rId68" w:type="default"/>
          <w:pgSz w:w="11910" w:h="16840"/>
          <w:pgMar w:top="1431" w:right="1786" w:bottom="1091" w:left="1786" w:header="0" w:footer="929" w:gutter="0"/>
          <w:pgNumType w:fmt="decimal"/>
          <w:cols w:space="720" w:num="1"/>
        </w:sectPr>
      </w:pPr>
    </w:p>
    <w:p w14:paraId="601D8507">
      <w:pPr>
        <w:spacing w:line="269" w:lineRule="auto"/>
        <w:rPr>
          <w:rFonts w:ascii="Arial"/>
          <w:color w:val="auto"/>
          <w:sz w:val="21"/>
          <w:highlight w:val="none"/>
        </w:rPr>
      </w:pPr>
    </w:p>
    <w:p w14:paraId="0BEE0F7C">
      <w:pPr>
        <w:spacing w:before="100" w:line="224" w:lineRule="auto"/>
        <w:ind w:left="2886"/>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政府采购合同（货物类）</w:t>
      </w:r>
    </w:p>
    <w:p w14:paraId="68F798CD">
      <w:pPr>
        <w:spacing w:before="229" w:line="228" w:lineRule="auto"/>
        <w:ind w:left="5536"/>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合同编号：</w:t>
      </w:r>
    </w:p>
    <w:p w14:paraId="421F8462">
      <w:pPr>
        <w:spacing w:line="305" w:lineRule="auto"/>
        <w:rPr>
          <w:rFonts w:ascii="Arial"/>
          <w:color w:val="auto"/>
          <w:sz w:val="21"/>
          <w:highlight w:val="none"/>
        </w:rPr>
      </w:pPr>
    </w:p>
    <w:p w14:paraId="68158B84">
      <w:pPr>
        <w:spacing w:line="305" w:lineRule="auto"/>
        <w:rPr>
          <w:rFonts w:ascii="Arial"/>
          <w:color w:val="auto"/>
          <w:sz w:val="21"/>
          <w:highlight w:val="none"/>
        </w:rPr>
      </w:pPr>
    </w:p>
    <w:p w14:paraId="7390C508">
      <w:pPr>
        <w:spacing w:before="65" w:line="227" w:lineRule="auto"/>
        <w:ind w:left="70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采购人（甲方</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u w:val="single" w:color="auto"/>
        </w:rPr>
        <w:t xml:space="preserve">              </w:t>
      </w:r>
    </w:p>
    <w:p w14:paraId="542813CC">
      <w:pPr>
        <w:spacing w:before="152" w:line="227" w:lineRule="auto"/>
        <w:ind w:left="70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供应商（乙方</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u w:val="single" w:color="auto"/>
        </w:rPr>
        <w:t xml:space="preserve">              </w:t>
      </w:r>
    </w:p>
    <w:p w14:paraId="19CE513F">
      <w:pPr>
        <w:spacing w:before="155" w:line="227" w:lineRule="auto"/>
        <w:ind w:left="70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采购计划号：</w:t>
      </w:r>
      <w:r>
        <w:rPr>
          <w:rFonts w:ascii="宋体" w:hAnsi="宋体" w:eastAsia="宋体" w:cs="宋体"/>
          <w:color w:val="auto"/>
          <w:sz w:val="20"/>
          <w:szCs w:val="20"/>
          <w:highlight w:val="none"/>
          <w:u w:val="single" w:color="auto"/>
        </w:rPr>
        <w:t xml:space="preserve">              </w:t>
      </w:r>
    </w:p>
    <w:p w14:paraId="07D3C13B">
      <w:pPr>
        <w:spacing w:before="154" w:line="228" w:lineRule="auto"/>
        <w:ind w:left="71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项目名称：</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7"/>
          <w:sz w:val="20"/>
          <w:szCs w:val="20"/>
          <w:highlight w:val="none"/>
        </w:rPr>
        <w:t xml:space="preserve">       </w:t>
      </w:r>
      <w:r>
        <w:rPr>
          <w:rFonts w:ascii="宋体" w:hAnsi="宋体" w:eastAsia="宋体" w:cs="宋体"/>
          <w:color w:val="auto"/>
          <w:spacing w:val="6"/>
          <w:sz w:val="20"/>
          <w:szCs w:val="20"/>
          <w:highlight w:val="none"/>
        </w:rPr>
        <w:t>项目编号：</w:t>
      </w:r>
      <w:r>
        <w:rPr>
          <w:rFonts w:ascii="宋体" w:hAnsi="宋体" w:eastAsia="宋体" w:cs="宋体"/>
          <w:color w:val="auto"/>
          <w:sz w:val="20"/>
          <w:szCs w:val="20"/>
          <w:highlight w:val="none"/>
          <w:u w:val="single" w:color="auto"/>
        </w:rPr>
        <w:t xml:space="preserve">             </w:t>
      </w:r>
    </w:p>
    <w:p w14:paraId="317029FB">
      <w:pPr>
        <w:spacing w:before="152" w:line="228" w:lineRule="auto"/>
        <w:ind w:left="70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合同类型：</w:t>
      </w:r>
      <w:r>
        <w:rPr>
          <w:rFonts w:ascii="宋体" w:hAnsi="宋体" w:eastAsia="宋体" w:cs="宋体"/>
          <w:color w:val="auto"/>
          <w:spacing w:val="8"/>
          <w:sz w:val="20"/>
          <w:szCs w:val="20"/>
          <w:highlight w:val="none"/>
          <w:u w:val="single" w:color="auto"/>
        </w:rPr>
        <w:t>买卖合同</w:t>
      </w:r>
    </w:p>
    <w:p w14:paraId="47F9B701">
      <w:pPr>
        <w:spacing w:before="154" w:line="227" w:lineRule="auto"/>
        <w:ind w:left="70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本合同为中小企业预留合同</w:t>
      </w:r>
      <w:r>
        <w:rPr>
          <w:rFonts w:ascii="宋体" w:hAnsi="宋体" w:eastAsia="宋体" w:cs="宋体"/>
          <w:color w:val="auto"/>
          <w:sz w:val="20"/>
          <w:szCs w:val="20"/>
          <w:highlight w:val="none"/>
        </w:rPr>
        <w:t>：</w:t>
      </w:r>
      <w:r>
        <w:rPr>
          <w:rFonts w:ascii="宋体" w:hAnsi="宋体" w:eastAsia="宋体" w:cs="宋体"/>
          <w:color w:val="auto"/>
          <w:sz w:val="20"/>
          <w:szCs w:val="20"/>
          <w:highlight w:val="none"/>
          <w:u w:val="single" w:color="auto"/>
        </w:rPr>
        <w:t>（</w:t>
      </w:r>
      <w:r>
        <w:rPr>
          <w:rFonts w:ascii="宋体" w:hAnsi="宋体" w:eastAsia="宋体" w:cs="宋体"/>
          <w:color w:val="auto"/>
          <w:spacing w:val="9"/>
          <w:sz w:val="20"/>
          <w:szCs w:val="20"/>
          <w:highlight w:val="none"/>
          <w:u w:val="single" w:color="auto"/>
        </w:rPr>
        <w:t>是/否）</w:t>
      </w:r>
      <w:r>
        <w:rPr>
          <w:rFonts w:ascii="宋体" w:hAnsi="宋体" w:eastAsia="宋体" w:cs="宋体"/>
          <w:color w:val="auto"/>
          <w:spacing w:val="9"/>
          <w:sz w:val="20"/>
          <w:szCs w:val="20"/>
          <w:highlight w:val="none"/>
        </w:rPr>
        <w:t>。</w:t>
      </w:r>
    </w:p>
    <w:p w14:paraId="6B8D3DA1">
      <w:pPr>
        <w:spacing w:line="242" w:lineRule="auto"/>
        <w:rPr>
          <w:rFonts w:ascii="Arial"/>
          <w:color w:val="auto"/>
          <w:sz w:val="21"/>
          <w:highlight w:val="none"/>
        </w:rPr>
      </w:pPr>
    </w:p>
    <w:p w14:paraId="0F4B810C">
      <w:pPr>
        <w:spacing w:line="243" w:lineRule="auto"/>
        <w:rPr>
          <w:rFonts w:ascii="Arial"/>
          <w:color w:val="auto"/>
          <w:sz w:val="21"/>
          <w:highlight w:val="none"/>
        </w:rPr>
      </w:pPr>
    </w:p>
    <w:p w14:paraId="4524EC0A">
      <w:pPr>
        <w:spacing w:before="65" w:line="370" w:lineRule="auto"/>
        <w:ind w:left="286" w:right="279" w:firstLine="420"/>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根据《中华人民共和国政府采购法》</w:t>
      </w:r>
      <w:r>
        <w:rPr>
          <w:rFonts w:ascii="宋体" w:hAnsi="宋体" w:eastAsia="宋体" w:cs="宋体"/>
          <w:color w:val="auto"/>
          <w:spacing w:val="-69"/>
          <w:sz w:val="20"/>
          <w:szCs w:val="20"/>
          <w:highlight w:val="none"/>
        </w:rPr>
        <w:t xml:space="preserve"> </w:t>
      </w:r>
      <w:r>
        <w:rPr>
          <w:rFonts w:ascii="宋体" w:hAnsi="宋体" w:eastAsia="宋体" w:cs="宋体"/>
          <w:color w:val="auto"/>
          <w:spacing w:val="12"/>
          <w:sz w:val="20"/>
          <w:szCs w:val="20"/>
          <w:highlight w:val="none"/>
        </w:rPr>
        <w:t>《中华人民共和国民法典》等法律、法规规定，按照</w:t>
      </w:r>
      <w:r>
        <w:rPr>
          <w:rFonts w:ascii="宋体" w:hAnsi="宋体" w:eastAsia="宋体" w:cs="宋体"/>
          <w:color w:val="auto"/>
          <w:spacing w:val="7"/>
          <w:sz w:val="20"/>
          <w:szCs w:val="20"/>
          <w:highlight w:val="none"/>
        </w:rPr>
        <w:t>采购文件规定条款和乙方响应承诺，</w:t>
      </w:r>
      <w:r>
        <w:rPr>
          <w:rFonts w:ascii="宋体" w:hAnsi="宋体" w:eastAsia="宋体" w:cs="宋体"/>
          <w:color w:val="auto"/>
          <w:spacing w:val="-42"/>
          <w:sz w:val="20"/>
          <w:szCs w:val="20"/>
          <w:highlight w:val="none"/>
        </w:rPr>
        <w:t xml:space="preserve"> </w:t>
      </w:r>
      <w:r>
        <w:rPr>
          <w:rFonts w:ascii="宋体" w:hAnsi="宋体" w:eastAsia="宋体" w:cs="宋体"/>
          <w:color w:val="auto"/>
          <w:spacing w:val="7"/>
          <w:sz w:val="20"/>
          <w:szCs w:val="20"/>
          <w:highlight w:val="none"/>
        </w:rPr>
        <w:t>甲乙双方签订本合同。</w:t>
      </w:r>
    </w:p>
    <w:p w14:paraId="3ADF15B6">
      <w:pPr>
        <w:spacing w:before="1" w:line="227" w:lineRule="auto"/>
        <w:ind w:left="709"/>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第一条</w:t>
      </w:r>
      <w:r>
        <w:rPr>
          <w:rFonts w:ascii="宋体" w:hAnsi="宋体" w:eastAsia="宋体" w:cs="宋体"/>
          <w:color w:val="auto"/>
          <w:spacing w:val="6"/>
          <w:sz w:val="20"/>
          <w:szCs w:val="20"/>
          <w:highlight w:val="none"/>
        </w:rPr>
        <w:t xml:space="preserve">  </w:t>
      </w:r>
      <w:r>
        <w:rPr>
          <w:rFonts w:ascii="宋体" w:hAnsi="宋体" w:eastAsia="宋体" w:cs="宋体"/>
          <w:b/>
          <w:bCs/>
          <w:color w:val="auto"/>
          <w:spacing w:val="6"/>
          <w:sz w:val="20"/>
          <w:szCs w:val="20"/>
          <w:highlight w:val="none"/>
        </w:rPr>
        <w:t>合同标的</w:t>
      </w:r>
    </w:p>
    <w:p w14:paraId="63EFEBDE">
      <w:pPr>
        <w:spacing w:line="144" w:lineRule="auto"/>
        <w:rPr>
          <w:rFonts w:ascii="Arial"/>
          <w:color w:val="auto"/>
          <w:sz w:val="2"/>
          <w:highlight w:val="none"/>
        </w:rPr>
      </w:pPr>
    </w:p>
    <w:tbl>
      <w:tblPr>
        <w:tblStyle w:val="11"/>
        <w:tblW w:w="92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1"/>
        <w:gridCol w:w="939"/>
        <w:gridCol w:w="1154"/>
        <w:gridCol w:w="663"/>
        <w:gridCol w:w="777"/>
        <w:gridCol w:w="1059"/>
        <w:gridCol w:w="966"/>
        <w:gridCol w:w="1287"/>
        <w:gridCol w:w="1895"/>
      </w:tblGrid>
      <w:tr w14:paraId="2126E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541" w:type="dxa"/>
            <w:textDirection w:val="tbRlV"/>
            <w:vAlign w:val="top"/>
          </w:tcPr>
          <w:p w14:paraId="5182DEE7">
            <w:pPr>
              <w:pStyle w:val="12"/>
              <w:spacing w:before="163" w:line="213" w:lineRule="auto"/>
              <w:ind w:left="145"/>
              <w:rPr>
                <w:color w:val="auto"/>
                <w:highlight w:val="none"/>
              </w:rPr>
            </w:pPr>
            <w:r>
              <w:rPr>
                <w:color w:val="auto"/>
                <w:spacing w:val="8"/>
                <w:highlight w:val="none"/>
              </w:rPr>
              <w:t>项</w:t>
            </w:r>
            <w:r>
              <w:rPr>
                <w:color w:val="auto"/>
                <w:spacing w:val="90"/>
                <w:highlight w:val="none"/>
              </w:rPr>
              <w:t xml:space="preserve"> </w:t>
            </w:r>
            <w:r>
              <w:rPr>
                <w:color w:val="auto"/>
                <w:spacing w:val="8"/>
                <w:highlight w:val="none"/>
              </w:rPr>
              <w:t>号</w:t>
            </w:r>
          </w:p>
        </w:tc>
        <w:tc>
          <w:tcPr>
            <w:tcW w:w="939" w:type="dxa"/>
            <w:vAlign w:val="top"/>
          </w:tcPr>
          <w:p w14:paraId="246ECC3A">
            <w:pPr>
              <w:pStyle w:val="12"/>
              <w:spacing w:before="145" w:line="301" w:lineRule="auto"/>
              <w:ind w:left="263" w:right="154" w:hanging="104"/>
              <w:rPr>
                <w:color w:val="auto"/>
                <w:highlight w:val="none"/>
              </w:rPr>
            </w:pPr>
            <w:r>
              <w:rPr>
                <w:color w:val="auto"/>
                <w:spacing w:val="6"/>
                <w:highlight w:val="none"/>
              </w:rPr>
              <w:t>标的的</w:t>
            </w:r>
            <w:r>
              <w:rPr>
                <w:color w:val="auto"/>
                <w:spacing w:val="3"/>
                <w:highlight w:val="none"/>
              </w:rPr>
              <w:t>名称</w:t>
            </w:r>
          </w:p>
        </w:tc>
        <w:tc>
          <w:tcPr>
            <w:tcW w:w="1154" w:type="dxa"/>
            <w:vAlign w:val="top"/>
          </w:tcPr>
          <w:p w14:paraId="2F1584F6">
            <w:pPr>
              <w:pStyle w:val="12"/>
              <w:spacing w:before="145" w:line="301" w:lineRule="auto"/>
              <w:ind w:left="371" w:right="159" w:hanging="209"/>
              <w:rPr>
                <w:color w:val="auto"/>
                <w:highlight w:val="none"/>
              </w:rPr>
            </w:pPr>
            <w:r>
              <w:rPr>
                <w:color w:val="auto"/>
                <w:spacing w:val="6"/>
                <w:highlight w:val="none"/>
              </w:rPr>
              <w:t>数量及单</w:t>
            </w:r>
            <w:r>
              <w:rPr>
                <w:color w:val="auto"/>
                <w:spacing w:val="4"/>
                <w:highlight w:val="none"/>
              </w:rPr>
              <w:t>位①</w:t>
            </w:r>
          </w:p>
        </w:tc>
        <w:tc>
          <w:tcPr>
            <w:tcW w:w="663" w:type="dxa"/>
            <w:vAlign w:val="top"/>
          </w:tcPr>
          <w:p w14:paraId="1F85133C">
            <w:pPr>
              <w:spacing w:line="277" w:lineRule="auto"/>
              <w:rPr>
                <w:rFonts w:ascii="Arial"/>
                <w:color w:val="auto"/>
                <w:sz w:val="21"/>
                <w:highlight w:val="none"/>
              </w:rPr>
            </w:pPr>
          </w:p>
          <w:p w14:paraId="7EFEF165">
            <w:pPr>
              <w:pStyle w:val="12"/>
              <w:spacing w:before="65" w:line="228" w:lineRule="auto"/>
              <w:ind w:left="141"/>
              <w:rPr>
                <w:color w:val="auto"/>
                <w:highlight w:val="none"/>
              </w:rPr>
            </w:pPr>
            <w:r>
              <w:rPr>
                <w:color w:val="auto"/>
                <w:spacing w:val="-4"/>
                <w:highlight w:val="none"/>
              </w:rPr>
              <w:t>品牌</w:t>
            </w:r>
          </w:p>
        </w:tc>
        <w:tc>
          <w:tcPr>
            <w:tcW w:w="777" w:type="dxa"/>
            <w:vAlign w:val="top"/>
          </w:tcPr>
          <w:p w14:paraId="270FBDD4">
            <w:pPr>
              <w:pStyle w:val="12"/>
              <w:spacing w:before="145" w:line="228" w:lineRule="auto"/>
              <w:ind w:left="182"/>
              <w:rPr>
                <w:color w:val="auto"/>
                <w:highlight w:val="none"/>
              </w:rPr>
            </w:pPr>
            <w:r>
              <w:rPr>
                <w:color w:val="auto"/>
                <w:spacing w:val="4"/>
                <w:highlight w:val="none"/>
              </w:rPr>
              <w:t>规格</w:t>
            </w:r>
          </w:p>
          <w:p w14:paraId="2700DF36">
            <w:pPr>
              <w:pStyle w:val="12"/>
              <w:spacing w:before="151" w:line="229" w:lineRule="auto"/>
              <w:ind w:left="188"/>
              <w:rPr>
                <w:color w:val="auto"/>
                <w:highlight w:val="none"/>
              </w:rPr>
            </w:pPr>
            <w:r>
              <w:rPr>
                <w:color w:val="auto"/>
                <w:spacing w:val="1"/>
                <w:highlight w:val="none"/>
              </w:rPr>
              <w:t>型号</w:t>
            </w:r>
          </w:p>
        </w:tc>
        <w:tc>
          <w:tcPr>
            <w:tcW w:w="1059" w:type="dxa"/>
            <w:vAlign w:val="top"/>
          </w:tcPr>
          <w:p w14:paraId="4629963D">
            <w:pPr>
              <w:spacing w:line="278" w:lineRule="auto"/>
              <w:rPr>
                <w:rFonts w:ascii="Arial"/>
                <w:color w:val="auto"/>
                <w:sz w:val="21"/>
                <w:highlight w:val="none"/>
              </w:rPr>
            </w:pPr>
          </w:p>
          <w:p w14:paraId="3C548C46">
            <w:pPr>
              <w:pStyle w:val="12"/>
              <w:spacing w:before="65" w:line="228" w:lineRule="auto"/>
              <w:ind w:left="221"/>
              <w:rPr>
                <w:color w:val="auto"/>
                <w:highlight w:val="none"/>
              </w:rPr>
            </w:pPr>
            <w:r>
              <w:rPr>
                <w:color w:val="auto"/>
                <w:spacing w:val="6"/>
                <w:highlight w:val="none"/>
              </w:rPr>
              <w:t>制造商</w:t>
            </w:r>
          </w:p>
        </w:tc>
        <w:tc>
          <w:tcPr>
            <w:tcW w:w="966" w:type="dxa"/>
            <w:vAlign w:val="top"/>
          </w:tcPr>
          <w:p w14:paraId="6B98D103">
            <w:pPr>
              <w:spacing w:line="277" w:lineRule="auto"/>
              <w:rPr>
                <w:rFonts w:ascii="Arial"/>
                <w:color w:val="auto"/>
                <w:sz w:val="21"/>
                <w:highlight w:val="none"/>
              </w:rPr>
            </w:pPr>
          </w:p>
          <w:p w14:paraId="644EA2ED">
            <w:pPr>
              <w:pStyle w:val="12"/>
              <w:spacing w:before="65" w:line="228" w:lineRule="auto"/>
              <w:ind w:left="179"/>
              <w:rPr>
                <w:color w:val="auto"/>
                <w:highlight w:val="none"/>
              </w:rPr>
            </w:pPr>
            <w:r>
              <w:rPr>
                <w:color w:val="auto"/>
                <w:spacing w:val="5"/>
                <w:highlight w:val="none"/>
              </w:rPr>
              <w:t>原产地</w:t>
            </w:r>
          </w:p>
        </w:tc>
        <w:tc>
          <w:tcPr>
            <w:tcW w:w="1287" w:type="dxa"/>
            <w:vAlign w:val="top"/>
          </w:tcPr>
          <w:p w14:paraId="2E330C5A">
            <w:pPr>
              <w:pStyle w:val="12"/>
              <w:spacing w:before="145" w:line="301" w:lineRule="auto"/>
              <w:ind w:left="543" w:right="432" w:hanging="102"/>
              <w:rPr>
                <w:color w:val="auto"/>
                <w:highlight w:val="none"/>
              </w:rPr>
            </w:pPr>
            <w:r>
              <w:rPr>
                <w:color w:val="auto"/>
                <w:spacing w:val="3"/>
                <w:highlight w:val="none"/>
              </w:rPr>
              <w:t>单价</w:t>
            </w:r>
            <w:r>
              <w:rPr>
                <w:color w:val="auto"/>
                <w:spacing w:val="2"/>
                <w:highlight w:val="none"/>
              </w:rPr>
              <w:t>②</w:t>
            </w:r>
          </w:p>
        </w:tc>
        <w:tc>
          <w:tcPr>
            <w:tcW w:w="1895" w:type="dxa"/>
            <w:vAlign w:val="top"/>
          </w:tcPr>
          <w:p w14:paraId="3270EEFA">
            <w:pPr>
              <w:pStyle w:val="12"/>
              <w:spacing w:before="145" w:line="229" w:lineRule="auto"/>
              <w:ind w:left="744"/>
              <w:rPr>
                <w:color w:val="auto"/>
                <w:highlight w:val="none"/>
              </w:rPr>
            </w:pPr>
            <w:r>
              <w:rPr>
                <w:color w:val="auto"/>
                <w:spacing w:val="4"/>
                <w:highlight w:val="none"/>
              </w:rPr>
              <w:t>合计</w:t>
            </w:r>
          </w:p>
          <w:p w14:paraId="7CFB1B42">
            <w:pPr>
              <w:pStyle w:val="12"/>
              <w:spacing w:before="150" w:line="225" w:lineRule="auto"/>
              <w:ind w:left="478"/>
              <w:rPr>
                <w:color w:val="auto"/>
                <w:highlight w:val="none"/>
              </w:rPr>
            </w:pPr>
            <w:r>
              <w:rPr>
                <w:color w:val="auto"/>
                <w:spacing w:val="7"/>
                <w:highlight w:val="none"/>
              </w:rPr>
              <w:t>③=①×②</w:t>
            </w:r>
          </w:p>
        </w:tc>
      </w:tr>
      <w:tr w14:paraId="757C9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541" w:type="dxa"/>
            <w:vAlign w:val="top"/>
          </w:tcPr>
          <w:p w14:paraId="1B3CF24C">
            <w:pPr>
              <w:pStyle w:val="12"/>
              <w:spacing w:before="141" w:line="233" w:lineRule="auto"/>
              <w:ind w:left="237"/>
              <w:rPr>
                <w:color w:val="auto"/>
                <w:highlight w:val="none"/>
              </w:rPr>
            </w:pPr>
            <w:r>
              <w:rPr>
                <w:color w:val="auto"/>
                <w:highlight w:val="none"/>
              </w:rPr>
              <w:t>1</w:t>
            </w:r>
          </w:p>
        </w:tc>
        <w:tc>
          <w:tcPr>
            <w:tcW w:w="939" w:type="dxa"/>
            <w:vAlign w:val="top"/>
          </w:tcPr>
          <w:p w14:paraId="01EADC2F">
            <w:pPr>
              <w:rPr>
                <w:rFonts w:ascii="Arial"/>
                <w:color w:val="auto"/>
                <w:sz w:val="21"/>
                <w:highlight w:val="none"/>
              </w:rPr>
            </w:pPr>
          </w:p>
        </w:tc>
        <w:tc>
          <w:tcPr>
            <w:tcW w:w="1154" w:type="dxa"/>
            <w:vAlign w:val="top"/>
          </w:tcPr>
          <w:p w14:paraId="3051DE82">
            <w:pPr>
              <w:rPr>
                <w:rFonts w:ascii="Arial"/>
                <w:color w:val="auto"/>
                <w:sz w:val="21"/>
                <w:highlight w:val="none"/>
              </w:rPr>
            </w:pPr>
          </w:p>
        </w:tc>
        <w:tc>
          <w:tcPr>
            <w:tcW w:w="663" w:type="dxa"/>
            <w:vAlign w:val="top"/>
          </w:tcPr>
          <w:p w14:paraId="60825D57">
            <w:pPr>
              <w:rPr>
                <w:rFonts w:ascii="Arial"/>
                <w:color w:val="auto"/>
                <w:sz w:val="21"/>
                <w:highlight w:val="none"/>
              </w:rPr>
            </w:pPr>
          </w:p>
        </w:tc>
        <w:tc>
          <w:tcPr>
            <w:tcW w:w="777" w:type="dxa"/>
            <w:vAlign w:val="top"/>
          </w:tcPr>
          <w:p w14:paraId="22CDAAAB">
            <w:pPr>
              <w:rPr>
                <w:rFonts w:ascii="Arial"/>
                <w:color w:val="auto"/>
                <w:sz w:val="21"/>
                <w:highlight w:val="none"/>
              </w:rPr>
            </w:pPr>
          </w:p>
        </w:tc>
        <w:tc>
          <w:tcPr>
            <w:tcW w:w="1059" w:type="dxa"/>
            <w:vAlign w:val="top"/>
          </w:tcPr>
          <w:p w14:paraId="02B57781">
            <w:pPr>
              <w:rPr>
                <w:rFonts w:ascii="Arial"/>
                <w:color w:val="auto"/>
                <w:sz w:val="21"/>
                <w:highlight w:val="none"/>
              </w:rPr>
            </w:pPr>
          </w:p>
        </w:tc>
        <w:tc>
          <w:tcPr>
            <w:tcW w:w="966" w:type="dxa"/>
            <w:vAlign w:val="top"/>
          </w:tcPr>
          <w:p w14:paraId="328DA831">
            <w:pPr>
              <w:rPr>
                <w:rFonts w:ascii="Arial"/>
                <w:color w:val="auto"/>
                <w:sz w:val="21"/>
                <w:highlight w:val="none"/>
              </w:rPr>
            </w:pPr>
          </w:p>
        </w:tc>
        <w:tc>
          <w:tcPr>
            <w:tcW w:w="1287" w:type="dxa"/>
            <w:vAlign w:val="top"/>
          </w:tcPr>
          <w:p w14:paraId="2A3B5C07">
            <w:pPr>
              <w:rPr>
                <w:rFonts w:ascii="Arial"/>
                <w:color w:val="auto"/>
                <w:sz w:val="21"/>
                <w:highlight w:val="none"/>
              </w:rPr>
            </w:pPr>
          </w:p>
        </w:tc>
        <w:tc>
          <w:tcPr>
            <w:tcW w:w="1895" w:type="dxa"/>
            <w:vAlign w:val="top"/>
          </w:tcPr>
          <w:p w14:paraId="1F465C69">
            <w:pPr>
              <w:rPr>
                <w:rFonts w:ascii="Arial"/>
                <w:color w:val="auto"/>
                <w:sz w:val="21"/>
                <w:highlight w:val="none"/>
              </w:rPr>
            </w:pPr>
          </w:p>
        </w:tc>
      </w:tr>
      <w:tr w14:paraId="1CFD7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541" w:type="dxa"/>
            <w:vAlign w:val="top"/>
          </w:tcPr>
          <w:p w14:paraId="556093A5">
            <w:pPr>
              <w:pStyle w:val="12"/>
              <w:spacing w:before="142" w:line="232" w:lineRule="auto"/>
              <w:ind w:left="224"/>
              <w:rPr>
                <w:color w:val="auto"/>
                <w:highlight w:val="none"/>
              </w:rPr>
            </w:pPr>
            <w:r>
              <w:rPr>
                <w:color w:val="auto"/>
                <w:highlight w:val="none"/>
              </w:rPr>
              <w:t>2</w:t>
            </w:r>
          </w:p>
        </w:tc>
        <w:tc>
          <w:tcPr>
            <w:tcW w:w="939" w:type="dxa"/>
            <w:vAlign w:val="top"/>
          </w:tcPr>
          <w:p w14:paraId="2A54AC11">
            <w:pPr>
              <w:rPr>
                <w:rFonts w:ascii="Arial"/>
                <w:color w:val="auto"/>
                <w:sz w:val="21"/>
                <w:highlight w:val="none"/>
              </w:rPr>
            </w:pPr>
          </w:p>
        </w:tc>
        <w:tc>
          <w:tcPr>
            <w:tcW w:w="1154" w:type="dxa"/>
            <w:vAlign w:val="top"/>
          </w:tcPr>
          <w:p w14:paraId="18256B2A">
            <w:pPr>
              <w:rPr>
                <w:rFonts w:ascii="Arial"/>
                <w:color w:val="auto"/>
                <w:sz w:val="21"/>
                <w:highlight w:val="none"/>
              </w:rPr>
            </w:pPr>
          </w:p>
        </w:tc>
        <w:tc>
          <w:tcPr>
            <w:tcW w:w="663" w:type="dxa"/>
            <w:vAlign w:val="top"/>
          </w:tcPr>
          <w:p w14:paraId="3B33D30E">
            <w:pPr>
              <w:rPr>
                <w:rFonts w:ascii="Arial"/>
                <w:color w:val="auto"/>
                <w:sz w:val="21"/>
                <w:highlight w:val="none"/>
              </w:rPr>
            </w:pPr>
          </w:p>
        </w:tc>
        <w:tc>
          <w:tcPr>
            <w:tcW w:w="777" w:type="dxa"/>
            <w:vAlign w:val="top"/>
          </w:tcPr>
          <w:p w14:paraId="6F136ADA">
            <w:pPr>
              <w:rPr>
                <w:rFonts w:ascii="Arial"/>
                <w:color w:val="auto"/>
                <w:sz w:val="21"/>
                <w:highlight w:val="none"/>
              </w:rPr>
            </w:pPr>
          </w:p>
        </w:tc>
        <w:tc>
          <w:tcPr>
            <w:tcW w:w="1059" w:type="dxa"/>
            <w:vAlign w:val="top"/>
          </w:tcPr>
          <w:p w14:paraId="16523C81">
            <w:pPr>
              <w:rPr>
                <w:rFonts w:ascii="Arial"/>
                <w:color w:val="auto"/>
                <w:sz w:val="21"/>
                <w:highlight w:val="none"/>
              </w:rPr>
            </w:pPr>
          </w:p>
        </w:tc>
        <w:tc>
          <w:tcPr>
            <w:tcW w:w="966" w:type="dxa"/>
            <w:vAlign w:val="top"/>
          </w:tcPr>
          <w:p w14:paraId="391D091A">
            <w:pPr>
              <w:rPr>
                <w:rFonts w:ascii="Arial"/>
                <w:color w:val="auto"/>
                <w:sz w:val="21"/>
                <w:highlight w:val="none"/>
              </w:rPr>
            </w:pPr>
          </w:p>
        </w:tc>
        <w:tc>
          <w:tcPr>
            <w:tcW w:w="1287" w:type="dxa"/>
            <w:vAlign w:val="top"/>
          </w:tcPr>
          <w:p w14:paraId="5B988D68">
            <w:pPr>
              <w:rPr>
                <w:rFonts w:ascii="Arial"/>
                <w:color w:val="auto"/>
                <w:sz w:val="21"/>
                <w:highlight w:val="none"/>
              </w:rPr>
            </w:pPr>
          </w:p>
        </w:tc>
        <w:tc>
          <w:tcPr>
            <w:tcW w:w="1895" w:type="dxa"/>
            <w:vAlign w:val="top"/>
          </w:tcPr>
          <w:p w14:paraId="631A2A25">
            <w:pPr>
              <w:rPr>
                <w:rFonts w:ascii="Arial"/>
                <w:color w:val="auto"/>
                <w:sz w:val="21"/>
                <w:highlight w:val="none"/>
              </w:rPr>
            </w:pPr>
          </w:p>
        </w:tc>
      </w:tr>
      <w:tr w14:paraId="565C7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541" w:type="dxa"/>
            <w:vAlign w:val="top"/>
          </w:tcPr>
          <w:p w14:paraId="1C0E7BBC">
            <w:pPr>
              <w:pStyle w:val="12"/>
              <w:spacing w:before="143" w:line="231" w:lineRule="auto"/>
              <w:ind w:left="184"/>
              <w:rPr>
                <w:color w:val="auto"/>
                <w:highlight w:val="none"/>
              </w:rPr>
            </w:pPr>
            <w:r>
              <w:rPr>
                <w:color w:val="auto"/>
                <w:highlight w:val="none"/>
              </w:rPr>
              <w:t>…</w:t>
            </w:r>
          </w:p>
        </w:tc>
        <w:tc>
          <w:tcPr>
            <w:tcW w:w="939" w:type="dxa"/>
            <w:vAlign w:val="top"/>
          </w:tcPr>
          <w:p w14:paraId="37BA1845">
            <w:pPr>
              <w:pStyle w:val="12"/>
              <w:spacing w:before="143" w:line="231" w:lineRule="auto"/>
              <w:ind w:left="274"/>
              <w:rPr>
                <w:color w:val="auto"/>
                <w:highlight w:val="none"/>
              </w:rPr>
            </w:pPr>
            <w:r>
              <w:rPr>
                <w:color w:val="auto"/>
                <w:spacing w:val="-2"/>
                <w:highlight w:val="none"/>
              </w:rPr>
              <w:t>……</w:t>
            </w:r>
          </w:p>
        </w:tc>
        <w:tc>
          <w:tcPr>
            <w:tcW w:w="1154" w:type="dxa"/>
            <w:vAlign w:val="top"/>
          </w:tcPr>
          <w:p w14:paraId="2848817B">
            <w:pPr>
              <w:rPr>
                <w:rFonts w:ascii="Arial"/>
                <w:color w:val="auto"/>
                <w:sz w:val="21"/>
                <w:highlight w:val="none"/>
              </w:rPr>
            </w:pPr>
          </w:p>
        </w:tc>
        <w:tc>
          <w:tcPr>
            <w:tcW w:w="663" w:type="dxa"/>
            <w:vAlign w:val="top"/>
          </w:tcPr>
          <w:p w14:paraId="1E446898">
            <w:pPr>
              <w:rPr>
                <w:rFonts w:ascii="Arial"/>
                <w:color w:val="auto"/>
                <w:sz w:val="21"/>
                <w:highlight w:val="none"/>
              </w:rPr>
            </w:pPr>
          </w:p>
        </w:tc>
        <w:tc>
          <w:tcPr>
            <w:tcW w:w="777" w:type="dxa"/>
            <w:vAlign w:val="top"/>
          </w:tcPr>
          <w:p w14:paraId="60A24A10">
            <w:pPr>
              <w:rPr>
                <w:rFonts w:ascii="Arial"/>
                <w:color w:val="auto"/>
                <w:sz w:val="21"/>
                <w:highlight w:val="none"/>
              </w:rPr>
            </w:pPr>
          </w:p>
        </w:tc>
        <w:tc>
          <w:tcPr>
            <w:tcW w:w="1059" w:type="dxa"/>
            <w:vAlign w:val="top"/>
          </w:tcPr>
          <w:p w14:paraId="5CC30BD5">
            <w:pPr>
              <w:rPr>
                <w:rFonts w:ascii="Arial"/>
                <w:color w:val="auto"/>
                <w:sz w:val="21"/>
                <w:highlight w:val="none"/>
              </w:rPr>
            </w:pPr>
          </w:p>
        </w:tc>
        <w:tc>
          <w:tcPr>
            <w:tcW w:w="966" w:type="dxa"/>
            <w:vAlign w:val="top"/>
          </w:tcPr>
          <w:p w14:paraId="42E69085">
            <w:pPr>
              <w:rPr>
                <w:rFonts w:ascii="Arial"/>
                <w:color w:val="auto"/>
                <w:sz w:val="21"/>
                <w:highlight w:val="none"/>
              </w:rPr>
            </w:pPr>
          </w:p>
        </w:tc>
        <w:tc>
          <w:tcPr>
            <w:tcW w:w="1287" w:type="dxa"/>
            <w:vAlign w:val="top"/>
          </w:tcPr>
          <w:p w14:paraId="0499D6DC">
            <w:pPr>
              <w:rPr>
                <w:rFonts w:ascii="Arial"/>
                <w:color w:val="auto"/>
                <w:sz w:val="21"/>
                <w:highlight w:val="none"/>
              </w:rPr>
            </w:pPr>
          </w:p>
        </w:tc>
        <w:tc>
          <w:tcPr>
            <w:tcW w:w="1895" w:type="dxa"/>
            <w:vAlign w:val="top"/>
          </w:tcPr>
          <w:p w14:paraId="7C54A856">
            <w:pPr>
              <w:rPr>
                <w:rFonts w:ascii="Arial"/>
                <w:color w:val="auto"/>
                <w:sz w:val="21"/>
                <w:highlight w:val="none"/>
              </w:rPr>
            </w:pPr>
          </w:p>
        </w:tc>
      </w:tr>
      <w:tr w14:paraId="11DA1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9281" w:type="dxa"/>
            <w:gridSpan w:val="9"/>
            <w:vAlign w:val="top"/>
          </w:tcPr>
          <w:p w14:paraId="75B81EFD">
            <w:pPr>
              <w:spacing w:line="475" w:lineRule="auto"/>
              <w:rPr>
                <w:rFonts w:ascii="Arial"/>
                <w:color w:val="auto"/>
                <w:sz w:val="21"/>
                <w:highlight w:val="none"/>
              </w:rPr>
            </w:pPr>
          </w:p>
          <w:p w14:paraId="4A82672C">
            <w:pPr>
              <w:pStyle w:val="12"/>
              <w:spacing w:before="65" w:line="227" w:lineRule="auto"/>
              <w:ind w:left="117"/>
              <w:rPr>
                <w:color w:val="auto"/>
                <w:highlight w:val="none"/>
              </w:rPr>
            </w:pPr>
            <w:r>
              <w:rPr>
                <w:color w:val="auto"/>
                <w:spacing w:val="6"/>
                <w:highlight w:val="none"/>
              </w:rPr>
              <w:t>合同总金额大写：人民币</w:t>
            </w:r>
            <w:r>
              <w:rPr>
                <w:color w:val="auto"/>
                <w:spacing w:val="6"/>
                <w:highlight w:val="none"/>
                <w:u w:val="single" w:color="auto"/>
              </w:rPr>
              <w:t xml:space="preserve">           </w:t>
            </w:r>
            <w:r>
              <w:rPr>
                <w:color w:val="auto"/>
                <w:spacing w:val="6"/>
                <w:highlight w:val="none"/>
              </w:rPr>
              <w:t xml:space="preserve"> (¥</w:t>
            </w:r>
            <w:r>
              <w:rPr>
                <w:color w:val="auto"/>
                <w:spacing w:val="-87"/>
                <w:highlight w:val="none"/>
              </w:rPr>
              <w:t xml:space="preserve"> </w:t>
            </w:r>
            <w:r>
              <w:rPr>
                <w:color w:val="auto"/>
                <w:spacing w:val="4"/>
                <w:highlight w:val="none"/>
                <w:u w:val="single" w:color="auto"/>
              </w:rPr>
              <w:t xml:space="preserve">           </w:t>
            </w:r>
            <w:r>
              <w:rPr>
                <w:color w:val="auto"/>
                <w:spacing w:val="-59"/>
                <w:highlight w:val="none"/>
              </w:rPr>
              <w:t xml:space="preserve"> </w:t>
            </w:r>
            <w:r>
              <w:rPr>
                <w:color w:val="auto"/>
                <w:spacing w:val="6"/>
                <w:highlight w:val="none"/>
              </w:rPr>
              <w:t>)</w:t>
            </w:r>
          </w:p>
        </w:tc>
      </w:tr>
    </w:tbl>
    <w:p w14:paraId="1FD2BDA9">
      <w:pPr>
        <w:spacing w:before="139" w:line="228" w:lineRule="auto"/>
        <w:ind w:left="709"/>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第二条</w:t>
      </w:r>
      <w:r>
        <w:rPr>
          <w:rFonts w:ascii="宋体" w:hAnsi="宋体" w:eastAsia="宋体" w:cs="宋体"/>
          <w:color w:val="auto"/>
          <w:spacing w:val="6"/>
          <w:sz w:val="20"/>
          <w:szCs w:val="20"/>
          <w:highlight w:val="none"/>
        </w:rPr>
        <w:t xml:space="preserve">  </w:t>
      </w:r>
      <w:r>
        <w:rPr>
          <w:rFonts w:ascii="宋体" w:hAnsi="宋体" w:eastAsia="宋体" w:cs="宋体"/>
          <w:b/>
          <w:bCs/>
          <w:color w:val="auto"/>
          <w:spacing w:val="6"/>
          <w:sz w:val="20"/>
          <w:szCs w:val="20"/>
          <w:highlight w:val="none"/>
        </w:rPr>
        <w:t>标的质量</w:t>
      </w:r>
    </w:p>
    <w:p w14:paraId="45582C5F">
      <w:pPr>
        <w:spacing w:before="154" w:line="369" w:lineRule="auto"/>
        <w:ind w:left="297" w:right="279" w:firstLine="424"/>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1.乙方所提供标的的名称、商标品牌、生产厂家、规格型号、技术参数等内容必须与乙方</w:t>
      </w:r>
      <w:r>
        <w:rPr>
          <w:rFonts w:ascii="宋体" w:hAnsi="宋体" w:eastAsia="宋体" w:cs="宋体"/>
          <w:color w:val="auto"/>
          <w:spacing w:val="8"/>
          <w:sz w:val="20"/>
          <w:szCs w:val="20"/>
          <w:highlight w:val="none"/>
        </w:rPr>
        <w:t>响应文件及有关承诺相一致，且满足项目实施要求。</w:t>
      </w:r>
    </w:p>
    <w:p w14:paraId="6FCEE93F">
      <w:pPr>
        <w:spacing w:before="2" w:line="368" w:lineRule="auto"/>
        <w:ind w:left="287" w:right="241" w:firstLine="42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2.乙方所提供的货物必须是全新、未使用的原装产品，且在正常安装、使用和保养条件下，</w:t>
      </w:r>
      <w:r>
        <w:rPr>
          <w:rFonts w:ascii="宋体" w:hAnsi="宋体" w:eastAsia="宋体" w:cs="宋体"/>
          <w:color w:val="auto"/>
          <w:spacing w:val="9"/>
          <w:sz w:val="20"/>
          <w:szCs w:val="20"/>
          <w:highlight w:val="none"/>
        </w:rPr>
        <w:t>其使用寿命期内各项指标均达到响应文件的承诺。</w:t>
      </w:r>
    </w:p>
    <w:p w14:paraId="107A5CA9">
      <w:pPr>
        <w:spacing w:line="227" w:lineRule="auto"/>
        <w:ind w:left="709"/>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第三条</w:t>
      </w:r>
      <w:r>
        <w:rPr>
          <w:rFonts w:ascii="宋体" w:hAnsi="宋体" w:eastAsia="宋体" w:cs="宋体"/>
          <w:color w:val="auto"/>
          <w:spacing w:val="8"/>
          <w:sz w:val="20"/>
          <w:szCs w:val="20"/>
          <w:highlight w:val="none"/>
        </w:rPr>
        <w:t xml:space="preserve">  履行时间（期限）、地点和方式</w:t>
      </w:r>
    </w:p>
    <w:p w14:paraId="0015BBE4">
      <w:pPr>
        <w:spacing w:before="155" w:line="228" w:lineRule="auto"/>
        <w:ind w:left="722"/>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1.履行时间（期限</w:t>
      </w:r>
      <w:r>
        <w:rPr>
          <w:rFonts w:ascii="宋体" w:hAnsi="宋体" w:eastAsia="宋体" w:cs="宋体"/>
          <w:color w:val="auto"/>
          <w:spacing w:val="12"/>
          <w:sz w:val="20"/>
          <w:szCs w:val="20"/>
          <w:highlight w:val="none"/>
        </w:rPr>
        <w:t>）：</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5"/>
          <w:sz w:val="20"/>
          <w:szCs w:val="20"/>
          <w:highlight w:val="none"/>
        </w:rPr>
        <w:t>。</w:t>
      </w:r>
    </w:p>
    <w:p w14:paraId="1E6EC865">
      <w:pPr>
        <w:spacing w:before="153" w:line="228" w:lineRule="auto"/>
        <w:ind w:left="709"/>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2.履行地点：</w:t>
      </w:r>
      <w:r>
        <w:rPr>
          <w:rFonts w:hint="eastAsia" w:ascii="宋体" w:hAnsi="宋体" w:eastAsia="宋体" w:cs="宋体"/>
          <w:color w:val="auto"/>
          <w:spacing w:val="10"/>
          <w:sz w:val="20"/>
          <w:szCs w:val="20"/>
          <w:highlight w:val="none"/>
          <w:u w:val="single" w:color="auto"/>
          <w:lang w:eastAsia="zh-CN"/>
        </w:rPr>
        <w:t>北海市博物馆</w:t>
      </w:r>
      <w:r>
        <w:rPr>
          <w:rFonts w:ascii="宋体" w:hAnsi="宋体" w:eastAsia="宋体" w:cs="宋体"/>
          <w:color w:val="auto"/>
          <w:spacing w:val="10"/>
          <w:sz w:val="20"/>
          <w:szCs w:val="20"/>
          <w:highlight w:val="none"/>
          <w:u w:val="single" w:color="auto"/>
        </w:rPr>
        <w:t>，具体位置由</w:t>
      </w:r>
      <w:r>
        <w:rPr>
          <w:rFonts w:ascii="宋体" w:hAnsi="宋体" w:eastAsia="宋体" w:cs="宋体"/>
          <w:color w:val="auto"/>
          <w:spacing w:val="9"/>
          <w:sz w:val="20"/>
          <w:szCs w:val="20"/>
          <w:highlight w:val="none"/>
          <w:u w:val="single" w:color="auto"/>
        </w:rPr>
        <w:t>甲方指定。</w:t>
      </w:r>
    </w:p>
    <w:p w14:paraId="2AA236C5">
      <w:pPr>
        <w:spacing w:before="152" w:line="228" w:lineRule="auto"/>
        <w:ind w:left="711"/>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3.履行方式</w:t>
      </w:r>
    </w:p>
    <w:p w14:paraId="402AAD5C">
      <w:pPr>
        <w:spacing w:before="153" w:line="227" w:lineRule="auto"/>
        <w:ind w:left="71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（1）乙方负责货物运输，货物的运输方式：</w:t>
      </w:r>
      <w:r>
        <w:rPr>
          <w:rFonts w:ascii="宋体" w:hAnsi="宋体" w:eastAsia="宋体" w:cs="宋体"/>
          <w:color w:val="auto"/>
          <w:spacing w:val="8"/>
          <w:sz w:val="20"/>
          <w:szCs w:val="20"/>
          <w:highlight w:val="none"/>
          <w:u w:val="single" w:color="auto"/>
        </w:rPr>
        <w:t xml:space="preserve"> 不限  </w:t>
      </w:r>
      <w:r>
        <w:rPr>
          <w:rFonts w:ascii="宋体" w:hAnsi="宋体" w:eastAsia="宋体" w:cs="宋体"/>
          <w:color w:val="auto"/>
          <w:spacing w:val="7"/>
          <w:sz w:val="20"/>
          <w:szCs w:val="20"/>
          <w:highlight w:val="none"/>
          <w:u w:val="single" w:color="auto"/>
        </w:rPr>
        <w:t xml:space="preserve"> </w:t>
      </w:r>
      <w:r>
        <w:rPr>
          <w:rFonts w:ascii="宋体" w:hAnsi="宋体" w:eastAsia="宋体" w:cs="宋体"/>
          <w:color w:val="auto"/>
          <w:spacing w:val="7"/>
          <w:sz w:val="20"/>
          <w:szCs w:val="20"/>
          <w:highlight w:val="none"/>
        </w:rPr>
        <w:t>。</w:t>
      </w:r>
    </w:p>
    <w:p w14:paraId="245C6948">
      <w:pPr>
        <w:spacing w:before="155" w:line="227" w:lineRule="auto"/>
        <w:ind w:left="71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（2）交货方式</w:t>
      </w:r>
    </w:p>
    <w:p w14:paraId="3C453B1C">
      <w:pPr>
        <w:spacing w:before="153" w:line="227" w:lineRule="auto"/>
        <w:ind w:left="715"/>
        <w:rPr>
          <w:rFonts w:ascii="宋体" w:hAnsi="宋体" w:eastAsia="宋体" w:cs="宋体"/>
          <w:color w:val="auto"/>
          <w:sz w:val="20"/>
          <w:szCs w:val="20"/>
          <w:highlight w:val="none"/>
        </w:rPr>
      </w:pPr>
      <w:r>
        <w:rPr>
          <w:rFonts w:ascii="MS Mincho" w:hAnsi="MS Mincho" w:eastAsia="MS Mincho" w:cs="MS Mincho"/>
          <w:color w:val="auto"/>
          <w:spacing w:val="8"/>
          <w:sz w:val="20"/>
          <w:szCs w:val="20"/>
          <w:highlight w:val="none"/>
        </w:rPr>
        <w:t>☑</w:t>
      </w:r>
      <w:r>
        <w:rPr>
          <w:rFonts w:ascii="宋体" w:hAnsi="宋体" w:eastAsia="宋体" w:cs="宋体"/>
          <w:color w:val="auto"/>
          <w:spacing w:val="8"/>
          <w:sz w:val="20"/>
          <w:szCs w:val="20"/>
          <w:highlight w:val="none"/>
        </w:rPr>
        <w:t>乙方将货物送到甲方指定地点。</w:t>
      </w:r>
    </w:p>
    <w:p w14:paraId="10D4C359">
      <w:pPr>
        <w:spacing w:before="155" w:line="227" w:lineRule="auto"/>
        <w:ind w:left="728"/>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□甲方自行到乙方指定地点提货。</w:t>
      </w:r>
    </w:p>
    <w:p w14:paraId="33B3F7DA">
      <w:pPr>
        <w:spacing w:before="155" w:line="228" w:lineRule="auto"/>
        <w:ind w:left="728"/>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□其他：。</w:t>
      </w:r>
    </w:p>
    <w:p w14:paraId="4EEE4AB5">
      <w:pPr>
        <w:spacing w:line="228" w:lineRule="auto"/>
        <w:rPr>
          <w:rFonts w:ascii="宋体" w:hAnsi="宋体" w:eastAsia="宋体" w:cs="宋体"/>
          <w:color w:val="auto"/>
          <w:sz w:val="20"/>
          <w:szCs w:val="20"/>
          <w:highlight w:val="none"/>
        </w:rPr>
        <w:sectPr>
          <w:footerReference r:id="rId69" w:type="default"/>
          <w:pgSz w:w="11910" w:h="16840"/>
          <w:pgMar w:top="1431" w:right="1222" w:bottom="1091" w:left="1401" w:header="0" w:footer="929" w:gutter="0"/>
          <w:pgNumType w:fmt="decimal"/>
          <w:cols w:space="720" w:num="1"/>
        </w:sectPr>
      </w:pPr>
    </w:p>
    <w:p w14:paraId="180CC919">
      <w:pPr>
        <w:spacing w:before="48" w:line="228" w:lineRule="auto"/>
        <w:ind w:left="423"/>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第四条</w:t>
      </w:r>
      <w:r>
        <w:rPr>
          <w:rFonts w:ascii="宋体" w:hAnsi="宋体" w:eastAsia="宋体" w:cs="宋体"/>
          <w:color w:val="auto"/>
          <w:spacing w:val="6"/>
          <w:sz w:val="20"/>
          <w:szCs w:val="20"/>
          <w:highlight w:val="none"/>
        </w:rPr>
        <w:t xml:space="preserve">  </w:t>
      </w:r>
      <w:r>
        <w:rPr>
          <w:rFonts w:ascii="宋体" w:hAnsi="宋体" w:eastAsia="宋体" w:cs="宋体"/>
          <w:b/>
          <w:bCs/>
          <w:color w:val="auto"/>
          <w:spacing w:val="6"/>
          <w:sz w:val="20"/>
          <w:szCs w:val="20"/>
          <w:highlight w:val="none"/>
        </w:rPr>
        <w:t>包装方式</w:t>
      </w:r>
    </w:p>
    <w:p w14:paraId="047E076D">
      <w:pPr>
        <w:spacing w:before="154" w:line="227" w:lineRule="auto"/>
        <w:jc w:val="right"/>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1.乙方提供的货物均应按响应文件承诺的要求的包装材料、包装标准、包装方式进行包装。</w:t>
      </w:r>
    </w:p>
    <w:p w14:paraId="4D847E34">
      <w:pPr>
        <w:spacing w:before="154" w:line="369" w:lineRule="auto"/>
        <w:ind w:left="1" w:right="53" w:firstLine="421"/>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2.乙方应在货物发运前对其进行满足运输距离、防水、防潮、防震、防锈和防破损装卸等</w:t>
      </w:r>
      <w:r>
        <w:rPr>
          <w:rFonts w:ascii="宋体" w:hAnsi="宋体" w:eastAsia="宋体" w:cs="宋体"/>
          <w:color w:val="auto"/>
          <w:spacing w:val="9"/>
          <w:sz w:val="20"/>
          <w:szCs w:val="20"/>
          <w:highlight w:val="none"/>
        </w:rPr>
        <w:t>要求包装，以保证货物安全运达甲方指定地</w:t>
      </w:r>
      <w:r>
        <w:rPr>
          <w:rFonts w:ascii="宋体" w:hAnsi="宋体" w:eastAsia="宋体" w:cs="宋体"/>
          <w:color w:val="auto"/>
          <w:spacing w:val="8"/>
          <w:sz w:val="20"/>
          <w:szCs w:val="20"/>
          <w:highlight w:val="none"/>
        </w:rPr>
        <w:t>点。</w:t>
      </w:r>
    </w:p>
    <w:p w14:paraId="211BC86E">
      <w:pPr>
        <w:spacing w:before="2" w:line="368" w:lineRule="auto"/>
        <w:ind w:left="5" w:right="53" w:firstLine="419"/>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3.货物的使用说明书、质量检验证明书、质量合格证、随配附件和工具以及清单一并附于</w:t>
      </w:r>
      <w:r>
        <w:rPr>
          <w:rFonts w:ascii="宋体" w:hAnsi="宋体" w:eastAsia="宋体" w:cs="宋体"/>
          <w:color w:val="auto"/>
          <w:spacing w:val="5"/>
          <w:sz w:val="20"/>
          <w:szCs w:val="20"/>
          <w:highlight w:val="none"/>
        </w:rPr>
        <w:t>货物包装内。</w:t>
      </w:r>
    </w:p>
    <w:p w14:paraId="02DDD436">
      <w:pPr>
        <w:spacing w:line="227" w:lineRule="auto"/>
        <w:ind w:left="423"/>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第五条</w:t>
      </w:r>
      <w:r>
        <w:rPr>
          <w:rFonts w:ascii="宋体" w:hAnsi="宋体" w:eastAsia="宋体" w:cs="宋体"/>
          <w:color w:val="auto"/>
          <w:spacing w:val="6"/>
          <w:sz w:val="20"/>
          <w:szCs w:val="20"/>
          <w:highlight w:val="none"/>
        </w:rPr>
        <w:t xml:space="preserve">  </w:t>
      </w:r>
      <w:r>
        <w:rPr>
          <w:rFonts w:ascii="宋体" w:hAnsi="宋体" w:eastAsia="宋体" w:cs="宋体"/>
          <w:b/>
          <w:bCs/>
          <w:color w:val="auto"/>
          <w:spacing w:val="6"/>
          <w:sz w:val="20"/>
          <w:szCs w:val="20"/>
          <w:highlight w:val="none"/>
        </w:rPr>
        <w:t>安装和培训</w:t>
      </w:r>
    </w:p>
    <w:p w14:paraId="5719885E">
      <w:pPr>
        <w:spacing w:before="153" w:line="369" w:lineRule="auto"/>
        <w:ind w:right="53" w:firstLine="43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1.安装时间：</w:t>
      </w:r>
      <w:r>
        <w:rPr>
          <w:rFonts w:ascii="宋体" w:hAnsi="宋体" w:eastAsia="宋体" w:cs="宋体"/>
          <w:color w:val="auto"/>
          <w:spacing w:val="38"/>
          <w:sz w:val="20"/>
          <w:szCs w:val="20"/>
          <w:highlight w:val="none"/>
          <w:u w:val="single" w:color="auto"/>
        </w:rPr>
        <w:t xml:space="preserve"> </w:t>
      </w:r>
      <w:r>
        <w:rPr>
          <w:rFonts w:ascii="宋体" w:hAnsi="宋体" w:eastAsia="宋体" w:cs="宋体"/>
          <w:color w:val="auto"/>
          <w:spacing w:val="11"/>
          <w:sz w:val="20"/>
          <w:szCs w:val="20"/>
          <w:highlight w:val="none"/>
          <w:u w:val="single" w:color="auto"/>
        </w:rPr>
        <w:t>乙方应当按采购文件要求（</w:t>
      </w:r>
      <w:r>
        <w:rPr>
          <w:rFonts w:ascii="宋体" w:hAnsi="宋体" w:eastAsia="宋体" w:cs="宋体"/>
          <w:color w:val="auto"/>
          <w:spacing w:val="10"/>
          <w:sz w:val="20"/>
          <w:szCs w:val="20"/>
          <w:highlight w:val="none"/>
          <w:u w:val="single" w:color="auto"/>
        </w:rPr>
        <w:t>如有）或甲方要求进行安装；</w:t>
      </w:r>
      <w:r>
        <w:rPr>
          <w:rFonts w:ascii="宋体" w:hAnsi="宋体" w:eastAsia="宋体" w:cs="宋体"/>
          <w:color w:val="auto"/>
          <w:spacing w:val="10"/>
          <w:sz w:val="20"/>
          <w:szCs w:val="20"/>
          <w:highlight w:val="none"/>
        </w:rPr>
        <w:t>安装地点：</w:t>
      </w:r>
      <w:r>
        <w:rPr>
          <w:rFonts w:ascii="宋体" w:hAnsi="宋体" w:eastAsia="宋体" w:cs="宋体"/>
          <w:color w:val="auto"/>
          <w:spacing w:val="37"/>
          <w:sz w:val="20"/>
          <w:szCs w:val="20"/>
          <w:highlight w:val="none"/>
          <w:u w:val="single" w:color="auto"/>
        </w:rPr>
        <w:t xml:space="preserve"> </w:t>
      </w:r>
      <w:r>
        <w:rPr>
          <w:rFonts w:ascii="宋体" w:hAnsi="宋体" w:eastAsia="宋体" w:cs="宋体"/>
          <w:color w:val="auto"/>
          <w:spacing w:val="10"/>
          <w:sz w:val="20"/>
          <w:szCs w:val="20"/>
          <w:highlight w:val="none"/>
          <w:u w:val="single" w:color="auto"/>
        </w:rPr>
        <w:t>乙方应当按采购文件要求（如有）或甲方要求进行安装。</w:t>
      </w:r>
    </w:p>
    <w:p w14:paraId="3BB08131">
      <w:pPr>
        <w:spacing w:before="1" w:line="226"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2.安装要求：</w:t>
      </w:r>
      <w:r>
        <w:rPr>
          <w:rFonts w:ascii="宋体" w:hAnsi="宋体" w:eastAsia="宋体" w:cs="宋体"/>
          <w:color w:val="auto"/>
          <w:spacing w:val="-40"/>
          <w:sz w:val="20"/>
          <w:szCs w:val="20"/>
          <w:highlight w:val="none"/>
        </w:rPr>
        <w:t xml:space="preserve"> </w:t>
      </w:r>
      <w:r>
        <w:rPr>
          <w:rFonts w:ascii="宋体" w:hAnsi="宋体" w:eastAsia="宋体" w:cs="宋体"/>
          <w:color w:val="auto"/>
          <w:spacing w:val="8"/>
          <w:sz w:val="20"/>
          <w:szCs w:val="20"/>
          <w:highlight w:val="none"/>
          <w:u w:val="single" w:color="auto"/>
        </w:rPr>
        <w:t>乙方应当按采购文件要求（如有）或甲方要求进行安装。</w:t>
      </w:r>
    </w:p>
    <w:p w14:paraId="03ECF124">
      <w:pPr>
        <w:spacing w:before="155" w:line="227" w:lineRule="auto"/>
        <w:ind w:left="42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3.甲方应提供必要安装条件（如场地、</w:t>
      </w:r>
      <w:r>
        <w:rPr>
          <w:rFonts w:ascii="宋体" w:hAnsi="宋体" w:eastAsia="宋体" w:cs="宋体"/>
          <w:color w:val="auto"/>
          <w:spacing w:val="-43"/>
          <w:sz w:val="20"/>
          <w:szCs w:val="20"/>
          <w:highlight w:val="none"/>
        </w:rPr>
        <w:t xml:space="preserve"> </w:t>
      </w:r>
      <w:r>
        <w:rPr>
          <w:rFonts w:ascii="宋体" w:hAnsi="宋体" w:eastAsia="宋体" w:cs="宋体"/>
          <w:color w:val="auto"/>
          <w:spacing w:val="6"/>
          <w:sz w:val="20"/>
          <w:szCs w:val="20"/>
          <w:highlight w:val="none"/>
        </w:rPr>
        <w:t>电源、水源等）。</w:t>
      </w:r>
    </w:p>
    <w:p w14:paraId="4BE58F34">
      <w:pPr>
        <w:spacing w:before="154" w:line="228"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4.乙方应当按照响应文件的承诺对甲方有关人员</w:t>
      </w:r>
      <w:r>
        <w:rPr>
          <w:rFonts w:ascii="宋体" w:hAnsi="宋体" w:eastAsia="宋体" w:cs="宋体"/>
          <w:color w:val="auto"/>
          <w:spacing w:val="8"/>
          <w:sz w:val="20"/>
          <w:szCs w:val="20"/>
          <w:highlight w:val="none"/>
        </w:rPr>
        <w:t>进行培训。</w:t>
      </w:r>
    </w:p>
    <w:p w14:paraId="3AF82E74">
      <w:pPr>
        <w:spacing w:before="152" w:line="227" w:lineRule="auto"/>
        <w:ind w:left="421"/>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培训时间</w:t>
      </w:r>
      <w:r>
        <w:rPr>
          <w:rFonts w:ascii="宋体" w:hAnsi="宋体" w:eastAsia="宋体" w:cs="宋体"/>
          <w:color w:val="auto"/>
          <w:spacing w:val="10"/>
          <w:sz w:val="20"/>
          <w:szCs w:val="20"/>
          <w:highlight w:val="none"/>
          <w:u w:val="single" w:color="auto"/>
        </w:rPr>
        <w:t>：乙方应当按采购文件要求（如有）</w:t>
      </w:r>
      <w:r>
        <w:rPr>
          <w:rFonts w:ascii="宋体" w:hAnsi="宋体" w:eastAsia="宋体" w:cs="宋体"/>
          <w:color w:val="auto"/>
          <w:spacing w:val="9"/>
          <w:sz w:val="20"/>
          <w:szCs w:val="20"/>
          <w:highlight w:val="none"/>
          <w:u w:val="single" w:color="auto"/>
        </w:rPr>
        <w:t>或甲方要求进行培训；</w:t>
      </w:r>
    </w:p>
    <w:p w14:paraId="6A83DBF7">
      <w:pPr>
        <w:spacing w:before="155" w:line="227" w:lineRule="auto"/>
        <w:ind w:left="421"/>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培训地点</w:t>
      </w:r>
      <w:r>
        <w:rPr>
          <w:rFonts w:ascii="宋体" w:hAnsi="宋体" w:eastAsia="宋体" w:cs="宋体"/>
          <w:color w:val="auto"/>
          <w:spacing w:val="10"/>
          <w:sz w:val="20"/>
          <w:szCs w:val="20"/>
          <w:highlight w:val="none"/>
          <w:u w:val="single" w:color="auto"/>
        </w:rPr>
        <w:t>：乙方应当按采购文件要求（如有）或甲方要求进行培训。</w:t>
      </w:r>
    </w:p>
    <w:p w14:paraId="2BA3690E">
      <w:pPr>
        <w:spacing w:before="155" w:line="226" w:lineRule="auto"/>
        <w:ind w:left="423"/>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第六条</w:t>
      </w:r>
      <w:r>
        <w:rPr>
          <w:rFonts w:ascii="宋体" w:hAnsi="宋体" w:eastAsia="宋体" w:cs="宋体"/>
          <w:color w:val="auto"/>
          <w:spacing w:val="7"/>
          <w:sz w:val="20"/>
          <w:szCs w:val="20"/>
          <w:highlight w:val="none"/>
        </w:rPr>
        <w:t xml:space="preserve">  </w:t>
      </w:r>
      <w:r>
        <w:rPr>
          <w:rFonts w:ascii="宋体" w:hAnsi="宋体" w:eastAsia="宋体" w:cs="宋体"/>
          <w:b/>
          <w:bCs/>
          <w:color w:val="auto"/>
          <w:spacing w:val="7"/>
          <w:sz w:val="20"/>
          <w:szCs w:val="20"/>
          <w:highlight w:val="none"/>
        </w:rPr>
        <w:t>合同价款及支付</w:t>
      </w:r>
    </w:p>
    <w:p w14:paraId="1CD6A5C0">
      <w:pPr>
        <w:spacing w:before="153" w:line="227" w:lineRule="auto"/>
        <w:ind w:left="436"/>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1.本合同以人民币付款。</w:t>
      </w:r>
    </w:p>
    <w:p w14:paraId="29BF11C5">
      <w:pPr>
        <w:spacing w:before="155" w:line="226" w:lineRule="auto"/>
        <w:ind w:left="423"/>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2.合同价款（或者报酬</w:t>
      </w:r>
      <w:r>
        <w:rPr>
          <w:rFonts w:ascii="宋体" w:hAnsi="宋体" w:eastAsia="宋体" w:cs="宋体"/>
          <w:color w:val="auto"/>
          <w:spacing w:val="13"/>
          <w:sz w:val="20"/>
          <w:szCs w:val="20"/>
          <w:highlight w:val="none"/>
        </w:rPr>
        <w:t>）：</w:t>
      </w:r>
      <w:r>
        <w:rPr>
          <w:rFonts w:ascii="宋体" w:hAnsi="宋体" w:eastAsia="宋体" w:cs="宋体"/>
          <w:color w:val="auto"/>
          <w:spacing w:val="10"/>
          <w:sz w:val="20"/>
          <w:szCs w:val="20"/>
          <w:highlight w:val="none"/>
          <w:u w:val="single" w:color="auto"/>
        </w:rPr>
        <w:t xml:space="preserve">  </w:t>
      </w:r>
      <w:r>
        <w:rPr>
          <w:rFonts w:ascii="宋体" w:hAnsi="宋体" w:eastAsia="宋体" w:cs="宋体"/>
          <w:color w:val="auto"/>
          <w:spacing w:val="6"/>
          <w:sz w:val="20"/>
          <w:szCs w:val="20"/>
          <w:highlight w:val="none"/>
          <w:u w:val="single" w:color="auto"/>
        </w:rPr>
        <w:t>见“第一条  合同标的</w:t>
      </w:r>
      <w:r>
        <w:rPr>
          <w:rFonts w:ascii="宋体" w:hAnsi="宋体" w:eastAsia="宋体" w:cs="宋体"/>
          <w:color w:val="auto"/>
          <w:spacing w:val="36"/>
          <w:sz w:val="20"/>
          <w:szCs w:val="20"/>
          <w:highlight w:val="none"/>
          <w:u w:val="single" w:color="auto"/>
        </w:rPr>
        <w:t xml:space="preserve"> </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6"/>
          <w:sz w:val="20"/>
          <w:szCs w:val="20"/>
          <w:highlight w:val="none"/>
        </w:rPr>
        <w:t>。</w:t>
      </w:r>
    </w:p>
    <w:p w14:paraId="5ED2359E">
      <w:pPr>
        <w:spacing w:before="156" w:line="369" w:lineRule="auto"/>
        <w:ind w:right="53" w:firstLine="425"/>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3.合同价款包括但不限于货物的价格，货物及其附件的设计、采购、制造、出厂检测、试</w:t>
      </w:r>
      <w:r>
        <w:rPr>
          <w:rFonts w:ascii="宋体" w:hAnsi="宋体" w:eastAsia="宋体" w:cs="宋体"/>
          <w:color w:val="auto"/>
          <w:spacing w:val="13"/>
          <w:sz w:val="20"/>
          <w:szCs w:val="20"/>
          <w:highlight w:val="none"/>
        </w:rPr>
        <w:t>验、运输、保险、安装、调试、验收、培训、技术服务、保修期</w:t>
      </w:r>
      <w:r>
        <w:rPr>
          <w:rFonts w:ascii="宋体" w:hAnsi="宋体" w:eastAsia="宋体" w:cs="宋体"/>
          <w:color w:val="auto"/>
          <w:spacing w:val="12"/>
          <w:sz w:val="20"/>
          <w:szCs w:val="20"/>
          <w:highlight w:val="none"/>
        </w:rPr>
        <w:t>保障等一切税金和费用。在合同履行过程中，</w:t>
      </w:r>
      <w:r>
        <w:rPr>
          <w:rFonts w:ascii="宋体" w:hAnsi="宋体" w:eastAsia="宋体" w:cs="宋体"/>
          <w:color w:val="auto"/>
          <w:spacing w:val="-54"/>
          <w:sz w:val="20"/>
          <w:szCs w:val="20"/>
          <w:highlight w:val="none"/>
        </w:rPr>
        <w:t xml:space="preserve"> </w:t>
      </w:r>
      <w:r>
        <w:rPr>
          <w:rFonts w:ascii="宋体" w:hAnsi="宋体" w:eastAsia="宋体" w:cs="宋体"/>
          <w:color w:val="auto"/>
          <w:spacing w:val="12"/>
          <w:sz w:val="20"/>
          <w:szCs w:val="20"/>
          <w:highlight w:val="none"/>
        </w:rPr>
        <w:t>甲方不予支付合同以外的其他费用。</w:t>
      </w:r>
      <w:r>
        <w:rPr>
          <w:rFonts w:ascii="宋体" w:hAnsi="宋体" w:eastAsia="宋体" w:cs="宋体"/>
          <w:color w:val="auto"/>
          <w:spacing w:val="11"/>
          <w:sz w:val="20"/>
          <w:szCs w:val="20"/>
          <w:highlight w:val="none"/>
        </w:rPr>
        <w:t>乙方负责工人人身、设备安全责任，验收</w:t>
      </w:r>
      <w:r>
        <w:rPr>
          <w:rFonts w:ascii="宋体" w:hAnsi="宋体" w:eastAsia="宋体" w:cs="宋体"/>
          <w:color w:val="auto"/>
          <w:spacing w:val="8"/>
          <w:sz w:val="20"/>
          <w:szCs w:val="20"/>
          <w:highlight w:val="none"/>
        </w:rPr>
        <w:t>前，设备丢失自行负责。</w:t>
      </w:r>
    </w:p>
    <w:p w14:paraId="2A1AF058">
      <w:pPr>
        <w:spacing w:line="227" w:lineRule="auto"/>
        <w:ind w:left="42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4.付款安排：</w:t>
      </w:r>
    </w:p>
    <w:p w14:paraId="1ACE79EE">
      <w:pPr>
        <w:spacing w:before="154" w:line="228" w:lineRule="auto"/>
        <w:ind w:left="430"/>
        <w:rPr>
          <w:rFonts w:hint="eastAsia" w:ascii="宋体" w:hAnsi="宋体" w:eastAsia="宋体" w:cs="宋体"/>
          <w:color w:val="auto"/>
          <w:spacing w:val="6"/>
          <w:sz w:val="20"/>
          <w:szCs w:val="20"/>
          <w:highlight w:val="none"/>
        </w:rPr>
      </w:pPr>
      <w:r>
        <w:rPr>
          <w:rFonts w:ascii="宋体" w:hAnsi="宋体" w:eastAsia="宋体" w:cs="宋体"/>
          <w:color w:val="auto"/>
          <w:spacing w:val="6"/>
          <w:sz w:val="20"/>
          <w:szCs w:val="20"/>
          <w:highlight w:val="none"/>
        </w:rPr>
        <w:t>（1）预付款：</w:t>
      </w:r>
      <w:r>
        <w:rPr>
          <w:rFonts w:hint="eastAsia" w:ascii="宋体" w:hAnsi="宋体" w:eastAsia="宋体" w:cs="宋体"/>
          <w:color w:val="auto"/>
          <w:spacing w:val="6"/>
          <w:sz w:val="20"/>
          <w:szCs w:val="20"/>
          <w:highlight w:val="none"/>
        </w:rPr>
        <w:t>合同签订后，待财政资金下达，采购人向成交供应商支付合同总额的50%预付款。</w:t>
      </w:r>
    </w:p>
    <w:p w14:paraId="16CFC3BC">
      <w:pPr>
        <w:spacing w:before="154"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w:t>
      </w:r>
      <w:r>
        <w:rPr>
          <w:rFonts w:hint="eastAsia" w:ascii="宋体" w:hAnsi="宋体" w:eastAsia="宋体" w:cs="宋体"/>
          <w:color w:val="auto"/>
          <w:spacing w:val="6"/>
          <w:sz w:val="20"/>
          <w:szCs w:val="20"/>
          <w:highlight w:val="none"/>
        </w:rPr>
        <w:t>验收款：设备安装调试完成并验收合格，待财政资金下达后支付合同总额50%。</w:t>
      </w:r>
    </w:p>
    <w:p w14:paraId="36596319">
      <w:pPr>
        <w:spacing w:before="152" w:line="369" w:lineRule="auto"/>
        <w:ind w:right="54" w:firstLine="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w:t>
      </w:r>
      <w:r>
        <w:rPr>
          <w:rFonts w:ascii="宋体" w:hAnsi="宋体" w:eastAsia="宋体" w:cs="宋体"/>
          <w:color w:val="auto"/>
          <w:spacing w:val="-59"/>
          <w:sz w:val="20"/>
          <w:szCs w:val="20"/>
          <w:highlight w:val="none"/>
        </w:rPr>
        <w:t xml:space="preserve"> </w:t>
      </w:r>
      <w:r>
        <w:rPr>
          <w:rFonts w:ascii="宋体" w:hAnsi="宋体" w:eastAsia="宋体" w:cs="宋体"/>
          <w:color w:val="auto"/>
          <w:spacing w:val="8"/>
          <w:sz w:val="20"/>
          <w:szCs w:val="20"/>
          <w:highlight w:val="none"/>
        </w:rPr>
        <w:t>乙方每次申请付款前，应向甲方开具等额有效的增</w:t>
      </w:r>
      <w:r>
        <w:rPr>
          <w:rFonts w:ascii="宋体" w:hAnsi="宋体" w:eastAsia="宋体" w:cs="宋体"/>
          <w:color w:val="auto"/>
          <w:spacing w:val="7"/>
          <w:sz w:val="20"/>
          <w:szCs w:val="20"/>
          <w:highlight w:val="none"/>
        </w:rPr>
        <w:t>值税发票。</w:t>
      </w:r>
      <w:r>
        <w:rPr>
          <w:rFonts w:ascii="宋体" w:hAnsi="宋体" w:eastAsia="宋体" w:cs="宋体"/>
          <w:color w:val="auto"/>
          <w:spacing w:val="-60"/>
          <w:sz w:val="20"/>
          <w:szCs w:val="20"/>
          <w:highlight w:val="none"/>
        </w:rPr>
        <w:t xml:space="preserve"> </w:t>
      </w:r>
      <w:r>
        <w:rPr>
          <w:rFonts w:ascii="宋体" w:hAnsi="宋体" w:eastAsia="宋体" w:cs="宋体"/>
          <w:color w:val="auto"/>
          <w:spacing w:val="7"/>
          <w:sz w:val="20"/>
          <w:szCs w:val="20"/>
          <w:highlight w:val="none"/>
        </w:rPr>
        <w:t>甲方未收到发票的，有</w:t>
      </w:r>
      <w:r>
        <w:rPr>
          <w:rFonts w:ascii="宋体" w:hAnsi="宋体" w:eastAsia="宋体" w:cs="宋体"/>
          <w:color w:val="auto"/>
          <w:spacing w:val="13"/>
          <w:sz w:val="20"/>
          <w:szCs w:val="20"/>
          <w:highlight w:val="none"/>
        </w:rPr>
        <w:t>权不予支付相应款项直至乙方提供合格发票，并不承担延迟付款</w:t>
      </w:r>
      <w:r>
        <w:rPr>
          <w:rFonts w:ascii="宋体" w:hAnsi="宋体" w:eastAsia="宋体" w:cs="宋体"/>
          <w:color w:val="auto"/>
          <w:spacing w:val="12"/>
          <w:sz w:val="20"/>
          <w:szCs w:val="20"/>
          <w:highlight w:val="none"/>
        </w:rPr>
        <w:t>责任，发票认证通过是付款的</w:t>
      </w:r>
      <w:r>
        <w:rPr>
          <w:rFonts w:ascii="宋体" w:hAnsi="宋体" w:eastAsia="宋体" w:cs="宋体"/>
          <w:color w:val="auto"/>
          <w:spacing w:val="7"/>
          <w:sz w:val="20"/>
          <w:szCs w:val="20"/>
          <w:highlight w:val="none"/>
        </w:rPr>
        <w:t>必要前提之一。</w:t>
      </w:r>
    </w:p>
    <w:p w14:paraId="5F1F0D62">
      <w:pPr>
        <w:spacing w:before="1" w:line="227" w:lineRule="auto"/>
        <w:ind w:left="427"/>
        <w:rPr>
          <w:rFonts w:ascii="宋体" w:hAnsi="宋体" w:eastAsia="宋体" w:cs="宋体"/>
          <w:color w:val="auto"/>
          <w:sz w:val="20"/>
          <w:szCs w:val="20"/>
          <w:highlight w:val="none"/>
        </w:rPr>
      </w:pPr>
      <w:r>
        <w:rPr>
          <w:rFonts w:ascii="宋体" w:hAnsi="宋体" w:eastAsia="宋体" w:cs="宋体"/>
          <w:b/>
          <w:bCs/>
          <w:color w:val="auto"/>
          <w:spacing w:val="5"/>
          <w:sz w:val="20"/>
          <w:szCs w:val="20"/>
          <w:highlight w:val="none"/>
        </w:rPr>
        <w:t>5.资金支付方式：</w:t>
      </w:r>
      <w:r>
        <w:rPr>
          <w:rFonts w:ascii="宋体" w:hAnsi="宋体" w:eastAsia="宋体" w:cs="宋体"/>
          <w:color w:val="auto"/>
          <w:spacing w:val="5"/>
          <w:sz w:val="20"/>
          <w:szCs w:val="20"/>
          <w:highlight w:val="none"/>
          <w:u w:val="single" w:color="auto"/>
        </w:rPr>
        <w:t xml:space="preserve">    </w:t>
      </w:r>
      <w:r>
        <w:rPr>
          <w:rFonts w:ascii="宋体" w:hAnsi="宋体" w:eastAsia="宋体" w:cs="宋体"/>
          <w:b/>
          <w:bCs/>
          <w:color w:val="auto"/>
          <w:spacing w:val="5"/>
          <w:sz w:val="20"/>
          <w:szCs w:val="20"/>
          <w:highlight w:val="none"/>
          <w:u w:val="single" w:color="auto"/>
        </w:rPr>
        <w:t>银行转账</w:t>
      </w:r>
      <w:r>
        <w:rPr>
          <w:rFonts w:ascii="宋体" w:hAnsi="宋体" w:eastAsia="宋体" w:cs="宋体"/>
          <w:color w:val="auto"/>
          <w:spacing w:val="5"/>
          <w:sz w:val="20"/>
          <w:szCs w:val="20"/>
          <w:highlight w:val="none"/>
          <w:u w:val="single" w:color="auto"/>
        </w:rPr>
        <w:t xml:space="preserve">   </w:t>
      </w:r>
      <w:r>
        <w:rPr>
          <w:rFonts w:ascii="宋体" w:hAnsi="宋体" w:eastAsia="宋体" w:cs="宋体"/>
          <w:b/>
          <w:bCs/>
          <w:color w:val="auto"/>
          <w:spacing w:val="5"/>
          <w:sz w:val="20"/>
          <w:szCs w:val="20"/>
          <w:highlight w:val="none"/>
        </w:rPr>
        <w:t>。</w:t>
      </w:r>
    </w:p>
    <w:p w14:paraId="166AFB18">
      <w:pPr>
        <w:spacing w:before="154" w:line="228" w:lineRule="auto"/>
        <w:ind w:left="423"/>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第七条</w:t>
      </w:r>
      <w:r>
        <w:rPr>
          <w:rFonts w:ascii="宋体" w:hAnsi="宋体" w:eastAsia="宋体" w:cs="宋体"/>
          <w:color w:val="auto"/>
          <w:spacing w:val="7"/>
          <w:sz w:val="20"/>
          <w:szCs w:val="20"/>
          <w:highlight w:val="none"/>
        </w:rPr>
        <w:t xml:space="preserve">  </w:t>
      </w:r>
      <w:r>
        <w:rPr>
          <w:rFonts w:ascii="宋体" w:hAnsi="宋体" w:eastAsia="宋体" w:cs="宋体"/>
          <w:b/>
          <w:bCs/>
          <w:color w:val="auto"/>
          <w:spacing w:val="7"/>
          <w:sz w:val="20"/>
          <w:szCs w:val="20"/>
          <w:highlight w:val="none"/>
        </w:rPr>
        <w:t>验收、交付标准和方法</w:t>
      </w:r>
    </w:p>
    <w:p w14:paraId="408BD1E0">
      <w:pPr>
        <w:spacing w:before="154" w:line="228" w:lineRule="auto"/>
        <w:ind w:left="436"/>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1.验收标准和方法</w:t>
      </w:r>
    </w:p>
    <w:p w14:paraId="19759D24">
      <w:pPr>
        <w:spacing w:before="151" w:line="370" w:lineRule="auto"/>
        <w:ind w:left="1" w:right="56" w:firstLine="429"/>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（1）验收标准：货物验收标准，伴随工程、服务验收标准</w:t>
      </w:r>
      <w:r>
        <w:rPr>
          <w:rFonts w:ascii="宋体" w:hAnsi="宋体" w:eastAsia="宋体" w:cs="宋体"/>
          <w:color w:val="auto"/>
          <w:spacing w:val="9"/>
          <w:sz w:val="20"/>
          <w:szCs w:val="20"/>
          <w:highlight w:val="none"/>
        </w:rPr>
        <w:t>（符合现行国家相关标准、行业标准、地方标准或者其他标准、规范</w:t>
      </w:r>
      <w:r>
        <w:rPr>
          <w:rFonts w:ascii="宋体" w:hAnsi="宋体" w:eastAsia="宋体" w:cs="宋体"/>
          <w:color w:val="auto"/>
          <w:spacing w:val="18"/>
          <w:sz w:val="20"/>
          <w:szCs w:val="20"/>
          <w:highlight w:val="none"/>
        </w:rPr>
        <w:t>），</w:t>
      </w:r>
      <w:r>
        <w:rPr>
          <w:rFonts w:ascii="宋体" w:hAnsi="宋体" w:eastAsia="宋体" w:cs="宋体"/>
          <w:color w:val="auto"/>
          <w:spacing w:val="9"/>
          <w:sz w:val="20"/>
          <w:szCs w:val="20"/>
          <w:highlight w:val="none"/>
        </w:rPr>
        <w:t>按本项目采购需求及成交供应商的响应文件执行。</w:t>
      </w:r>
    </w:p>
    <w:p w14:paraId="147C8FF2">
      <w:pPr>
        <w:spacing w:before="1" w:line="227"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（2）验收程序及方法：</w:t>
      </w:r>
    </w:p>
    <w:p w14:paraId="45403031">
      <w:pPr>
        <w:spacing w:before="152" w:line="227" w:lineRule="auto"/>
        <w:ind w:left="43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1）乙方完成货物安装调试和培训后，书面向甲方提交验收申请。</w:t>
      </w:r>
    </w:p>
    <w:p w14:paraId="52B18244">
      <w:pPr>
        <w:spacing w:before="155" w:line="227" w:lineRule="auto"/>
        <w:ind w:left="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w:t>
      </w:r>
      <w:r>
        <w:rPr>
          <w:rFonts w:ascii="宋体" w:hAnsi="宋体" w:eastAsia="宋体" w:cs="宋体"/>
          <w:color w:val="auto"/>
          <w:spacing w:val="-48"/>
          <w:sz w:val="20"/>
          <w:szCs w:val="20"/>
          <w:highlight w:val="none"/>
        </w:rPr>
        <w:t xml:space="preserve"> </w:t>
      </w:r>
      <w:r>
        <w:rPr>
          <w:rFonts w:ascii="宋体" w:hAnsi="宋体" w:eastAsia="宋体" w:cs="宋体"/>
          <w:color w:val="auto"/>
          <w:spacing w:val="11"/>
          <w:sz w:val="20"/>
          <w:szCs w:val="20"/>
          <w:highlight w:val="none"/>
        </w:rPr>
        <w:t>甲方收到乙方验收申请之日起</w:t>
      </w:r>
      <w:r>
        <w:rPr>
          <w:rFonts w:ascii="宋体" w:hAnsi="宋体" w:eastAsia="宋体" w:cs="宋体"/>
          <w:color w:val="auto"/>
          <w:spacing w:val="11"/>
          <w:sz w:val="20"/>
          <w:szCs w:val="20"/>
          <w:highlight w:val="none"/>
          <w:u w:val="single" w:color="auto"/>
        </w:rPr>
        <w:t xml:space="preserve"> 7</w:t>
      </w:r>
      <w:r>
        <w:rPr>
          <w:rFonts w:ascii="宋体" w:hAnsi="宋体" w:eastAsia="宋体" w:cs="宋体"/>
          <w:color w:val="auto"/>
          <w:spacing w:val="-35"/>
          <w:sz w:val="20"/>
          <w:szCs w:val="20"/>
          <w:highlight w:val="none"/>
          <w:u w:val="single" w:color="auto"/>
        </w:rPr>
        <w:t xml:space="preserve"> </w:t>
      </w:r>
      <w:r>
        <w:rPr>
          <w:rFonts w:ascii="宋体" w:hAnsi="宋体" w:eastAsia="宋体" w:cs="宋体"/>
          <w:color w:val="auto"/>
          <w:spacing w:val="11"/>
          <w:sz w:val="20"/>
          <w:szCs w:val="20"/>
          <w:highlight w:val="none"/>
        </w:rPr>
        <w:t>个工作日进行验收。</w:t>
      </w:r>
      <w:r>
        <w:rPr>
          <w:rFonts w:ascii="宋体" w:hAnsi="宋体" w:eastAsia="宋体" w:cs="宋体"/>
          <w:color w:val="auto"/>
          <w:spacing w:val="-55"/>
          <w:sz w:val="20"/>
          <w:szCs w:val="20"/>
          <w:highlight w:val="none"/>
        </w:rPr>
        <w:t xml:space="preserve"> </w:t>
      </w:r>
      <w:r>
        <w:rPr>
          <w:rFonts w:ascii="宋体" w:hAnsi="宋体" w:eastAsia="宋体" w:cs="宋体"/>
          <w:color w:val="auto"/>
          <w:spacing w:val="11"/>
          <w:sz w:val="20"/>
          <w:szCs w:val="20"/>
          <w:highlight w:val="none"/>
        </w:rPr>
        <w:t>甲方委托第三</w:t>
      </w:r>
      <w:r>
        <w:rPr>
          <w:rFonts w:ascii="宋体" w:hAnsi="宋体" w:eastAsia="宋体" w:cs="宋体"/>
          <w:color w:val="auto"/>
          <w:spacing w:val="10"/>
          <w:sz w:val="20"/>
          <w:szCs w:val="20"/>
          <w:highlight w:val="none"/>
        </w:rPr>
        <w:t>方机构组织项目验</w:t>
      </w:r>
    </w:p>
    <w:p w14:paraId="3B7D6FBD">
      <w:pPr>
        <w:spacing w:line="227" w:lineRule="auto"/>
        <w:rPr>
          <w:rFonts w:ascii="宋体" w:hAnsi="宋体" w:eastAsia="宋体" w:cs="宋体"/>
          <w:color w:val="auto"/>
          <w:sz w:val="20"/>
          <w:szCs w:val="20"/>
          <w:highlight w:val="none"/>
        </w:rPr>
        <w:sectPr>
          <w:footerReference r:id="rId70" w:type="default"/>
          <w:pgSz w:w="11910" w:h="16840"/>
          <w:pgMar w:top="1431" w:right="1447" w:bottom="1091" w:left="1687" w:header="0" w:footer="929" w:gutter="0"/>
          <w:pgNumType w:fmt="decimal"/>
          <w:cols w:space="720" w:num="1"/>
        </w:sectPr>
      </w:pPr>
    </w:p>
    <w:p w14:paraId="27692F69">
      <w:pPr>
        <w:spacing w:before="48" w:line="228" w:lineRule="auto"/>
        <w:ind w:left="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收的，其验收时间以该项目验收方案确定的验收时间为</w:t>
      </w:r>
      <w:r>
        <w:rPr>
          <w:rFonts w:ascii="宋体" w:hAnsi="宋体" w:eastAsia="宋体" w:cs="宋体"/>
          <w:color w:val="auto"/>
          <w:spacing w:val="8"/>
          <w:sz w:val="20"/>
          <w:szCs w:val="20"/>
          <w:highlight w:val="none"/>
        </w:rPr>
        <w:t>准。</w:t>
      </w:r>
    </w:p>
    <w:p w14:paraId="36153FA4">
      <w:pPr>
        <w:spacing w:before="154" w:line="227"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3）负责本项目验收的单位按下列</w:t>
      </w:r>
      <w:r>
        <w:rPr>
          <w:rFonts w:ascii="宋体" w:hAnsi="宋体" w:eastAsia="宋体" w:cs="宋体"/>
          <w:color w:val="auto"/>
          <w:spacing w:val="-80"/>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7"/>
          <w:sz w:val="20"/>
          <w:szCs w:val="20"/>
          <w:highlight w:val="none"/>
        </w:rPr>
        <w:t xml:space="preserve"> </w:t>
      </w:r>
      <w:r>
        <w:rPr>
          <w:rFonts w:ascii="宋体" w:hAnsi="宋体" w:eastAsia="宋体" w:cs="宋体"/>
          <w:color w:val="auto"/>
          <w:spacing w:val="7"/>
          <w:sz w:val="20"/>
          <w:szCs w:val="20"/>
          <w:highlight w:val="none"/>
        </w:rPr>
        <w:t>方式确定：</w:t>
      </w:r>
    </w:p>
    <w:p w14:paraId="640589EF">
      <w:pPr>
        <w:spacing w:before="155" w:line="225" w:lineRule="auto"/>
        <w:ind w:left="418"/>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①甲方自行组织；</w:t>
      </w:r>
    </w:p>
    <w:p w14:paraId="217F6C82">
      <w:pPr>
        <w:spacing w:before="154" w:line="225" w:lineRule="auto"/>
        <w:ind w:left="41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②甲方委托第三方组织机构进行验收；</w:t>
      </w:r>
    </w:p>
    <w:p w14:paraId="257FFF2A">
      <w:pPr>
        <w:spacing w:before="156" w:line="227" w:lineRule="auto"/>
        <w:jc w:val="right"/>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4）本项目验收由验收小组按照采购合同约定对每一项技术和商务要求</w:t>
      </w:r>
      <w:r>
        <w:rPr>
          <w:rFonts w:ascii="宋体" w:hAnsi="宋体" w:eastAsia="宋体" w:cs="宋体"/>
          <w:color w:val="auto"/>
          <w:spacing w:val="8"/>
          <w:sz w:val="20"/>
          <w:szCs w:val="20"/>
          <w:highlight w:val="none"/>
        </w:rPr>
        <w:t>的履约情况进行确认。</w:t>
      </w:r>
    </w:p>
    <w:p w14:paraId="2816B16B">
      <w:pPr>
        <w:spacing w:before="155" w:line="369" w:lineRule="auto"/>
        <w:ind w:right="159" w:firstLine="423"/>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5）验收结束后，验收小组出具采购验收书，验收书应当包括每一项技术和商务</w:t>
      </w:r>
      <w:r>
        <w:rPr>
          <w:rFonts w:ascii="宋体" w:hAnsi="宋体" w:eastAsia="宋体" w:cs="宋体"/>
          <w:color w:val="auto"/>
          <w:spacing w:val="9"/>
          <w:sz w:val="20"/>
          <w:szCs w:val="20"/>
          <w:highlight w:val="none"/>
        </w:rPr>
        <w:t>要求的履约情况，并列明项目总体评价，</w:t>
      </w:r>
      <w:r>
        <w:rPr>
          <w:rFonts w:ascii="宋体" w:hAnsi="宋体" w:eastAsia="宋体" w:cs="宋体"/>
          <w:color w:val="auto"/>
          <w:spacing w:val="-42"/>
          <w:sz w:val="20"/>
          <w:szCs w:val="20"/>
          <w:highlight w:val="none"/>
        </w:rPr>
        <w:t xml:space="preserve"> </w:t>
      </w:r>
      <w:r>
        <w:rPr>
          <w:rFonts w:ascii="宋体" w:hAnsi="宋体" w:eastAsia="宋体" w:cs="宋体"/>
          <w:color w:val="auto"/>
          <w:spacing w:val="9"/>
          <w:sz w:val="20"/>
          <w:szCs w:val="20"/>
          <w:highlight w:val="none"/>
        </w:rPr>
        <w:t>由验收小组、</w:t>
      </w:r>
      <w:r>
        <w:rPr>
          <w:rFonts w:ascii="宋体" w:hAnsi="宋体" w:eastAsia="宋体" w:cs="宋体"/>
          <w:color w:val="auto"/>
          <w:spacing w:val="-54"/>
          <w:sz w:val="20"/>
          <w:szCs w:val="20"/>
          <w:highlight w:val="none"/>
        </w:rPr>
        <w:t xml:space="preserve"> </w:t>
      </w:r>
      <w:r>
        <w:rPr>
          <w:rFonts w:ascii="宋体" w:hAnsi="宋体" w:eastAsia="宋体" w:cs="宋体"/>
          <w:color w:val="auto"/>
          <w:spacing w:val="9"/>
          <w:sz w:val="20"/>
          <w:szCs w:val="20"/>
          <w:highlight w:val="none"/>
        </w:rPr>
        <w:t>甲方和乙方共同签署。</w:t>
      </w:r>
      <w:r>
        <w:rPr>
          <w:rFonts w:ascii="宋体" w:hAnsi="宋体" w:eastAsia="宋体" w:cs="宋体"/>
          <w:color w:val="auto"/>
          <w:spacing w:val="-55"/>
          <w:sz w:val="20"/>
          <w:szCs w:val="20"/>
          <w:highlight w:val="none"/>
        </w:rPr>
        <w:t xml:space="preserve"> </w:t>
      </w:r>
      <w:r>
        <w:rPr>
          <w:rFonts w:ascii="宋体" w:hAnsi="宋体" w:eastAsia="宋体" w:cs="宋体"/>
          <w:color w:val="auto"/>
          <w:spacing w:val="9"/>
          <w:sz w:val="20"/>
          <w:szCs w:val="20"/>
          <w:highlight w:val="none"/>
        </w:rPr>
        <w:t>甲方委托第三方机构组织项</w:t>
      </w:r>
      <w:r>
        <w:rPr>
          <w:rFonts w:ascii="宋体" w:hAnsi="宋体" w:eastAsia="宋体" w:cs="宋体"/>
          <w:color w:val="auto"/>
          <w:spacing w:val="8"/>
          <w:sz w:val="20"/>
          <w:szCs w:val="20"/>
          <w:highlight w:val="none"/>
        </w:rPr>
        <w:t>目验收的，其验收结果以第三方机构出具验收书结论为准，</w:t>
      </w:r>
      <w:r>
        <w:rPr>
          <w:rFonts w:ascii="宋体" w:hAnsi="宋体" w:eastAsia="宋体" w:cs="宋体"/>
          <w:color w:val="auto"/>
          <w:spacing w:val="-46"/>
          <w:sz w:val="20"/>
          <w:szCs w:val="20"/>
          <w:highlight w:val="none"/>
        </w:rPr>
        <w:t xml:space="preserve"> </w:t>
      </w:r>
      <w:r>
        <w:rPr>
          <w:rFonts w:ascii="宋体" w:hAnsi="宋体" w:eastAsia="宋体" w:cs="宋体"/>
          <w:color w:val="auto"/>
          <w:spacing w:val="8"/>
          <w:sz w:val="20"/>
          <w:szCs w:val="20"/>
          <w:highlight w:val="none"/>
        </w:rPr>
        <w:t>甲方和乙方共同签署确认。</w:t>
      </w:r>
    </w:p>
    <w:p w14:paraId="26EA23D1">
      <w:pPr>
        <w:spacing w:before="1" w:line="226" w:lineRule="auto"/>
        <w:ind w:left="42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6）验收书一式</w:t>
      </w:r>
      <w:r>
        <w:rPr>
          <w:rFonts w:ascii="宋体" w:hAnsi="宋体" w:eastAsia="宋体" w:cs="宋体"/>
          <w:color w:val="auto"/>
          <w:spacing w:val="-96"/>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91"/>
          <w:sz w:val="20"/>
          <w:szCs w:val="20"/>
          <w:highlight w:val="none"/>
        </w:rPr>
        <w:t xml:space="preserve"> </w:t>
      </w:r>
      <w:r>
        <w:rPr>
          <w:rFonts w:ascii="宋体" w:hAnsi="宋体" w:eastAsia="宋体" w:cs="宋体"/>
          <w:color w:val="auto"/>
          <w:spacing w:val="5"/>
          <w:sz w:val="20"/>
          <w:szCs w:val="20"/>
          <w:highlight w:val="none"/>
        </w:rPr>
        <w:t>份，</w:t>
      </w:r>
      <w:r>
        <w:rPr>
          <w:rFonts w:ascii="宋体" w:hAnsi="宋体" w:eastAsia="宋体" w:cs="宋体"/>
          <w:color w:val="auto"/>
          <w:spacing w:val="-56"/>
          <w:sz w:val="20"/>
          <w:szCs w:val="20"/>
          <w:highlight w:val="none"/>
        </w:rPr>
        <w:t xml:space="preserve"> </w:t>
      </w:r>
      <w:r>
        <w:rPr>
          <w:rFonts w:ascii="宋体" w:hAnsi="宋体" w:eastAsia="宋体" w:cs="宋体"/>
          <w:color w:val="auto"/>
          <w:spacing w:val="5"/>
          <w:sz w:val="20"/>
          <w:szCs w:val="20"/>
          <w:highlight w:val="none"/>
        </w:rPr>
        <w:t>甲乙双方各执</w:t>
      </w:r>
      <w:r>
        <w:rPr>
          <w:rFonts w:ascii="宋体" w:hAnsi="宋体" w:eastAsia="宋体" w:cs="宋体"/>
          <w:color w:val="auto"/>
          <w:spacing w:val="-99"/>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5"/>
          <w:sz w:val="20"/>
          <w:szCs w:val="20"/>
          <w:highlight w:val="none"/>
        </w:rPr>
        <w:t xml:space="preserve"> 份。</w:t>
      </w:r>
    </w:p>
    <w:p w14:paraId="22386791">
      <w:pPr>
        <w:spacing w:before="152" w:line="370" w:lineRule="auto"/>
        <w:ind w:left="2" w:right="159" w:firstLine="42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7）验收结论不合格的，乙方应自收到验收书后</w:t>
      </w:r>
      <w:r>
        <w:rPr>
          <w:rFonts w:ascii="宋体" w:hAnsi="宋体" w:eastAsia="宋体" w:cs="宋体"/>
          <w:color w:val="auto"/>
          <w:spacing w:val="-92"/>
          <w:sz w:val="20"/>
          <w:szCs w:val="20"/>
          <w:highlight w:val="none"/>
        </w:rPr>
        <w:t xml:space="preserve"> </w:t>
      </w:r>
      <w:r>
        <w:rPr>
          <w:rFonts w:ascii="宋体" w:hAnsi="宋体" w:eastAsia="宋体" w:cs="宋体"/>
          <w:color w:val="auto"/>
          <w:spacing w:val="8"/>
          <w:sz w:val="20"/>
          <w:szCs w:val="20"/>
          <w:highlight w:val="none"/>
          <w:u w:val="single" w:color="auto"/>
        </w:rPr>
        <w:t xml:space="preserve">   </w:t>
      </w:r>
      <w:r>
        <w:rPr>
          <w:rFonts w:ascii="宋体" w:hAnsi="宋体" w:eastAsia="宋体" w:cs="宋体"/>
          <w:color w:val="auto"/>
          <w:spacing w:val="-56"/>
          <w:sz w:val="20"/>
          <w:szCs w:val="20"/>
          <w:highlight w:val="none"/>
        </w:rPr>
        <w:t xml:space="preserve"> </w:t>
      </w:r>
      <w:r>
        <w:rPr>
          <w:rFonts w:ascii="宋体" w:hAnsi="宋体" w:eastAsia="宋体" w:cs="宋体"/>
          <w:color w:val="auto"/>
          <w:spacing w:val="11"/>
          <w:sz w:val="20"/>
          <w:szCs w:val="20"/>
          <w:highlight w:val="none"/>
        </w:rPr>
        <w:t>日内及时予以解决。经乙方对验收结论</w:t>
      </w:r>
      <w:r>
        <w:rPr>
          <w:rFonts w:ascii="宋体" w:hAnsi="宋体" w:eastAsia="宋体" w:cs="宋体"/>
          <w:color w:val="auto"/>
          <w:spacing w:val="9"/>
          <w:sz w:val="20"/>
          <w:szCs w:val="20"/>
          <w:highlight w:val="none"/>
        </w:rPr>
        <w:t>不合格的货物进行整改后，仍然达不到要求的，经双方协商，可按以下办法处理：</w:t>
      </w:r>
    </w:p>
    <w:p w14:paraId="1A56CA15">
      <w:pPr>
        <w:spacing w:before="1" w:line="225" w:lineRule="auto"/>
        <w:ind w:left="418"/>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①更换：</w:t>
      </w:r>
      <w:r>
        <w:rPr>
          <w:rFonts w:ascii="宋体" w:hAnsi="宋体" w:eastAsia="宋体" w:cs="宋体"/>
          <w:color w:val="auto"/>
          <w:spacing w:val="-50"/>
          <w:sz w:val="20"/>
          <w:szCs w:val="20"/>
          <w:highlight w:val="none"/>
        </w:rPr>
        <w:t xml:space="preserve"> </w:t>
      </w:r>
      <w:r>
        <w:rPr>
          <w:rFonts w:ascii="宋体" w:hAnsi="宋体" w:eastAsia="宋体" w:cs="宋体"/>
          <w:color w:val="auto"/>
          <w:spacing w:val="6"/>
          <w:sz w:val="20"/>
          <w:szCs w:val="20"/>
          <w:highlight w:val="none"/>
        </w:rPr>
        <w:t>由乙方承担所发生的全部费用。</w:t>
      </w:r>
    </w:p>
    <w:p w14:paraId="383971FB">
      <w:pPr>
        <w:spacing w:before="155" w:line="225" w:lineRule="auto"/>
        <w:ind w:left="417"/>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②贬值处理：</w:t>
      </w:r>
      <w:r>
        <w:rPr>
          <w:rFonts w:ascii="宋体" w:hAnsi="宋体" w:eastAsia="宋体" w:cs="宋体"/>
          <w:color w:val="auto"/>
          <w:spacing w:val="-41"/>
          <w:sz w:val="20"/>
          <w:szCs w:val="20"/>
          <w:highlight w:val="none"/>
        </w:rPr>
        <w:t xml:space="preserve"> </w:t>
      </w:r>
      <w:r>
        <w:rPr>
          <w:rFonts w:ascii="宋体" w:hAnsi="宋体" w:eastAsia="宋体" w:cs="宋体"/>
          <w:color w:val="auto"/>
          <w:spacing w:val="5"/>
          <w:sz w:val="20"/>
          <w:szCs w:val="20"/>
          <w:highlight w:val="none"/>
        </w:rPr>
        <w:t>由甲乙双方合议定价。</w:t>
      </w:r>
    </w:p>
    <w:p w14:paraId="0E5FB529">
      <w:pPr>
        <w:spacing w:before="157" w:line="225" w:lineRule="auto"/>
        <w:ind w:left="42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8）验收费用按下列</w:t>
      </w:r>
      <w:r>
        <w:rPr>
          <w:rFonts w:ascii="宋体" w:hAnsi="宋体" w:eastAsia="宋体" w:cs="宋体"/>
          <w:color w:val="auto"/>
          <w:spacing w:val="7"/>
          <w:sz w:val="20"/>
          <w:szCs w:val="20"/>
          <w:highlight w:val="none"/>
          <w:u w:val="single" w:color="auto"/>
        </w:rPr>
        <w:t xml:space="preserve">  ②  方</w:t>
      </w:r>
      <w:r>
        <w:rPr>
          <w:rFonts w:ascii="宋体" w:hAnsi="宋体" w:eastAsia="宋体" w:cs="宋体"/>
          <w:color w:val="auto"/>
          <w:spacing w:val="7"/>
          <w:sz w:val="20"/>
          <w:szCs w:val="20"/>
          <w:highlight w:val="none"/>
        </w:rPr>
        <w:t>式确定：</w:t>
      </w:r>
    </w:p>
    <w:p w14:paraId="1F7AED37">
      <w:pPr>
        <w:spacing w:before="157" w:line="225" w:lineRule="auto"/>
        <w:ind w:left="418"/>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①甲方支付；</w:t>
      </w:r>
    </w:p>
    <w:p w14:paraId="70E65DF4">
      <w:pPr>
        <w:spacing w:before="154" w:line="225" w:lineRule="auto"/>
        <w:ind w:left="41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②乙方支付；</w:t>
      </w:r>
    </w:p>
    <w:p w14:paraId="5D8733DA">
      <w:pPr>
        <w:spacing w:before="157" w:line="369" w:lineRule="auto"/>
        <w:ind w:right="159" w:firstLine="4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9）供货时甲方有权邀请项目其它未成交的供应商、第三方检测机构对乙方提供本项目</w:t>
      </w:r>
      <w:r>
        <w:rPr>
          <w:rFonts w:ascii="宋体" w:hAnsi="宋体" w:eastAsia="宋体" w:cs="宋体"/>
          <w:color w:val="auto"/>
          <w:spacing w:val="9"/>
          <w:sz w:val="20"/>
          <w:szCs w:val="20"/>
          <w:highlight w:val="none"/>
        </w:rPr>
        <w:t>中的</w:t>
      </w:r>
      <w:r>
        <w:rPr>
          <w:rFonts w:ascii="宋体" w:hAnsi="宋体" w:eastAsia="宋体" w:cs="宋体"/>
          <w:color w:val="auto"/>
          <w:spacing w:val="12"/>
          <w:sz w:val="20"/>
          <w:szCs w:val="20"/>
          <w:highlight w:val="none"/>
        </w:rPr>
        <w:t>指定产品进行测试预验收，</w:t>
      </w:r>
      <w:r>
        <w:rPr>
          <w:rFonts w:ascii="宋体" w:hAnsi="宋体" w:eastAsia="宋体" w:cs="宋体"/>
          <w:color w:val="auto"/>
          <w:spacing w:val="-57"/>
          <w:sz w:val="20"/>
          <w:szCs w:val="20"/>
          <w:highlight w:val="none"/>
        </w:rPr>
        <w:t xml:space="preserve"> </w:t>
      </w:r>
      <w:r>
        <w:rPr>
          <w:rFonts w:ascii="宋体" w:hAnsi="宋体" w:eastAsia="宋体" w:cs="宋体"/>
          <w:color w:val="auto"/>
          <w:spacing w:val="12"/>
          <w:sz w:val="20"/>
          <w:szCs w:val="20"/>
          <w:highlight w:val="none"/>
        </w:rPr>
        <w:t>以确认技术指标和商务条款</w:t>
      </w:r>
      <w:r>
        <w:rPr>
          <w:rFonts w:ascii="宋体" w:hAnsi="宋体" w:eastAsia="宋体" w:cs="宋体"/>
          <w:color w:val="auto"/>
          <w:spacing w:val="11"/>
          <w:sz w:val="20"/>
          <w:szCs w:val="20"/>
          <w:highlight w:val="none"/>
        </w:rPr>
        <w:t>等是否满足采购文件中的要求以及响应</w:t>
      </w:r>
      <w:r>
        <w:rPr>
          <w:rFonts w:ascii="宋体" w:hAnsi="宋体" w:eastAsia="宋体" w:cs="宋体"/>
          <w:color w:val="auto"/>
          <w:spacing w:val="10"/>
          <w:sz w:val="20"/>
          <w:szCs w:val="20"/>
          <w:highlight w:val="none"/>
        </w:rPr>
        <w:t>文件中的承诺，若不满足，</w:t>
      </w:r>
      <w:r>
        <w:rPr>
          <w:rFonts w:ascii="宋体" w:hAnsi="宋体" w:eastAsia="宋体" w:cs="宋体"/>
          <w:color w:val="auto"/>
          <w:spacing w:val="-38"/>
          <w:sz w:val="20"/>
          <w:szCs w:val="20"/>
          <w:highlight w:val="none"/>
        </w:rPr>
        <w:t xml:space="preserve"> </w:t>
      </w:r>
      <w:r>
        <w:rPr>
          <w:rFonts w:ascii="宋体" w:hAnsi="宋体" w:eastAsia="宋体" w:cs="宋体"/>
          <w:color w:val="auto"/>
          <w:spacing w:val="10"/>
          <w:sz w:val="20"/>
          <w:szCs w:val="20"/>
          <w:highlight w:val="none"/>
        </w:rPr>
        <w:t>甲方有权不予最终验收并有权依法终止合同，</w:t>
      </w:r>
      <w:r>
        <w:rPr>
          <w:rFonts w:ascii="宋体" w:hAnsi="宋体" w:eastAsia="宋体" w:cs="宋体"/>
          <w:color w:val="auto"/>
          <w:spacing w:val="-54"/>
          <w:sz w:val="20"/>
          <w:szCs w:val="20"/>
          <w:highlight w:val="none"/>
        </w:rPr>
        <w:t xml:space="preserve"> </w:t>
      </w:r>
      <w:r>
        <w:rPr>
          <w:rFonts w:ascii="宋体" w:hAnsi="宋体" w:eastAsia="宋体" w:cs="宋体"/>
          <w:color w:val="auto"/>
          <w:spacing w:val="10"/>
          <w:sz w:val="20"/>
          <w:szCs w:val="20"/>
          <w:highlight w:val="none"/>
        </w:rPr>
        <w:t>甲方将上报相关行政</w:t>
      </w:r>
      <w:r>
        <w:rPr>
          <w:rFonts w:ascii="宋体" w:hAnsi="宋体" w:eastAsia="宋体" w:cs="宋体"/>
          <w:color w:val="auto"/>
          <w:spacing w:val="12"/>
          <w:sz w:val="20"/>
          <w:szCs w:val="20"/>
          <w:highlight w:val="none"/>
        </w:rPr>
        <w:t>监管部门按照有关法律法规文件处理，所造成的后果由乙</w:t>
      </w:r>
      <w:r>
        <w:rPr>
          <w:rFonts w:ascii="宋体" w:hAnsi="宋体" w:eastAsia="宋体" w:cs="宋体"/>
          <w:color w:val="auto"/>
          <w:spacing w:val="11"/>
          <w:sz w:val="20"/>
          <w:szCs w:val="20"/>
          <w:highlight w:val="none"/>
        </w:rPr>
        <w:t>方自行承担。</w:t>
      </w:r>
      <w:r>
        <w:rPr>
          <w:rFonts w:ascii="宋体" w:hAnsi="宋体" w:eastAsia="宋体" w:cs="宋体"/>
          <w:color w:val="auto"/>
          <w:spacing w:val="-58"/>
          <w:sz w:val="20"/>
          <w:szCs w:val="20"/>
          <w:highlight w:val="none"/>
        </w:rPr>
        <w:t xml:space="preserve"> </w:t>
      </w:r>
      <w:r>
        <w:rPr>
          <w:rFonts w:ascii="宋体" w:hAnsi="宋体" w:eastAsia="宋体" w:cs="宋体"/>
          <w:color w:val="auto"/>
          <w:spacing w:val="11"/>
          <w:sz w:val="20"/>
          <w:szCs w:val="20"/>
          <w:highlight w:val="none"/>
        </w:rPr>
        <w:t>以上邀请第三方检测机</w:t>
      </w:r>
      <w:r>
        <w:rPr>
          <w:rFonts w:ascii="宋体" w:hAnsi="宋体" w:eastAsia="宋体" w:cs="宋体"/>
          <w:color w:val="auto"/>
          <w:spacing w:val="8"/>
          <w:sz w:val="20"/>
          <w:szCs w:val="20"/>
          <w:highlight w:val="none"/>
        </w:rPr>
        <w:t>构所产生的测试和检验相关费用由乙方承担。</w:t>
      </w:r>
    </w:p>
    <w:p w14:paraId="0C89D3D2">
      <w:pPr>
        <w:spacing w:before="1" w:line="227" w:lineRule="auto"/>
        <w:ind w:left="42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2.交付标准和方法</w:t>
      </w:r>
    </w:p>
    <w:p w14:paraId="7BD763E4">
      <w:pPr>
        <w:spacing w:before="154" w:line="369" w:lineRule="auto"/>
        <w:ind w:right="159" w:firstLine="42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（1）除售后服务验收外，验收结论合格的，乙方应自收到验收书后</w:t>
      </w:r>
      <w:r>
        <w:rPr>
          <w:rFonts w:ascii="宋体" w:hAnsi="宋体" w:eastAsia="宋体" w:cs="宋体"/>
          <w:color w:val="auto"/>
          <w:spacing w:val="8"/>
          <w:sz w:val="20"/>
          <w:szCs w:val="20"/>
          <w:highlight w:val="none"/>
          <w:u w:val="single" w:color="auto"/>
        </w:rPr>
        <w:t xml:space="preserve">  3</w:t>
      </w:r>
      <w:r>
        <w:rPr>
          <w:rFonts w:ascii="宋体" w:hAnsi="宋体" w:eastAsia="宋体" w:cs="宋体"/>
          <w:color w:val="auto"/>
          <w:spacing w:val="61"/>
          <w:sz w:val="20"/>
          <w:szCs w:val="20"/>
          <w:highlight w:val="none"/>
          <w:u w:val="single" w:color="auto"/>
        </w:rPr>
        <w:t xml:space="preserve"> </w:t>
      </w:r>
      <w:r>
        <w:rPr>
          <w:rFonts w:ascii="宋体" w:hAnsi="宋体" w:eastAsia="宋体" w:cs="宋体"/>
          <w:color w:val="auto"/>
          <w:spacing w:val="8"/>
          <w:sz w:val="20"/>
          <w:szCs w:val="20"/>
          <w:highlight w:val="none"/>
        </w:rPr>
        <w:t>日内向甲方交付使</w:t>
      </w:r>
      <w:r>
        <w:rPr>
          <w:rFonts w:ascii="宋体" w:hAnsi="宋体" w:eastAsia="宋体" w:cs="宋体"/>
          <w:color w:val="auto"/>
          <w:spacing w:val="-1"/>
          <w:sz w:val="20"/>
          <w:szCs w:val="20"/>
          <w:highlight w:val="none"/>
        </w:rPr>
        <w:t>用。</w:t>
      </w:r>
    </w:p>
    <w:p w14:paraId="668189C0">
      <w:pPr>
        <w:spacing w:before="2" w:line="369" w:lineRule="auto"/>
        <w:ind w:left="24" w:right="162" w:firstLine="40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（2）货物的所有权和风险自交付时起由乙方转移至甲方，</w:t>
      </w:r>
      <w:r>
        <w:rPr>
          <w:rFonts w:ascii="宋体" w:hAnsi="宋体" w:eastAsia="宋体" w:cs="宋体"/>
          <w:color w:val="auto"/>
          <w:spacing w:val="9"/>
          <w:sz w:val="20"/>
          <w:szCs w:val="20"/>
          <w:highlight w:val="none"/>
        </w:rPr>
        <w:t>货物交付给甲方之前所有风险均</w:t>
      </w:r>
      <w:r>
        <w:rPr>
          <w:rFonts w:ascii="宋体" w:hAnsi="宋体" w:eastAsia="宋体" w:cs="宋体"/>
          <w:color w:val="auto"/>
          <w:spacing w:val="2"/>
          <w:sz w:val="20"/>
          <w:szCs w:val="20"/>
          <w:highlight w:val="none"/>
        </w:rPr>
        <w:t>由乙方承担。</w:t>
      </w:r>
    </w:p>
    <w:p w14:paraId="0FD5B3E6">
      <w:pPr>
        <w:spacing w:before="1" w:line="227" w:lineRule="auto"/>
        <w:ind w:left="421"/>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第八条</w:t>
      </w:r>
      <w:r>
        <w:rPr>
          <w:rFonts w:ascii="宋体" w:hAnsi="宋体" w:eastAsia="宋体" w:cs="宋体"/>
          <w:color w:val="auto"/>
          <w:spacing w:val="6"/>
          <w:sz w:val="20"/>
          <w:szCs w:val="20"/>
          <w:highlight w:val="none"/>
        </w:rPr>
        <w:t xml:space="preserve">  </w:t>
      </w:r>
      <w:r>
        <w:rPr>
          <w:rFonts w:ascii="宋体" w:hAnsi="宋体" w:eastAsia="宋体" w:cs="宋体"/>
          <w:b/>
          <w:bCs/>
          <w:color w:val="auto"/>
          <w:spacing w:val="6"/>
          <w:sz w:val="20"/>
          <w:szCs w:val="20"/>
          <w:highlight w:val="none"/>
        </w:rPr>
        <w:t>售后服务</w:t>
      </w:r>
    </w:p>
    <w:p w14:paraId="754C7951">
      <w:pPr>
        <w:spacing w:before="151" w:line="227" w:lineRule="auto"/>
        <w:ind w:left="43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1.乙方应按照国家有关法律法规规定以及响应文件承</w:t>
      </w:r>
      <w:r>
        <w:rPr>
          <w:rFonts w:ascii="宋体" w:hAnsi="宋体" w:eastAsia="宋体" w:cs="宋体"/>
          <w:color w:val="auto"/>
          <w:spacing w:val="8"/>
          <w:sz w:val="20"/>
          <w:szCs w:val="20"/>
          <w:highlight w:val="none"/>
        </w:rPr>
        <w:t>诺，为甲方提供售后服务。</w:t>
      </w:r>
    </w:p>
    <w:p w14:paraId="10BB0813">
      <w:pPr>
        <w:spacing w:before="156" w:line="228" w:lineRule="auto"/>
        <w:ind w:left="421"/>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2.质保期：</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5"/>
          <w:sz w:val="20"/>
          <w:szCs w:val="20"/>
          <w:highlight w:val="none"/>
        </w:rPr>
        <w:t>。</w:t>
      </w:r>
    </w:p>
    <w:p w14:paraId="16415ACC">
      <w:pPr>
        <w:spacing w:before="153" w:line="228" w:lineRule="auto"/>
        <w:ind w:left="421"/>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第九条</w:t>
      </w:r>
      <w:r>
        <w:rPr>
          <w:rFonts w:ascii="宋体" w:hAnsi="宋体" w:eastAsia="宋体" w:cs="宋体"/>
          <w:color w:val="auto"/>
          <w:spacing w:val="6"/>
          <w:sz w:val="20"/>
          <w:szCs w:val="20"/>
          <w:highlight w:val="none"/>
        </w:rPr>
        <w:t xml:space="preserve">  </w:t>
      </w:r>
      <w:r>
        <w:rPr>
          <w:rFonts w:ascii="宋体" w:hAnsi="宋体" w:eastAsia="宋体" w:cs="宋体"/>
          <w:b/>
          <w:bCs/>
          <w:color w:val="auto"/>
          <w:spacing w:val="6"/>
          <w:sz w:val="20"/>
          <w:szCs w:val="20"/>
          <w:highlight w:val="none"/>
        </w:rPr>
        <w:t>履约保证金</w:t>
      </w:r>
    </w:p>
    <w:p w14:paraId="5AA93836">
      <w:pPr>
        <w:spacing w:before="152" w:line="227" w:lineRule="auto"/>
        <w:ind w:left="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本项目不收取履约保证金。</w:t>
      </w:r>
    </w:p>
    <w:p w14:paraId="7807B90E">
      <w:pPr>
        <w:spacing w:before="154" w:line="228" w:lineRule="auto"/>
        <w:ind w:left="421"/>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第十条</w:t>
      </w:r>
      <w:r>
        <w:rPr>
          <w:rFonts w:ascii="宋体" w:hAnsi="宋体" w:eastAsia="宋体" w:cs="宋体"/>
          <w:color w:val="auto"/>
          <w:spacing w:val="6"/>
          <w:sz w:val="20"/>
          <w:szCs w:val="20"/>
          <w:highlight w:val="none"/>
        </w:rPr>
        <w:t xml:space="preserve">  </w:t>
      </w:r>
      <w:r>
        <w:rPr>
          <w:rFonts w:ascii="宋体" w:hAnsi="宋体" w:eastAsia="宋体" w:cs="宋体"/>
          <w:b/>
          <w:bCs/>
          <w:color w:val="auto"/>
          <w:spacing w:val="6"/>
          <w:sz w:val="20"/>
          <w:szCs w:val="20"/>
          <w:highlight w:val="none"/>
        </w:rPr>
        <w:t>违约责任</w:t>
      </w:r>
    </w:p>
    <w:p w14:paraId="0DB5718E">
      <w:pPr>
        <w:spacing w:before="154" w:line="369" w:lineRule="auto"/>
        <w:ind w:left="20" w:right="159" w:firstLine="41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1.合同一方不履行合同义务、履行合同义务不符合约定或者违反合同项下所作保证的， 应向对方承担继续履行、采取修理、更换、退货等补救措施或者赔偿损失</w:t>
      </w:r>
      <w:r>
        <w:rPr>
          <w:rFonts w:ascii="宋体" w:hAnsi="宋体" w:eastAsia="宋体" w:cs="宋体"/>
          <w:color w:val="auto"/>
          <w:spacing w:val="8"/>
          <w:sz w:val="20"/>
          <w:szCs w:val="20"/>
          <w:highlight w:val="none"/>
        </w:rPr>
        <w:t>等违约责任。</w:t>
      </w:r>
    </w:p>
    <w:p w14:paraId="0BC56141">
      <w:pPr>
        <w:spacing w:line="227" w:lineRule="auto"/>
        <w:ind w:left="421"/>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2.乙方未能按时交付货物的，应向甲方支付迟延交付违约金。迟延交付违约金的计算方法</w:t>
      </w:r>
    </w:p>
    <w:p w14:paraId="56D69FEC">
      <w:pPr>
        <w:spacing w:line="227" w:lineRule="auto"/>
        <w:rPr>
          <w:rFonts w:ascii="宋体" w:hAnsi="宋体" w:eastAsia="宋体" w:cs="宋体"/>
          <w:color w:val="auto"/>
          <w:sz w:val="20"/>
          <w:szCs w:val="20"/>
          <w:highlight w:val="none"/>
        </w:rPr>
        <w:sectPr>
          <w:footerReference r:id="rId71" w:type="default"/>
          <w:pgSz w:w="11910" w:h="16840"/>
          <w:pgMar w:top="1431" w:right="1341" w:bottom="1091" w:left="1688" w:header="0" w:footer="929" w:gutter="0"/>
          <w:pgNumType w:fmt="decimal"/>
          <w:cols w:space="720" w:num="1"/>
        </w:sectPr>
      </w:pPr>
    </w:p>
    <w:p w14:paraId="08D6C4F3">
      <w:pPr>
        <w:spacing w:before="48" w:line="228" w:lineRule="auto"/>
        <w:ind w:left="3"/>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如下：</w:t>
      </w:r>
    </w:p>
    <w:p w14:paraId="1AA3F209">
      <w:pPr>
        <w:spacing w:before="153"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（1）从迟交的第一周到第四周，每周迟延</w:t>
      </w:r>
      <w:r>
        <w:rPr>
          <w:rFonts w:ascii="宋体" w:hAnsi="宋体" w:eastAsia="宋体" w:cs="宋体"/>
          <w:color w:val="auto"/>
          <w:spacing w:val="8"/>
          <w:sz w:val="20"/>
          <w:szCs w:val="20"/>
          <w:highlight w:val="none"/>
        </w:rPr>
        <w:t>交付违约金为合同价款（报酬）的</w:t>
      </w:r>
      <w:r>
        <w:rPr>
          <w:rFonts w:ascii="宋体" w:hAnsi="宋体" w:eastAsia="宋体" w:cs="宋体"/>
          <w:color w:val="auto"/>
          <w:spacing w:val="8"/>
          <w:sz w:val="20"/>
          <w:szCs w:val="20"/>
          <w:highlight w:val="none"/>
          <w:u w:val="single" w:color="auto"/>
        </w:rPr>
        <w:t xml:space="preserve"> 0.5% </w:t>
      </w:r>
      <w:r>
        <w:rPr>
          <w:rFonts w:ascii="宋体" w:hAnsi="宋体" w:eastAsia="宋体" w:cs="宋体"/>
          <w:color w:val="auto"/>
          <w:spacing w:val="8"/>
          <w:sz w:val="20"/>
          <w:szCs w:val="20"/>
          <w:highlight w:val="none"/>
        </w:rPr>
        <w:t>；</w:t>
      </w:r>
    </w:p>
    <w:p w14:paraId="043B91DC">
      <w:pPr>
        <w:spacing w:before="155" w:line="226"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（2）从迟交的第五周到第八周，每周迟延交付违约金为合同价款（报酬）的</w:t>
      </w:r>
      <w:r>
        <w:rPr>
          <w:rFonts w:ascii="宋体" w:hAnsi="宋体" w:eastAsia="宋体" w:cs="宋体"/>
          <w:color w:val="auto"/>
          <w:spacing w:val="32"/>
          <w:sz w:val="20"/>
          <w:szCs w:val="20"/>
          <w:highlight w:val="none"/>
          <w:u w:val="single" w:color="auto"/>
        </w:rPr>
        <w:t xml:space="preserve"> </w:t>
      </w:r>
      <w:r>
        <w:rPr>
          <w:rFonts w:ascii="宋体" w:hAnsi="宋体" w:eastAsia="宋体" w:cs="宋体"/>
          <w:color w:val="auto"/>
          <w:spacing w:val="8"/>
          <w:sz w:val="20"/>
          <w:szCs w:val="20"/>
          <w:highlight w:val="none"/>
          <w:u w:val="single" w:color="auto"/>
        </w:rPr>
        <w:t xml:space="preserve">1% </w:t>
      </w:r>
      <w:r>
        <w:rPr>
          <w:rFonts w:ascii="宋体" w:hAnsi="宋体" w:eastAsia="宋体" w:cs="宋体"/>
          <w:color w:val="auto"/>
          <w:spacing w:val="8"/>
          <w:sz w:val="20"/>
          <w:szCs w:val="20"/>
          <w:highlight w:val="none"/>
        </w:rPr>
        <w:t>；</w:t>
      </w:r>
    </w:p>
    <w:p w14:paraId="51ED57DB">
      <w:pPr>
        <w:spacing w:before="155" w:line="369" w:lineRule="auto"/>
        <w:ind w:right="53" w:firstLine="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（3）从迟交第九周起，每周迟延交付违约金为合同价款（报酬）的</w:t>
      </w:r>
      <w:r>
        <w:rPr>
          <w:rFonts w:ascii="宋体" w:hAnsi="宋体" w:eastAsia="宋体" w:cs="宋体"/>
          <w:color w:val="auto"/>
          <w:spacing w:val="31"/>
          <w:sz w:val="20"/>
          <w:szCs w:val="20"/>
          <w:highlight w:val="none"/>
          <w:u w:val="single" w:color="auto"/>
        </w:rPr>
        <w:t xml:space="preserve"> </w:t>
      </w:r>
      <w:r>
        <w:rPr>
          <w:rFonts w:ascii="宋体" w:hAnsi="宋体" w:eastAsia="宋体" w:cs="宋体"/>
          <w:color w:val="auto"/>
          <w:spacing w:val="8"/>
          <w:sz w:val="20"/>
          <w:szCs w:val="20"/>
          <w:highlight w:val="none"/>
          <w:u w:val="single" w:color="auto"/>
        </w:rPr>
        <w:t>1.5%</w:t>
      </w:r>
      <w:r>
        <w:rPr>
          <w:rFonts w:ascii="宋体" w:hAnsi="宋体" w:eastAsia="宋体" w:cs="宋体"/>
          <w:color w:val="auto"/>
          <w:spacing w:val="33"/>
          <w:sz w:val="20"/>
          <w:szCs w:val="20"/>
          <w:highlight w:val="none"/>
          <w:u w:val="single" w:color="auto"/>
        </w:rPr>
        <w:t xml:space="preserve"> </w:t>
      </w:r>
      <w:r>
        <w:rPr>
          <w:rFonts w:ascii="宋体" w:hAnsi="宋体" w:eastAsia="宋体" w:cs="宋体"/>
          <w:color w:val="auto"/>
          <w:spacing w:val="8"/>
          <w:sz w:val="20"/>
          <w:szCs w:val="20"/>
          <w:highlight w:val="none"/>
        </w:rPr>
        <w:t>。在计算</w:t>
      </w:r>
      <w:r>
        <w:rPr>
          <w:rFonts w:ascii="宋体" w:hAnsi="宋体" w:eastAsia="宋体" w:cs="宋体"/>
          <w:color w:val="auto"/>
          <w:spacing w:val="7"/>
          <w:sz w:val="20"/>
          <w:szCs w:val="20"/>
          <w:highlight w:val="none"/>
        </w:rPr>
        <w:t>迟延交</w:t>
      </w:r>
      <w:r>
        <w:rPr>
          <w:rFonts w:ascii="宋体" w:hAnsi="宋体" w:eastAsia="宋体" w:cs="宋体"/>
          <w:color w:val="auto"/>
          <w:spacing w:val="13"/>
          <w:sz w:val="20"/>
          <w:szCs w:val="20"/>
          <w:highlight w:val="none"/>
        </w:rPr>
        <w:t>付违约金时，迟交不足一周的按一周计算。迟延交付违约金的</w:t>
      </w:r>
      <w:r>
        <w:rPr>
          <w:rFonts w:ascii="宋体" w:hAnsi="宋体" w:eastAsia="宋体" w:cs="宋体"/>
          <w:color w:val="auto"/>
          <w:spacing w:val="12"/>
          <w:sz w:val="20"/>
          <w:szCs w:val="20"/>
          <w:highlight w:val="none"/>
        </w:rPr>
        <w:t>支付不能免除乙方继续交付相关</w:t>
      </w:r>
      <w:r>
        <w:rPr>
          <w:rFonts w:ascii="宋体" w:hAnsi="宋体" w:eastAsia="宋体" w:cs="宋体"/>
          <w:color w:val="auto"/>
          <w:spacing w:val="13"/>
          <w:sz w:val="20"/>
          <w:szCs w:val="20"/>
          <w:highlight w:val="none"/>
        </w:rPr>
        <w:t>合同货物的义务，但如迟延交付必然导致合同货物安装、调试</w:t>
      </w:r>
      <w:r>
        <w:rPr>
          <w:rFonts w:ascii="宋体" w:hAnsi="宋体" w:eastAsia="宋体" w:cs="宋体"/>
          <w:color w:val="auto"/>
          <w:spacing w:val="12"/>
          <w:sz w:val="20"/>
          <w:szCs w:val="20"/>
          <w:highlight w:val="none"/>
        </w:rPr>
        <w:t>、验收等工作推迟的，相关工作</w:t>
      </w:r>
      <w:r>
        <w:rPr>
          <w:rFonts w:ascii="宋体" w:hAnsi="宋体" w:eastAsia="宋体" w:cs="宋体"/>
          <w:color w:val="auto"/>
          <w:spacing w:val="6"/>
          <w:sz w:val="20"/>
          <w:szCs w:val="20"/>
          <w:highlight w:val="none"/>
        </w:rPr>
        <w:t>应相应顺延。</w:t>
      </w:r>
    </w:p>
    <w:p w14:paraId="505750E6">
      <w:pPr>
        <w:spacing w:before="2" w:line="368" w:lineRule="auto"/>
        <w:ind w:left="17" w:right="53" w:firstLine="407"/>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3.甲方未能按合同约定支付合同价款的，应向乙方支付延迟付款违约金。迟延付款违约金</w:t>
      </w:r>
      <w:r>
        <w:rPr>
          <w:rFonts w:ascii="宋体" w:hAnsi="宋体" w:eastAsia="宋体" w:cs="宋体"/>
          <w:color w:val="auto"/>
          <w:spacing w:val="5"/>
          <w:sz w:val="20"/>
          <w:szCs w:val="20"/>
          <w:highlight w:val="none"/>
        </w:rPr>
        <w:t>的计算方法如下：</w:t>
      </w:r>
    </w:p>
    <w:p w14:paraId="61498B9A">
      <w:pPr>
        <w:spacing w:before="1"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（1）从迟付的第一周到第四周，每周迟延付款违约金为迟延付款金额的</w:t>
      </w:r>
      <w:r>
        <w:rPr>
          <w:rFonts w:ascii="宋体" w:hAnsi="宋体" w:eastAsia="宋体" w:cs="宋体"/>
          <w:color w:val="auto"/>
          <w:spacing w:val="8"/>
          <w:sz w:val="20"/>
          <w:szCs w:val="20"/>
          <w:highlight w:val="none"/>
          <w:u w:val="single" w:color="auto"/>
        </w:rPr>
        <w:t xml:space="preserve"> 0.05%</w:t>
      </w:r>
      <w:r>
        <w:rPr>
          <w:rFonts w:ascii="宋体" w:hAnsi="宋体" w:eastAsia="宋体" w:cs="宋体"/>
          <w:color w:val="auto"/>
          <w:spacing w:val="8"/>
          <w:sz w:val="20"/>
          <w:szCs w:val="20"/>
          <w:highlight w:val="none"/>
        </w:rPr>
        <w:t xml:space="preserve"> ；</w:t>
      </w:r>
    </w:p>
    <w:p w14:paraId="2B02CC1C">
      <w:pPr>
        <w:spacing w:before="153"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（2）从迟付的第五周到第八周，每周迟延付款违约金为迟延付款金额的</w:t>
      </w:r>
      <w:r>
        <w:rPr>
          <w:rFonts w:ascii="宋体" w:hAnsi="宋体" w:eastAsia="宋体" w:cs="宋体"/>
          <w:color w:val="auto"/>
          <w:spacing w:val="8"/>
          <w:sz w:val="20"/>
          <w:szCs w:val="20"/>
          <w:highlight w:val="none"/>
          <w:u w:val="single" w:color="auto"/>
        </w:rPr>
        <w:t xml:space="preserve"> 0.1% </w:t>
      </w:r>
      <w:r>
        <w:rPr>
          <w:rFonts w:ascii="宋体" w:hAnsi="宋体" w:eastAsia="宋体" w:cs="宋体"/>
          <w:color w:val="auto"/>
          <w:spacing w:val="8"/>
          <w:sz w:val="20"/>
          <w:szCs w:val="20"/>
          <w:highlight w:val="none"/>
        </w:rPr>
        <w:t>；</w:t>
      </w:r>
    </w:p>
    <w:p w14:paraId="12AB8E0C">
      <w:pPr>
        <w:spacing w:before="156" w:line="368" w:lineRule="auto"/>
        <w:ind w:right="53" w:firstLine="43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（3）从迟付第九周起，每周迟延付款违约金为迟延付款金额的</w:t>
      </w:r>
      <w:r>
        <w:rPr>
          <w:rFonts w:ascii="宋体" w:hAnsi="宋体" w:eastAsia="宋体" w:cs="宋体"/>
          <w:color w:val="auto"/>
          <w:spacing w:val="11"/>
          <w:sz w:val="20"/>
          <w:szCs w:val="20"/>
          <w:highlight w:val="none"/>
          <w:u w:val="single" w:color="auto"/>
        </w:rPr>
        <w:t xml:space="preserve"> 0.</w:t>
      </w:r>
      <w:r>
        <w:rPr>
          <w:rFonts w:ascii="宋体" w:hAnsi="宋体" w:eastAsia="宋体" w:cs="宋体"/>
          <w:color w:val="auto"/>
          <w:spacing w:val="10"/>
          <w:sz w:val="20"/>
          <w:szCs w:val="20"/>
          <w:highlight w:val="none"/>
          <w:u w:val="single" w:color="auto"/>
        </w:rPr>
        <w:t>15%</w:t>
      </w:r>
      <w:r>
        <w:rPr>
          <w:rFonts w:ascii="宋体" w:hAnsi="宋体" w:eastAsia="宋体" w:cs="宋体"/>
          <w:color w:val="auto"/>
          <w:spacing w:val="38"/>
          <w:sz w:val="20"/>
          <w:szCs w:val="20"/>
          <w:highlight w:val="none"/>
          <w:u w:val="single" w:color="auto"/>
        </w:rPr>
        <w:t xml:space="preserve"> </w:t>
      </w:r>
      <w:r>
        <w:rPr>
          <w:rFonts w:ascii="宋体" w:hAnsi="宋体" w:eastAsia="宋体" w:cs="宋体"/>
          <w:color w:val="auto"/>
          <w:spacing w:val="10"/>
          <w:sz w:val="20"/>
          <w:szCs w:val="20"/>
          <w:highlight w:val="none"/>
        </w:rPr>
        <w:t>。在计算迟延付款</w:t>
      </w:r>
      <w:r>
        <w:rPr>
          <w:rFonts w:ascii="宋体" w:hAnsi="宋体" w:eastAsia="宋体" w:cs="宋体"/>
          <w:color w:val="auto"/>
          <w:spacing w:val="9"/>
          <w:sz w:val="20"/>
          <w:szCs w:val="20"/>
          <w:highlight w:val="none"/>
        </w:rPr>
        <w:t>违约金时，迟付不足一周的按一周计算。迟延付款违约金的总额不得超过合同价格的</w:t>
      </w:r>
      <w:r>
        <w:rPr>
          <w:rFonts w:ascii="宋体" w:hAnsi="宋体" w:eastAsia="宋体" w:cs="宋体"/>
          <w:color w:val="auto"/>
          <w:spacing w:val="9"/>
          <w:sz w:val="20"/>
          <w:szCs w:val="20"/>
          <w:highlight w:val="none"/>
          <w:u w:val="single" w:color="auto"/>
        </w:rPr>
        <w:t xml:space="preserve"> 10% </w:t>
      </w:r>
      <w:r>
        <w:rPr>
          <w:rFonts w:ascii="宋体" w:hAnsi="宋体" w:eastAsia="宋体" w:cs="宋体"/>
          <w:color w:val="auto"/>
          <w:spacing w:val="9"/>
          <w:sz w:val="20"/>
          <w:szCs w:val="20"/>
          <w:highlight w:val="none"/>
        </w:rPr>
        <w:t>。</w:t>
      </w:r>
    </w:p>
    <w:p w14:paraId="2BEABF07">
      <w:pPr>
        <w:spacing w:line="369" w:lineRule="auto"/>
        <w:ind w:left="21" w:right="52" w:firstLine="39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4.乙方未按本合同和响应文件承诺提供售后服务的，乙方应按本合同价款（</w:t>
      </w:r>
      <w:r>
        <w:rPr>
          <w:rFonts w:ascii="宋体" w:hAnsi="宋体" w:eastAsia="宋体" w:cs="宋体"/>
          <w:color w:val="auto"/>
          <w:spacing w:val="8"/>
          <w:sz w:val="20"/>
          <w:szCs w:val="20"/>
          <w:highlight w:val="none"/>
        </w:rPr>
        <w:t>报酬）的</w:t>
      </w:r>
      <w:r>
        <w:rPr>
          <w:rFonts w:ascii="宋体" w:hAnsi="宋体" w:eastAsia="宋体" w:cs="宋体"/>
          <w:color w:val="auto"/>
          <w:spacing w:val="31"/>
          <w:sz w:val="20"/>
          <w:szCs w:val="20"/>
          <w:highlight w:val="none"/>
          <w:u w:val="single" w:color="auto"/>
        </w:rPr>
        <w:t xml:space="preserve"> </w:t>
      </w:r>
      <w:r>
        <w:rPr>
          <w:rFonts w:ascii="宋体" w:hAnsi="宋体" w:eastAsia="宋体" w:cs="宋体"/>
          <w:color w:val="auto"/>
          <w:spacing w:val="8"/>
          <w:sz w:val="20"/>
          <w:szCs w:val="20"/>
          <w:highlight w:val="none"/>
          <w:u w:val="single" w:color="auto"/>
        </w:rPr>
        <w:t>10 %</w:t>
      </w:r>
      <w:r>
        <w:rPr>
          <w:rFonts w:ascii="宋体" w:hAnsi="宋体" w:eastAsia="宋体" w:cs="宋体"/>
          <w:color w:val="auto"/>
          <w:spacing w:val="5"/>
          <w:sz w:val="20"/>
          <w:szCs w:val="20"/>
          <w:highlight w:val="none"/>
        </w:rPr>
        <w:t>向甲方支付违约金。</w:t>
      </w:r>
    </w:p>
    <w:p w14:paraId="4203A3E2">
      <w:pPr>
        <w:spacing w:before="2" w:line="369" w:lineRule="auto"/>
        <w:ind w:left="6" w:right="53" w:firstLine="417"/>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5.因某一方原因导致变更、中止或者终止政府采购合同的，该方应当对另一方受到的损失</w:t>
      </w:r>
      <w:r>
        <w:rPr>
          <w:rFonts w:ascii="宋体" w:hAnsi="宋体" w:eastAsia="宋体" w:cs="宋体"/>
          <w:color w:val="auto"/>
          <w:spacing w:val="7"/>
          <w:sz w:val="20"/>
          <w:szCs w:val="20"/>
          <w:highlight w:val="none"/>
        </w:rPr>
        <w:t>予以赔偿或者补偿。</w:t>
      </w:r>
    </w:p>
    <w:p w14:paraId="75EBDF00">
      <w:pPr>
        <w:spacing w:before="1" w:line="369" w:lineRule="auto"/>
        <w:ind w:right="53" w:firstLine="421"/>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6.货物最终验收结果为不合格且乙方无法通过更换、重做等补救措施达到合格标准的，视为乙方根本性违约，</w:t>
      </w:r>
      <w:r>
        <w:rPr>
          <w:rFonts w:ascii="宋体" w:hAnsi="宋体" w:eastAsia="宋体" w:cs="宋体"/>
          <w:color w:val="auto"/>
          <w:spacing w:val="-54"/>
          <w:sz w:val="20"/>
          <w:szCs w:val="20"/>
          <w:highlight w:val="none"/>
        </w:rPr>
        <w:t xml:space="preserve"> </w:t>
      </w:r>
      <w:r>
        <w:rPr>
          <w:rFonts w:ascii="宋体" w:hAnsi="宋体" w:eastAsia="宋体" w:cs="宋体"/>
          <w:color w:val="auto"/>
          <w:spacing w:val="12"/>
          <w:sz w:val="20"/>
          <w:szCs w:val="20"/>
          <w:highlight w:val="none"/>
        </w:rPr>
        <w:t>甲方有权解除本合同，乙方应</w:t>
      </w:r>
      <w:r>
        <w:rPr>
          <w:rFonts w:ascii="宋体" w:hAnsi="宋体" w:eastAsia="宋体" w:cs="宋体"/>
          <w:color w:val="auto"/>
          <w:spacing w:val="11"/>
          <w:sz w:val="20"/>
          <w:szCs w:val="20"/>
          <w:highlight w:val="none"/>
        </w:rPr>
        <w:t>退还甲方已付全部费用（如有）并向甲方支</w:t>
      </w:r>
      <w:r>
        <w:rPr>
          <w:rFonts w:ascii="宋体" w:hAnsi="宋体" w:eastAsia="宋体" w:cs="宋体"/>
          <w:color w:val="auto"/>
          <w:spacing w:val="6"/>
          <w:sz w:val="20"/>
          <w:szCs w:val="20"/>
          <w:highlight w:val="none"/>
        </w:rPr>
        <w:t>付合同合计金额</w:t>
      </w:r>
      <w:r>
        <w:rPr>
          <w:rFonts w:ascii="宋体" w:hAnsi="宋体" w:eastAsia="宋体" w:cs="宋体"/>
          <w:color w:val="auto"/>
          <w:spacing w:val="-26"/>
          <w:sz w:val="20"/>
          <w:szCs w:val="20"/>
          <w:highlight w:val="none"/>
        </w:rPr>
        <w:t xml:space="preserve"> </w:t>
      </w:r>
      <w:r>
        <w:rPr>
          <w:rFonts w:ascii="宋体" w:hAnsi="宋体" w:eastAsia="宋体" w:cs="宋体"/>
          <w:color w:val="auto"/>
          <w:spacing w:val="6"/>
          <w:sz w:val="20"/>
          <w:szCs w:val="20"/>
          <w:highlight w:val="none"/>
        </w:rPr>
        <w:t>20%的违约金。</w:t>
      </w:r>
    </w:p>
    <w:p w14:paraId="5F817D9D">
      <w:pPr>
        <w:spacing w:before="2" w:line="368" w:lineRule="auto"/>
        <w:ind w:firstLine="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7.因乙方违约，乙方应承担甲方为实现合法</w:t>
      </w:r>
      <w:r>
        <w:rPr>
          <w:rFonts w:ascii="宋体" w:hAnsi="宋体" w:eastAsia="宋体" w:cs="宋体"/>
          <w:color w:val="auto"/>
          <w:spacing w:val="8"/>
          <w:sz w:val="20"/>
          <w:szCs w:val="20"/>
          <w:highlight w:val="none"/>
        </w:rPr>
        <w:t>权益而支付的所有费用，包括但不限于诉讼费、律师费、保全保险费等。</w:t>
      </w:r>
    </w:p>
    <w:p w14:paraId="05876274">
      <w:pPr>
        <w:spacing w:before="1" w:line="227" w:lineRule="auto"/>
        <w:ind w:left="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8.其他违约责任按《中华人民共和国民法典》处理。</w:t>
      </w:r>
    </w:p>
    <w:p w14:paraId="525E529D">
      <w:pPr>
        <w:spacing w:before="153" w:line="228" w:lineRule="auto"/>
        <w:ind w:left="422"/>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第十一条</w:t>
      </w:r>
      <w:r>
        <w:rPr>
          <w:rFonts w:ascii="宋体" w:hAnsi="宋体" w:eastAsia="宋体" w:cs="宋体"/>
          <w:color w:val="auto"/>
          <w:spacing w:val="7"/>
          <w:sz w:val="20"/>
          <w:szCs w:val="20"/>
          <w:highlight w:val="none"/>
        </w:rPr>
        <w:t xml:space="preserve">  </w:t>
      </w:r>
      <w:r>
        <w:rPr>
          <w:rFonts w:ascii="宋体" w:hAnsi="宋体" w:eastAsia="宋体" w:cs="宋体"/>
          <w:b/>
          <w:bCs/>
          <w:color w:val="auto"/>
          <w:spacing w:val="7"/>
          <w:sz w:val="20"/>
          <w:szCs w:val="20"/>
          <w:highlight w:val="none"/>
        </w:rPr>
        <w:t>不可抗力事件处理</w:t>
      </w:r>
    </w:p>
    <w:p w14:paraId="162688B7">
      <w:pPr>
        <w:spacing w:before="152" w:line="370" w:lineRule="auto"/>
        <w:ind w:right="105" w:firstLine="434"/>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1.在合同有效期内，任何一方因不可抗力事件导致不能履行合同，则合同</w:t>
      </w:r>
      <w:r>
        <w:rPr>
          <w:rFonts w:ascii="宋体" w:hAnsi="宋体" w:eastAsia="宋体" w:cs="宋体"/>
          <w:color w:val="auto"/>
          <w:spacing w:val="10"/>
          <w:sz w:val="20"/>
          <w:szCs w:val="20"/>
          <w:highlight w:val="none"/>
        </w:rPr>
        <w:t>履行期可延长，</w:t>
      </w:r>
      <w:r>
        <w:rPr>
          <w:rFonts w:ascii="宋体" w:hAnsi="宋体" w:eastAsia="宋体" w:cs="宋体"/>
          <w:color w:val="auto"/>
          <w:spacing w:val="8"/>
          <w:sz w:val="20"/>
          <w:szCs w:val="20"/>
          <w:highlight w:val="none"/>
        </w:rPr>
        <w:t>其延长期与不可抗力影响期相同。</w:t>
      </w:r>
    </w:p>
    <w:p w14:paraId="6B4B4C73">
      <w:pPr>
        <w:spacing w:before="1" w:line="226"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2.不可抗力事件发生后，应立即通知对方，并寄送有关权威机构出具的证明。</w:t>
      </w:r>
    </w:p>
    <w:p w14:paraId="52C85FE2">
      <w:pPr>
        <w:spacing w:before="152" w:line="228" w:lineRule="auto"/>
        <w:ind w:left="42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3.不可抗力事件延续一百二十天以上，双方应通过友好协商，确定是否继续履行合同。</w:t>
      </w:r>
    </w:p>
    <w:p w14:paraId="5750BCDA">
      <w:pPr>
        <w:spacing w:before="154" w:line="228" w:lineRule="auto"/>
        <w:ind w:left="422"/>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第十二条</w:t>
      </w:r>
      <w:r>
        <w:rPr>
          <w:rFonts w:ascii="宋体" w:hAnsi="宋体" w:eastAsia="宋体" w:cs="宋体"/>
          <w:color w:val="auto"/>
          <w:spacing w:val="7"/>
          <w:sz w:val="20"/>
          <w:szCs w:val="20"/>
          <w:highlight w:val="none"/>
        </w:rPr>
        <w:t xml:space="preserve">  </w:t>
      </w:r>
      <w:r>
        <w:rPr>
          <w:rFonts w:ascii="宋体" w:hAnsi="宋体" w:eastAsia="宋体" w:cs="宋体"/>
          <w:b/>
          <w:bCs/>
          <w:color w:val="auto"/>
          <w:spacing w:val="7"/>
          <w:sz w:val="20"/>
          <w:szCs w:val="20"/>
          <w:highlight w:val="none"/>
        </w:rPr>
        <w:t>合同争议解决</w:t>
      </w:r>
    </w:p>
    <w:p w14:paraId="65EA9D90">
      <w:pPr>
        <w:spacing w:before="154" w:line="369" w:lineRule="auto"/>
        <w:ind w:right="53" w:firstLine="435"/>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1.因货物质量问题发生争议的，应邀请国家认可的质量检测机构对货物质量进行鉴定。货</w:t>
      </w:r>
      <w:r>
        <w:rPr>
          <w:rFonts w:ascii="宋体" w:hAnsi="宋体" w:eastAsia="宋体" w:cs="宋体"/>
          <w:color w:val="auto"/>
          <w:spacing w:val="9"/>
          <w:sz w:val="20"/>
          <w:szCs w:val="20"/>
          <w:highlight w:val="none"/>
        </w:rPr>
        <w:t>物符合标准的，鉴定费由甲方承担；货物不符合标准的，鉴定费由乙方承担。</w:t>
      </w:r>
    </w:p>
    <w:p w14:paraId="143D0F5E">
      <w:pPr>
        <w:spacing w:before="2" w:line="368" w:lineRule="auto"/>
        <w:ind w:left="4" w:right="53" w:firstLine="41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2.因履行本合同引起的或者与本合同有关的争议，</w:t>
      </w:r>
      <w:r>
        <w:rPr>
          <w:rFonts w:ascii="宋体" w:hAnsi="宋体" w:eastAsia="宋体" w:cs="宋体"/>
          <w:color w:val="auto"/>
          <w:spacing w:val="-43"/>
          <w:sz w:val="20"/>
          <w:szCs w:val="20"/>
          <w:highlight w:val="none"/>
        </w:rPr>
        <w:t xml:space="preserve"> </w:t>
      </w:r>
      <w:r>
        <w:rPr>
          <w:rFonts w:ascii="宋体" w:hAnsi="宋体" w:eastAsia="宋体" w:cs="宋体"/>
          <w:color w:val="auto"/>
          <w:spacing w:val="11"/>
          <w:sz w:val="20"/>
          <w:szCs w:val="20"/>
          <w:highlight w:val="none"/>
        </w:rPr>
        <w:t>甲乙双方应首先通过友好协商解决，如</w:t>
      </w:r>
      <w:r>
        <w:rPr>
          <w:rFonts w:ascii="宋体" w:hAnsi="宋体" w:eastAsia="宋体" w:cs="宋体"/>
          <w:color w:val="auto"/>
          <w:spacing w:val="7"/>
          <w:sz w:val="20"/>
          <w:szCs w:val="20"/>
          <w:highlight w:val="none"/>
        </w:rPr>
        <w:t>果协商不能解决，按下列</w:t>
      </w:r>
      <w:r>
        <w:rPr>
          <w:rFonts w:ascii="宋体" w:hAnsi="宋体" w:eastAsia="宋体" w:cs="宋体"/>
          <w:color w:val="auto"/>
          <w:spacing w:val="7"/>
          <w:sz w:val="20"/>
          <w:szCs w:val="20"/>
          <w:highlight w:val="none"/>
          <w:u w:val="single" w:color="auto"/>
        </w:rPr>
        <w:t xml:space="preserve">  ②  </w:t>
      </w:r>
      <w:r>
        <w:rPr>
          <w:rFonts w:ascii="宋体" w:hAnsi="宋体" w:eastAsia="宋体" w:cs="宋体"/>
          <w:color w:val="auto"/>
          <w:spacing w:val="-83"/>
          <w:sz w:val="20"/>
          <w:szCs w:val="20"/>
          <w:highlight w:val="none"/>
        </w:rPr>
        <w:t xml:space="preserve"> </w:t>
      </w:r>
      <w:r>
        <w:rPr>
          <w:rFonts w:ascii="宋体" w:hAnsi="宋体" w:eastAsia="宋体" w:cs="宋体"/>
          <w:color w:val="auto"/>
          <w:spacing w:val="7"/>
          <w:sz w:val="20"/>
          <w:szCs w:val="20"/>
          <w:highlight w:val="none"/>
        </w:rPr>
        <w:t>方式解决：</w:t>
      </w:r>
    </w:p>
    <w:p w14:paraId="752597EA">
      <w:pPr>
        <w:spacing w:line="225" w:lineRule="auto"/>
        <w:ind w:left="419"/>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①向</w:t>
      </w:r>
      <w:r>
        <w:rPr>
          <w:rFonts w:ascii="宋体" w:hAnsi="宋体" w:eastAsia="宋体" w:cs="宋体"/>
          <w:color w:val="auto"/>
          <w:spacing w:val="-91"/>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92"/>
          <w:sz w:val="20"/>
          <w:szCs w:val="20"/>
          <w:highlight w:val="none"/>
        </w:rPr>
        <w:t xml:space="preserve"> </w:t>
      </w:r>
      <w:r>
        <w:rPr>
          <w:rFonts w:ascii="宋体" w:hAnsi="宋体" w:eastAsia="宋体" w:cs="宋体"/>
          <w:color w:val="auto"/>
          <w:spacing w:val="7"/>
          <w:sz w:val="20"/>
          <w:szCs w:val="20"/>
          <w:highlight w:val="none"/>
        </w:rPr>
        <w:t>仲裁委员会申请仲裁；</w:t>
      </w:r>
    </w:p>
    <w:p w14:paraId="04EE5445">
      <w:pPr>
        <w:spacing w:before="157" w:line="225" w:lineRule="auto"/>
        <w:ind w:left="41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②向对甲方有管辖权的人民法院提起诉讼。</w:t>
      </w:r>
    </w:p>
    <w:p w14:paraId="00F8EDEC">
      <w:pPr>
        <w:spacing w:line="225" w:lineRule="auto"/>
        <w:rPr>
          <w:rFonts w:ascii="宋体" w:hAnsi="宋体" w:eastAsia="宋体" w:cs="宋体"/>
          <w:color w:val="auto"/>
          <w:sz w:val="20"/>
          <w:szCs w:val="20"/>
          <w:highlight w:val="none"/>
        </w:rPr>
        <w:sectPr>
          <w:footerReference r:id="rId72" w:type="default"/>
          <w:pgSz w:w="11910" w:h="16840"/>
          <w:pgMar w:top="1431" w:right="1447" w:bottom="1091" w:left="1688" w:header="0" w:footer="929" w:gutter="0"/>
          <w:pgNumType w:fmt="decimal"/>
          <w:cols w:space="720" w:num="1"/>
        </w:sectPr>
      </w:pPr>
    </w:p>
    <w:p w14:paraId="2BCD93A6">
      <w:pPr>
        <w:spacing w:before="48" w:line="228" w:lineRule="auto"/>
        <w:ind w:left="423"/>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第十三条</w:t>
      </w:r>
      <w:r>
        <w:rPr>
          <w:rFonts w:ascii="宋体" w:hAnsi="宋体" w:eastAsia="宋体" w:cs="宋体"/>
          <w:color w:val="auto"/>
          <w:spacing w:val="7"/>
          <w:sz w:val="20"/>
          <w:szCs w:val="20"/>
          <w:highlight w:val="none"/>
        </w:rPr>
        <w:t xml:space="preserve">  </w:t>
      </w:r>
      <w:r>
        <w:rPr>
          <w:rFonts w:ascii="宋体" w:hAnsi="宋体" w:eastAsia="宋体" w:cs="宋体"/>
          <w:b/>
          <w:bCs/>
          <w:color w:val="auto"/>
          <w:spacing w:val="7"/>
          <w:sz w:val="20"/>
          <w:szCs w:val="20"/>
          <w:highlight w:val="none"/>
        </w:rPr>
        <w:t>合同的变更、中止或者终止</w:t>
      </w:r>
    </w:p>
    <w:p w14:paraId="6D48552E">
      <w:pPr>
        <w:spacing w:before="153" w:line="369" w:lineRule="auto"/>
        <w:ind w:left="4" w:right="143" w:firstLine="43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 除《中华人民共和国政府采购法》第五十条规定的情形外，本合同一经签订，</w:t>
      </w:r>
      <w:r>
        <w:rPr>
          <w:rFonts w:ascii="宋体" w:hAnsi="宋体" w:eastAsia="宋体" w:cs="宋体"/>
          <w:color w:val="auto"/>
          <w:spacing w:val="-44"/>
          <w:sz w:val="20"/>
          <w:szCs w:val="20"/>
          <w:highlight w:val="none"/>
        </w:rPr>
        <w:t xml:space="preserve"> </w:t>
      </w:r>
      <w:r>
        <w:rPr>
          <w:rFonts w:ascii="宋体" w:hAnsi="宋体" w:eastAsia="宋体" w:cs="宋体"/>
          <w:color w:val="auto"/>
          <w:spacing w:val="8"/>
          <w:sz w:val="20"/>
          <w:szCs w:val="20"/>
          <w:highlight w:val="none"/>
        </w:rPr>
        <w:t>甲乙双方不得擅自变更、中止或者终止合同。</w:t>
      </w:r>
    </w:p>
    <w:p w14:paraId="032424F5">
      <w:pPr>
        <w:spacing w:before="2" w:line="369" w:lineRule="auto"/>
        <w:ind w:left="4" w:right="143" w:firstLine="419"/>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2.采购合同继续履行将损害国家利益和社会公共利益的，双方当事人应当变更、中止或者</w:t>
      </w:r>
      <w:r>
        <w:rPr>
          <w:rFonts w:ascii="宋体" w:hAnsi="宋体" w:eastAsia="宋体" w:cs="宋体"/>
          <w:color w:val="auto"/>
          <w:spacing w:val="9"/>
          <w:sz w:val="20"/>
          <w:szCs w:val="20"/>
          <w:highlight w:val="none"/>
        </w:rPr>
        <w:t>终止合同。有过错的一方应当承担赔偿责任，双方都有过错的，各自承担相应的责任。</w:t>
      </w:r>
    </w:p>
    <w:p w14:paraId="72B798BD">
      <w:pPr>
        <w:spacing w:line="227" w:lineRule="auto"/>
        <w:ind w:left="423"/>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第十四条</w:t>
      </w:r>
      <w:r>
        <w:rPr>
          <w:rFonts w:ascii="宋体" w:hAnsi="宋体" w:eastAsia="宋体" w:cs="宋体"/>
          <w:color w:val="auto"/>
          <w:spacing w:val="6"/>
          <w:sz w:val="20"/>
          <w:szCs w:val="20"/>
          <w:highlight w:val="none"/>
        </w:rPr>
        <w:t xml:space="preserve">  </w:t>
      </w:r>
      <w:r>
        <w:rPr>
          <w:rFonts w:ascii="宋体" w:hAnsi="宋体" w:eastAsia="宋体" w:cs="宋体"/>
          <w:b/>
          <w:bCs/>
          <w:color w:val="auto"/>
          <w:spacing w:val="6"/>
          <w:sz w:val="20"/>
          <w:szCs w:val="20"/>
          <w:highlight w:val="none"/>
        </w:rPr>
        <w:t>合同文件构成</w:t>
      </w:r>
    </w:p>
    <w:p w14:paraId="273D14A6">
      <w:pPr>
        <w:spacing w:before="151" w:line="227" w:lineRule="auto"/>
        <w:ind w:left="436"/>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1.政府采购合同</w:t>
      </w:r>
    </w:p>
    <w:p w14:paraId="231EAA85">
      <w:pPr>
        <w:spacing w:before="155" w:line="227" w:lineRule="auto"/>
        <w:ind w:left="423"/>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2.成交通知书；</w:t>
      </w:r>
    </w:p>
    <w:p w14:paraId="5D044406">
      <w:pPr>
        <w:spacing w:before="154" w:line="228" w:lineRule="auto"/>
        <w:ind w:left="425"/>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3.响应文件；</w:t>
      </w:r>
    </w:p>
    <w:p w14:paraId="3FC347A5">
      <w:pPr>
        <w:spacing w:before="152" w:line="226" w:lineRule="auto"/>
        <w:ind w:left="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4.采购文件及更正公告（澄清或补充通知）；</w:t>
      </w:r>
    </w:p>
    <w:p w14:paraId="7B49CB63">
      <w:pPr>
        <w:spacing w:before="156" w:line="228"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5.标准、规范及有关技术文件；</w:t>
      </w:r>
    </w:p>
    <w:p w14:paraId="1CA9119A">
      <w:pPr>
        <w:spacing w:before="154" w:line="228" w:lineRule="auto"/>
        <w:ind w:left="42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6.双方约定的其他合同文件。</w:t>
      </w:r>
    </w:p>
    <w:p w14:paraId="767A0575">
      <w:pPr>
        <w:spacing w:before="151" w:line="370" w:lineRule="auto"/>
        <w:ind w:left="17" w:right="143" w:firstLine="404"/>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上述合同文件互相补充和解释。如果合同文件之间存在矛</w:t>
      </w:r>
      <w:r>
        <w:rPr>
          <w:rFonts w:ascii="宋体" w:hAnsi="宋体" w:eastAsia="宋体" w:cs="宋体"/>
          <w:color w:val="auto"/>
          <w:spacing w:val="11"/>
          <w:sz w:val="20"/>
          <w:szCs w:val="20"/>
          <w:highlight w:val="none"/>
        </w:rPr>
        <w:t>盾或者不一致之处，</w:t>
      </w:r>
      <w:r>
        <w:rPr>
          <w:rFonts w:ascii="宋体" w:hAnsi="宋体" w:eastAsia="宋体" w:cs="宋体"/>
          <w:color w:val="auto"/>
          <w:spacing w:val="-57"/>
          <w:sz w:val="20"/>
          <w:szCs w:val="20"/>
          <w:highlight w:val="none"/>
        </w:rPr>
        <w:t xml:space="preserve"> </w:t>
      </w:r>
      <w:r>
        <w:rPr>
          <w:rFonts w:ascii="宋体" w:hAnsi="宋体" w:eastAsia="宋体" w:cs="宋体"/>
          <w:color w:val="auto"/>
          <w:spacing w:val="11"/>
          <w:sz w:val="20"/>
          <w:szCs w:val="20"/>
          <w:highlight w:val="none"/>
        </w:rPr>
        <w:t>以上述文件</w:t>
      </w:r>
      <w:r>
        <w:rPr>
          <w:rFonts w:ascii="宋体" w:hAnsi="宋体" w:eastAsia="宋体" w:cs="宋体"/>
          <w:color w:val="auto"/>
          <w:spacing w:val="6"/>
          <w:sz w:val="20"/>
          <w:szCs w:val="20"/>
          <w:highlight w:val="none"/>
        </w:rPr>
        <w:t>的排列顺序在先者为准。</w:t>
      </w:r>
    </w:p>
    <w:p w14:paraId="4AF3316A">
      <w:pPr>
        <w:spacing w:before="1" w:line="227" w:lineRule="auto"/>
        <w:ind w:left="423"/>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第十五条</w:t>
      </w:r>
      <w:r>
        <w:rPr>
          <w:rFonts w:ascii="宋体" w:hAnsi="宋体" w:eastAsia="宋体" w:cs="宋体"/>
          <w:color w:val="auto"/>
          <w:spacing w:val="7"/>
          <w:sz w:val="20"/>
          <w:szCs w:val="20"/>
          <w:highlight w:val="none"/>
        </w:rPr>
        <w:t xml:space="preserve">  </w:t>
      </w:r>
      <w:r>
        <w:rPr>
          <w:rFonts w:ascii="宋体" w:hAnsi="宋体" w:eastAsia="宋体" w:cs="宋体"/>
          <w:b/>
          <w:bCs/>
          <w:color w:val="auto"/>
          <w:spacing w:val="7"/>
          <w:sz w:val="20"/>
          <w:szCs w:val="20"/>
          <w:highlight w:val="none"/>
        </w:rPr>
        <w:t>知识产权和保密要求</w:t>
      </w:r>
    </w:p>
    <w:p w14:paraId="175599B7">
      <w:pPr>
        <w:spacing w:before="152" w:line="370" w:lineRule="auto"/>
        <w:ind w:left="5" w:right="143" w:firstLine="431"/>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1.甲方在履行合同过程中提供给乙方的全部图纸、文件和其他含有数据和信息的资料，其</w:t>
      </w:r>
      <w:r>
        <w:rPr>
          <w:rFonts w:ascii="宋体" w:hAnsi="宋体" w:eastAsia="宋体" w:cs="宋体"/>
          <w:color w:val="auto"/>
          <w:spacing w:val="7"/>
          <w:sz w:val="20"/>
          <w:szCs w:val="20"/>
          <w:highlight w:val="none"/>
        </w:rPr>
        <w:t>知识产权属于甲方。</w:t>
      </w:r>
    </w:p>
    <w:p w14:paraId="1DEAAE11">
      <w:pPr>
        <w:spacing w:line="369" w:lineRule="auto"/>
        <w:ind w:right="143"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2.除采购文件采购需求另有约定外，</w:t>
      </w:r>
      <w:r>
        <w:rPr>
          <w:rFonts w:ascii="宋体" w:hAnsi="宋体" w:eastAsia="宋体" w:cs="宋体"/>
          <w:color w:val="auto"/>
          <w:spacing w:val="-43"/>
          <w:sz w:val="20"/>
          <w:szCs w:val="20"/>
          <w:highlight w:val="none"/>
        </w:rPr>
        <w:t xml:space="preserve"> </w:t>
      </w:r>
      <w:r>
        <w:rPr>
          <w:rFonts w:ascii="宋体" w:hAnsi="宋体" w:eastAsia="宋体" w:cs="宋体"/>
          <w:color w:val="auto"/>
          <w:spacing w:val="11"/>
          <w:sz w:val="20"/>
          <w:szCs w:val="20"/>
          <w:highlight w:val="none"/>
        </w:rPr>
        <w:t>甲方不因签署和履行合同而享有乙方在履行合同过程</w:t>
      </w:r>
      <w:r>
        <w:rPr>
          <w:rFonts w:ascii="宋体" w:hAnsi="宋体" w:eastAsia="宋体" w:cs="宋体"/>
          <w:color w:val="auto"/>
          <w:spacing w:val="12"/>
          <w:sz w:val="20"/>
          <w:szCs w:val="20"/>
          <w:highlight w:val="none"/>
        </w:rPr>
        <w:t>中提供给甲方的图纸、文件、配套软件、</w:t>
      </w:r>
      <w:r>
        <w:rPr>
          <w:rFonts w:ascii="宋体" w:hAnsi="宋体" w:eastAsia="宋体" w:cs="宋体"/>
          <w:color w:val="auto"/>
          <w:spacing w:val="-59"/>
          <w:sz w:val="20"/>
          <w:szCs w:val="20"/>
          <w:highlight w:val="none"/>
        </w:rPr>
        <w:t xml:space="preserve"> </w:t>
      </w:r>
      <w:r>
        <w:rPr>
          <w:rFonts w:ascii="宋体" w:hAnsi="宋体" w:eastAsia="宋体" w:cs="宋体"/>
          <w:color w:val="auto"/>
          <w:spacing w:val="12"/>
          <w:sz w:val="20"/>
          <w:szCs w:val="20"/>
          <w:highlight w:val="none"/>
        </w:rPr>
        <w:t>电子辅助程序和其他含</w:t>
      </w:r>
      <w:r>
        <w:rPr>
          <w:rFonts w:ascii="宋体" w:hAnsi="宋体" w:eastAsia="宋体" w:cs="宋体"/>
          <w:color w:val="auto"/>
          <w:spacing w:val="11"/>
          <w:sz w:val="20"/>
          <w:szCs w:val="20"/>
          <w:highlight w:val="none"/>
        </w:rPr>
        <w:t>有数据和信息的资料的知识产</w:t>
      </w:r>
      <w:r>
        <w:rPr>
          <w:rFonts w:ascii="宋体" w:hAnsi="宋体" w:eastAsia="宋体" w:cs="宋体"/>
          <w:color w:val="auto"/>
          <w:sz w:val="20"/>
          <w:szCs w:val="20"/>
          <w:highlight w:val="none"/>
        </w:rPr>
        <w:t>权。</w:t>
      </w:r>
    </w:p>
    <w:p w14:paraId="65AFABF0">
      <w:pPr>
        <w:spacing w:before="1" w:line="369" w:lineRule="auto"/>
        <w:ind w:right="143" w:firstLine="425"/>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3.乙方应保证所提供货物在使用时不会侵犯任何第三方的知识产权或者其他权利。如合同</w:t>
      </w:r>
      <w:r>
        <w:rPr>
          <w:rFonts w:ascii="宋体" w:hAnsi="宋体" w:eastAsia="宋体" w:cs="宋体"/>
          <w:color w:val="auto"/>
          <w:spacing w:val="13"/>
          <w:sz w:val="20"/>
          <w:szCs w:val="20"/>
          <w:highlight w:val="none"/>
        </w:rPr>
        <w:t>货物涉及知识产权，则乙方保证甲方在使用合同货物过程中免于</w:t>
      </w:r>
      <w:r>
        <w:rPr>
          <w:rFonts w:ascii="宋体" w:hAnsi="宋体" w:eastAsia="宋体" w:cs="宋体"/>
          <w:color w:val="auto"/>
          <w:spacing w:val="12"/>
          <w:sz w:val="20"/>
          <w:szCs w:val="20"/>
          <w:highlight w:val="none"/>
        </w:rPr>
        <w:t>受到第三方提出的有关知识产</w:t>
      </w:r>
      <w:r>
        <w:rPr>
          <w:rFonts w:ascii="宋体" w:hAnsi="宋体" w:eastAsia="宋体" w:cs="宋体"/>
          <w:color w:val="auto"/>
          <w:spacing w:val="8"/>
          <w:sz w:val="20"/>
          <w:szCs w:val="20"/>
          <w:highlight w:val="none"/>
        </w:rPr>
        <w:t>权侵权的主张、索赔或诉讼的伤害。</w:t>
      </w:r>
    </w:p>
    <w:p w14:paraId="7C4A1842">
      <w:pPr>
        <w:spacing w:before="1" w:line="227" w:lineRule="auto"/>
        <w:ind w:left="420"/>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4.如果甲方收到任何第三方有关知识产权的主张、索赔或诉讼，乙方在收到甲方通知后，</w:t>
      </w:r>
    </w:p>
    <w:p w14:paraId="74871619">
      <w:pPr>
        <w:spacing w:before="152" w:line="369" w:lineRule="auto"/>
        <w:ind w:left="17" w:hanging="17"/>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应以甲方名义并在甲方的协助下，</w:t>
      </w:r>
      <w:r>
        <w:rPr>
          <w:rFonts w:ascii="宋体" w:hAnsi="宋体" w:eastAsia="宋体" w:cs="宋体"/>
          <w:color w:val="auto"/>
          <w:spacing w:val="-32"/>
          <w:sz w:val="20"/>
          <w:szCs w:val="20"/>
          <w:highlight w:val="none"/>
        </w:rPr>
        <w:t xml:space="preserve"> </w:t>
      </w:r>
      <w:r>
        <w:rPr>
          <w:rFonts w:ascii="宋体" w:hAnsi="宋体" w:eastAsia="宋体" w:cs="宋体"/>
          <w:color w:val="auto"/>
          <w:spacing w:val="11"/>
          <w:sz w:val="20"/>
          <w:szCs w:val="20"/>
          <w:highlight w:val="none"/>
        </w:rPr>
        <w:t>自负费用处理与第三方的索赔或诉讼，并赔偿甲方因此发生</w:t>
      </w:r>
      <w:r>
        <w:rPr>
          <w:rFonts w:ascii="宋体" w:hAnsi="宋体" w:eastAsia="宋体" w:cs="宋体"/>
          <w:color w:val="auto"/>
          <w:spacing w:val="6"/>
          <w:sz w:val="20"/>
          <w:szCs w:val="20"/>
          <w:highlight w:val="none"/>
        </w:rPr>
        <w:t>的费用和遭受的损失。如果乙方拒绝处理前述索赔或诉讼或在收到甲方通知后</w:t>
      </w:r>
      <w:r>
        <w:rPr>
          <w:rFonts w:ascii="宋体" w:hAnsi="宋体" w:eastAsia="宋体" w:cs="宋体"/>
          <w:color w:val="auto"/>
          <w:spacing w:val="-19"/>
          <w:sz w:val="20"/>
          <w:szCs w:val="20"/>
          <w:highlight w:val="none"/>
        </w:rPr>
        <w:t xml:space="preserve"> </w:t>
      </w:r>
      <w:r>
        <w:rPr>
          <w:rFonts w:ascii="宋体" w:hAnsi="宋体" w:eastAsia="宋体" w:cs="宋体"/>
          <w:color w:val="auto"/>
          <w:spacing w:val="6"/>
          <w:sz w:val="20"/>
          <w:szCs w:val="20"/>
          <w:highlight w:val="none"/>
        </w:rPr>
        <w:t>28 日内未作表示，</w:t>
      </w:r>
      <w:r>
        <w:rPr>
          <w:rFonts w:ascii="宋体" w:hAnsi="宋体" w:eastAsia="宋体" w:cs="宋体"/>
          <w:color w:val="auto"/>
          <w:spacing w:val="9"/>
          <w:sz w:val="20"/>
          <w:szCs w:val="20"/>
          <w:highlight w:val="none"/>
        </w:rPr>
        <w:t>甲方可以自己的名义进行这些索赔或诉讼，因此发生的费用和遭受的损失均应由乙方承担。</w:t>
      </w:r>
    </w:p>
    <w:p w14:paraId="69C85A3B">
      <w:pPr>
        <w:spacing w:before="1" w:line="369" w:lineRule="auto"/>
        <w:ind w:left="8" w:right="89" w:firstLine="41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5.未经甲方书面同意，乙方不得将由甲方提供</w:t>
      </w:r>
      <w:r>
        <w:rPr>
          <w:rFonts w:ascii="宋体" w:hAnsi="宋体" w:eastAsia="宋体" w:cs="宋体"/>
          <w:color w:val="auto"/>
          <w:spacing w:val="8"/>
          <w:sz w:val="20"/>
          <w:szCs w:val="20"/>
          <w:highlight w:val="none"/>
        </w:rPr>
        <w:t>的有关合同或者任何合同条款、规格、计划、</w:t>
      </w:r>
      <w:r>
        <w:rPr>
          <w:rFonts w:ascii="宋体" w:hAnsi="宋体" w:eastAsia="宋体" w:cs="宋体"/>
          <w:color w:val="auto"/>
          <w:spacing w:val="13"/>
          <w:sz w:val="20"/>
          <w:szCs w:val="20"/>
          <w:highlight w:val="none"/>
        </w:rPr>
        <w:t>图纸、样品或者资料提供给与履行本合同无</w:t>
      </w:r>
      <w:r>
        <w:rPr>
          <w:rFonts w:ascii="宋体" w:hAnsi="宋体" w:eastAsia="宋体" w:cs="宋体"/>
          <w:color w:val="auto"/>
          <w:spacing w:val="12"/>
          <w:sz w:val="20"/>
          <w:szCs w:val="20"/>
          <w:highlight w:val="none"/>
        </w:rPr>
        <w:t>关的任何其他人。即使向履行本合同有关的其他人</w:t>
      </w:r>
      <w:r>
        <w:rPr>
          <w:rFonts w:ascii="宋体" w:hAnsi="宋体" w:eastAsia="宋体" w:cs="宋体"/>
          <w:color w:val="auto"/>
          <w:spacing w:val="8"/>
          <w:sz w:val="20"/>
          <w:szCs w:val="20"/>
          <w:highlight w:val="none"/>
        </w:rPr>
        <w:t>员提供，也应注意保密并限于履行合同的必需范围。</w:t>
      </w:r>
    </w:p>
    <w:p w14:paraId="7078FB17">
      <w:pPr>
        <w:spacing w:before="1" w:line="226"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6.乙方保证将要交付的货物的所有权完全属于乙方且无任何抵押、质押、查封等产权瑕疵。</w:t>
      </w:r>
    </w:p>
    <w:p w14:paraId="6A698678">
      <w:pPr>
        <w:spacing w:before="155" w:line="228" w:lineRule="auto"/>
        <w:ind w:left="423"/>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第十六条</w:t>
      </w:r>
      <w:r>
        <w:rPr>
          <w:rFonts w:ascii="宋体" w:hAnsi="宋体" w:eastAsia="宋体" w:cs="宋体"/>
          <w:color w:val="auto"/>
          <w:spacing w:val="7"/>
          <w:sz w:val="20"/>
          <w:szCs w:val="20"/>
          <w:highlight w:val="none"/>
        </w:rPr>
        <w:t xml:space="preserve">  </w:t>
      </w:r>
      <w:r>
        <w:rPr>
          <w:rFonts w:ascii="宋体" w:hAnsi="宋体" w:eastAsia="宋体" w:cs="宋体"/>
          <w:b/>
          <w:bCs/>
          <w:color w:val="auto"/>
          <w:spacing w:val="7"/>
          <w:sz w:val="20"/>
          <w:szCs w:val="20"/>
          <w:highlight w:val="none"/>
        </w:rPr>
        <w:t>合同生效及其他</w:t>
      </w:r>
    </w:p>
    <w:p w14:paraId="2534B00E">
      <w:pPr>
        <w:spacing w:before="153" w:line="369" w:lineRule="auto"/>
        <w:ind w:left="12" w:right="143" w:firstLine="423"/>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1.合同经双方法定代表人或者委托代理人签字并加盖单位公章后生效（委托代理人签字的</w:t>
      </w:r>
      <w:r>
        <w:rPr>
          <w:rFonts w:ascii="宋体" w:hAnsi="宋体" w:eastAsia="宋体" w:cs="宋体"/>
          <w:color w:val="auto"/>
          <w:spacing w:val="7"/>
          <w:sz w:val="20"/>
          <w:szCs w:val="20"/>
          <w:highlight w:val="none"/>
        </w:rPr>
        <w:t>需后附授权委托书，格式自拟）。</w:t>
      </w:r>
    </w:p>
    <w:p w14:paraId="677AE4E6">
      <w:pPr>
        <w:spacing w:before="1" w:line="227" w:lineRule="auto"/>
        <w:ind w:left="423"/>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2.合同执行中涉及采购资金和采购内容修改或者补充的，并签订书面补充协议报财政部门</w:t>
      </w:r>
    </w:p>
    <w:p w14:paraId="779C3836">
      <w:pPr>
        <w:spacing w:line="227" w:lineRule="auto"/>
        <w:rPr>
          <w:rFonts w:ascii="宋体" w:hAnsi="宋体" w:eastAsia="宋体" w:cs="宋体"/>
          <w:color w:val="auto"/>
          <w:sz w:val="20"/>
          <w:szCs w:val="20"/>
          <w:highlight w:val="none"/>
        </w:rPr>
        <w:sectPr>
          <w:footerReference r:id="rId73" w:type="default"/>
          <w:pgSz w:w="11910" w:h="16840"/>
          <w:pgMar w:top="1431" w:right="1357" w:bottom="1091" w:left="1687" w:header="0" w:footer="929" w:gutter="0"/>
          <w:pgNumType w:fmt="decimal"/>
          <w:cols w:space="720" w:num="1"/>
        </w:sectPr>
      </w:pPr>
    </w:p>
    <w:p w14:paraId="6FA1E74F">
      <w:pPr>
        <w:spacing w:before="48" w:line="228" w:lineRule="auto"/>
        <w:ind w:left="12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备案，方可作为主合同不可分割的一部分。</w:t>
      </w:r>
    </w:p>
    <w:p w14:paraId="7C4571F0">
      <w:pPr>
        <w:spacing w:before="153" w:line="369" w:lineRule="auto"/>
        <w:ind w:left="119" w:right="112"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3.合同生效后，</w:t>
      </w:r>
      <w:r>
        <w:rPr>
          <w:rFonts w:ascii="宋体" w:hAnsi="宋体" w:eastAsia="宋体" w:cs="宋体"/>
          <w:color w:val="auto"/>
          <w:spacing w:val="-45"/>
          <w:sz w:val="20"/>
          <w:szCs w:val="20"/>
          <w:highlight w:val="none"/>
        </w:rPr>
        <w:t xml:space="preserve"> </w:t>
      </w:r>
      <w:r>
        <w:rPr>
          <w:rFonts w:ascii="宋体" w:hAnsi="宋体" w:eastAsia="宋体" w:cs="宋体"/>
          <w:color w:val="auto"/>
          <w:spacing w:val="11"/>
          <w:sz w:val="20"/>
          <w:szCs w:val="20"/>
          <w:highlight w:val="none"/>
        </w:rPr>
        <w:t>甲乙双方不得因姓名、名称的变更或者法定代表人、负责人、承办人的变</w:t>
      </w:r>
      <w:r>
        <w:rPr>
          <w:rFonts w:ascii="宋体" w:hAnsi="宋体" w:eastAsia="宋体" w:cs="宋体"/>
          <w:color w:val="auto"/>
          <w:spacing w:val="7"/>
          <w:sz w:val="20"/>
          <w:szCs w:val="20"/>
          <w:highlight w:val="none"/>
        </w:rPr>
        <w:t>动而不履行合同义务。</w:t>
      </w:r>
    </w:p>
    <w:p w14:paraId="3D6352A3">
      <w:pPr>
        <w:spacing w:line="226" w:lineRule="auto"/>
        <w:ind w:left="53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4.本合同未尽事宜，遵照《中华人民共和国民法典》有关条文执行。</w:t>
      </w:r>
    </w:p>
    <w:p w14:paraId="44BB3880">
      <w:pPr>
        <w:spacing w:before="153" w:line="355" w:lineRule="auto"/>
        <w:ind w:left="141" w:right="85" w:firstLine="40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5.本合同一式四份，具有同等法律效力，</w:t>
      </w:r>
      <w:r>
        <w:rPr>
          <w:rFonts w:ascii="宋体" w:hAnsi="宋体" w:eastAsia="宋体" w:cs="宋体"/>
          <w:color w:val="auto"/>
          <w:spacing w:val="-53"/>
          <w:sz w:val="20"/>
          <w:szCs w:val="20"/>
          <w:highlight w:val="none"/>
        </w:rPr>
        <w:t xml:space="preserve"> </w:t>
      </w:r>
      <w:r>
        <w:rPr>
          <w:rFonts w:ascii="宋体" w:hAnsi="宋体" w:eastAsia="宋体" w:cs="宋体"/>
          <w:color w:val="auto"/>
          <w:spacing w:val="11"/>
          <w:sz w:val="20"/>
          <w:szCs w:val="20"/>
          <w:highlight w:val="none"/>
        </w:rPr>
        <w:t>甲方二份、乙方一</w:t>
      </w:r>
      <w:r>
        <w:rPr>
          <w:rFonts w:ascii="宋体" w:hAnsi="宋体" w:eastAsia="宋体" w:cs="宋体"/>
          <w:color w:val="auto"/>
          <w:spacing w:val="10"/>
          <w:sz w:val="20"/>
          <w:szCs w:val="20"/>
          <w:highlight w:val="none"/>
        </w:rPr>
        <w:t>份、采购代理机构一份。</w:t>
      </w:r>
      <w:r>
        <w:rPr>
          <w:rFonts w:ascii="宋体" w:hAnsi="宋体" w:eastAsia="宋体" w:cs="宋体"/>
          <w:color w:val="auto"/>
          <w:spacing w:val="-73"/>
          <w:sz w:val="20"/>
          <w:szCs w:val="20"/>
          <w:highlight w:val="none"/>
        </w:rPr>
        <w:t xml:space="preserve"> </w:t>
      </w:r>
      <w:r>
        <w:rPr>
          <w:rFonts w:ascii="宋体" w:hAnsi="宋体" w:eastAsia="宋体" w:cs="宋体"/>
          <w:i/>
          <w:iCs/>
          <w:color w:val="auto"/>
          <w:spacing w:val="10"/>
          <w:sz w:val="21"/>
          <w:szCs w:val="21"/>
          <w:highlight w:val="none"/>
        </w:rPr>
        <w:t>（可</w:t>
      </w:r>
      <w:r>
        <w:rPr>
          <w:rFonts w:ascii="宋体" w:hAnsi="宋体" w:eastAsia="宋体" w:cs="宋体"/>
          <w:i/>
          <w:iCs/>
          <w:color w:val="auto"/>
          <w:spacing w:val="-1"/>
          <w:sz w:val="21"/>
          <w:szCs w:val="21"/>
          <w:highlight w:val="none"/>
        </w:rPr>
        <w:t>根据需要另行增加）</w:t>
      </w:r>
      <w:r>
        <w:rPr>
          <w:rFonts w:ascii="宋体" w:hAnsi="宋体" w:eastAsia="宋体" w:cs="宋体"/>
          <w:color w:val="auto"/>
          <w:spacing w:val="-1"/>
          <w:sz w:val="20"/>
          <w:szCs w:val="20"/>
          <w:highlight w:val="none"/>
        </w:rPr>
        <w:t>。</w:t>
      </w:r>
    </w:p>
    <w:p w14:paraId="2DB9A058">
      <w:pPr>
        <w:spacing w:before="12"/>
        <w:rPr>
          <w:color w:val="auto"/>
          <w:highlight w:val="none"/>
        </w:rPr>
      </w:pPr>
    </w:p>
    <w:tbl>
      <w:tblPr>
        <w:tblStyle w:val="11"/>
        <w:tblW w:w="89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73"/>
        <w:gridCol w:w="4473"/>
      </w:tblGrid>
      <w:tr w14:paraId="54DE8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8" w:hRule="atLeast"/>
        </w:trPr>
        <w:tc>
          <w:tcPr>
            <w:tcW w:w="4473" w:type="dxa"/>
            <w:vAlign w:val="top"/>
          </w:tcPr>
          <w:p w14:paraId="4952F71A">
            <w:pPr>
              <w:pStyle w:val="12"/>
              <w:spacing w:before="233" w:line="227" w:lineRule="auto"/>
              <w:ind w:left="143"/>
              <w:rPr>
                <w:color w:val="auto"/>
                <w:highlight w:val="none"/>
              </w:rPr>
            </w:pPr>
            <w:r>
              <w:rPr>
                <w:color w:val="auto"/>
                <w:highlight w:val="none"/>
              </w:rPr>
              <w:t>甲方（章）</w:t>
            </w:r>
          </w:p>
          <w:p w14:paraId="37C4497E">
            <w:pPr>
              <w:spacing w:line="280" w:lineRule="auto"/>
              <w:rPr>
                <w:rFonts w:ascii="Arial"/>
                <w:color w:val="auto"/>
                <w:sz w:val="21"/>
                <w:highlight w:val="none"/>
              </w:rPr>
            </w:pPr>
          </w:p>
          <w:p w14:paraId="7F7C59E5">
            <w:pPr>
              <w:spacing w:line="280" w:lineRule="auto"/>
              <w:rPr>
                <w:rFonts w:ascii="Arial"/>
                <w:color w:val="auto"/>
                <w:sz w:val="21"/>
                <w:highlight w:val="none"/>
              </w:rPr>
            </w:pPr>
          </w:p>
          <w:p w14:paraId="170CAD42">
            <w:pPr>
              <w:spacing w:line="281" w:lineRule="auto"/>
              <w:rPr>
                <w:rFonts w:ascii="Arial"/>
                <w:color w:val="auto"/>
                <w:sz w:val="21"/>
                <w:highlight w:val="none"/>
              </w:rPr>
            </w:pPr>
          </w:p>
          <w:p w14:paraId="3B32B06D">
            <w:pPr>
              <w:spacing w:line="281" w:lineRule="auto"/>
              <w:rPr>
                <w:rFonts w:ascii="Arial"/>
                <w:color w:val="auto"/>
                <w:sz w:val="21"/>
                <w:highlight w:val="none"/>
              </w:rPr>
            </w:pPr>
          </w:p>
          <w:p w14:paraId="124EB79D">
            <w:pPr>
              <w:pStyle w:val="12"/>
              <w:spacing w:before="65" w:line="225" w:lineRule="auto"/>
              <w:ind w:left="3112"/>
              <w:rPr>
                <w:color w:val="auto"/>
                <w:highlight w:val="none"/>
              </w:rPr>
            </w:pPr>
            <w:r>
              <w:rPr>
                <w:color w:val="auto"/>
                <w:spacing w:val="-2"/>
                <w:highlight w:val="none"/>
              </w:rPr>
              <w:t>年</w:t>
            </w:r>
            <w:r>
              <w:rPr>
                <w:color w:val="auto"/>
                <w:spacing w:val="9"/>
                <w:highlight w:val="none"/>
              </w:rPr>
              <w:t xml:space="preserve">   </w:t>
            </w:r>
            <w:r>
              <w:rPr>
                <w:color w:val="auto"/>
                <w:spacing w:val="-2"/>
                <w:highlight w:val="none"/>
              </w:rPr>
              <w:t>月</w:t>
            </w:r>
            <w:r>
              <w:rPr>
                <w:color w:val="auto"/>
                <w:spacing w:val="20"/>
                <w:highlight w:val="none"/>
              </w:rPr>
              <w:t xml:space="preserve">   </w:t>
            </w:r>
            <w:r>
              <w:rPr>
                <w:color w:val="auto"/>
                <w:spacing w:val="-2"/>
                <w:highlight w:val="none"/>
              </w:rPr>
              <w:t>日</w:t>
            </w:r>
          </w:p>
        </w:tc>
        <w:tc>
          <w:tcPr>
            <w:tcW w:w="4473" w:type="dxa"/>
            <w:vAlign w:val="top"/>
          </w:tcPr>
          <w:p w14:paraId="01347D2E">
            <w:pPr>
              <w:pStyle w:val="12"/>
              <w:spacing w:before="233" w:line="227" w:lineRule="auto"/>
              <w:ind w:left="135"/>
              <w:rPr>
                <w:color w:val="auto"/>
                <w:highlight w:val="none"/>
              </w:rPr>
            </w:pPr>
            <w:r>
              <w:rPr>
                <w:color w:val="auto"/>
                <w:spacing w:val="1"/>
                <w:highlight w:val="none"/>
              </w:rPr>
              <w:t>乙方（章）</w:t>
            </w:r>
          </w:p>
          <w:p w14:paraId="50FF02D8">
            <w:pPr>
              <w:spacing w:line="280" w:lineRule="auto"/>
              <w:rPr>
                <w:rFonts w:ascii="Arial"/>
                <w:color w:val="auto"/>
                <w:sz w:val="21"/>
                <w:highlight w:val="none"/>
              </w:rPr>
            </w:pPr>
          </w:p>
          <w:p w14:paraId="22F180B8">
            <w:pPr>
              <w:spacing w:line="280" w:lineRule="auto"/>
              <w:rPr>
                <w:rFonts w:ascii="Arial"/>
                <w:color w:val="auto"/>
                <w:sz w:val="21"/>
                <w:highlight w:val="none"/>
              </w:rPr>
            </w:pPr>
          </w:p>
          <w:p w14:paraId="39C2A292">
            <w:pPr>
              <w:spacing w:line="281" w:lineRule="auto"/>
              <w:rPr>
                <w:rFonts w:ascii="Arial"/>
                <w:color w:val="auto"/>
                <w:sz w:val="21"/>
                <w:highlight w:val="none"/>
              </w:rPr>
            </w:pPr>
          </w:p>
          <w:p w14:paraId="37FB8C53">
            <w:pPr>
              <w:spacing w:line="281" w:lineRule="auto"/>
              <w:rPr>
                <w:rFonts w:ascii="Arial"/>
                <w:color w:val="auto"/>
                <w:sz w:val="21"/>
                <w:highlight w:val="none"/>
              </w:rPr>
            </w:pPr>
          </w:p>
          <w:p w14:paraId="5F83F309">
            <w:pPr>
              <w:pStyle w:val="12"/>
              <w:spacing w:before="65" w:line="225" w:lineRule="auto"/>
              <w:ind w:left="3110"/>
              <w:rPr>
                <w:color w:val="auto"/>
                <w:highlight w:val="none"/>
              </w:rPr>
            </w:pPr>
            <w:r>
              <w:rPr>
                <w:color w:val="auto"/>
                <w:spacing w:val="-2"/>
                <w:highlight w:val="none"/>
              </w:rPr>
              <w:t>年</w:t>
            </w:r>
            <w:r>
              <w:rPr>
                <w:color w:val="auto"/>
                <w:spacing w:val="9"/>
                <w:highlight w:val="none"/>
              </w:rPr>
              <w:t xml:space="preserve">   </w:t>
            </w:r>
            <w:r>
              <w:rPr>
                <w:color w:val="auto"/>
                <w:spacing w:val="-2"/>
                <w:highlight w:val="none"/>
              </w:rPr>
              <w:t>月</w:t>
            </w:r>
            <w:r>
              <w:rPr>
                <w:color w:val="auto"/>
                <w:spacing w:val="20"/>
                <w:highlight w:val="none"/>
              </w:rPr>
              <w:t xml:space="preserve">   </w:t>
            </w:r>
            <w:r>
              <w:rPr>
                <w:color w:val="auto"/>
                <w:spacing w:val="-2"/>
                <w:highlight w:val="none"/>
              </w:rPr>
              <w:t>日</w:t>
            </w:r>
          </w:p>
        </w:tc>
      </w:tr>
      <w:tr w14:paraId="13E21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473" w:type="dxa"/>
            <w:vAlign w:val="top"/>
          </w:tcPr>
          <w:p w14:paraId="5F30BCAA">
            <w:pPr>
              <w:pStyle w:val="12"/>
              <w:spacing w:before="230" w:line="225" w:lineRule="auto"/>
              <w:ind w:left="118"/>
              <w:rPr>
                <w:color w:val="auto"/>
                <w:highlight w:val="none"/>
              </w:rPr>
            </w:pPr>
            <w:r>
              <w:rPr>
                <w:color w:val="auto"/>
                <w:spacing w:val="5"/>
                <w:highlight w:val="none"/>
              </w:rPr>
              <w:t>单位地址：</w:t>
            </w:r>
          </w:p>
        </w:tc>
        <w:tc>
          <w:tcPr>
            <w:tcW w:w="4473" w:type="dxa"/>
            <w:vAlign w:val="top"/>
          </w:tcPr>
          <w:p w14:paraId="6803323E">
            <w:pPr>
              <w:pStyle w:val="12"/>
              <w:spacing w:before="230" w:line="225" w:lineRule="auto"/>
              <w:ind w:left="116"/>
              <w:rPr>
                <w:color w:val="auto"/>
                <w:highlight w:val="none"/>
              </w:rPr>
            </w:pPr>
            <w:r>
              <w:rPr>
                <w:color w:val="auto"/>
                <w:spacing w:val="5"/>
                <w:highlight w:val="none"/>
              </w:rPr>
              <w:t>单位地址：</w:t>
            </w:r>
          </w:p>
        </w:tc>
      </w:tr>
      <w:tr w14:paraId="27FFB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4473" w:type="dxa"/>
            <w:vAlign w:val="top"/>
          </w:tcPr>
          <w:p w14:paraId="3C8D8A6A">
            <w:pPr>
              <w:pStyle w:val="12"/>
              <w:spacing w:before="231" w:line="225" w:lineRule="auto"/>
              <w:ind w:left="117"/>
              <w:rPr>
                <w:color w:val="auto"/>
                <w:highlight w:val="none"/>
              </w:rPr>
            </w:pPr>
            <w:r>
              <w:rPr>
                <w:color w:val="auto"/>
                <w:spacing w:val="6"/>
                <w:highlight w:val="none"/>
              </w:rPr>
              <w:t>法定代表人：</w:t>
            </w:r>
          </w:p>
        </w:tc>
        <w:tc>
          <w:tcPr>
            <w:tcW w:w="4473" w:type="dxa"/>
            <w:vAlign w:val="top"/>
          </w:tcPr>
          <w:p w14:paraId="65EA4CC5">
            <w:pPr>
              <w:pStyle w:val="12"/>
              <w:spacing w:before="231" w:line="225" w:lineRule="auto"/>
              <w:ind w:left="115"/>
              <w:rPr>
                <w:color w:val="auto"/>
                <w:highlight w:val="none"/>
              </w:rPr>
            </w:pPr>
            <w:r>
              <w:rPr>
                <w:color w:val="auto"/>
                <w:spacing w:val="6"/>
                <w:highlight w:val="none"/>
              </w:rPr>
              <w:t>法定代表人：</w:t>
            </w:r>
          </w:p>
        </w:tc>
      </w:tr>
      <w:tr w14:paraId="65A3A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473" w:type="dxa"/>
            <w:vAlign w:val="top"/>
          </w:tcPr>
          <w:p w14:paraId="5021FE78">
            <w:pPr>
              <w:pStyle w:val="12"/>
              <w:spacing w:before="231" w:line="224" w:lineRule="auto"/>
              <w:ind w:left="115"/>
              <w:rPr>
                <w:color w:val="auto"/>
                <w:highlight w:val="none"/>
              </w:rPr>
            </w:pPr>
            <w:r>
              <w:rPr>
                <w:color w:val="auto"/>
                <w:spacing w:val="6"/>
                <w:highlight w:val="none"/>
              </w:rPr>
              <w:t>委托代理人：</w:t>
            </w:r>
          </w:p>
        </w:tc>
        <w:tc>
          <w:tcPr>
            <w:tcW w:w="4473" w:type="dxa"/>
            <w:vAlign w:val="top"/>
          </w:tcPr>
          <w:p w14:paraId="473636BE">
            <w:pPr>
              <w:pStyle w:val="12"/>
              <w:spacing w:before="231" w:line="224" w:lineRule="auto"/>
              <w:ind w:left="113"/>
              <w:rPr>
                <w:color w:val="auto"/>
                <w:highlight w:val="none"/>
              </w:rPr>
            </w:pPr>
            <w:r>
              <w:rPr>
                <w:color w:val="auto"/>
                <w:spacing w:val="6"/>
                <w:highlight w:val="none"/>
              </w:rPr>
              <w:t>委托代理人：</w:t>
            </w:r>
          </w:p>
        </w:tc>
      </w:tr>
      <w:tr w14:paraId="36156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4473" w:type="dxa"/>
            <w:vAlign w:val="top"/>
          </w:tcPr>
          <w:p w14:paraId="730D8A76">
            <w:pPr>
              <w:pStyle w:val="12"/>
              <w:spacing w:before="231" w:line="225" w:lineRule="auto"/>
              <w:ind w:left="140"/>
              <w:rPr>
                <w:color w:val="auto"/>
                <w:highlight w:val="none"/>
              </w:rPr>
            </w:pPr>
            <w:r>
              <w:rPr>
                <w:color w:val="auto"/>
                <w:spacing w:val="-5"/>
                <w:highlight w:val="none"/>
              </w:rPr>
              <w:t>电话：</w:t>
            </w:r>
          </w:p>
        </w:tc>
        <w:tc>
          <w:tcPr>
            <w:tcW w:w="4473" w:type="dxa"/>
            <w:vAlign w:val="top"/>
          </w:tcPr>
          <w:p w14:paraId="53148F37">
            <w:pPr>
              <w:pStyle w:val="12"/>
              <w:spacing w:before="231" w:line="225" w:lineRule="auto"/>
              <w:ind w:left="139"/>
              <w:rPr>
                <w:color w:val="auto"/>
                <w:highlight w:val="none"/>
              </w:rPr>
            </w:pPr>
            <w:r>
              <w:rPr>
                <w:color w:val="auto"/>
                <w:spacing w:val="-5"/>
                <w:highlight w:val="none"/>
              </w:rPr>
              <w:t>电话：</w:t>
            </w:r>
          </w:p>
        </w:tc>
      </w:tr>
      <w:tr w14:paraId="43304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4473" w:type="dxa"/>
            <w:vAlign w:val="top"/>
          </w:tcPr>
          <w:p w14:paraId="3278A221">
            <w:pPr>
              <w:pStyle w:val="12"/>
              <w:spacing w:before="233" w:line="223" w:lineRule="auto"/>
              <w:ind w:left="140"/>
              <w:rPr>
                <w:color w:val="auto"/>
                <w:highlight w:val="none"/>
              </w:rPr>
            </w:pPr>
            <w:r>
              <w:rPr>
                <w:color w:val="auto"/>
                <w:spacing w:val="1"/>
                <w:highlight w:val="none"/>
              </w:rPr>
              <w:t>电子邮箱：</w:t>
            </w:r>
          </w:p>
        </w:tc>
        <w:tc>
          <w:tcPr>
            <w:tcW w:w="4473" w:type="dxa"/>
            <w:vAlign w:val="top"/>
          </w:tcPr>
          <w:p w14:paraId="64431F10">
            <w:pPr>
              <w:pStyle w:val="12"/>
              <w:spacing w:before="233" w:line="223" w:lineRule="auto"/>
              <w:ind w:left="139"/>
              <w:rPr>
                <w:color w:val="auto"/>
                <w:highlight w:val="none"/>
              </w:rPr>
            </w:pPr>
            <w:r>
              <w:rPr>
                <w:color w:val="auto"/>
                <w:spacing w:val="1"/>
                <w:highlight w:val="none"/>
              </w:rPr>
              <w:t>电子邮箱：</w:t>
            </w:r>
          </w:p>
        </w:tc>
      </w:tr>
      <w:tr w14:paraId="40A1B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4473" w:type="dxa"/>
            <w:vAlign w:val="top"/>
          </w:tcPr>
          <w:p w14:paraId="2C043D81">
            <w:pPr>
              <w:rPr>
                <w:rFonts w:ascii="Arial"/>
                <w:color w:val="auto"/>
                <w:sz w:val="21"/>
                <w:highlight w:val="none"/>
              </w:rPr>
            </w:pPr>
          </w:p>
          <w:p w14:paraId="39AD0DCB">
            <w:pPr>
              <w:pStyle w:val="12"/>
              <w:spacing w:before="65" w:line="228" w:lineRule="auto"/>
              <w:ind w:left="131"/>
              <w:rPr>
                <w:color w:val="auto"/>
                <w:highlight w:val="none"/>
              </w:rPr>
            </w:pPr>
            <w:r>
              <w:rPr>
                <w:color w:val="auto"/>
                <w:spacing w:val="2"/>
                <w:highlight w:val="none"/>
              </w:rPr>
              <w:t>邮政编码：</w:t>
            </w:r>
          </w:p>
        </w:tc>
        <w:tc>
          <w:tcPr>
            <w:tcW w:w="4473" w:type="dxa"/>
            <w:vAlign w:val="top"/>
          </w:tcPr>
          <w:p w14:paraId="765F7B92">
            <w:pPr>
              <w:spacing w:line="241" w:lineRule="auto"/>
              <w:rPr>
                <w:rFonts w:ascii="Arial"/>
                <w:color w:val="auto"/>
                <w:sz w:val="21"/>
                <w:highlight w:val="none"/>
              </w:rPr>
            </w:pPr>
          </w:p>
          <w:p w14:paraId="3B50A5F5">
            <w:pPr>
              <w:pStyle w:val="12"/>
              <w:spacing w:before="65" w:line="228" w:lineRule="auto"/>
              <w:ind w:left="115"/>
              <w:rPr>
                <w:color w:val="auto"/>
                <w:highlight w:val="none"/>
              </w:rPr>
            </w:pPr>
            <w:r>
              <w:rPr>
                <w:color w:val="auto"/>
                <w:spacing w:val="5"/>
                <w:highlight w:val="none"/>
              </w:rPr>
              <w:t>开户银行：</w:t>
            </w:r>
          </w:p>
        </w:tc>
      </w:tr>
      <w:tr w14:paraId="4775E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4473" w:type="dxa"/>
            <w:vAlign w:val="top"/>
          </w:tcPr>
          <w:p w14:paraId="370D4D1F">
            <w:pPr>
              <w:rPr>
                <w:rFonts w:ascii="Arial"/>
                <w:color w:val="auto"/>
                <w:sz w:val="21"/>
                <w:highlight w:val="none"/>
              </w:rPr>
            </w:pPr>
          </w:p>
        </w:tc>
        <w:tc>
          <w:tcPr>
            <w:tcW w:w="4473" w:type="dxa"/>
            <w:vAlign w:val="top"/>
          </w:tcPr>
          <w:p w14:paraId="4EEDA26C">
            <w:pPr>
              <w:pStyle w:val="12"/>
              <w:spacing w:before="232" w:line="224" w:lineRule="auto"/>
              <w:ind w:left="117"/>
              <w:rPr>
                <w:color w:val="auto"/>
                <w:highlight w:val="none"/>
              </w:rPr>
            </w:pPr>
            <w:r>
              <w:rPr>
                <w:color w:val="auto"/>
                <w:spacing w:val="2"/>
                <w:highlight w:val="none"/>
              </w:rPr>
              <w:t>账号：</w:t>
            </w:r>
          </w:p>
        </w:tc>
      </w:tr>
      <w:tr w14:paraId="026AB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4473" w:type="dxa"/>
            <w:vAlign w:val="top"/>
          </w:tcPr>
          <w:p w14:paraId="516E8B52">
            <w:pPr>
              <w:rPr>
                <w:rFonts w:ascii="Arial"/>
                <w:color w:val="auto"/>
                <w:sz w:val="21"/>
                <w:highlight w:val="none"/>
              </w:rPr>
            </w:pPr>
          </w:p>
        </w:tc>
        <w:tc>
          <w:tcPr>
            <w:tcW w:w="4473" w:type="dxa"/>
            <w:vAlign w:val="top"/>
          </w:tcPr>
          <w:p w14:paraId="1B5C2ACD">
            <w:pPr>
              <w:pStyle w:val="12"/>
              <w:spacing w:before="250" w:line="228" w:lineRule="auto"/>
              <w:ind w:left="130"/>
              <w:rPr>
                <w:color w:val="auto"/>
                <w:highlight w:val="none"/>
              </w:rPr>
            </w:pPr>
            <w:r>
              <w:rPr>
                <w:color w:val="auto"/>
                <w:spacing w:val="2"/>
                <w:highlight w:val="none"/>
              </w:rPr>
              <w:t>邮政编码：</w:t>
            </w:r>
          </w:p>
        </w:tc>
      </w:tr>
    </w:tbl>
    <w:p w14:paraId="1AE2FB31">
      <w:pPr>
        <w:rPr>
          <w:rFonts w:ascii="Arial"/>
          <w:color w:val="auto"/>
          <w:sz w:val="21"/>
          <w:highlight w:val="none"/>
        </w:rPr>
      </w:pPr>
    </w:p>
    <w:p w14:paraId="227DDB14">
      <w:pPr>
        <w:rPr>
          <w:rFonts w:ascii="Arial" w:hAnsi="Arial" w:eastAsia="Arial" w:cs="Arial"/>
          <w:color w:val="auto"/>
          <w:sz w:val="21"/>
          <w:szCs w:val="21"/>
          <w:highlight w:val="none"/>
        </w:rPr>
        <w:sectPr>
          <w:footerReference r:id="rId74" w:type="default"/>
          <w:pgSz w:w="11910" w:h="16840"/>
          <w:pgMar w:top="1431" w:right="1389" w:bottom="1091" w:left="1569" w:header="0" w:footer="929" w:gutter="0"/>
          <w:pgNumType w:fmt="decimal"/>
          <w:cols w:space="720" w:num="1"/>
        </w:sectPr>
      </w:pPr>
    </w:p>
    <w:p w14:paraId="6A5EF067">
      <w:pPr>
        <w:spacing w:before="47" w:line="219" w:lineRule="auto"/>
        <w:ind w:left="3604"/>
        <w:rPr>
          <w:rFonts w:ascii="宋体" w:hAnsi="宋体" w:eastAsia="宋体" w:cs="宋体"/>
          <w:color w:val="auto"/>
          <w:sz w:val="24"/>
          <w:szCs w:val="24"/>
          <w:highlight w:val="none"/>
        </w:rPr>
      </w:pPr>
      <w:r>
        <w:rPr>
          <w:rFonts w:ascii="宋体" w:hAnsi="宋体" w:eastAsia="宋体" w:cs="宋体"/>
          <w:b/>
          <w:bCs/>
          <w:color w:val="auto"/>
          <w:spacing w:val="-21"/>
          <w:sz w:val="24"/>
          <w:szCs w:val="24"/>
          <w:highlight w:val="none"/>
        </w:rPr>
        <w:t>合</w:t>
      </w:r>
      <w:r>
        <w:rPr>
          <w:rFonts w:ascii="宋体" w:hAnsi="宋体" w:eastAsia="宋体" w:cs="宋体"/>
          <w:color w:val="auto"/>
          <w:spacing w:val="36"/>
          <w:sz w:val="24"/>
          <w:szCs w:val="24"/>
          <w:highlight w:val="none"/>
        </w:rPr>
        <w:t xml:space="preserve"> </w:t>
      </w:r>
      <w:r>
        <w:rPr>
          <w:rFonts w:ascii="宋体" w:hAnsi="宋体" w:eastAsia="宋体" w:cs="宋体"/>
          <w:b/>
          <w:bCs/>
          <w:color w:val="auto"/>
          <w:spacing w:val="-21"/>
          <w:sz w:val="24"/>
          <w:szCs w:val="24"/>
          <w:highlight w:val="none"/>
        </w:rPr>
        <w:t>同</w:t>
      </w:r>
      <w:r>
        <w:rPr>
          <w:rFonts w:ascii="宋体" w:hAnsi="宋体" w:eastAsia="宋体" w:cs="宋体"/>
          <w:color w:val="auto"/>
          <w:spacing w:val="28"/>
          <w:sz w:val="24"/>
          <w:szCs w:val="24"/>
          <w:highlight w:val="none"/>
        </w:rPr>
        <w:t xml:space="preserve"> </w:t>
      </w:r>
      <w:r>
        <w:rPr>
          <w:rFonts w:ascii="宋体" w:hAnsi="宋体" w:eastAsia="宋体" w:cs="宋体"/>
          <w:b/>
          <w:bCs/>
          <w:color w:val="auto"/>
          <w:spacing w:val="-21"/>
          <w:sz w:val="24"/>
          <w:szCs w:val="24"/>
          <w:highlight w:val="none"/>
        </w:rPr>
        <w:t>附</w:t>
      </w:r>
      <w:r>
        <w:rPr>
          <w:rFonts w:ascii="宋体" w:hAnsi="宋体" w:eastAsia="宋体" w:cs="宋体"/>
          <w:color w:val="auto"/>
          <w:spacing w:val="11"/>
          <w:sz w:val="24"/>
          <w:szCs w:val="24"/>
          <w:highlight w:val="none"/>
        </w:rPr>
        <w:t xml:space="preserve"> </w:t>
      </w:r>
      <w:r>
        <w:rPr>
          <w:rFonts w:ascii="宋体" w:hAnsi="宋体" w:eastAsia="宋体" w:cs="宋体"/>
          <w:b/>
          <w:bCs/>
          <w:color w:val="auto"/>
          <w:spacing w:val="-21"/>
          <w:sz w:val="24"/>
          <w:szCs w:val="24"/>
          <w:highlight w:val="none"/>
        </w:rPr>
        <w:t>件</w:t>
      </w:r>
    </w:p>
    <w:p w14:paraId="7C365008">
      <w:pPr>
        <w:spacing w:before="157"/>
        <w:rPr>
          <w:color w:val="auto"/>
          <w:highlight w:val="none"/>
        </w:rPr>
      </w:pPr>
    </w:p>
    <w:tbl>
      <w:tblPr>
        <w:tblStyle w:val="11"/>
        <w:tblW w:w="8284" w:type="dxa"/>
        <w:tblInd w:w="1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29"/>
        <w:gridCol w:w="4155"/>
      </w:tblGrid>
      <w:tr w14:paraId="4EC42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7" w:hRule="atLeast"/>
        </w:trPr>
        <w:tc>
          <w:tcPr>
            <w:tcW w:w="8284" w:type="dxa"/>
            <w:gridSpan w:val="2"/>
            <w:vAlign w:val="top"/>
          </w:tcPr>
          <w:p w14:paraId="531F27F2">
            <w:pPr>
              <w:pStyle w:val="12"/>
              <w:spacing w:before="36" w:line="227" w:lineRule="auto"/>
              <w:ind w:left="554"/>
              <w:rPr>
                <w:color w:val="auto"/>
                <w:highlight w:val="none"/>
              </w:rPr>
            </w:pPr>
            <w:r>
              <w:rPr>
                <w:b/>
                <w:bCs/>
                <w:color w:val="auto"/>
                <w:spacing w:val="4"/>
                <w:highlight w:val="none"/>
              </w:rPr>
              <w:t>1.</w:t>
            </w:r>
            <w:r>
              <w:rPr>
                <w:color w:val="auto"/>
                <w:spacing w:val="4"/>
                <w:highlight w:val="none"/>
              </w:rPr>
              <w:t xml:space="preserve"> </w:t>
            </w:r>
            <w:r>
              <w:rPr>
                <w:b/>
                <w:bCs/>
                <w:color w:val="auto"/>
                <w:spacing w:val="4"/>
                <w:highlight w:val="none"/>
              </w:rPr>
              <w:t>供应商承诺具体事项：</w:t>
            </w:r>
          </w:p>
        </w:tc>
      </w:tr>
      <w:tr w14:paraId="6075A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5" w:hRule="atLeast"/>
        </w:trPr>
        <w:tc>
          <w:tcPr>
            <w:tcW w:w="8284" w:type="dxa"/>
            <w:gridSpan w:val="2"/>
            <w:vAlign w:val="top"/>
          </w:tcPr>
          <w:p w14:paraId="212D9217">
            <w:pPr>
              <w:pStyle w:val="12"/>
              <w:spacing w:before="30" w:line="228" w:lineRule="auto"/>
              <w:ind w:left="541"/>
              <w:rPr>
                <w:color w:val="auto"/>
                <w:highlight w:val="none"/>
              </w:rPr>
            </w:pPr>
            <w:r>
              <w:rPr>
                <w:b/>
                <w:bCs/>
                <w:color w:val="auto"/>
                <w:spacing w:val="5"/>
                <w:highlight w:val="none"/>
              </w:rPr>
              <w:t>2.</w:t>
            </w:r>
            <w:r>
              <w:rPr>
                <w:color w:val="auto"/>
                <w:spacing w:val="5"/>
                <w:highlight w:val="none"/>
              </w:rPr>
              <w:t xml:space="preserve"> </w:t>
            </w:r>
            <w:r>
              <w:rPr>
                <w:b/>
                <w:bCs/>
                <w:color w:val="auto"/>
                <w:spacing w:val="5"/>
                <w:highlight w:val="none"/>
              </w:rPr>
              <w:t>售后服务具体事项：</w:t>
            </w:r>
          </w:p>
        </w:tc>
      </w:tr>
      <w:tr w14:paraId="464B1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5" w:hRule="atLeast"/>
        </w:trPr>
        <w:tc>
          <w:tcPr>
            <w:tcW w:w="8284" w:type="dxa"/>
            <w:gridSpan w:val="2"/>
            <w:vAlign w:val="top"/>
          </w:tcPr>
          <w:p w14:paraId="07CECE73">
            <w:pPr>
              <w:pStyle w:val="12"/>
              <w:spacing w:before="30" w:line="228" w:lineRule="auto"/>
              <w:ind w:left="543"/>
              <w:rPr>
                <w:color w:val="auto"/>
                <w:highlight w:val="none"/>
              </w:rPr>
            </w:pPr>
            <w:r>
              <w:rPr>
                <w:b/>
                <w:bCs/>
                <w:color w:val="auto"/>
                <w:spacing w:val="4"/>
                <w:highlight w:val="none"/>
              </w:rPr>
              <w:t>3.</w:t>
            </w:r>
            <w:r>
              <w:rPr>
                <w:color w:val="auto"/>
                <w:spacing w:val="4"/>
                <w:highlight w:val="none"/>
              </w:rPr>
              <w:t xml:space="preserve"> </w:t>
            </w:r>
            <w:r>
              <w:rPr>
                <w:b/>
                <w:bCs/>
                <w:color w:val="auto"/>
                <w:spacing w:val="4"/>
                <w:highlight w:val="none"/>
              </w:rPr>
              <w:t>保修期责任：</w:t>
            </w:r>
          </w:p>
        </w:tc>
      </w:tr>
      <w:tr w14:paraId="61639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4" w:hRule="atLeast"/>
        </w:trPr>
        <w:tc>
          <w:tcPr>
            <w:tcW w:w="8284" w:type="dxa"/>
            <w:gridSpan w:val="2"/>
            <w:vAlign w:val="top"/>
          </w:tcPr>
          <w:p w14:paraId="2166565B">
            <w:pPr>
              <w:pStyle w:val="12"/>
              <w:spacing w:before="33" w:line="228" w:lineRule="auto"/>
              <w:ind w:left="538"/>
              <w:rPr>
                <w:color w:val="auto"/>
                <w:highlight w:val="none"/>
              </w:rPr>
            </w:pPr>
            <w:r>
              <w:rPr>
                <w:b/>
                <w:bCs/>
                <w:color w:val="auto"/>
                <w:spacing w:val="5"/>
                <w:highlight w:val="none"/>
              </w:rPr>
              <w:t>4.</w:t>
            </w:r>
            <w:r>
              <w:rPr>
                <w:color w:val="auto"/>
                <w:spacing w:val="5"/>
                <w:highlight w:val="none"/>
              </w:rPr>
              <w:t xml:space="preserve"> </w:t>
            </w:r>
            <w:r>
              <w:rPr>
                <w:b/>
                <w:bCs/>
                <w:color w:val="auto"/>
                <w:spacing w:val="5"/>
                <w:highlight w:val="none"/>
              </w:rPr>
              <w:t>其他具体事项：</w:t>
            </w:r>
          </w:p>
        </w:tc>
      </w:tr>
      <w:tr w14:paraId="4AA4C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3" w:hRule="atLeast"/>
        </w:trPr>
        <w:tc>
          <w:tcPr>
            <w:tcW w:w="4129" w:type="dxa"/>
            <w:vAlign w:val="top"/>
          </w:tcPr>
          <w:p w14:paraId="78574B32">
            <w:pPr>
              <w:spacing w:line="382" w:lineRule="auto"/>
              <w:rPr>
                <w:rFonts w:ascii="Arial"/>
                <w:color w:val="auto"/>
                <w:sz w:val="21"/>
                <w:highlight w:val="none"/>
              </w:rPr>
            </w:pPr>
          </w:p>
          <w:p w14:paraId="5F635D22">
            <w:pPr>
              <w:pStyle w:val="12"/>
              <w:spacing w:before="65" w:line="227" w:lineRule="auto"/>
              <w:ind w:left="565"/>
              <w:rPr>
                <w:color w:val="auto"/>
                <w:highlight w:val="none"/>
              </w:rPr>
            </w:pPr>
            <w:r>
              <w:rPr>
                <w:b/>
                <w:bCs/>
                <w:color w:val="auto"/>
                <w:spacing w:val="-1"/>
                <w:highlight w:val="none"/>
              </w:rPr>
              <w:t>甲方（章）</w:t>
            </w:r>
          </w:p>
          <w:p w14:paraId="128F7D52">
            <w:pPr>
              <w:spacing w:line="302" w:lineRule="auto"/>
              <w:rPr>
                <w:rFonts w:ascii="Arial"/>
                <w:color w:val="auto"/>
                <w:sz w:val="21"/>
                <w:highlight w:val="none"/>
              </w:rPr>
            </w:pPr>
          </w:p>
          <w:p w14:paraId="31B5AA6E">
            <w:pPr>
              <w:spacing w:line="302" w:lineRule="auto"/>
              <w:rPr>
                <w:rFonts w:ascii="Arial"/>
                <w:color w:val="auto"/>
                <w:sz w:val="21"/>
                <w:highlight w:val="none"/>
              </w:rPr>
            </w:pPr>
          </w:p>
          <w:p w14:paraId="31CAA3FB">
            <w:pPr>
              <w:spacing w:line="303" w:lineRule="auto"/>
              <w:rPr>
                <w:rFonts w:ascii="Arial"/>
                <w:color w:val="auto"/>
                <w:sz w:val="21"/>
                <w:highlight w:val="none"/>
              </w:rPr>
            </w:pPr>
          </w:p>
          <w:p w14:paraId="0F58A6FF">
            <w:pPr>
              <w:pStyle w:val="12"/>
              <w:spacing w:before="65" w:line="228" w:lineRule="auto"/>
              <w:ind w:left="2330"/>
              <w:rPr>
                <w:color w:val="auto"/>
                <w:highlight w:val="none"/>
              </w:rPr>
            </w:pPr>
            <w:r>
              <w:rPr>
                <w:b/>
                <w:bCs/>
                <w:color w:val="auto"/>
                <w:spacing w:val="-4"/>
                <w:highlight w:val="none"/>
              </w:rPr>
              <w:t>年</w:t>
            </w:r>
            <w:r>
              <w:rPr>
                <w:color w:val="auto"/>
                <w:spacing w:val="10"/>
                <w:highlight w:val="none"/>
              </w:rPr>
              <w:t xml:space="preserve">   </w:t>
            </w:r>
            <w:r>
              <w:rPr>
                <w:b/>
                <w:bCs/>
                <w:color w:val="auto"/>
                <w:spacing w:val="-4"/>
                <w:highlight w:val="none"/>
              </w:rPr>
              <w:t>月</w:t>
            </w:r>
            <w:r>
              <w:rPr>
                <w:color w:val="auto"/>
                <w:spacing w:val="21"/>
                <w:highlight w:val="none"/>
              </w:rPr>
              <w:t xml:space="preserve">   </w:t>
            </w:r>
            <w:r>
              <w:rPr>
                <w:b/>
                <w:bCs/>
                <w:color w:val="auto"/>
                <w:spacing w:val="-4"/>
                <w:highlight w:val="none"/>
              </w:rPr>
              <w:t>日</w:t>
            </w:r>
          </w:p>
        </w:tc>
        <w:tc>
          <w:tcPr>
            <w:tcW w:w="4155" w:type="dxa"/>
            <w:vAlign w:val="top"/>
          </w:tcPr>
          <w:p w14:paraId="46AF0E2D">
            <w:pPr>
              <w:spacing w:line="382" w:lineRule="auto"/>
              <w:rPr>
                <w:rFonts w:ascii="Arial"/>
                <w:color w:val="auto"/>
                <w:sz w:val="21"/>
                <w:highlight w:val="none"/>
              </w:rPr>
            </w:pPr>
          </w:p>
          <w:p w14:paraId="0B5E6F00">
            <w:pPr>
              <w:pStyle w:val="12"/>
              <w:spacing w:before="65" w:line="227" w:lineRule="auto"/>
              <w:ind w:left="556"/>
              <w:rPr>
                <w:color w:val="auto"/>
                <w:highlight w:val="none"/>
              </w:rPr>
            </w:pPr>
            <w:r>
              <w:rPr>
                <w:b/>
                <w:bCs/>
                <w:color w:val="auto"/>
                <w:highlight w:val="none"/>
              </w:rPr>
              <w:t>乙方（章）</w:t>
            </w:r>
          </w:p>
          <w:p w14:paraId="4989B1C8">
            <w:pPr>
              <w:spacing w:line="302" w:lineRule="auto"/>
              <w:rPr>
                <w:rFonts w:ascii="Arial"/>
                <w:color w:val="auto"/>
                <w:sz w:val="21"/>
                <w:highlight w:val="none"/>
              </w:rPr>
            </w:pPr>
          </w:p>
          <w:p w14:paraId="1B8B3FDA">
            <w:pPr>
              <w:spacing w:line="302" w:lineRule="auto"/>
              <w:rPr>
                <w:rFonts w:ascii="Arial"/>
                <w:color w:val="auto"/>
                <w:sz w:val="21"/>
                <w:highlight w:val="none"/>
              </w:rPr>
            </w:pPr>
          </w:p>
          <w:p w14:paraId="53E21B6F">
            <w:pPr>
              <w:spacing w:line="303" w:lineRule="auto"/>
              <w:rPr>
                <w:rFonts w:ascii="Arial"/>
                <w:color w:val="auto"/>
                <w:sz w:val="21"/>
                <w:highlight w:val="none"/>
              </w:rPr>
            </w:pPr>
          </w:p>
          <w:p w14:paraId="3913621B">
            <w:pPr>
              <w:pStyle w:val="12"/>
              <w:spacing w:before="65" w:line="228" w:lineRule="auto"/>
              <w:ind w:left="2223"/>
              <w:rPr>
                <w:color w:val="auto"/>
                <w:highlight w:val="none"/>
              </w:rPr>
            </w:pPr>
            <w:r>
              <w:rPr>
                <w:b/>
                <w:bCs/>
                <w:color w:val="auto"/>
                <w:spacing w:val="-4"/>
                <w:highlight w:val="none"/>
              </w:rPr>
              <w:t>年</w:t>
            </w:r>
            <w:r>
              <w:rPr>
                <w:color w:val="auto"/>
                <w:spacing w:val="10"/>
                <w:highlight w:val="none"/>
              </w:rPr>
              <w:t xml:space="preserve">   </w:t>
            </w:r>
            <w:r>
              <w:rPr>
                <w:b/>
                <w:bCs/>
                <w:color w:val="auto"/>
                <w:spacing w:val="-4"/>
                <w:highlight w:val="none"/>
              </w:rPr>
              <w:t>月</w:t>
            </w:r>
            <w:r>
              <w:rPr>
                <w:color w:val="auto"/>
                <w:spacing w:val="21"/>
                <w:highlight w:val="none"/>
              </w:rPr>
              <w:t xml:space="preserve">   </w:t>
            </w:r>
            <w:r>
              <w:rPr>
                <w:b/>
                <w:bCs/>
                <w:color w:val="auto"/>
                <w:spacing w:val="-4"/>
                <w:highlight w:val="none"/>
              </w:rPr>
              <w:t>日</w:t>
            </w:r>
          </w:p>
        </w:tc>
      </w:tr>
    </w:tbl>
    <w:p w14:paraId="1088B607">
      <w:pPr>
        <w:spacing w:before="29" w:line="227" w:lineRule="auto"/>
        <w:ind w:left="21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注：售后服务事项填不下时可另加附页</w:t>
      </w:r>
    </w:p>
    <w:sectPr>
      <w:footerReference r:id="rId75" w:type="default"/>
      <w:pgSz w:w="11910" w:h="16840"/>
      <w:pgMar w:top="1328" w:right="1720" w:bottom="1091" w:left="1786" w:header="0" w:footer="92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华文新魏">
    <w:altName w:val="宋体"/>
    <w:panose1 w:val="02010800040101010101"/>
    <w:charset w:val="86"/>
    <w:family w:val="auto"/>
    <w:pitch w:val="default"/>
    <w:sig w:usb0="00000000" w:usb1="00000000" w:usb2="00000000" w:usb3="00000000" w:csb0="00040000" w:csb1="00000000"/>
  </w:font>
  <w:font w:name="Segoe UI Symbol">
    <w:panose1 w:val="020B0502040204020203"/>
    <w:charset w:val="00"/>
    <w:family w:val="auto"/>
    <w:pitch w:val="default"/>
    <w:sig w:usb0="800001E3" w:usb1="1200FFEF" w:usb2="00040000" w:usb3="04000000" w:csb0="00000001" w:csb1="40000000"/>
  </w:font>
  <w:font w:name="MS Mincho">
    <w:altName w:val="宋体"/>
    <w:panose1 w:val="02020609040205080304"/>
    <w:charset w:val="86"/>
    <w:family w:val="auto"/>
    <w:pitch w:val="default"/>
    <w:sig w:usb0="00000000" w:usb1="00000000"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C5CEA">
    <w:pPr>
      <w:spacing w:line="176" w:lineRule="auto"/>
      <w:ind w:left="4406"/>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70BBC">
    <w:pPr>
      <w:spacing w:line="176" w:lineRule="auto"/>
      <w:ind w:left="43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945FB">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D3945FB">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740C3">
    <w:pPr>
      <w:spacing w:line="176" w:lineRule="auto"/>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A99FD">
                          <w:pPr>
                            <w:pStyle w:val="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00A99FD">
                    <w:pPr>
                      <w:pStyle w:val="5"/>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E6E71">
    <w:pPr>
      <w:spacing w:line="176" w:lineRule="auto"/>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BBB2B1">
                          <w:pPr>
                            <w:pStyle w:val="5"/>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BBB2B1">
                    <w:pPr>
                      <w:pStyle w:val="5"/>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5AA64">
    <w:pPr>
      <w:spacing w:line="176" w:lineRule="auto"/>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3621F">
                          <w:pPr>
                            <w:pStyle w:val="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033621F">
                    <w:pPr>
                      <w:pStyle w:val="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0D211">
    <w:pPr>
      <w:spacing w:line="176" w:lineRule="auto"/>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89CE0">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9B89CE0">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D3AD7">
    <w:pPr>
      <w:spacing w:line="176" w:lineRule="auto"/>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2F24E">
                          <w:pPr>
                            <w:pStyle w:val="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2F2F24E">
                    <w:pPr>
                      <w:pStyle w:val="5"/>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83328">
    <w:pPr>
      <w:spacing w:line="176" w:lineRule="auto"/>
      <w:ind w:left="42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C126A">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C4C126A">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42CC9">
    <w:pPr>
      <w:spacing w:line="176" w:lineRule="auto"/>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9386A8">
                          <w:pPr>
                            <w:pStyle w:val="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89386A8">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75866">
    <w:pPr>
      <w:spacing w:line="176" w:lineRule="auto"/>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E1EFF">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38BE1EFF">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D809D">
    <w:pPr>
      <w:spacing w:line="176" w:lineRule="auto"/>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3E166">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323E166">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7E043">
    <w:pPr>
      <w:tabs>
        <w:tab w:val="left" w:pos="4175"/>
      </w:tabs>
      <w:spacing w:line="173" w:lineRule="auto"/>
      <w:ind w:left="4322"/>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E6A58">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4E6A58">
                    <w:pPr>
                      <w:pStyle w:val="5"/>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Times New Roman" w:hAnsi="Times New Roman" w:eastAsia="宋体" w:cs="Times New Roman"/>
        <w:sz w:val="18"/>
        <w:szCs w:val="18"/>
        <w:lang w:eastAsia="zh-CN"/>
      </w:rP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D1A50">
    <w:pPr>
      <w:spacing w:line="176" w:lineRule="auto"/>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96ADB">
                          <w:pPr>
                            <w:pStyle w:val="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29796ADB">
                    <w:pPr>
                      <w:pStyle w:val="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E4866">
    <w:pPr>
      <w:spacing w:line="176" w:lineRule="auto"/>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5567C">
                          <w:pPr>
                            <w:pStyle w:val="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E95567C">
                    <w:pPr>
                      <w:pStyle w:val="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FF168">
    <w:pPr>
      <w:spacing w:line="176" w:lineRule="auto"/>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93774">
                          <w:pPr>
                            <w:pStyle w:val="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B893774">
                    <w:pPr>
                      <w:pStyle w:val="5"/>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08116">
    <w:pPr>
      <w:spacing w:line="176" w:lineRule="auto"/>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46DD4">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E646DD4">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4C3E0">
    <w:pPr>
      <w:spacing w:line="176" w:lineRule="auto"/>
      <w:ind w:left="43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9D28D7">
                          <w:pPr>
                            <w:pStyle w:val="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439D28D7">
                    <w:pPr>
                      <w:pStyle w:val="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048DB">
    <w:pPr>
      <w:spacing w:line="173" w:lineRule="auto"/>
      <w:ind w:left="45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81BC47">
                          <w:pPr>
                            <w:pStyle w:val="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6681BC47">
                    <w:pPr>
                      <w:pStyle w:val="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D54E8">
    <w:pPr>
      <w:spacing w:line="176" w:lineRule="auto"/>
      <w:ind w:left="45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69E7D1">
                          <w:pPr>
                            <w:pStyle w:val="5"/>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069E7D1">
                    <w:pPr>
                      <w:pStyle w:val="5"/>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167CA">
    <w:pPr>
      <w:spacing w:line="173" w:lineRule="auto"/>
      <w:ind w:left="45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8FB8C8">
                          <w:pPr>
                            <w:pStyle w:val="5"/>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68FB8C8">
                    <w:pPr>
                      <w:pStyle w:val="5"/>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4ABDC">
    <w:pPr>
      <w:spacing w:line="176" w:lineRule="auto"/>
      <w:ind w:left="42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8A17F8">
                          <w:pPr>
                            <w:pStyle w:val="5"/>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08A17F8">
                    <w:pPr>
                      <w:pStyle w:val="5"/>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0E4DD">
    <w:pPr>
      <w:spacing w:line="176" w:lineRule="auto"/>
      <w:ind w:left="42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809A4">
                          <w:pPr>
                            <w:pStyle w:val="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7D8809A4">
                    <w:pPr>
                      <w:pStyle w:val="5"/>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33CBC">
    <w:pPr>
      <w:spacing w:line="176" w:lineRule="auto"/>
      <w:ind w:left="44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0E380">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160E380">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68888">
    <w:pPr>
      <w:spacing w:line="176" w:lineRule="auto"/>
      <w:ind w:left="42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8B75">
                          <w:pPr>
                            <w:pStyle w:val="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61368B75">
                    <w:pPr>
                      <w:pStyle w:val="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21315">
    <w:pPr>
      <w:spacing w:line="176" w:lineRule="auto"/>
      <w:ind w:left="42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BBE64">
                          <w:pPr>
                            <w:pStyle w:val="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365BBE64">
                    <w:pPr>
                      <w:pStyle w:val="5"/>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F117D">
    <w:pPr>
      <w:spacing w:line="176" w:lineRule="auto"/>
      <w:ind w:left="42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0B872">
                          <w:pPr>
                            <w:pStyle w:val="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4E0B872">
                    <w:pPr>
                      <w:pStyle w:val="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966B3">
    <w:pPr>
      <w:spacing w:line="176" w:lineRule="auto"/>
      <w:ind w:left="42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79598">
                          <w:pPr>
                            <w:pStyle w:val="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0F379598">
                    <w:pPr>
                      <w:pStyle w:val="5"/>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8D414">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CE6D4">
                          <w:pPr>
                            <w:pStyle w:val="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00CE6D4">
                    <w:pPr>
                      <w:pStyle w:val="5"/>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D68D2">
    <w:pPr>
      <w:spacing w:line="176" w:lineRule="auto"/>
      <w:ind w:left="42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590C80">
                          <w:pPr>
                            <w:pStyle w:val="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7B590C80">
                    <w:pPr>
                      <w:pStyle w:val="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B2235">
    <w:pPr>
      <w:spacing w:line="176" w:lineRule="auto"/>
      <w:ind w:left="42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20208">
                          <w:pPr>
                            <w:pStyle w:val="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45D20208">
                    <w:pPr>
                      <w:pStyle w:val="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AA399">
    <w:pPr>
      <w:spacing w:line="176" w:lineRule="auto"/>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8FF393">
                          <w:pPr>
                            <w:pStyle w:val="5"/>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5F8FF393">
                    <w:pPr>
                      <w:pStyle w:val="5"/>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9493D">
    <w:pPr>
      <w:spacing w:line="176" w:lineRule="auto"/>
      <w:ind w:left="46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23DA4E">
                          <w:pPr>
                            <w:pStyle w:val="5"/>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1B23DA4E">
                    <w:pPr>
                      <w:pStyle w:val="5"/>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88A8D">
    <w:pPr>
      <w:spacing w:line="176" w:lineRule="auto"/>
      <w:ind w:left="47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AB897">
                          <w:pPr>
                            <w:pStyle w:val="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A3AB897">
                    <w:pPr>
                      <w:pStyle w:val="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32735">
    <w:pPr>
      <w:spacing w:line="173" w:lineRule="auto"/>
      <w:ind w:left="44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77B44">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A977B44">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0C803">
    <w:pPr>
      <w:spacing w:line="176" w:lineRule="auto"/>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F1206">
                          <w:pPr>
                            <w:pStyle w:val="5"/>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30BF1206">
                    <w:pPr>
                      <w:pStyle w:val="5"/>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C0A52">
    <w:pPr>
      <w:spacing w:line="173" w:lineRule="auto"/>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CFEAB">
                          <w:pPr>
                            <w:pStyle w:val="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31FCFEAB">
                    <w:pPr>
                      <w:pStyle w:val="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649C8">
    <w:pPr>
      <w:spacing w:line="176" w:lineRule="auto"/>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E14E5">
                          <w:pPr>
                            <w:pStyle w:val="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AEE14E5">
                    <w:pPr>
                      <w:pStyle w:val="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D7665">
    <w:pPr>
      <w:spacing w:line="173" w:lineRule="auto"/>
      <w:ind w:left="42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AD73ED">
                          <w:pPr>
                            <w:pStyle w:val="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FAD73ED">
                    <w:pPr>
                      <w:pStyle w:val="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34CFC">
    <w:pPr>
      <w:spacing w:line="176" w:lineRule="auto"/>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5E0B2">
                          <w:pPr>
                            <w:pStyle w:val="5"/>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0255E0B2">
                    <w:pPr>
                      <w:pStyle w:val="5"/>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E468C">
    <w:pPr>
      <w:spacing w:line="176" w:lineRule="auto"/>
      <w:ind w:left="47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550D2">
                          <w:pPr>
                            <w:pStyle w:val="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85550D2">
                    <w:pPr>
                      <w:pStyle w:val="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A4ED4">
    <w:pPr>
      <w:spacing w:line="176" w:lineRule="auto"/>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3E310E">
                          <w:pPr>
                            <w:pStyle w:val="5"/>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523E310E">
                    <w:pPr>
                      <w:pStyle w:val="5"/>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6B1AF">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A4F1E">
                          <w:pPr>
                            <w:pStyle w:val="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5D5A4F1E">
                    <w:pPr>
                      <w:pStyle w:val="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82A63">
    <w:pPr>
      <w:spacing w:line="176" w:lineRule="auto"/>
      <w:ind w:left="42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7DB24">
                          <w:pPr>
                            <w:pStyle w:val="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A57DB24">
                    <w:pPr>
                      <w:pStyle w:val="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4388D">
    <w:pPr>
      <w:spacing w:line="176" w:lineRule="auto"/>
      <w:ind w:left="42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4577F">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4234577F">
                    <w:pPr>
                      <w:pStyle w:val="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6AB8D">
    <w:pPr>
      <w:spacing w:line="176" w:lineRule="auto"/>
      <w:ind w:left="44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9D95AD">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99D95AD">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F303E">
    <w:pPr>
      <w:spacing w:line="176" w:lineRule="auto"/>
      <w:ind w:left="42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FDA32">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326FDA32">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2AF64">
    <w:pPr>
      <w:spacing w:line="176" w:lineRule="auto"/>
      <w:ind w:left="42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8365B">
                          <w:pPr>
                            <w:pStyle w:val="5"/>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2F8365B">
                    <w:pPr>
                      <w:pStyle w:val="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54D72">
    <w:pPr>
      <w:spacing w:line="176" w:lineRule="auto"/>
      <w:ind w:left="43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45385">
                          <w:pPr>
                            <w:pStyle w:val="5"/>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67E45385">
                    <w:pPr>
                      <w:pStyle w:val="5"/>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74CAB">
    <w:pPr>
      <w:spacing w:line="176" w:lineRule="auto"/>
      <w:ind w:left="43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C350AB">
                          <w:pPr>
                            <w:pStyle w:val="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56C350AB">
                    <w:pPr>
                      <w:pStyle w:val="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342B3">
    <w:pPr>
      <w:spacing w:line="176" w:lineRule="auto"/>
      <w:ind w:left="42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4F6F2">
                          <w:pPr>
                            <w:pStyle w:val="5"/>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0D84F6F2">
                    <w:pPr>
                      <w:pStyle w:val="5"/>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FB376">
    <w:pPr>
      <w:spacing w:line="176" w:lineRule="auto"/>
      <w:ind w:left="42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03854">
                          <w:pPr>
                            <w:pStyle w:val="5"/>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DF03854">
                    <w:pPr>
                      <w:pStyle w:val="5"/>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5599B">
    <w:pPr>
      <w:spacing w:line="176" w:lineRule="auto"/>
      <w:ind w:left="47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F964D">
                          <w:pPr>
                            <w:pStyle w:val="5"/>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6D4F964D">
                    <w:pPr>
                      <w:pStyle w:val="5"/>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1B6D6">
    <w:pPr>
      <w:spacing w:line="176" w:lineRule="auto"/>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2B77B0">
                          <w:pPr>
                            <w:pStyle w:val="5"/>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432B77B0">
                    <w:pPr>
                      <w:pStyle w:val="5"/>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3805A">
    <w:pPr>
      <w:spacing w:line="176" w:lineRule="auto"/>
      <w:ind w:left="42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5FA3A2">
                          <w:pPr>
                            <w:pStyle w:val="5"/>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3B5FA3A2">
                    <w:pPr>
                      <w:pStyle w:val="5"/>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FEFB9">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D1E406">
                          <w:pPr>
                            <w:pStyle w:val="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7ED1E406">
                    <w:pPr>
                      <w:pStyle w:val="5"/>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12929">
    <w:pPr>
      <w:spacing w:line="176" w:lineRule="auto"/>
      <w:ind w:left="44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84211">
                          <w:pPr>
                            <w:pStyle w:val="5"/>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384211">
                    <w:pPr>
                      <w:pStyle w:val="5"/>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3E876">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40F81">
                          <w:pPr>
                            <w:pStyle w:val="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4C40F81">
                    <w:pPr>
                      <w:pStyle w:val="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E6D7C">
    <w:pPr>
      <w:spacing w:line="176" w:lineRule="auto"/>
      <w:ind w:left="424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5C6A2">
                          <w:pPr>
                            <w:pStyle w:val="5"/>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4F35C6A2">
                    <w:pPr>
                      <w:pStyle w:val="5"/>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34B32">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7BF5F">
                          <w:pPr>
                            <w:pStyle w:val="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6987BF5F">
                    <w:pPr>
                      <w:pStyle w:val="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8D8DA">
    <w:pPr>
      <w:spacing w:line="176" w:lineRule="auto"/>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F84D5">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480F84D5">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A041A">
    <w:pPr>
      <w:spacing w:line="176" w:lineRule="auto"/>
      <w:ind w:left="45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FA02B4">
                          <w:pPr>
                            <w:pStyle w:val="5"/>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26FA02B4">
                    <w:pPr>
                      <w:pStyle w:val="5"/>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F14D1">
    <w:pPr>
      <w:spacing w:line="176" w:lineRule="auto"/>
      <w:ind w:left="42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AA5B7C">
                          <w:pPr>
                            <w:pStyle w:val="5"/>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1EAA5B7C">
                    <w:pPr>
                      <w:pStyle w:val="5"/>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A28F9">
    <w:pPr>
      <w:spacing w:line="176" w:lineRule="auto"/>
      <w:ind w:left="42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80DA6">
                          <w:pPr>
                            <w:pStyle w:val="5"/>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30D80DA6">
                    <w:pPr>
                      <w:pStyle w:val="5"/>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FFDDF">
    <w:pPr>
      <w:spacing w:line="176" w:lineRule="auto"/>
      <w:ind w:left="42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55137">
                          <w:pPr>
                            <w:pStyle w:val="5"/>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6BC55137">
                    <w:pPr>
                      <w:pStyle w:val="5"/>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5DE1A">
    <w:pPr>
      <w:spacing w:line="176" w:lineRule="auto"/>
      <w:ind w:left="42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12014">
                          <w:pPr>
                            <w:pStyle w:val="5"/>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40412014">
                    <w:pPr>
                      <w:pStyle w:val="5"/>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8EA45">
    <w:pPr>
      <w:spacing w:line="176"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4D294">
                          <w:pPr>
                            <w:pStyle w:val="5"/>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3FA4D294">
                    <w:pPr>
                      <w:pStyle w:val="5"/>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5D815">
    <w:pPr>
      <w:spacing w:line="176" w:lineRule="auto"/>
      <w:ind w:left="43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60548">
                          <w:pPr>
                            <w:pStyle w:val="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8B60548">
                    <w:pPr>
                      <w:pStyle w:val="5"/>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E0692">
    <w:pPr>
      <w:spacing w:line="176" w:lineRule="auto"/>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160284">
                          <w:pPr>
                            <w:pStyle w:val="5"/>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4A160284">
                    <w:pPr>
                      <w:pStyle w:val="5"/>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CCAFF">
    <w:pPr>
      <w:spacing w:line="176" w:lineRule="auto"/>
      <w:ind w:left="43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54B88">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F654B88">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16711">
    <w:pPr>
      <w:spacing w:line="176" w:lineRule="auto"/>
      <w:ind w:left="43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6BA09">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626BA09">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57B86">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GE3Y2MwMGM3Y2U2MjI1YWY0Yjc2ZTUwYWVhZjM1MDMifQ=="/>
  </w:docVars>
  <w:rsids>
    <w:rsidRoot w:val="00000000"/>
    <w:rsid w:val="005245F3"/>
    <w:rsid w:val="02ED1C6E"/>
    <w:rsid w:val="07F764F5"/>
    <w:rsid w:val="080865D4"/>
    <w:rsid w:val="0938142E"/>
    <w:rsid w:val="0A817BCD"/>
    <w:rsid w:val="1034712E"/>
    <w:rsid w:val="1049037E"/>
    <w:rsid w:val="11010579"/>
    <w:rsid w:val="11AD363C"/>
    <w:rsid w:val="13F73F57"/>
    <w:rsid w:val="146C2812"/>
    <w:rsid w:val="18624A34"/>
    <w:rsid w:val="187A3B4C"/>
    <w:rsid w:val="18891FE1"/>
    <w:rsid w:val="18F60D6C"/>
    <w:rsid w:val="1BBE6445"/>
    <w:rsid w:val="1DF54708"/>
    <w:rsid w:val="1E0416B2"/>
    <w:rsid w:val="251F7789"/>
    <w:rsid w:val="261E645E"/>
    <w:rsid w:val="2996630C"/>
    <w:rsid w:val="29EA20D1"/>
    <w:rsid w:val="2B8155CE"/>
    <w:rsid w:val="2F9C6646"/>
    <w:rsid w:val="3058256D"/>
    <w:rsid w:val="31B823F1"/>
    <w:rsid w:val="33E8265D"/>
    <w:rsid w:val="3431490D"/>
    <w:rsid w:val="361A45B2"/>
    <w:rsid w:val="368A1321"/>
    <w:rsid w:val="38B93DC5"/>
    <w:rsid w:val="39657AA9"/>
    <w:rsid w:val="3B3756B1"/>
    <w:rsid w:val="3D0C0B50"/>
    <w:rsid w:val="3DA03ABB"/>
    <w:rsid w:val="3EBD1E5D"/>
    <w:rsid w:val="418C02C8"/>
    <w:rsid w:val="42FA7BBB"/>
    <w:rsid w:val="46905BB4"/>
    <w:rsid w:val="488717E9"/>
    <w:rsid w:val="4A46450F"/>
    <w:rsid w:val="4B9C37FE"/>
    <w:rsid w:val="4BA933EB"/>
    <w:rsid w:val="4C9F65AE"/>
    <w:rsid w:val="4D3857A8"/>
    <w:rsid w:val="4F1C3D51"/>
    <w:rsid w:val="4FC947DE"/>
    <w:rsid w:val="510F6820"/>
    <w:rsid w:val="53A267F4"/>
    <w:rsid w:val="54FC257C"/>
    <w:rsid w:val="55DA2224"/>
    <w:rsid w:val="595532E5"/>
    <w:rsid w:val="5B465534"/>
    <w:rsid w:val="5C877BB2"/>
    <w:rsid w:val="5D126C47"/>
    <w:rsid w:val="5DB85C6E"/>
    <w:rsid w:val="5DB92AFC"/>
    <w:rsid w:val="61333E65"/>
    <w:rsid w:val="63483071"/>
    <w:rsid w:val="65801F72"/>
    <w:rsid w:val="65CA1051"/>
    <w:rsid w:val="660056FD"/>
    <w:rsid w:val="69772924"/>
    <w:rsid w:val="6D3E606B"/>
    <w:rsid w:val="6DB212CD"/>
    <w:rsid w:val="6F23376B"/>
    <w:rsid w:val="6F4831D1"/>
    <w:rsid w:val="6F776108"/>
    <w:rsid w:val="71FF5E38"/>
    <w:rsid w:val="734E5692"/>
    <w:rsid w:val="752124FA"/>
    <w:rsid w:val="75324707"/>
    <w:rsid w:val="76E05B04"/>
    <w:rsid w:val="772B7660"/>
    <w:rsid w:val="77821AE1"/>
    <w:rsid w:val="779942B7"/>
    <w:rsid w:val="78304EBB"/>
    <w:rsid w:val="786E49DD"/>
    <w:rsid w:val="792425B9"/>
    <w:rsid w:val="7A083C89"/>
    <w:rsid w:val="7C645796"/>
    <w:rsid w:val="7D502D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0"/>
      <w:szCs w:val="30"/>
      <w:lang w:val="en-US" w:eastAsia="en-US" w:bidi="ar-SA"/>
    </w:rPr>
  </w:style>
  <w:style w:type="paragraph" w:styleId="4">
    <w:name w:val="Plain Text"/>
    <w:basedOn w:val="1"/>
    <w:qFormat/>
    <w:uiPriority w:val="0"/>
    <w:rPr>
      <w:rFonts w:ascii="宋体" w:hAnsi="Courier New"/>
      <w:kern w:val="0"/>
      <w:sz w:val="20"/>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0" Type="http://schemas.openxmlformats.org/officeDocument/2006/relationships/fontTable" Target="fontTable.xml"/><Relationship Id="rId8" Type="http://schemas.openxmlformats.org/officeDocument/2006/relationships/footer" Target="footer3.xml"/><Relationship Id="rId79" Type="http://schemas.openxmlformats.org/officeDocument/2006/relationships/customXml" Target="../customXml/item1.xml"/><Relationship Id="rId78" Type="http://schemas.openxmlformats.org/officeDocument/2006/relationships/image" Target="media/image2.png"/><Relationship Id="rId77" Type="http://schemas.openxmlformats.org/officeDocument/2006/relationships/image" Target="media/image1.jpeg"/><Relationship Id="rId76" Type="http://schemas.openxmlformats.org/officeDocument/2006/relationships/theme" Target="theme/theme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2.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header" Target="header1.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footer" Target="foot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82</Pages>
  <Words>3357</Words>
  <Characters>3938</Characters>
  <TotalTime>0</TotalTime>
  <ScaleCrop>false</ScaleCrop>
  <LinksUpToDate>false</LinksUpToDate>
  <CharactersWithSpaces>4102</CharactersWithSpaces>
  <Application>WPS Office_12.1.0.25835_F1E327BC-269C-435d-A152-05C5408002CA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2026-07-09T16:03:00Z</dcterms:created>
  <dc:creator>唐</dc:creator>
  <cp:lastModifiedBy>奉云</cp:lastModifiedBy>
  <dcterms:modified xsi:type="dcterms:W3CDTF">2026-08-20T06:53:36Z</dcterms:modified>
  <dc:title>竞争性谈判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2026-07-21T14:31:57Z</vt:filetime>
  </property>
  <property fmtid="{D5CDD505-2E9C-101B-9397-08002B2CF9AE}" pid="4" name="KSOTemplateDocerSaveRecord">
    <vt:lpwstr>eyJoZGlkIjoiZjYyMThmOTExNWMyZjFkNWE5NDUwMTJiNDgwYTM0ZWUiLCJ1c2VySWQiOiI3MTE5ODQ3NDkifQ==</vt:lpwstr>
  </property>
  <property fmtid="{D5CDD505-2E9C-101B-9397-08002B2CF9AE}" pid="5" name="KSOProductBuildVer">
    <vt:lpwstr>2052-12.1.0.25835</vt:lpwstr>
  </property>
  <property fmtid="{D5CDD505-2E9C-101B-9397-08002B2CF9AE}" pid="6" name="ICV">
    <vt:lpwstr>DEC14EF611084CAE8B4C4D858EE2910F_13</vt:lpwstr>
  </property>
</Properties>
</file>