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2FC1A9">
      <w:pPr>
        <w:pStyle w:val="13"/>
        <w:ind w:firstLine="0" w:firstLineChars="0"/>
        <w:jc w:val="center"/>
        <w:rPr>
          <w:rFonts w:hint="eastAsia" w:asciiTheme="majorEastAsia" w:hAnsiTheme="majorEastAsia" w:eastAsiaTheme="majorEastAsia" w:cstheme="majorEastAsia"/>
          <w:b/>
          <w:bCs/>
          <w:sz w:val="56"/>
          <w:szCs w:val="36"/>
          <w:highlight w:val="none"/>
        </w:rPr>
      </w:pPr>
    </w:p>
    <w:p w14:paraId="15256DC1">
      <w:pPr>
        <w:pStyle w:val="13"/>
        <w:ind w:firstLine="0" w:firstLineChars="0"/>
        <w:jc w:val="center"/>
        <w:rPr>
          <w:rFonts w:hint="eastAsia" w:asciiTheme="majorEastAsia" w:hAnsiTheme="majorEastAsia" w:eastAsiaTheme="majorEastAsia" w:cstheme="majorEastAsia"/>
          <w:b/>
          <w:bCs/>
          <w:sz w:val="56"/>
          <w:szCs w:val="36"/>
          <w:highlight w:val="none"/>
        </w:rPr>
      </w:pPr>
      <w:r>
        <w:rPr>
          <w:rFonts w:hint="eastAsia" w:asciiTheme="majorEastAsia" w:hAnsiTheme="majorEastAsia" w:eastAsiaTheme="majorEastAsia" w:cstheme="majorEastAsia"/>
          <w:b/>
          <w:bCs/>
          <w:sz w:val="56"/>
          <w:szCs w:val="36"/>
          <w:highlight w:val="none"/>
        </w:rPr>
        <w:t>广西同泽工程项目管理股份有限公司</w:t>
      </w:r>
    </w:p>
    <w:p w14:paraId="57F0343E">
      <w:pPr>
        <w:jc w:val="center"/>
        <w:rPr>
          <w:rFonts w:hint="eastAsia" w:ascii="宋体" w:hAnsi="宋体" w:cs="宋体"/>
          <w:kern w:val="1"/>
          <w:highlight w:val="none"/>
        </w:rPr>
      </w:pPr>
    </w:p>
    <w:p w14:paraId="35111207">
      <w:pPr>
        <w:jc w:val="center"/>
        <w:rPr>
          <w:rFonts w:hint="eastAsia" w:ascii="宋体" w:hAnsi="宋体" w:cs="宋体"/>
          <w:kern w:val="1"/>
          <w:highlight w:val="none"/>
        </w:rPr>
      </w:pPr>
    </w:p>
    <w:p w14:paraId="6AED78C6">
      <w:pPr>
        <w:jc w:val="center"/>
        <w:rPr>
          <w:rFonts w:hint="eastAsia" w:ascii="宋体" w:hAnsi="宋体" w:cs="宋体"/>
          <w:kern w:val="1"/>
          <w:highlight w:val="none"/>
        </w:rPr>
      </w:pPr>
    </w:p>
    <w:p w14:paraId="333F22CA">
      <w:pPr>
        <w:jc w:val="center"/>
        <w:rPr>
          <w:rFonts w:hint="eastAsia" w:ascii="华文新魏" w:hAnsi="宋体" w:eastAsia="华文新魏"/>
          <w:sz w:val="120"/>
          <w:szCs w:val="120"/>
          <w:highlight w:val="none"/>
        </w:rPr>
      </w:pPr>
      <w:r>
        <w:rPr>
          <w:rFonts w:hint="eastAsia" w:ascii="宋体" w:hAnsi="宋体" w:cs="宋体"/>
          <w:highlight w:val="none"/>
        </w:rPr>
        <w:drawing>
          <wp:inline distT="0" distB="0" distL="114300" distR="114300">
            <wp:extent cx="2223135" cy="1630045"/>
            <wp:effectExtent l="0" t="0" r="5715" b="8255"/>
            <wp:docPr id="2" name="图片 1" descr="C:\Users\Administrator\Documents\Tencent Files\84425129\Image\C2C\Image4\6]1@G9C5R~CC}}01UDG]TP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C:\Users\Administrator\Documents\Tencent Files\84425129\Image\C2C\Image4\6]1@G9C5R~CC}}01UDG]TP5.png"/>
                    <pic:cNvPicPr>
                      <a:picLocks noChangeAspect="1"/>
                    </pic:cNvPicPr>
                  </pic:nvPicPr>
                  <pic:blipFill>
                    <a:blip r:embed="rId10"/>
                    <a:stretch>
                      <a:fillRect/>
                    </a:stretch>
                  </pic:blipFill>
                  <pic:spPr>
                    <a:xfrm>
                      <a:off x="0" y="0"/>
                      <a:ext cx="2223135" cy="1630045"/>
                    </a:xfrm>
                    <a:prstGeom prst="rect">
                      <a:avLst/>
                    </a:prstGeom>
                    <a:noFill/>
                    <a:ln>
                      <a:noFill/>
                    </a:ln>
                  </pic:spPr>
                </pic:pic>
              </a:graphicData>
            </a:graphic>
          </wp:inline>
        </w:drawing>
      </w:r>
    </w:p>
    <w:p w14:paraId="182677BA">
      <w:pPr>
        <w:snapToGrid w:val="0"/>
        <w:spacing w:before="156" w:beforeLines="50" w:line="360" w:lineRule="auto"/>
        <w:jc w:val="center"/>
        <w:rPr>
          <w:rFonts w:hint="eastAsia" w:ascii="华文新魏" w:hAnsi="宋体" w:eastAsia="华文新魏"/>
          <w:sz w:val="36"/>
          <w:szCs w:val="36"/>
          <w:highlight w:val="none"/>
        </w:rPr>
      </w:pPr>
    </w:p>
    <w:p w14:paraId="16CBD3F8">
      <w:pPr>
        <w:snapToGrid w:val="0"/>
        <w:spacing w:before="156" w:beforeLines="50"/>
        <w:jc w:val="center"/>
        <w:rPr>
          <w:rFonts w:hint="eastAsia" w:ascii="华文新魏" w:hAnsi="宋体" w:eastAsia="华文新魏"/>
          <w:sz w:val="72"/>
          <w:szCs w:val="72"/>
          <w:highlight w:val="none"/>
        </w:rPr>
      </w:pPr>
      <w:r>
        <w:rPr>
          <w:rFonts w:hint="eastAsia" w:ascii="华文新魏" w:hAnsi="宋体" w:eastAsia="华文新魏"/>
          <w:sz w:val="72"/>
          <w:szCs w:val="72"/>
          <w:highlight w:val="none"/>
        </w:rPr>
        <w:t>竞争性磋商文件</w:t>
      </w:r>
    </w:p>
    <w:p w14:paraId="248F89D1">
      <w:pPr>
        <w:snapToGrid w:val="0"/>
        <w:spacing w:before="156" w:beforeLines="50" w:line="360" w:lineRule="auto"/>
        <w:jc w:val="center"/>
        <w:rPr>
          <w:rFonts w:hint="eastAsia" w:ascii="仿宋_GB2312" w:hAnsi="宋体" w:eastAsia="仿宋_GB2312"/>
          <w:b/>
          <w:sz w:val="20"/>
          <w:szCs w:val="44"/>
          <w:highlight w:val="none"/>
        </w:rPr>
      </w:pPr>
      <w:r>
        <w:rPr>
          <w:rFonts w:hint="eastAsia" w:ascii="仿宋_GB2312" w:hAnsi="宋体" w:eastAsia="仿宋_GB2312"/>
          <w:b/>
          <w:sz w:val="28"/>
          <w:szCs w:val="28"/>
          <w:highlight w:val="none"/>
        </w:rPr>
        <w:t>（</w:t>
      </w:r>
      <w:r>
        <w:rPr>
          <w:rFonts w:hint="eastAsia" w:ascii="宋体" w:hAnsi="宋体"/>
          <w:b/>
          <w:sz w:val="28"/>
          <w:szCs w:val="28"/>
          <w:highlight w:val="none"/>
        </w:rPr>
        <w:t>全流程电子化采购</w:t>
      </w:r>
      <w:r>
        <w:rPr>
          <w:rFonts w:hint="eastAsia" w:ascii="仿宋_GB2312" w:hAnsi="宋体" w:eastAsia="仿宋_GB2312"/>
          <w:b/>
          <w:sz w:val="28"/>
          <w:szCs w:val="28"/>
          <w:highlight w:val="none"/>
        </w:rPr>
        <w:t>）</w:t>
      </w:r>
    </w:p>
    <w:p w14:paraId="31A6DDA9">
      <w:pPr>
        <w:snapToGrid w:val="0"/>
        <w:spacing w:line="360" w:lineRule="auto"/>
        <w:rPr>
          <w:rFonts w:hint="eastAsia" w:ascii="仿宋_GB2312" w:hAnsi="宋体" w:eastAsia="仿宋_GB2312"/>
          <w:sz w:val="30"/>
          <w:szCs w:val="72"/>
          <w:highlight w:val="none"/>
        </w:rPr>
      </w:pPr>
    </w:p>
    <w:p w14:paraId="699261DA">
      <w:pPr>
        <w:pStyle w:val="15"/>
        <w:snapToGrid w:val="0"/>
        <w:spacing w:line="360" w:lineRule="auto"/>
        <w:ind w:left="2702" w:leftChars="568" w:hanging="1509" w:hangingChars="501"/>
        <w:rPr>
          <w:rFonts w:hint="eastAsia" w:asciiTheme="minorEastAsia" w:hAnsiTheme="minorEastAsia" w:eastAsiaTheme="minorEastAsia"/>
          <w:b/>
          <w:bCs/>
          <w:sz w:val="30"/>
          <w:szCs w:val="30"/>
          <w:highlight w:val="none"/>
          <w:lang w:eastAsia="zh-CN"/>
        </w:rPr>
      </w:pPr>
      <w:r>
        <w:rPr>
          <w:rFonts w:hint="eastAsia" w:asciiTheme="minorEastAsia" w:hAnsiTheme="minorEastAsia" w:eastAsiaTheme="minorEastAsia"/>
          <w:b/>
          <w:bCs/>
          <w:sz w:val="30"/>
          <w:szCs w:val="30"/>
          <w:highlight w:val="none"/>
        </w:rPr>
        <w:t>项目</w:t>
      </w:r>
      <w:r>
        <w:rPr>
          <w:rFonts w:hint="eastAsia" w:cs="Courier New" w:asciiTheme="minorEastAsia" w:hAnsiTheme="minorEastAsia" w:eastAsiaTheme="minorEastAsia"/>
          <w:b/>
          <w:bCs/>
          <w:w w:val="95"/>
          <w:sz w:val="30"/>
          <w:szCs w:val="30"/>
          <w:highlight w:val="none"/>
        </w:rPr>
        <w:t>名称：</w:t>
      </w:r>
      <w:r>
        <w:rPr>
          <w:rFonts w:hint="eastAsia" w:asciiTheme="minorEastAsia" w:hAnsiTheme="minorEastAsia" w:eastAsiaTheme="minorEastAsia"/>
          <w:b/>
          <w:bCs/>
          <w:sz w:val="30"/>
          <w:szCs w:val="30"/>
          <w:highlight w:val="none"/>
        </w:rPr>
        <w:t xml:space="preserve"> </w:t>
      </w:r>
      <w:r>
        <w:rPr>
          <w:rFonts w:hint="eastAsia" w:asciiTheme="minorEastAsia" w:hAnsiTheme="minorEastAsia" w:eastAsiaTheme="minorEastAsia"/>
          <w:b/>
          <w:bCs/>
          <w:sz w:val="30"/>
          <w:szCs w:val="30"/>
          <w:highlight w:val="none"/>
          <w:lang w:eastAsia="zh-CN"/>
        </w:rPr>
        <w:t>2026年云平台基础设施运维服务项目（公服区设备运维、软件运维）</w:t>
      </w:r>
    </w:p>
    <w:p w14:paraId="2FC0D0A6">
      <w:pPr>
        <w:pStyle w:val="15"/>
        <w:snapToGrid w:val="0"/>
        <w:spacing w:line="360" w:lineRule="auto"/>
        <w:ind w:firstLine="1133" w:firstLineChars="396"/>
        <w:jc w:val="left"/>
        <w:rPr>
          <w:rFonts w:hint="eastAsia" w:asciiTheme="minorEastAsia" w:hAnsiTheme="minorEastAsia" w:eastAsiaTheme="minorEastAsia"/>
          <w:sz w:val="30"/>
          <w:szCs w:val="72"/>
          <w:highlight w:val="none"/>
          <w:lang w:eastAsia="zh-CN"/>
        </w:rPr>
      </w:pPr>
      <w:r>
        <w:rPr>
          <w:rFonts w:hint="eastAsia" w:cs="Courier New" w:asciiTheme="minorEastAsia" w:hAnsiTheme="minorEastAsia" w:eastAsiaTheme="minorEastAsia"/>
          <w:b/>
          <w:bCs/>
          <w:w w:val="95"/>
          <w:sz w:val="30"/>
          <w:szCs w:val="30"/>
          <w:highlight w:val="none"/>
        </w:rPr>
        <w:t>项目</w:t>
      </w:r>
      <w:r>
        <w:rPr>
          <w:rFonts w:hint="eastAsia" w:asciiTheme="minorEastAsia" w:hAnsiTheme="minorEastAsia" w:eastAsiaTheme="minorEastAsia"/>
          <w:b/>
          <w:bCs/>
          <w:sz w:val="30"/>
          <w:szCs w:val="30"/>
          <w:highlight w:val="none"/>
        </w:rPr>
        <w:t>编号</w:t>
      </w:r>
      <w:r>
        <w:rPr>
          <w:rFonts w:hint="eastAsia" w:cs="Courier New" w:asciiTheme="minorEastAsia" w:hAnsiTheme="minorEastAsia" w:eastAsiaTheme="minorEastAsia"/>
          <w:b/>
          <w:bCs/>
          <w:w w:val="95"/>
          <w:sz w:val="30"/>
          <w:szCs w:val="30"/>
          <w:highlight w:val="none"/>
        </w:rPr>
        <w:t>：</w:t>
      </w:r>
      <w:r>
        <w:rPr>
          <w:rFonts w:hint="eastAsia" w:cs="Courier New" w:asciiTheme="minorEastAsia" w:hAnsiTheme="minorEastAsia" w:eastAsiaTheme="minorEastAsia"/>
          <w:b/>
          <w:bCs/>
          <w:w w:val="95"/>
          <w:sz w:val="30"/>
          <w:szCs w:val="30"/>
          <w:highlight w:val="none"/>
          <w:lang w:eastAsia="zh-CN"/>
        </w:rPr>
        <w:t>GXZC2026-C3-002429-GXTZ</w:t>
      </w:r>
    </w:p>
    <w:p w14:paraId="13112BBA">
      <w:pPr>
        <w:pStyle w:val="15"/>
        <w:snapToGrid w:val="0"/>
        <w:spacing w:line="360" w:lineRule="auto"/>
        <w:ind w:firstLine="1125" w:firstLineChars="393"/>
        <w:rPr>
          <w:rFonts w:hint="eastAsia" w:asciiTheme="minorEastAsia" w:hAnsiTheme="minorEastAsia" w:eastAsiaTheme="minorEastAsia"/>
          <w:b/>
          <w:bCs/>
          <w:w w:val="95"/>
          <w:sz w:val="30"/>
          <w:szCs w:val="30"/>
          <w:highlight w:val="none"/>
        </w:rPr>
      </w:pPr>
    </w:p>
    <w:p w14:paraId="14C7339F">
      <w:pPr>
        <w:pStyle w:val="15"/>
        <w:snapToGrid w:val="0"/>
        <w:spacing w:line="360" w:lineRule="auto"/>
        <w:ind w:firstLine="1125" w:firstLineChars="393"/>
        <w:rPr>
          <w:rFonts w:hint="eastAsia" w:asciiTheme="minorEastAsia" w:hAnsiTheme="minorEastAsia" w:eastAsiaTheme="minorEastAsia"/>
          <w:b/>
          <w:bCs/>
          <w:w w:val="95"/>
          <w:sz w:val="30"/>
          <w:szCs w:val="30"/>
          <w:highlight w:val="none"/>
        </w:rPr>
      </w:pPr>
      <w:r>
        <w:rPr>
          <w:rFonts w:hint="eastAsia" w:asciiTheme="minorEastAsia" w:hAnsiTheme="minorEastAsia" w:eastAsiaTheme="minorEastAsia"/>
          <w:b/>
          <w:bCs/>
          <w:w w:val="95"/>
          <w:sz w:val="30"/>
          <w:szCs w:val="30"/>
          <w:highlight w:val="none"/>
        </w:rPr>
        <w:t>采购人：广西壮族自治区医疗保障局</w:t>
      </w:r>
    </w:p>
    <w:p w14:paraId="39142551">
      <w:pPr>
        <w:pStyle w:val="15"/>
        <w:snapToGrid w:val="0"/>
        <w:spacing w:line="360" w:lineRule="auto"/>
        <w:ind w:firstLine="1125" w:firstLineChars="393"/>
        <w:rPr>
          <w:rFonts w:hint="eastAsia" w:asciiTheme="minorEastAsia" w:hAnsiTheme="minorEastAsia" w:eastAsiaTheme="minorEastAsia"/>
          <w:b/>
          <w:bCs/>
          <w:w w:val="95"/>
          <w:sz w:val="30"/>
          <w:szCs w:val="30"/>
          <w:highlight w:val="none"/>
        </w:rPr>
      </w:pPr>
      <w:r>
        <w:rPr>
          <w:rFonts w:hint="eastAsia" w:asciiTheme="minorEastAsia" w:hAnsiTheme="minorEastAsia" w:eastAsiaTheme="minorEastAsia"/>
          <w:b/>
          <w:bCs/>
          <w:w w:val="95"/>
          <w:sz w:val="30"/>
          <w:szCs w:val="30"/>
          <w:highlight w:val="none"/>
        </w:rPr>
        <w:t>采购代理机构：广西同泽工程项目管理股份有限公司</w:t>
      </w:r>
    </w:p>
    <w:p w14:paraId="54E86400">
      <w:pPr>
        <w:pStyle w:val="15"/>
        <w:snapToGrid w:val="0"/>
        <w:spacing w:line="360" w:lineRule="auto"/>
        <w:rPr>
          <w:rFonts w:hint="eastAsia" w:asciiTheme="minorEastAsia" w:hAnsiTheme="minorEastAsia" w:eastAsiaTheme="minorEastAsia"/>
          <w:b/>
          <w:bCs/>
          <w:w w:val="95"/>
          <w:sz w:val="30"/>
          <w:szCs w:val="30"/>
          <w:highlight w:val="none"/>
        </w:rPr>
      </w:pPr>
    </w:p>
    <w:p w14:paraId="72512A17">
      <w:pPr>
        <w:pStyle w:val="15"/>
        <w:snapToGrid w:val="0"/>
        <w:spacing w:line="360" w:lineRule="auto"/>
        <w:jc w:val="center"/>
        <w:rPr>
          <w:rFonts w:hint="eastAsia" w:hAnsi="宋体"/>
          <w:b/>
          <w:sz w:val="44"/>
          <w:szCs w:val="44"/>
          <w:highlight w:val="none"/>
        </w:rPr>
      </w:pPr>
      <w:r>
        <w:rPr>
          <w:rFonts w:asciiTheme="minorEastAsia" w:hAnsiTheme="minorEastAsia" w:eastAsiaTheme="minorEastAsia"/>
          <w:b/>
          <w:bCs/>
          <w:w w:val="95"/>
          <w:sz w:val="30"/>
          <w:szCs w:val="30"/>
          <w:highlight w:val="none"/>
        </w:rPr>
        <w:t>202</w:t>
      </w:r>
      <w:r>
        <w:rPr>
          <w:rFonts w:hint="eastAsia" w:asciiTheme="minorEastAsia" w:hAnsiTheme="minorEastAsia" w:eastAsiaTheme="minorEastAsia"/>
          <w:b/>
          <w:bCs/>
          <w:w w:val="95"/>
          <w:sz w:val="30"/>
          <w:szCs w:val="30"/>
          <w:highlight w:val="none"/>
        </w:rPr>
        <w:t>6年</w:t>
      </w:r>
      <w:r>
        <w:rPr>
          <w:rFonts w:hint="eastAsia" w:asciiTheme="minorEastAsia" w:hAnsiTheme="minorEastAsia" w:eastAsiaTheme="minorEastAsia"/>
          <w:b/>
          <w:bCs/>
          <w:w w:val="95"/>
          <w:sz w:val="30"/>
          <w:szCs w:val="30"/>
          <w:highlight w:val="none"/>
          <w:lang w:val="en-US" w:eastAsia="zh-CN"/>
        </w:rPr>
        <w:t>8</w:t>
      </w:r>
      <w:r>
        <w:rPr>
          <w:rFonts w:hint="eastAsia" w:asciiTheme="minorEastAsia" w:hAnsiTheme="minorEastAsia" w:eastAsiaTheme="minorEastAsia"/>
          <w:b/>
          <w:bCs/>
          <w:w w:val="95"/>
          <w:sz w:val="30"/>
          <w:szCs w:val="30"/>
          <w:highlight w:val="none"/>
        </w:rPr>
        <w:t>月</w:t>
      </w:r>
      <w:r>
        <w:rPr>
          <w:rFonts w:hint="eastAsia" w:hAnsi="宋体"/>
          <w:b/>
          <w:sz w:val="44"/>
          <w:szCs w:val="44"/>
          <w:highlight w:val="none"/>
        </w:rPr>
        <w:br w:type="page"/>
      </w:r>
    </w:p>
    <w:p w14:paraId="2EC8A93F">
      <w:pPr>
        <w:rPr>
          <w:rFonts w:hint="eastAsia" w:ascii="宋体" w:hAnsi="宋体"/>
          <w:b/>
          <w:sz w:val="44"/>
          <w:szCs w:val="44"/>
          <w:highlight w:val="none"/>
        </w:rPr>
      </w:pPr>
    </w:p>
    <w:p w14:paraId="63119726">
      <w:pPr>
        <w:spacing w:line="360" w:lineRule="auto"/>
        <w:jc w:val="center"/>
        <w:rPr>
          <w:rFonts w:hint="eastAsia" w:ascii="宋体" w:hAnsi="宋体"/>
          <w:b/>
          <w:sz w:val="44"/>
          <w:szCs w:val="44"/>
          <w:highlight w:val="none"/>
        </w:rPr>
      </w:pPr>
      <w:r>
        <w:rPr>
          <w:rFonts w:hint="eastAsia" w:ascii="宋体" w:hAnsi="宋体"/>
          <w:b/>
          <w:sz w:val="44"/>
          <w:szCs w:val="44"/>
          <w:highlight w:val="none"/>
        </w:rPr>
        <w:t>目 录</w:t>
      </w:r>
    </w:p>
    <w:p w14:paraId="34E06EA9">
      <w:pPr>
        <w:spacing w:line="400" w:lineRule="exact"/>
        <w:jc w:val="center"/>
        <w:rPr>
          <w:rFonts w:hint="eastAsia" w:ascii="宋体" w:hAnsi="宋体"/>
          <w:b/>
          <w:sz w:val="44"/>
          <w:szCs w:val="44"/>
          <w:highlight w:val="none"/>
        </w:rPr>
      </w:pPr>
    </w:p>
    <w:p w14:paraId="21022BC7">
      <w:pPr>
        <w:pStyle w:val="18"/>
        <w:tabs>
          <w:tab w:val="right" w:leader="dot" w:pos="8869"/>
        </w:tabs>
        <w:rPr>
          <w:rFonts w:hint="eastAsia" w:asciiTheme="minorEastAsia" w:hAnsiTheme="minorEastAsia" w:eastAsiaTheme="minorEastAsia" w:cstheme="minorBidi"/>
          <w:sz w:val="28"/>
          <w:szCs w:val="32"/>
          <w:highlight w:val="none"/>
        </w:rPr>
      </w:pPr>
      <w:r>
        <w:rPr>
          <w:rFonts w:ascii="宋体" w:hAnsi="宋体"/>
          <w:b/>
          <w:sz w:val="24"/>
          <w:highlight w:val="none"/>
        </w:rPr>
        <w:fldChar w:fldCharType="begin"/>
      </w:r>
      <w:r>
        <w:rPr>
          <w:rFonts w:hint="eastAsia" w:ascii="宋体" w:hAnsi="宋体"/>
          <w:b/>
          <w:sz w:val="24"/>
          <w:highlight w:val="none"/>
        </w:rPr>
        <w:instrText xml:space="preserve">TOC \o "1-3" \h \z \u</w:instrText>
      </w:r>
      <w:r>
        <w:rPr>
          <w:rFonts w:ascii="宋体" w:hAnsi="宋体"/>
          <w:b/>
          <w:sz w:val="24"/>
          <w:highlight w:val="none"/>
        </w:rPr>
        <w:fldChar w:fldCharType="separate"/>
      </w:r>
      <w:r>
        <w:rPr>
          <w:highlight w:val="none"/>
        </w:rPr>
        <w:fldChar w:fldCharType="begin"/>
      </w:r>
      <w:r>
        <w:rPr>
          <w:highlight w:val="none"/>
        </w:rPr>
        <w:instrText xml:space="preserve"> HYPERLINK \l "_Toc151675536" </w:instrText>
      </w:r>
      <w:r>
        <w:rPr>
          <w:highlight w:val="none"/>
        </w:rPr>
        <w:fldChar w:fldCharType="separate"/>
      </w:r>
      <w:r>
        <w:rPr>
          <w:rStyle w:val="27"/>
          <w:rFonts w:asciiTheme="minorEastAsia" w:hAnsiTheme="minorEastAsia" w:eastAsiaTheme="minorEastAsia"/>
          <w:color w:val="auto"/>
          <w:sz w:val="28"/>
          <w:szCs w:val="36"/>
          <w:highlight w:val="none"/>
        </w:rPr>
        <w:t>第一章  竞争性磋商公告</w:t>
      </w:r>
      <w:r>
        <w:rPr>
          <w:rFonts w:asciiTheme="minorEastAsia" w:hAnsiTheme="minorEastAsia" w:eastAsiaTheme="minorEastAsia"/>
          <w:sz w:val="28"/>
          <w:szCs w:val="36"/>
          <w:highlight w:val="none"/>
        </w:rPr>
        <w:tab/>
      </w:r>
      <w:r>
        <w:rPr>
          <w:rFonts w:asciiTheme="minorEastAsia" w:hAnsiTheme="minorEastAsia" w:eastAsiaTheme="minorEastAsia"/>
          <w:sz w:val="28"/>
          <w:szCs w:val="36"/>
          <w:highlight w:val="none"/>
        </w:rPr>
        <w:fldChar w:fldCharType="begin"/>
      </w:r>
      <w:r>
        <w:rPr>
          <w:rFonts w:asciiTheme="minorEastAsia" w:hAnsiTheme="minorEastAsia" w:eastAsiaTheme="minorEastAsia"/>
          <w:sz w:val="28"/>
          <w:szCs w:val="36"/>
          <w:highlight w:val="none"/>
        </w:rPr>
        <w:instrText xml:space="preserve"> PAGEREF _Toc151675536 \h </w:instrText>
      </w:r>
      <w:r>
        <w:rPr>
          <w:rFonts w:asciiTheme="minorEastAsia" w:hAnsiTheme="minorEastAsia" w:eastAsiaTheme="minorEastAsia"/>
          <w:sz w:val="28"/>
          <w:szCs w:val="36"/>
          <w:highlight w:val="none"/>
        </w:rPr>
        <w:fldChar w:fldCharType="separate"/>
      </w:r>
      <w:r>
        <w:rPr>
          <w:rFonts w:asciiTheme="minorEastAsia" w:hAnsiTheme="minorEastAsia" w:eastAsiaTheme="minorEastAsia"/>
          <w:sz w:val="28"/>
          <w:szCs w:val="36"/>
          <w:highlight w:val="none"/>
        </w:rPr>
        <w:t>1</w:t>
      </w:r>
      <w:r>
        <w:rPr>
          <w:rFonts w:asciiTheme="minorEastAsia" w:hAnsiTheme="minorEastAsia" w:eastAsiaTheme="minorEastAsia"/>
          <w:sz w:val="28"/>
          <w:szCs w:val="36"/>
          <w:highlight w:val="none"/>
        </w:rPr>
        <w:fldChar w:fldCharType="end"/>
      </w:r>
      <w:r>
        <w:rPr>
          <w:rFonts w:asciiTheme="minorEastAsia" w:hAnsiTheme="minorEastAsia" w:eastAsiaTheme="minorEastAsia"/>
          <w:sz w:val="28"/>
          <w:szCs w:val="36"/>
          <w:highlight w:val="none"/>
        </w:rPr>
        <w:fldChar w:fldCharType="end"/>
      </w:r>
    </w:p>
    <w:p w14:paraId="6B5637B9">
      <w:pPr>
        <w:pStyle w:val="18"/>
        <w:tabs>
          <w:tab w:val="right" w:leader="dot" w:pos="8869"/>
        </w:tabs>
        <w:rPr>
          <w:rFonts w:hint="eastAsia" w:asciiTheme="minorEastAsia" w:hAnsiTheme="minorEastAsia" w:eastAsiaTheme="minorEastAsia" w:cstheme="minorBidi"/>
          <w:sz w:val="28"/>
          <w:szCs w:val="32"/>
          <w:highlight w:val="none"/>
        </w:rPr>
      </w:pPr>
      <w:r>
        <w:rPr>
          <w:highlight w:val="none"/>
        </w:rPr>
        <w:fldChar w:fldCharType="begin"/>
      </w:r>
      <w:r>
        <w:rPr>
          <w:highlight w:val="none"/>
        </w:rPr>
        <w:instrText xml:space="preserve"> HYPERLINK \l "_Toc151675537" </w:instrText>
      </w:r>
      <w:r>
        <w:rPr>
          <w:highlight w:val="none"/>
        </w:rPr>
        <w:fldChar w:fldCharType="separate"/>
      </w:r>
      <w:r>
        <w:rPr>
          <w:rStyle w:val="27"/>
          <w:rFonts w:asciiTheme="minorEastAsia" w:hAnsiTheme="minorEastAsia" w:eastAsiaTheme="minorEastAsia"/>
          <w:color w:val="auto"/>
          <w:sz w:val="28"/>
          <w:szCs w:val="36"/>
          <w:highlight w:val="none"/>
        </w:rPr>
        <w:t>第二章  供应商须知</w:t>
      </w:r>
      <w:r>
        <w:rPr>
          <w:rFonts w:asciiTheme="minorEastAsia" w:hAnsiTheme="minorEastAsia" w:eastAsiaTheme="minorEastAsia"/>
          <w:sz w:val="28"/>
          <w:szCs w:val="36"/>
          <w:highlight w:val="none"/>
        </w:rPr>
        <w:tab/>
      </w:r>
      <w:r>
        <w:rPr>
          <w:rFonts w:asciiTheme="minorEastAsia" w:hAnsiTheme="minorEastAsia" w:eastAsiaTheme="minorEastAsia"/>
          <w:sz w:val="28"/>
          <w:szCs w:val="36"/>
          <w:highlight w:val="none"/>
        </w:rPr>
        <w:fldChar w:fldCharType="begin"/>
      </w:r>
      <w:r>
        <w:rPr>
          <w:rFonts w:asciiTheme="minorEastAsia" w:hAnsiTheme="minorEastAsia" w:eastAsiaTheme="minorEastAsia"/>
          <w:sz w:val="28"/>
          <w:szCs w:val="36"/>
          <w:highlight w:val="none"/>
        </w:rPr>
        <w:instrText xml:space="preserve"> PAGEREF _Toc151675537 \h </w:instrText>
      </w:r>
      <w:r>
        <w:rPr>
          <w:rFonts w:asciiTheme="minorEastAsia" w:hAnsiTheme="minorEastAsia" w:eastAsiaTheme="minorEastAsia"/>
          <w:sz w:val="28"/>
          <w:szCs w:val="36"/>
          <w:highlight w:val="none"/>
        </w:rPr>
        <w:fldChar w:fldCharType="separate"/>
      </w:r>
      <w:r>
        <w:rPr>
          <w:rFonts w:asciiTheme="minorEastAsia" w:hAnsiTheme="minorEastAsia" w:eastAsiaTheme="minorEastAsia"/>
          <w:sz w:val="28"/>
          <w:szCs w:val="36"/>
          <w:highlight w:val="none"/>
        </w:rPr>
        <w:t>4</w:t>
      </w:r>
      <w:r>
        <w:rPr>
          <w:rFonts w:asciiTheme="minorEastAsia" w:hAnsiTheme="minorEastAsia" w:eastAsiaTheme="minorEastAsia"/>
          <w:sz w:val="28"/>
          <w:szCs w:val="36"/>
          <w:highlight w:val="none"/>
        </w:rPr>
        <w:fldChar w:fldCharType="end"/>
      </w:r>
      <w:r>
        <w:rPr>
          <w:rFonts w:asciiTheme="minorEastAsia" w:hAnsiTheme="minorEastAsia" w:eastAsiaTheme="minorEastAsia"/>
          <w:sz w:val="28"/>
          <w:szCs w:val="36"/>
          <w:highlight w:val="none"/>
        </w:rPr>
        <w:fldChar w:fldCharType="end"/>
      </w:r>
    </w:p>
    <w:p w14:paraId="65A4AA84">
      <w:pPr>
        <w:pStyle w:val="18"/>
        <w:tabs>
          <w:tab w:val="right" w:leader="dot" w:pos="8869"/>
        </w:tabs>
        <w:rPr>
          <w:rFonts w:hint="eastAsia" w:asciiTheme="minorEastAsia" w:hAnsiTheme="minorEastAsia" w:eastAsiaTheme="minorEastAsia" w:cstheme="minorBidi"/>
          <w:sz w:val="28"/>
          <w:szCs w:val="32"/>
          <w:highlight w:val="none"/>
        </w:rPr>
      </w:pPr>
      <w:r>
        <w:rPr>
          <w:highlight w:val="none"/>
        </w:rPr>
        <w:fldChar w:fldCharType="begin"/>
      </w:r>
      <w:r>
        <w:rPr>
          <w:highlight w:val="none"/>
        </w:rPr>
        <w:instrText xml:space="preserve"> HYPERLINK \l "_Toc151675538" </w:instrText>
      </w:r>
      <w:r>
        <w:rPr>
          <w:highlight w:val="none"/>
        </w:rPr>
        <w:fldChar w:fldCharType="separate"/>
      </w:r>
      <w:r>
        <w:rPr>
          <w:rStyle w:val="27"/>
          <w:rFonts w:asciiTheme="minorEastAsia" w:hAnsiTheme="minorEastAsia" w:eastAsiaTheme="minorEastAsia"/>
          <w:color w:val="auto"/>
          <w:sz w:val="28"/>
          <w:szCs w:val="36"/>
          <w:highlight w:val="none"/>
        </w:rPr>
        <w:t>第三章  采购需求</w:t>
      </w:r>
      <w:r>
        <w:rPr>
          <w:rFonts w:asciiTheme="minorEastAsia" w:hAnsiTheme="minorEastAsia" w:eastAsiaTheme="minorEastAsia"/>
          <w:sz w:val="28"/>
          <w:szCs w:val="36"/>
          <w:highlight w:val="none"/>
        </w:rPr>
        <w:tab/>
      </w:r>
      <w:r>
        <w:rPr>
          <w:rFonts w:asciiTheme="minorEastAsia" w:hAnsiTheme="minorEastAsia" w:eastAsiaTheme="minorEastAsia"/>
          <w:sz w:val="28"/>
          <w:szCs w:val="36"/>
          <w:highlight w:val="none"/>
        </w:rPr>
        <w:fldChar w:fldCharType="begin"/>
      </w:r>
      <w:r>
        <w:rPr>
          <w:rFonts w:asciiTheme="minorEastAsia" w:hAnsiTheme="minorEastAsia" w:eastAsiaTheme="minorEastAsia"/>
          <w:sz w:val="28"/>
          <w:szCs w:val="36"/>
          <w:highlight w:val="none"/>
        </w:rPr>
        <w:instrText xml:space="preserve"> PAGEREF _Toc151675538 \h </w:instrText>
      </w:r>
      <w:r>
        <w:rPr>
          <w:rFonts w:asciiTheme="minorEastAsia" w:hAnsiTheme="minorEastAsia" w:eastAsiaTheme="minorEastAsia"/>
          <w:sz w:val="28"/>
          <w:szCs w:val="36"/>
          <w:highlight w:val="none"/>
        </w:rPr>
        <w:fldChar w:fldCharType="separate"/>
      </w:r>
      <w:r>
        <w:rPr>
          <w:rFonts w:asciiTheme="minorEastAsia" w:hAnsiTheme="minorEastAsia" w:eastAsiaTheme="minorEastAsia"/>
          <w:sz w:val="28"/>
          <w:szCs w:val="36"/>
          <w:highlight w:val="none"/>
        </w:rPr>
        <w:t>24</w:t>
      </w:r>
      <w:r>
        <w:rPr>
          <w:rFonts w:asciiTheme="minorEastAsia" w:hAnsiTheme="minorEastAsia" w:eastAsiaTheme="minorEastAsia"/>
          <w:sz w:val="28"/>
          <w:szCs w:val="36"/>
          <w:highlight w:val="none"/>
        </w:rPr>
        <w:fldChar w:fldCharType="end"/>
      </w:r>
      <w:r>
        <w:rPr>
          <w:rFonts w:asciiTheme="minorEastAsia" w:hAnsiTheme="minorEastAsia" w:eastAsiaTheme="minorEastAsia"/>
          <w:sz w:val="28"/>
          <w:szCs w:val="36"/>
          <w:highlight w:val="none"/>
        </w:rPr>
        <w:fldChar w:fldCharType="end"/>
      </w:r>
    </w:p>
    <w:p w14:paraId="792E82F6">
      <w:pPr>
        <w:pStyle w:val="18"/>
        <w:tabs>
          <w:tab w:val="right" w:leader="dot" w:pos="8869"/>
        </w:tabs>
        <w:rPr>
          <w:rFonts w:hint="eastAsia" w:asciiTheme="minorEastAsia" w:hAnsiTheme="minorEastAsia" w:eastAsiaTheme="minorEastAsia" w:cstheme="minorBidi"/>
          <w:sz w:val="28"/>
          <w:szCs w:val="32"/>
          <w:highlight w:val="none"/>
        </w:rPr>
      </w:pPr>
      <w:r>
        <w:rPr>
          <w:highlight w:val="none"/>
        </w:rPr>
        <w:fldChar w:fldCharType="begin"/>
      </w:r>
      <w:r>
        <w:rPr>
          <w:highlight w:val="none"/>
        </w:rPr>
        <w:instrText xml:space="preserve"> HYPERLINK \l "_Toc151675539" </w:instrText>
      </w:r>
      <w:r>
        <w:rPr>
          <w:highlight w:val="none"/>
        </w:rPr>
        <w:fldChar w:fldCharType="separate"/>
      </w:r>
      <w:r>
        <w:rPr>
          <w:rStyle w:val="27"/>
          <w:rFonts w:asciiTheme="minorEastAsia" w:hAnsiTheme="minorEastAsia" w:eastAsiaTheme="minorEastAsia"/>
          <w:color w:val="auto"/>
          <w:sz w:val="28"/>
          <w:szCs w:val="36"/>
          <w:highlight w:val="none"/>
        </w:rPr>
        <w:t>第四章  评审程序、评审方法和评审标准</w:t>
      </w:r>
      <w:r>
        <w:rPr>
          <w:rFonts w:asciiTheme="minorEastAsia" w:hAnsiTheme="minorEastAsia" w:eastAsiaTheme="minorEastAsia"/>
          <w:sz w:val="28"/>
          <w:szCs w:val="36"/>
          <w:highlight w:val="none"/>
        </w:rPr>
        <w:tab/>
      </w:r>
      <w:r>
        <w:rPr>
          <w:rFonts w:asciiTheme="minorEastAsia" w:hAnsiTheme="minorEastAsia" w:eastAsiaTheme="minorEastAsia"/>
          <w:sz w:val="28"/>
          <w:szCs w:val="36"/>
          <w:highlight w:val="none"/>
        </w:rPr>
        <w:fldChar w:fldCharType="begin"/>
      </w:r>
      <w:r>
        <w:rPr>
          <w:rFonts w:asciiTheme="minorEastAsia" w:hAnsiTheme="minorEastAsia" w:eastAsiaTheme="minorEastAsia"/>
          <w:sz w:val="28"/>
          <w:szCs w:val="36"/>
          <w:highlight w:val="none"/>
        </w:rPr>
        <w:instrText xml:space="preserve"> PAGEREF _Toc151675539 \h </w:instrText>
      </w:r>
      <w:r>
        <w:rPr>
          <w:rFonts w:asciiTheme="minorEastAsia" w:hAnsiTheme="minorEastAsia" w:eastAsiaTheme="minorEastAsia"/>
          <w:sz w:val="28"/>
          <w:szCs w:val="36"/>
          <w:highlight w:val="none"/>
        </w:rPr>
        <w:fldChar w:fldCharType="separate"/>
      </w:r>
      <w:r>
        <w:rPr>
          <w:rFonts w:asciiTheme="minorEastAsia" w:hAnsiTheme="minorEastAsia" w:eastAsiaTheme="minorEastAsia"/>
          <w:sz w:val="28"/>
          <w:szCs w:val="36"/>
          <w:highlight w:val="none"/>
        </w:rPr>
        <w:t>32</w:t>
      </w:r>
      <w:r>
        <w:rPr>
          <w:rFonts w:asciiTheme="minorEastAsia" w:hAnsiTheme="minorEastAsia" w:eastAsiaTheme="minorEastAsia"/>
          <w:sz w:val="28"/>
          <w:szCs w:val="36"/>
          <w:highlight w:val="none"/>
        </w:rPr>
        <w:fldChar w:fldCharType="end"/>
      </w:r>
      <w:r>
        <w:rPr>
          <w:rFonts w:asciiTheme="minorEastAsia" w:hAnsiTheme="minorEastAsia" w:eastAsiaTheme="minorEastAsia"/>
          <w:sz w:val="28"/>
          <w:szCs w:val="36"/>
          <w:highlight w:val="none"/>
        </w:rPr>
        <w:fldChar w:fldCharType="end"/>
      </w:r>
    </w:p>
    <w:p w14:paraId="0862FE9F">
      <w:pPr>
        <w:pStyle w:val="18"/>
        <w:tabs>
          <w:tab w:val="right" w:leader="dot" w:pos="8869"/>
        </w:tabs>
        <w:rPr>
          <w:rFonts w:hint="eastAsia" w:asciiTheme="minorEastAsia" w:hAnsiTheme="minorEastAsia" w:eastAsiaTheme="minorEastAsia" w:cstheme="minorBidi"/>
          <w:sz w:val="28"/>
          <w:szCs w:val="32"/>
          <w:highlight w:val="none"/>
        </w:rPr>
      </w:pPr>
      <w:r>
        <w:rPr>
          <w:highlight w:val="none"/>
        </w:rPr>
        <w:fldChar w:fldCharType="begin"/>
      </w:r>
      <w:r>
        <w:rPr>
          <w:highlight w:val="none"/>
        </w:rPr>
        <w:instrText xml:space="preserve"> HYPERLINK \l "_Toc151675540" </w:instrText>
      </w:r>
      <w:r>
        <w:rPr>
          <w:highlight w:val="none"/>
        </w:rPr>
        <w:fldChar w:fldCharType="separate"/>
      </w:r>
      <w:r>
        <w:rPr>
          <w:rStyle w:val="27"/>
          <w:rFonts w:asciiTheme="minorEastAsia" w:hAnsiTheme="minorEastAsia" w:eastAsiaTheme="minorEastAsia"/>
          <w:color w:val="auto"/>
          <w:sz w:val="28"/>
          <w:szCs w:val="36"/>
          <w:highlight w:val="none"/>
        </w:rPr>
        <w:t>第五章  响应文件格式</w:t>
      </w:r>
      <w:r>
        <w:rPr>
          <w:rFonts w:asciiTheme="minorEastAsia" w:hAnsiTheme="minorEastAsia" w:eastAsiaTheme="minorEastAsia"/>
          <w:sz w:val="28"/>
          <w:szCs w:val="36"/>
          <w:highlight w:val="none"/>
        </w:rPr>
        <w:tab/>
      </w:r>
      <w:r>
        <w:rPr>
          <w:rFonts w:asciiTheme="minorEastAsia" w:hAnsiTheme="minorEastAsia" w:eastAsiaTheme="minorEastAsia"/>
          <w:sz w:val="28"/>
          <w:szCs w:val="36"/>
          <w:highlight w:val="none"/>
        </w:rPr>
        <w:fldChar w:fldCharType="begin"/>
      </w:r>
      <w:r>
        <w:rPr>
          <w:rFonts w:asciiTheme="minorEastAsia" w:hAnsiTheme="minorEastAsia" w:eastAsiaTheme="minorEastAsia"/>
          <w:sz w:val="28"/>
          <w:szCs w:val="36"/>
          <w:highlight w:val="none"/>
        </w:rPr>
        <w:instrText xml:space="preserve"> PAGEREF _Toc151675540 \h </w:instrText>
      </w:r>
      <w:r>
        <w:rPr>
          <w:rFonts w:asciiTheme="minorEastAsia" w:hAnsiTheme="minorEastAsia" w:eastAsiaTheme="minorEastAsia"/>
          <w:sz w:val="28"/>
          <w:szCs w:val="36"/>
          <w:highlight w:val="none"/>
        </w:rPr>
        <w:fldChar w:fldCharType="separate"/>
      </w:r>
      <w:r>
        <w:rPr>
          <w:rFonts w:asciiTheme="minorEastAsia" w:hAnsiTheme="minorEastAsia" w:eastAsiaTheme="minorEastAsia"/>
          <w:sz w:val="28"/>
          <w:szCs w:val="36"/>
          <w:highlight w:val="none"/>
        </w:rPr>
        <w:t>46</w:t>
      </w:r>
      <w:r>
        <w:rPr>
          <w:rFonts w:asciiTheme="minorEastAsia" w:hAnsiTheme="minorEastAsia" w:eastAsiaTheme="minorEastAsia"/>
          <w:sz w:val="28"/>
          <w:szCs w:val="36"/>
          <w:highlight w:val="none"/>
        </w:rPr>
        <w:fldChar w:fldCharType="end"/>
      </w:r>
      <w:r>
        <w:rPr>
          <w:rFonts w:asciiTheme="minorEastAsia" w:hAnsiTheme="minorEastAsia" w:eastAsiaTheme="minorEastAsia"/>
          <w:sz w:val="28"/>
          <w:szCs w:val="36"/>
          <w:highlight w:val="none"/>
        </w:rPr>
        <w:fldChar w:fldCharType="end"/>
      </w:r>
    </w:p>
    <w:p w14:paraId="58CED8ED">
      <w:pPr>
        <w:pStyle w:val="18"/>
        <w:tabs>
          <w:tab w:val="right" w:leader="dot" w:pos="8869"/>
        </w:tabs>
        <w:rPr>
          <w:rFonts w:hint="eastAsia" w:asciiTheme="minorEastAsia" w:hAnsiTheme="minorEastAsia" w:eastAsiaTheme="minorEastAsia" w:cstheme="minorBidi"/>
          <w:sz w:val="28"/>
          <w:szCs w:val="32"/>
          <w:highlight w:val="none"/>
        </w:rPr>
      </w:pPr>
      <w:r>
        <w:rPr>
          <w:highlight w:val="none"/>
        </w:rPr>
        <w:fldChar w:fldCharType="begin"/>
      </w:r>
      <w:r>
        <w:rPr>
          <w:highlight w:val="none"/>
        </w:rPr>
        <w:instrText xml:space="preserve"> HYPERLINK \l "_Toc151675541" </w:instrText>
      </w:r>
      <w:r>
        <w:rPr>
          <w:highlight w:val="none"/>
        </w:rPr>
        <w:fldChar w:fldCharType="separate"/>
      </w:r>
      <w:r>
        <w:rPr>
          <w:rStyle w:val="27"/>
          <w:rFonts w:asciiTheme="minorEastAsia" w:hAnsiTheme="minorEastAsia" w:eastAsiaTheme="minorEastAsia"/>
          <w:color w:val="auto"/>
          <w:sz w:val="28"/>
          <w:szCs w:val="36"/>
          <w:highlight w:val="none"/>
        </w:rPr>
        <w:t>第六章  合同文本</w:t>
      </w:r>
      <w:r>
        <w:rPr>
          <w:rFonts w:asciiTheme="minorEastAsia" w:hAnsiTheme="minorEastAsia" w:eastAsiaTheme="minorEastAsia"/>
          <w:sz w:val="28"/>
          <w:szCs w:val="36"/>
          <w:highlight w:val="none"/>
        </w:rPr>
        <w:tab/>
      </w:r>
      <w:r>
        <w:rPr>
          <w:rFonts w:asciiTheme="minorEastAsia" w:hAnsiTheme="minorEastAsia" w:eastAsiaTheme="minorEastAsia"/>
          <w:sz w:val="28"/>
          <w:szCs w:val="36"/>
          <w:highlight w:val="none"/>
        </w:rPr>
        <w:fldChar w:fldCharType="begin"/>
      </w:r>
      <w:r>
        <w:rPr>
          <w:rFonts w:asciiTheme="minorEastAsia" w:hAnsiTheme="minorEastAsia" w:eastAsiaTheme="minorEastAsia"/>
          <w:sz w:val="28"/>
          <w:szCs w:val="36"/>
          <w:highlight w:val="none"/>
        </w:rPr>
        <w:instrText xml:space="preserve"> PAGEREF _Toc151675541 \h </w:instrText>
      </w:r>
      <w:r>
        <w:rPr>
          <w:rFonts w:asciiTheme="minorEastAsia" w:hAnsiTheme="minorEastAsia" w:eastAsiaTheme="minorEastAsia"/>
          <w:sz w:val="28"/>
          <w:szCs w:val="36"/>
          <w:highlight w:val="none"/>
        </w:rPr>
        <w:fldChar w:fldCharType="separate"/>
      </w:r>
      <w:r>
        <w:rPr>
          <w:rFonts w:asciiTheme="minorEastAsia" w:hAnsiTheme="minorEastAsia" w:eastAsiaTheme="minorEastAsia"/>
          <w:sz w:val="28"/>
          <w:szCs w:val="36"/>
          <w:highlight w:val="none"/>
        </w:rPr>
        <w:t>75</w:t>
      </w:r>
      <w:r>
        <w:rPr>
          <w:rFonts w:asciiTheme="minorEastAsia" w:hAnsiTheme="minorEastAsia" w:eastAsiaTheme="minorEastAsia"/>
          <w:sz w:val="28"/>
          <w:szCs w:val="36"/>
          <w:highlight w:val="none"/>
        </w:rPr>
        <w:fldChar w:fldCharType="end"/>
      </w:r>
      <w:r>
        <w:rPr>
          <w:rFonts w:asciiTheme="minorEastAsia" w:hAnsiTheme="minorEastAsia" w:eastAsiaTheme="minorEastAsia"/>
          <w:sz w:val="28"/>
          <w:szCs w:val="36"/>
          <w:highlight w:val="none"/>
        </w:rPr>
        <w:fldChar w:fldCharType="end"/>
      </w:r>
    </w:p>
    <w:p w14:paraId="1264DAA9">
      <w:pPr>
        <w:pStyle w:val="20"/>
        <w:tabs>
          <w:tab w:val="right" w:leader="dot" w:pos="8931"/>
          <w:tab w:val="clear" w:pos="8296"/>
        </w:tabs>
        <w:snapToGrid w:val="0"/>
        <w:spacing w:line="500" w:lineRule="atLeast"/>
        <w:ind w:left="0" w:leftChars="0"/>
        <w:rPr>
          <w:rFonts w:hint="eastAsia" w:ascii="宋体" w:hAnsi="宋体"/>
          <w:b/>
          <w:sz w:val="24"/>
          <w:highlight w:val="none"/>
        </w:rPr>
      </w:pPr>
      <w:r>
        <w:rPr>
          <w:rFonts w:ascii="宋体" w:hAnsi="宋体"/>
          <w:b/>
          <w:sz w:val="24"/>
          <w:highlight w:val="none"/>
        </w:rPr>
        <w:fldChar w:fldCharType="end"/>
      </w:r>
    </w:p>
    <w:p w14:paraId="422541B6">
      <w:pPr>
        <w:spacing w:line="400" w:lineRule="exact"/>
        <w:jc w:val="left"/>
        <w:rPr>
          <w:rFonts w:hint="eastAsia" w:ascii="宋体" w:hAnsi="宋体"/>
          <w:b/>
          <w:sz w:val="32"/>
          <w:szCs w:val="32"/>
          <w:highlight w:val="none"/>
        </w:rPr>
      </w:pPr>
    </w:p>
    <w:p w14:paraId="2A56C56D">
      <w:pPr>
        <w:spacing w:line="400" w:lineRule="exact"/>
        <w:jc w:val="center"/>
        <w:rPr>
          <w:rFonts w:hint="eastAsia" w:ascii="宋体" w:hAnsi="宋体"/>
          <w:b/>
          <w:sz w:val="32"/>
          <w:szCs w:val="32"/>
          <w:highlight w:val="none"/>
        </w:rPr>
      </w:pPr>
    </w:p>
    <w:p w14:paraId="5DE0A60F">
      <w:pPr>
        <w:spacing w:line="400" w:lineRule="exact"/>
        <w:jc w:val="center"/>
        <w:rPr>
          <w:rFonts w:hint="eastAsia" w:ascii="宋体" w:hAnsi="宋体"/>
          <w:b/>
          <w:sz w:val="32"/>
          <w:szCs w:val="32"/>
          <w:highlight w:val="none"/>
        </w:rPr>
      </w:pPr>
    </w:p>
    <w:p w14:paraId="0E4F87E3">
      <w:pPr>
        <w:spacing w:line="400" w:lineRule="exact"/>
        <w:jc w:val="center"/>
        <w:rPr>
          <w:rFonts w:hint="eastAsia" w:ascii="宋体" w:hAnsi="宋体"/>
          <w:b/>
          <w:sz w:val="32"/>
          <w:szCs w:val="32"/>
          <w:highlight w:val="none"/>
        </w:rPr>
      </w:pPr>
    </w:p>
    <w:p w14:paraId="1C1CBB4D">
      <w:pPr>
        <w:spacing w:line="400" w:lineRule="exact"/>
        <w:jc w:val="center"/>
        <w:rPr>
          <w:rFonts w:hint="eastAsia" w:ascii="宋体" w:hAnsi="宋体"/>
          <w:b/>
          <w:sz w:val="32"/>
          <w:szCs w:val="32"/>
          <w:highlight w:val="none"/>
        </w:rPr>
      </w:pPr>
    </w:p>
    <w:p w14:paraId="154A366B">
      <w:pPr>
        <w:spacing w:line="400" w:lineRule="exact"/>
        <w:rPr>
          <w:rFonts w:hint="eastAsia" w:ascii="宋体" w:hAnsi="宋体"/>
          <w:b/>
          <w:sz w:val="32"/>
          <w:szCs w:val="32"/>
          <w:highlight w:val="none"/>
        </w:rPr>
        <w:sectPr>
          <w:headerReference r:id="rId4" w:type="first"/>
          <w:footerReference r:id="rId6" w:type="first"/>
          <w:headerReference r:id="rId3" w:type="default"/>
          <w:footerReference r:id="rId5" w:type="default"/>
          <w:pgSz w:w="11906" w:h="16838"/>
          <w:pgMar w:top="1440" w:right="1080" w:bottom="1440" w:left="1080" w:header="851" w:footer="992" w:gutter="0"/>
          <w:pgNumType w:start="0"/>
          <w:cols w:space="720" w:num="1"/>
          <w:titlePg/>
          <w:docGrid w:type="lines" w:linePitch="312" w:charSpace="0"/>
        </w:sectPr>
      </w:pPr>
    </w:p>
    <w:p w14:paraId="5B16583F">
      <w:pPr>
        <w:pStyle w:val="4"/>
        <w:jc w:val="center"/>
        <w:rPr>
          <w:rFonts w:hint="eastAsia" w:ascii="宋体" w:hAnsi="宋体"/>
          <w:szCs w:val="21"/>
          <w:highlight w:val="none"/>
        </w:rPr>
      </w:pPr>
      <w:bookmarkStart w:id="0" w:name="_Toc151675536"/>
      <w:r>
        <w:rPr>
          <w:rFonts w:hint="eastAsia"/>
          <w:highlight w:val="none"/>
        </w:rPr>
        <w:t xml:space="preserve">第一章 </w:t>
      </w:r>
      <w:r>
        <w:rPr>
          <w:highlight w:val="none"/>
        </w:rPr>
        <w:t xml:space="preserve"> </w:t>
      </w:r>
      <w:r>
        <w:rPr>
          <w:rFonts w:hint="eastAsia"/>
          <w:highlight w:val="none"/>
        </w:rPr>
        <w:t>竞争性磋商公告</w:t>
      </w:r>
      <w:bookmarkEnd w:id="0"/>
    </w:p>
    <w:p w14:paraId="03445DA1">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szCs w:val="21"/>
          <w:highlight w:val="none"/>
        </w:rPr>
      </w:pPr>
      <w:bookmarkStart w:id="1" w:name="_Hlk37430271"/>
      <w:r>
        <w:rPr>
          <w:rFonts w:hint="eastAsia" w:ascii="宋体" w:hAnsi="宋体"/>
          <w:szCs w:val="21"/>
          <w:highlight w:val="none"/>
        </w:rPr>
        <w:t>项目概况</w:t>
      </w:r>
    </w:p>
    <w:p w14:paraId="70C89CD0">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szCs w:val="21"/>
          <w:highlight w:val="none"/>
        </w:rPr>
      </w:pPr>
      <w:r>
        <w:rPr>
          <w:rFonts w:hint="eastAsia" w:ascii="宋体" w:hAnsi="宋体"/>
          <w:szCs w:val="21"/>
          <w:highlight w:val="none"/>
          <w:u w:val="single"/>
        </w:rPr>
        <w:t xml:space="preserve"> </w:t>
      </w:r>
      <w:r>
        <w:rPr>
          <w:rFonts w:hint="eastAsia" w:ascii="宋体" w:hAnsi="宋体"/>
          <w:szCs w:val="21"/>
          <w:highlight w:val="none"/>
          <w:u w:val="single"/>
          <w:lang w:eastAsia="zh-CN"/>
        </w:rPr>
        <w:t>2026年云平台基础设施运维服务项目（公服区设备运维、软件运维）</w:t>
      </w:r>
      <w:r>
        <w:rPr>
          <w:rFonts w:hint="eastAsia" w:ascii="宋体" w:hAnsi="宋体"/>
          <w:szCs w:val="21"/>
          <w:highlight w:val="none"/>
        </w:rPr>
        <w:t>的潜在供应商应在广西政府采购云平台（https://www.gcy.zfcg.gxzf.gov.cn/）获取（下载）竞争性磋商文件，并于2</w:t>
      </w:r>
      <w:r>
        <w:rPr>
          <w:rFonts w:ascii="宋体" w:hAnsi="宋体"/>
          <w:szCs w:val="21"/>
          <w:highlight w:val="none"/>
        </w:rPr>
        <w:t>02</w:t>
      </w:r>
      <w:r>
        <w:rPr>
          <w:rFonts w:hint="eastAsia" w:ascii="宋体" w:hAnsi="宋体"/>
          <w:szCs w:val="21"/>
          <w:highlight w:val="none"/>
        </w:rPr>
        <w:t>6</w:t>
      </w:r>
      <w:r>
        <w:rPr>
          <w:rFonts w:hint="eastAsia" w:ascii="宋体" w:hAnsi="宋体"/>
          <w:bCs/>
          <w:szCs w:val="21"/>
          <w:highlight w:val="none"/>
        </w:rPr>
        <w:t>年</w:t>
      </w:r>
      <w:r>
        <w:rPr>
          <w:rFonts w:hint="eastAsia" w:ascii="宋体" w:hAnsi="宋体"/>
          <w:bCs/>
          <w:szCs w:val="21"/>
          <w:highlight w:val="none"/>
          <w:lang w:val="en-US" w:eastAsia="zh-CN"/>
        </w:rPr>
        <w:t>8</w:t>
      </w:r>
      <w:r>
        <w:rPr>
          <w:rFonts w:hint="eastAsia" w:ascii="宋体" w:hAnsi="宋体"/>
          <w:bCs/>
          <w:szCs w:val="21"/>
          <w:highlight w:val="none"/>
        </w:rPr>
        <w:t>月</w:t>
      </w:r>
      <w:r>
        <w:rPr>
          <w:rFonts w:hint="eastAsia" w:ascii="宋体" w:hAnsi="宋体"/>
          <w:bCs/>
          <w:szCs w:val="21"/>
          <w:highlight w:val="none"/>
          <w:lang w:val="en-US" w:eastAsia="zh-CN"/>
        </w:rPr>
        <w:t>27</w:t>
      </w:r>
      <w:r>
        <w:rPr>
          <w:rFonts w:hint="eastAsia" w:ascii="宋体" w:hAnsi="宋体"/>
          <w:bCs/>
          <w:szCs w:val="21"/>
          <w:highlight w:val="none"/>
        </w:rPr>
        <w:t>日09时30分（北京时间）前提交（上传）</w:t>
      </w:r>
      <w:r>
        <w:rPr>
          <w:rFonts w:hint="eastAsia" w:ascii="宋体" w:hAnsi="宋体"/>
          <w:szCs w:val="21"/>
          <w:highlight w:val="none"/>
        </w:rPr>
        <w:t>响应</w:t>
      </w:r>
      <w:r>
        <w:rPr>
          <w:rFonts w:hint="eastAsia" w:ascii="宋体" w:hAnsi="宋体"/>
          <w:bCs/>
          <w:szCs w:val="21"/>
          <w:highlight w:val="none"/>
        </w:rPr>
        <w:t>文件</w:t>
      </w:r>
      <w:r>
        <w:rPr>
          <w:rFonts w:hint="eastAsia" w:ascii="宋体" w:hAnsi="宋体"/>
          <w:szCs w:val="21"/>
          <w:highlight w:val="none"/>
        </w:rPr>
        <w:t>。</w:t>
      </w:r>
    </w:p>
    <w:p w14:paraId="5B34C1A9">
      <w:pPr>
        <w:ind w:firstLine="354" w:firstLineChars="147"/>
        <w:rPr>
          <w:rFonts w:hint="eastAsia" w:ascii="黑体" w:hAnsi="黑体" w:eastAsia="黑体"/>
          <w:b/>
          <w:sz w:val="24"/>
          <w:highlight w:val="none"/>
        </w:rPr>
      </w:pPr>
      <w:bookmarkStart w:id="2" w:name="_Toc71365905"/>
      <w:bookmarkStart w:id="3" w:name="_Toc35393798"/>
      <w:bookmarkStart w:id="4" w:name="_Toc35393629"/>
      <w:bookmarkStart w:id="5" w:name="_Toc28359012"/>
      <w:bookmarkStart w:id="6" w:name="_Toc28359089"/>
      <w:bookmarkStart w:id="7" w:name="_Toc44229878"/>
      <w:r>
        <w:rPr>
          <w:rFonts w:hint="eastAsia" w:ascii="黑体" w:hAnsi="黑体" w:eastAsia="黑体"/>
          <w:b/>
          <w:sz w:val="24"/>
          <w:highlight w:val="none"/>
        </w:rPr>
        <w:t>一、项目基本情况</w:t>
      </w:r>
      <w:bookmarkEnd w:id="2"/>
      <w:bookmarkEnd w:id="3"/>
      <w:bookmarkEnd w:id="4"/>
      <w:bookmarkEnd w:id="5"/>
      <w:bookmarkEnd w:id="6"/>
      <w:bookmarkEnd w:id="7"/>
    </w:p>
    <w:p w14:paraId="11F6691B">
      <w:pPr>
        <w:spacing w:line="360" w:lineRule="auto"/>
        <w:ind w:firstLine="420" w:firstLineChars="200"/>
        <w:rPr>
          <w:rFonts w:hint="eastAsia" w:ascii="宋体" w:hAnsi="宋体"/>
          <w:szCs w:val="21"/>
          <w:highlight w:val="none"/>
        </w:rPr>
      </w:pPr>
      <w:r>
        <w:rPr>
          <w:rFonts w:hint="eastAsia" w:ascii="宋体" w:hAnsi="宋体"/>
          <w:szCs w:val="21"/>
          <w:highlight w:val="none"/>
        </w:rPr>
        <w:t>项目编号：GXZC2026-C3-002429-GXTZ</w:t>
      </w:r>
    </w:p>
    <w:p w14:paraId="352AFC30">
      <w:pPr>
        <w:spacing w:line="360" w:lineRule="auto"/>
        <w:ind w:firstLine="420" w:firstLineChars="200"/>
        <w:rPr>
          <w:rFonts w:hint="eastAsia" w:ascii="宋体" w:hAnsi="宋体" w:eastAsia="宋体"/>
          <w:szCs w:val="21"/>
          <w:highlight w:val="none"/>
          <w:lang w:eastAsia="zh-CN"/>
        </w:rPr>
      </w:pPr>
      <w:r>
        <w:rPr>
          <w:rFonts w:hint="eastAsia" w:ascii="宋体" w:hAnsi="宋体"/>
          <w:szCs w:val="21"/>
          <w:highlight w:val="none"/>
        </w:rPr>
        <w:t xml:space="preserve">项目名称： </w:t>
      </w:r>
      <w:r>
        <w:rPr>
          <w:rFonts w:hint="eastAsia" w:ascii="宋体" w:hAnsi="宋体"/>
          <w:szCs w:val="21"/>
          <w:highlight w:val="none"/>
          <w:lang w:eastAsia="zh-CN"/>
        </w:rPr>
        <w:t>2026年云平台基础设施运维服务项目（公服区设备运维、软件运维）</w:t>
      </w:r>
    </w:p>
    <w:p w14:paraId="4D198CF0">
      <w:pPr>
        <w:spacing w:line="360" w:lineRule="auto"/>
        <w:ind w:firstLine="420" w:firstLineChars="200"/>
        <w:rPr>
          <w:rFonts w:hint="eastAsia" w:ascii="宋体" w:hAnsi="宋体"/>
          <w:szCs w:val="21"/>
          <w:highlight w:val="none"/>
        </w:rPr>
      </w:pPr>
      <w:r>
        <w:rPr>
          <w:rFonts w:hint="eastAsia" w:ascii="宋体" w:hAnsi="宋体"/>
          <w:szCs w:val="21"/>
          <w:highlight w:val="none"/>
        </w:rPr>
        <w:t>采购方式：竞争性磋商</w:t>
      </w:r>
    </w:p>
    <w:p w14:paraId="6840A24F">
      <w:pPr>
        <w:spacing w:line="360" w:lineRule="auto"/>
        <w:ind w:firstLine="420" w:firstLineChars="200"/>
        <w:rPr>
          <w:rFonts w:hint="eastAsia" w:ascii="宋体" w:hAnsi="宋体"/>
          <w:szCs w:val="21"/>
          <w:highlight w:val="none"/>
        </w:rPr>
      </w:pPr>
      <w:r>
        <w:rPr>
          <w:rFonts w:hint="eastAsia" w:ascii="宋体" w:hAnsi="宋体"/>
          <w:szCs w:val="21"/>
          <w:highlight w:val="none"/>
        </w:rPr>
        <w:t>预算总金额（元）：1000000.00</w:t>
      </w:r>
    </w:p>
    <w:p w14:paraId="129FA9B6">
      <w:pPr>
        <w:spacing w:line="360" w:lineRule="auto"/>
        <w:ind w:firstLine="420" w:firstLineChars="200"/>
        <w:rPr>
          <w:rFonts w:hint="eastAsia" w:ascii="宋体" w:hAnsi="宋体"/>
          <w:szCs w:val="21"/>
          <w:highlight w:val="none"/>
        </w:rPr>
      </w:pPr>
      <w:r>
        <w:rPr>
          <w:rFonts w:hint="eastAsia" w:ascii="宋体" w:hAnsi="宋体"/>
          <w:szCs w:val="21"/>
          <w:highlight w:val="none"/>
        </w:rPr>
        <w:t>采购需求：</w:t>
      </w:r>
    </w:p>
    <w:p w14:paraId="123E6C02">
      <w:pPr>
        <w:spacing w:line="360" w:lineRule="exact"/>
        <w:ind w:left="420" w:leftChars="200"/>
        <w:rPr>
          <w:rFonts w:hint="eastAsia" w:ascii="宋体" w:hAnsi="宋体"/>
          <w:szCs w:val="21"/>
          <w:highlight w:val="none"/>
        </w:rPr>
      </w:pPr>
      <w:r>
        <w:rPr>
          <w:rFonts w:hint="eastAsia" w:ascii="宋体" w:hAnsi="宋体"/>
          <w:szCs w:val="21"/>
          <w:highlight w:val="none"/>
        </w:rPr>
        <w:t xml:space="preserve">标项名称: </w:t>
      </w:r>
      <w:r>
        <w:rPr>
          <w:rFonts w:hint="eastAsia" w:ascii="宋体" w:hAnsi="宋体"/>
          <w:szCs w:val="21"/>
          <w:highlight w:val="none"/>
          <w:lang w:eastAsia="zh-CN"/>
        </w:rPr>
        <w:t>2026年云平台基础设施运维服务项目（公服区设备运维、软件运维）</w:t>
      </w:r>
      <w:r>
        <w:rPr>
          <w:rFonts w:hint="eastAsia" w:ascii="宋体" w:hAnsi="宋体"/>
          <w:szCs w:val="21"/>
          <w:highlight w:val="none"/>
        </w:rPr>
        <w:br w:type="textWrapping"/>
      </w:r>
      <w:r>
        <w:rPr>
          <w:rFonts w:hint="eastAsia" w:ascii="宋体" w:hAnsi="宋体"/>
          <w:szCs w:val="21"/>
          <w:highlight w:val="none"/>
        </w:rPr>
        <w:t>数量:1</w:t>
      </w:r>
      <w:r>
        <w:rPr>
          <w:rFonts w:hint="eastAsia" w:ascii="宋体" w:hAnsi="宋体"/>
          <w:szCs w:val="21"/>
          <w:highlight w:val="none"/>
        </w:rPr>
        <w:br w:type="textWrapping"/>
      </w:r>
      <w:r>
        <w:rPr>
          <w:rFonts w:hint="eastAsia" w:ascii="宋体" w:hAnsi="宋体"/>
          <w:szCs w:val="21"/>
          <w:highlight w:val="none"/>
        </w:rPr>
        <w:t>预算金额（元）:1000000</w:t>
      </w:r>
      <w:r>
        <w:rPr>
          <w:rFonts w:hint="eastAsia" w:ascii="宋体" w:hAnsi="宋体"/>
          <w:szCs w:val="21"/>
          <w:highlight w:val="none"/>
          <w:lang w:val="en-US" w:eastAsia="zh-CN"/>
        </w:rPr>
        <w:t>.00</w:t>
      </w:r>
      <w:r>
        <w:rPr>
          <w:rFonts w:hint="eastAsia" w:ascii="宋体" w:hAnsi="宋体"/>
          <w:szCs w:val="21"/>
          <w:highlight w:val="none"/>
        </w:rPr>
        <w:br w:type="textWrapping"/>
      </w:r>
      <w:r>
        <w:rPr>
          <w:rFonts w:hint="eastAsia" w:ascii="宋体" w:hAnsi="宋体"/>
          <w:szCs w:val="21"/>
          <w:highlight w:val="none"/>
        </w:rPr>
        <w:t>简要规格描述或项目基本概况介绍、用途：</w:t>
      </w:r>
      <w:r>
        <w:rPr>
          <w:rFonts w:hint="eastAsia" w:ascii="宋体" w:hAnsi="宋体"/>
          <w:szCs w:val="21"/>
          <w:highlight w:val="none"/>
          <w:lang w:eastAsia="zh-CN"/>
        </w:rPr>
        <w:t>2026年云平台基础设施运维服务项目（公服区设备运维、软件运维）</w:t>
      </w:r>
      <w:r>
        <w:rPr>
          <w:rFonts w:hint="eastAsia" w:ascii="宋体" w:hAnsi="宋体"/>
          <w:szCs w:val="21"/>
          <w:highlight w:val="none"/>
        </w:rPr>
        <w:t>一项；具体详见采购文件。</w:t>
      </w:r>
    </w:p>
    <w:p w14:paraId="7FC247BD">
      <w:pPr>
        <w:spacing w:line="360" w:lineRule="exact"/>
        <w:ind w:firstLine="420" w:firstLineChars="200"/>
        <w:rPr>
          <w:rFonts w:hint="default" w:ascii="宋体" w:hAnsi="宋体" w:eastAsia="宋体"/>
          <w:szCs w:val="21"/>
          <w:highlight w:val="none"/>
          <w:lang w:val="en-US" w:eastAsia="zh-CN"/>
        </w:rPr>
      </w:pPr>
      <w:r>
        <w:rPr>
          <w:rFonts w:hint="eastAsia" w:ascii="宋体" w:hAnsi="宋体"/>
          <w:szCs w:val="21"/>
          <w:highlight w:val="none"/>
        </w:rPr>
        <w:t>最高限价（如有）：1000000</w:t>
      </w:r>
      <w:r>
        <w:rPr>
          <w:rFonts w:hint="eastAsia" w:ascii="宋体" w:hAnsi="宋体"/>
          <w:szCs w:val="21"/>
          <w:highlight w:val="none"/>
          <w:lang w:val="en-US" w:eastAsia="zh-CN"/>
        </w:rPr>
        <w:t>.00</w:t>
      </w:r>
    </w:p>
    <w:p w14:paraId="5B4714A5">
      <w:pPr>
        <w:spacing w:line="360" w:lineRule="exact"/>
        <w:ind w:firstLine="420" w:firstLineChars="200"/>
        <w:rPr>
          <w:rFonts w:hint="eastAsia" w:ascii="宋体" w:hAnsi="宋体"/>
          <w:szCs w:val="21"/>
          <w:highlight w:val="none"/>
        </w:rPr>
      </w:pPr>
      <w:r>
        <w:rPr>
          <w:rFonts w:hint="eastAsia" w:ascii="宋体" w:hAnsi="宋体"/>
          <w:szCs w:val="21"/>
          <w:highlight w:val="none"/>
        </w:rPr>
        <w:t>合同履约期限：提供1年的软硬件保修维护服务。</w:t>
      </w:r>
    </w:p>
    <w:p w14:paraId="50EFE8DD">
      <w:pPr>
        <w:spacing w:line="360" w:lineRule="exact"/>
        <w:ind w:left="420" w:leftChars="200"/>
        <w:rPr>
          <w:rFonts w:hint="eastAsia" w:ascii="宋体" w:hAnsi="宋体"/>
          <w:szCs w:val="21"/>
          <w:highlight w:val="none"/>
        </w:rPr>
      </w:pPr>
      <w:r>
        <w:rPr>
          <w:rFonts w:hint="eastAsia" w:ascii="宋体" w:hAnsi="宋体"/>
          <w:szCs w:val="21"/>
          <w:highlight w:val="none"/>
        </w:rPr>
        <w:t>本标项（否）接受联合体投标。</w:t>
      </w:r>
      <w:r>
        <w:rPr>
          <w:rFonts w:hint="eastAsia" w:ascii="宋体" w:hAnsi="宋体"/>
          <w:szCs w:val="21"/>
          <w:highlight w:val="none"/>
        </w:rPr>
        <w:br w:type="textWrapping"/>
      </w:r>
      <w:r>
        <w:rPr>
          <w:rFonts w:hint="eastAsia" w:ascii="宋体" w:hAnsi="宋体"/>
          <w:szCs w:val="21"/>
          <w:highlight w:val="none"/>
        </w:rPr>
        <w:t>备注：/</w:t>
      </w:r>
    </w:p>
    <w:p w14:paraId="1EC547D8">
      <w:pPr>
        <w:spacing w:line="360" w:lineRule="exact"/>
        <w:ind w:firstLine="420" w:firstLineChars="200"/>
        <w:rPr>
          <w:rFonts w:hint="eastAsia" w:ascii="宋体" w:hAnsi="宋体"/>
          <w:szCs w:val="21"/>
          <w:highlight w:val="none"/>
        </w:rPr>
      </w:pPr>
    </w:p>
    <w:p w14:paraId="1161EFFB">
      <w:pPr>
        <w:spacing w:line="360" w:lineRule="exact"/>
        <w:ind w:firstLine="354" w:firstLineChars="147"/>
        <w:rPr>
          <w:rFonts w:hint="eastAsia" w:ascii="黑体" w:hAnsi="黑体" w:eastAsia="黑体"/>
          <w:b/>
          <w:sz w:val="24"/>
          <w:highlight w:val="none"/>
        </w:rPr>
      </w:pPr>
      <w:bookmarkStart w:id="8" w:name="_Toc44229879"/>
      <w:bookmarkStart w:id="9" w:name="_Toc28359090"/>
      <w:bookmarkStart w:id="10" w:name="_Toc35393630"/>
      <w:bookmarkStart w:id="11" w:name="_Toc28359013"/>
      <w:bookmarkStart w:id="12" w:name="_Toc71365906"/>
      <w:bookmarkStart w:id="13" w:name="_Toc35393799"/>
      <w:r>
        <w:rPr>
          <w:rFonts w:hint="eastAsia" w:ascii="黑体" w:hAnsi="黑体" w:eastAsia="黑体"/>
          <w:b/>
          <w:sz w:val="24"/>
          <w:highlight w:val="none"/>
        </w:rPr>
        <w:t>二、申请人的资格条件：</w:t>
      </w:r>
      <w:bookmarkEnd w:id="8"/>
      <w:bookmarkEnd w:id="9"/>
      <w:bookmarkEnd w:id="10"/>
      <w:bookmarkEnd w:id="11"/>
      <w:bookmarkEnd w:id="12"/>
      <w:bookmarkEnd w:id="13"/>
    </w:p>
    <w:p w14:paraId="754020BC">
      <w:pPr>
        <w:spacing w:line="360" w:lineRule="exact"/>
        <w:ind w:firstLine="420" w:firstLineChars="200"/>
        <w:rPr>
          <w:rFonts w:hint="eastAsia" w:ascii="宋体" w:hAnsi="宋体"/>
          <w:szCs w:val="21"/>
          <w:highlight w:val="none"/>
        </w:rPr>
      </w:pPr>
      <w:bookmarkStart w:id="14" w:name="_Toc28359014"/>
      <w:bookmarkStart w:id="15" w:name="_Toc35393800"/>
      <w:bookmarkStart w:id="16" w:name="_Toc44229880"/>
      <w:bookmarkStart w:id="17" w:name="_Toc28359091"/>
      <w:bookmarkStart w:id="18" w:name="_Toc35393631"/>
      <w:r>
        <w:rPr>
          <w:rFonts w:hint="eastAsia" w:ascii="宋体" w:hAnsi="宋体"/>
          <w:szCs w:val="21"/>
          <w:highlight w:val="none"/>
        </w:rPr>
        <w:t>1.满足《中华人民共和国政府采购法》第二十二条规定；</w:t>
      </w:r>
    </w:p>
    <w:p w14:paraId="3834C11C">
      <w:pPr>
        <w:spacing w:line="360" w:lineRule="exact"/>
        <w:ind w:firstLine="420" w:firstLineChars="200"/>
        <w:rPr>
          <w:rFonts w:hint="eastAsia" w:ascii="宋体" w:hAnsi="宋体"/>
          <w:szCs w:val="21"/>
          <w:highlight w:val="none"/>
        </w:rPr>
      </w:pPr>
      <w:r>
        <w:rPr>
          <w:rFonts w:ascii="宋体" w:hAnsi="宋体"/>
          <w:szCs w:val="21"/>
          <w:highlight w:val="none"/>
        </w:rPr>
        <w:t>2</w:t>
      </w:r>
      <w:r>
        <w:rPr>
          <w:rFonts w:hint="eastAsia" w:ascii="宋体" w:hAnsi="宋体"/>
          <w:szCs w:val="21"/>
          <w:highlight w:val="none"/>
        </w:rPr>
        <w:t>.落实政府采购政策需满足的资格要求：</w:t>
      </w:r>
    </w:p>
    <w:p w14:paraId="5AE12FE7">
      <w:pPr>
        <w:spacing w:line="360" w:lineRule="exact"/>
        <w:ind w:firstLine="420" w:firstLineChars="200"/>
        <w:rPr>
          <w:rFonts w:hint="eastAsia" w:ascii="宋体" w:hAnsi="宋体"/>
          <w:szCs w:val="21"/>
          <w:highlight w:val="none"/>
        </w:rPr>
      </w:pPr>
      <w:r>
        <w:rPr>
          <w:rFonts w:hint="eastAsia" w:ascii="宋体" w:hAnsi="宋体"/>
          <w:szCs w:val="21"/>
          <w:highlight w:val="none"/>
        </w:rPr>
        <w:t>□专门面向中小企业采购的项目（供应商应为中小微企业或监狱企业或残疾人福利性单位）；</w:t>
      </w:r>
    </w:p>
    <w:p w14:paraId="0BF79DDE">
      <w:pPr>
        <w:spacing w:line="360" w:lineRule="exact"/>
        <w:ind w:firstLine="420" w:firstLineChars="200"/>
        <w:rPr>
          <w:rFonts w:hint="eastAsia" w:ascii="宋体" w:hAnsi="宋体"/>
          <w:szCs w:val="21"/>
          <w:highlight w:val="none"/>
        </w:rPr>
      </w:pPr>
      <w:r>
        <w:rPr>
          <w:rFonts w:hint="eastAsia" w:ascii="宋体" w:hAnsi="宋体"/>
          <w:szCs w:val="21"/>
          <w:highlight w:val="none"/>
        </w:rPr>
        <w:t xml:space="preserve">☑非专门面向中小企业采购的项目。 </w:t>
      </w:r>
    </w:p>
    <w:p w14:paraId="3570052C">
      <w:pPr>
        <w:spacing w:line="360" w:lineRule="exact"/>
        <w:ind w:firstLine="420" w:firstLineChars="200"/>
        <w:rPr>
          <w:rFonts w:hint="eastAsia" w:ascii="宋体" w:hAnsi="宋体"/>
          <w:szCs w:val="21"/>
          <w:highlight w:val="none"/>
        </w:rPr>
      </w:pPr>
      <w:r>
        <w:rPr>
          <w:rFonts w:hint="eastAsia" w:ascii="宋体" w:hAnsi="宋体"/>
          <w:szCs w:val="21"/>
          <w:highlight w:val="none"/>
        </w:rPr>
        <w:t>3.本项目的特定资格要求：</w:t>
      </w:r>
      <w:bookmarkStart w:id="19" w:name="_Toc71365907"/>
      <w:r>
        <w:rPr>
          <w:rFonts w:hint="eastAsia" w:ascii="宋体" w:hAnsi="宋体"/>
          <w:szCs w:val="21"/>
          <w:highlight w:val="none"/>
        </w:rPr>
        <w:t>无</w:t>
      </w:r>
    </w:p>
    <w:p w14:paraId="25833351">
      <w:pPr>
        <w:spacing w:line="360" w:lineRule="exact"/>
        <w:ind w:firstLine="482" w:firstLineChars="200"/>
        <w:rPr>
          <w:rFonts w:hint="eastAsia" w:ascii="黑体" w:hAnsi="黑体" w:eastAsia="黑体"/>
          <w:b/>
          <w:sz w:val="24"/>
          <w:highlight w:val="none"/>
        </w:rPr>
      </w:pPr>
      <w:r>
        <w:rPr>
          <w:rFonts w:hint="eastAsia" w:ascii="黑体" w:hAnsi="黑体" w:eastAsia="黑体"/>
          <w:b/>
          <w:sz w:val="24"/>
          <w:highlight w:val="none"/>
        </w:rPr>
        <w:t>三、获取竞争性磋商文件</w:t>
      </w:r>
      <w:bookmarkEnd w:id="14"/>
      <w:bookmarkEnd w:id="15"/>
      <w:bookmarkEnd w:id="16"/>
      <w:bookmarkEnd w:id="17"/>
      <w:bookmarkEnd w:id="18"/>
      <w:bookmarkEnd w:id="19"/>
    </w:p>
    <w:p w14:paraId="35546518">
      <w:pPr>
        <w:spacing w:line="360" w:lineRule="exact"/>
        <w:ind w:firstLine="420" w:firstLineChars="200"/>
        <w:rPr>
          <w:rFonts w:hint="eastAsia" w:ascii="宋体" w:hAnsi="宋体" w:cs="宋体"/>
          <w:bCs/>
          <w:kern w:val="0"/>
          <w:szCs w:val="21"/>
          <w:highlight w:val="none"/>
        </w:rPr>
      </w:pPr>
      <w:bookmarkStart w:id="20" w:name="_Toc35393632"/>
      <w:bookmarkStart w:id="21" w:name="_Toc44229881"/>
      <w:bookmarkStart w:id="22" w:name="_Toc28359092"/>
      <w:bookmarkStart w:id="23" w:name="_Toc28359015"/>
      <w:bookmarkStart w:id="24" w:name="_Toc35393801"/>
      <w:r>
        <w:rPr>
          <w:rFonts w:hint="eastAsia" w:ascii="宋体" w:hAnsi="宋体" w:cs="宋体"/>
          <w:bCs/>
          <w:kern w:val="0"/>
          <w:szCs w:val="21"/>
          <w:highlight w:val="none"/>
        </w:rPr>
        <w:t>时间：</w:t>
      </w:r>
      <w:r>
        <w:rPr>
          <w:rFonts w:hint="eastAsia" w:ascii="宋体" w:hAnsi="宋体"/>
          <w:szCs w:val="21"/>
          <w:highlight w:val="none"/>
        </w:rPr>
        <w:t>2</w:t>
      </w:r>
      <w:r>
        <w:rPr>
          <w:rFonts w:ascii="宋体" w:hAnsi="宋体"/>
          <w:szCs w:val="21"/>
          <w:highlight w:val="none"/>
        </w:rPr>
        <w:t>02</w:t>
      </w:r>
      <w:r>
        <w:rPr>
          <w:rFonts w:hint="eastAsia" w:ascii="宋体" w:hAnsi="宋体"/>
          <w:szCs w:val="21"/>
          <w:highlight w:val="none"/>
        </w:rPr>
        <w:t>6</w:t>
      </w:r>
      <w:r>
        <w:rPr>
          <w:rFonts w:hint="eastAsia" w:ascii="宋体" w:hAnsi="宋体"/>
          <w:bCs/>
          <w:szCs w:val="21"/>
          <w:highlight w:val="none"/>
        </w:rPr>
        <w:t>年</w:t>
      </w:r>
      <w:r>
        <w:rPr>
          <w:rFonts w:hint="eastAsia" w:ascii="宋体" w:hAnsi="宋体"/>
          <w:bCs/>
          <w:szCs w:val="21"/>
          <w:highlight w:val="none"/>
          <w:lang w:val="en-US" w:eastAsia="zh-CN"/>
        </w:rPr>
        <w:t>8</w:t>
      </w:r>
      <w:r>
        <w:rPr>
          <w:rFonts w:hint="eastAsia" w:ascii="宋体" w:hAnsi="宋体"/>
          <w:bCs/>
          <w:szCs w:val="21"/>
          <w:highlight w:val="none"/>
        </w:rPr>
        <w:t>月</w:t>
      </w:r>
      <w:r>
        <w:rPr>
          <w:rFonts w:hint="eastAsia" w:ascii="宋体" w:hAnsi="宋体"/>
          <w:bCs/>
          <w:szCs w:val="21"/>
          <w:highlight w:val="none"/>
          <w:lang w:val="en-US" w:eastAsia="zh-CN"/>
        </w:rPr>
        <w:t>13</w:t>
      </w:r>
      <w:r>
        <w:rPr>
          <w:rFonts w:hint="eastAsia" w:ascii="宋体" w:hAnsi="宋体"/>
          <w:bCs/>
          <w:szCs w:val="21"/>
          <w:highlight w:val="none"/>
        </w:rPr>
        <w:t>日</w:t>
      </w:r>
      <w:r>
        <w:rPr>
          <w:rFonts w:hint="eastAsia" w:ascii="宋体" w:hAnsi="宋体" w:cs="宋体"/>
          <w:bCs/>
          <w:kern w:val="0"/>
          <w:szCs w:val="21"/>
          <w:highlight w:val="none"/>
        </w:rPr>
        <w:t>至</w:t>
      </w:r>
      <w:r>
        <w:rPr>
          <w:rFonts w:hint="eastAsia" w:ascii="宋体" w:hAnsi="宋体"/>
          <w:szCs w:val="21"/>
          <w:highlight w:val="none"/>
        </w:rPr>
        <w:t>2</w:t>
      </w:r>
      <w:r>
        <w:rPr>
          <w:rFonts w:ascii="宋体" w:hAnsi="宋体"/>
          <w:szCs w:val="21"/>
          <w:highlight w:val="none"/>
        </w:rPr>
        <w:t>02</w:t>
      </w:r>
      <w:r>
        <w:rPr>
          <w:rFonts w:hint="eastAsia" w:ascii="宋体" w:hAnsi="宋体"/>
          <w:szCs w:val="21"/>
          <w:highlight w:val="none"/>
        </w:rPr>
        <w:t>6</w:t>
      </w:r>
      <w:r>
        <w:rPr>
          <w:rFonts w:hint="eastAsia" w:ascii="宋体" w:hAnsi="宋体"/>
          <w:bCs/>
          <w:szCs w:val="21"/>
          <w:highlight w:val="none"/>
        </w:rPr>
        <w:t>年</w:t>
      </w:r>
      <w:r>
        <w:rPr>
          <w:rFonts w:hint="eastAsia" w:ascii="宋体" w:hAnsi="宋体"/>
          <w:bCs/>
          <w:szCs w:val="21"/>
          <w:highlight w:val="none"/>
          <w:lang w:val="en-US" w:eastAsia="zh-CN"/>
        </w:rPr>
        <w:t>8</w:t>
      </w:r>
      <w:r>
        <w:rPr>
          <w:rFonts w:hint="eastAsia" w:ascii="宋体" w:hAnsi="宋体"/>
          <w:bCs/>
          <w:szCs w:val="21"/>
          <w:highlight w:val="none"/>
        </w:rPr>
        <w:t>月</w:t>
      </w:r>
      <w:r>
        <w:rPr>
          <w:rFonts w:hint="eastAsia" w:ascii="宋体" w:hAnsi="宋体"/>
          <w:bCs/>
          <w:szCs w:val="21"/>
          <w:highlight w:val="none"/>
          <w:lang w:val="en-US" w:eastAsia="zh-CN"/>
        </w:rPr>
        <w:t>20</w:t>
      </w:r>
      <w:r>
        <w:rPr>
          <w:rFonts w:hint="eastAsia" w:ascii="宋体" w:hAnsi="宋体"/>
          <w:bCs/>
          <w:szCs w:val="21"/>
          <w:highlight w:val="none"/>
        </w:rPr>
        <w:t>日</w:t>
      </w:r>
      <w:r>
        <w:rPr>
          <w:rFonts w:hint="eastAsia" w:ascii="宋体" w:hAnsi="宋体" w:cs="宋体"/>
          <w:bCs/>
          <w:kern w:val="0"/>
          <w:szCs w:val="21"/>
          <w:highlight w:val="none"/>
        </w:rPr>
        <w:t>，每天上午</w:t>
      </w:r>
      <w:r>
        <w:rPr>
          <w:rFonts w:ascii="宋体" w:hAnsi="宋体" w:cs="宋体"/>
          <w:bCs/>
          <w:kern w:val="0"/>
          <w:szCs w:val="21"/>
          <w:highlight w:val="none"/>
        </w:rPr>
        <w:t>0</w:t>
      </w:r>
      <w:r>
        <w:rPr>
          <w:rFonts w:hint="eastAsia" w:ascii="宋体" w:hAnsi="宋体" w:cs="宋体"/>
          <w:bCs/>
          <w:kern w:val="0"/>
          <w:szCs w:val="21"/>
          <w:highlight w:val="none"/>
        </w:rPr>
        <w:t>：</w:t>
      </w:r>
      <w:r>
        <w:rPr>
          <w:rFonts w:ascii="宋体" w:hAnsi="宋体" w:cs="宋体"/>
          <w:bCs/>
          <w:kern w:val="0"/>
          <w:szCs w:val="21"/>
          <w:highlight w:val="none"/>
        </w:rPr>
        <w:t>00</w:t>
      </w:r>
      <w:r>
        <w:rPr>
          <w:rFonts w:hint="eastAsia" w:ascii="宋体" w:hAnsi="宋体" w:cs="宋体"/>
          <w:bCs/>
          <w:kern w:val="0"/>
          <w:szCs w:val="21"/>
          <w:highlight w:val="none"/>
        </w:rPr>
        <w:t>至12:0</w:t>
      </w:r>
      <w:r>
        <w:rPr>
          <w:rFonts w:ascii="宋体" w:hAnsi="宋体" w:cs="宋体"/>
          <w:bCs/>
          <w:kern w:val="0"/>
          <w:szCs w:val="21"/>
          <w:highlight w:val="none"/>
        </w:rPr>
        <w:t>0</w:t>
      </w:r>
      <w:r>
        <w:rPr>
          <w:rFonts w:hint="eastAsia" w:ascii="宋体" w:hAnsi="宋体" w:cs="宋体"/>
          <w:bCs/>
          <w:kern w:val="0"/>
          <w:szCs w:val="21"/>
          <w:highlight w:val="none"/>
        </w:rPr>
        <w:t>，下午</w:t>
      </w:r>
      <w:r>
        <w:rPr>
          <w:rFonts w:ascii="宋体" w:hAnsi="宋体" w:cs="宋体"/>
          <w:bCs/>
          <w:kern w:val="0"/>
          <w:szCs w:val="21"/>
          <w:highlight w:val="none"/>
        </w:rPr>
        <w:t>12</w:t>
      </w:r>
      <w:r>
        <w:rPr>
          <w:rFonts w:hint="eastAsia" w:ascii="宋体" w:hAnsi="宋体" w:cs="宋体"/>
          <w:bCs/>
          <w:kern w:val="0"/>
          <w:szCs w:val="21"/>
          <w:highlight w:val="none"/>
        </w:rPr>
        <w:t>:0</w:t>
      </w:r>
      <w:r>
        <w:rPr>
          <w:rFonts w:ascii="宋体" w:hAnsi="宋体" w:cs="宋体"/>
          <w:bCs/>
          <w:kern w:val="0"/>
          <w:szCs w:val="21"/>
          <w:highlight w:val="none"/>
        </w:rPr>
        <w:t>0</w:t>
      </w:r>
      <w:r>
        <w:rPr>
          <w:rFonts w:hint="eastAsia" w:ascii="宋体" w:hAnsi="宋体" w:cs="宋体"/>
          <w:bCs/>
          <w:kern w:val="0"/>
          <w:szCs w:val="21"/>
          <w:highlight w:val="none"/>
        </w:rPr>
        <w:t>至</w:t>
      </w:r>
      <w:r>
        <w:rPr>
          <w:rFonts w:ascii="宋体" w:hAnsi="宋体" w:cs="宋体"/>
          <w:bCs/>
          <w:kern w:val="0"/>
          <w:szCs w:val="21"/>
          <w:highlight w:val="none"/>
        </w:rPr>
        <w:t>23</w:t>
      </w:r>
      <w:r>
        <w:rPr>
          <w:rFonts w:hint="eastAsia" w:ascii="宋体" w:hAnsi="宋体" w:cs="宋体"/>
          <w:bCs/>
          <w:kern w:val="0"/>
          <w:szCs w:val="21"/>
          <w:highlight w:val="none"/>
        </w:rPr>
        <w:t>:</w:t>
      </w:r>
      <w:r>
        <w:rPr>
          <w:rFonts w:ascii="宋体" w:hAnsi="宋体" w:cs="宋体"/>
          <w:bCs/>
          <w:kern w:val="0"/>
          <w:szCs w:val="21"/>
          <w:highlight w:val="none"/>
        </w:rPr>
        <w:t>59</w:t>
      </w:r>
      <w:r>
        <w:rPr>
          <w:rFonts w:hint="eastAsia" w:ascii="宋体" w:hAnsi="宋体" w:cs="宋体"/>
          <w:bCs/>
          <w:kern w:val="0"/>
          <w:szCs w:val="21"/>
          <w:highlight w:val="none"/>
        </w:rPr>
        <w:t>（北京时间）</w:t>
      </w:r>
    </w:p>
    <w:p w14:paraId="01B72C2E">
      <w:pPr>
        <w:spacing w:line="360" w:lineRule="exact"/>
        <w:ind w:firstLine="420" w:firstLineChars="200"/>
        <w:rPr>
          <w:rFonts w:hint="eastAsia" w:ascii="宋体" w:hAnsi="宋体" w:cs="宋体"/>
          <w:bCs/>
          <w:kern w:val="0"/>
          <w:szCs w:val="21"/>
          <w:highlight w:val="none"/>
        </w:rPr>
      </w:pPr>
      <w:r>
        <w:rPr>
          <w:rFonts w:hint="eastAsia" w:ascii="宋体" w:hAnsi="宋体" w:cs="宋体"/>
          <w:bCs/>
          <w:kern w:val="0"/>
          <w:szCs w:val="21"/>
          <w:highlight w:val="none"/>
        </w:rPr>
        <w:t>地点：广西政府采购云平台（https://www.gcy.zfcg.gxzf.gov.cn/）</w:t>
      </w:r>
    </w:p>
    <w:p w14:paraId="6B2687BF">
      <w:pPr>
        <w:spacing w:line="360" w:lineRule="exact"/>
        <w:ind w:firstLine="420" w:firstLineChars="200"/>
        <w:rPr>
          <w:rFonts w:ascii="Arial" w:hAnsi="Arial" w:cs="Arial"/>
          <w:kern w:val="0"/>
          <w:szCs w:val="21"/>
          <w:highlight w:val="none"/>
        </w:rPr>
      </w:pPr>
      <w:bookmarkStart w:id="25" w:name="_Toc71365908"/>
      <w:r>
        <w:rPr>
          <w:rFonts w:hint="eastAsia" w:ascii="宋体" w:hAnsi="宋体"/>
          <w:szCs w:val="21"/>
          <w:highlight w:val="none"/>
        </w:rPr>
        <w:t>获取方式:网上下载。本项目不发放纸质采购文件，供应商登录广西政府采购云平台https://www.gcy.zfcg.gxzf.gov.cn/在线申请获取采购文件（进入“项目采购”应用，在获取采购文件菜单中选择项目，申请获取采购文件）。</w:t>
      </w:r>
    </w:p>
    <w:p w14:paraId="40329C95">
      <w:pPr>
        <w:snapToGrid w:val="0"/>
        <w:spacing w:line="360" w:lineRule="exact"/>
        <w:ind w:firstLine="420" w:firstLineChars="200"/>
        <w:rPr>
          <w:rFonts w:hint="eastAsia" w:ascii="宋体" w:hAnsi="宋体"/>
          <w:szCs w:val="21"/>
          <w:highlight w:val="none"/>
        </w:rPr>
      </w:pPr>
      <w:r>
        <w:rPr>
          <w:rFonts w:hint="eastAsia" w:ascii="宋体" w:hAnsi="宋体"/>
          <w:szCs w:val="21"/>
          <w:highlight w:val="none"/>
        </w:rPr>
        <w:t>采购文件售价：</w:t>
      </w:r>
      <w:r>
        <w:rPr>
          <w:rFonts w:ascii="宋体" w:hAnsi="宋体"/>
          <w:szCs w:val="21"/>
          <w:highlight w:val="none"/>
        </w:rPr>
        <w:t>0</w:t>
      </w:r>
      <w:r>
        <w:rPr>
          <w:rFonts w:hint="eastAsia" w:ascii="宋体" w:hAnsi="宋体"/>
          <w:szCs w:val="21"/>
          <w:highlight w:val="none"/>
        </w:rPr>
        <w:t>元。</w:t>
      </w:r>
    </w:p>
    <w:p w14:paraId="70ADC3C9">
      <w:pPr>
        <w:spacing w:line="360" w:lineRule="exact"/>
        <w:ind w:firstLine="354" w:firstLineChars="147"/>
        <w:rPr>
          <w:rFonts w:hint="eastAsia" w:ascii="黑体" w:hAnsi="黑体" w:eastAsia="黑体"/>
          <w:b/>
          <w:sz w:val="24"/>
          <w:highlight w:val="none"/>
        </w:rPr>
      </w:pPr>
      <w:r>
        <w:rPr>
          <w:rFonts w:hint="eastAsia" w:ascii="黑体" w:hAnsi="黑体" w:eastAsia="黑体"/>
          <w:b/>
          <w:sz w:val="24"/>
          <w:highlight w:val="none"/>
        </w:rPr>
        <w:t>四、响应文件提交</w:t>
      </w:r>
      <w:bookmarkEnd w:id="20"/>
      <w:bookmarkEnd w:id="21"/>
      <w:bookmarkEnd w:id="22"/>
      <w:bookmarkEnd w:id="23"/>
      <w:bookmarkEnd w:id="24"/>
      <w:bookmarkEnd w:id="25"/>
    </w:p>
    <w:p w14:paraId="553CF70C">
      <w:pPr>
        <w:spacing w:line="360" w:lineRule="exact"/>
        <w:ind w:firstLine="420" w:firstLineChars="200"/>
        <w:rPr>
          <w:rFonts w:hint="eastAsia" w:ascii="宋体" w:hAnsi="宋体"/>
          <w:bCs/>
          <w:szCs w:val="21"/>
          <w:highlight w:val="none"/>
        </w:rPr>
      </w:pPr>
      <w:bookmarkStart w:id="26" w:name="_Toc28359016"/>
      <w:bookmarkStart w:id="27" w:name="_Toc44229882"/>
      <w:bookmarkStart w:id="28" w:name="_Toc35393802"/>
      <w:bookmarkStart w:id="29" w:name="_Toc35393633"/>
      <w:bookmarkStart w:id="30" w:name="_Toc28359093"/>
      <w:r>
        <w:rPr>
          <w:rFonts w:hint="eastAsia" w:ascii="宋体" w:hAnsi="宋体"/>
          <w:szCs w:val="21"/>
          <w:highlight w:val="none"/>
        </w:rPr>
        <w:t>截止时间：2</w:t>
      </w:r>
      <w:r>
        <w:rPr>
          <w:rFonts w:ascii="宋体" w:hAnsi="宋体"/>
          <w:szCs w:val="21"/>
          <w:highlight w:val="none"/>
        </w:rPr>
        <w:t>02</w:t>
      </w:r>
      <w:r>
        <w:rPr>
          <w:rFonts w:hint="eastAsia" w:ascii="宋体" w:hAnsi="宋体"/>
          <w:szCs w:val="21"/>
          <w:highlight w:val="none"/>
        </w:rPr>
        <w:t>6</w:t>
      </w:r>
      <w:r>
        <w:rPr>
          <w:rFonts w:hint="eastAsia" w:ascii="宋体" w:hAnsi="宋体"/>
          <w:bCs/>
          <w:szCs w:val="21"/>
          <w:highlight w:val="none"/>
        </w:rPr>
        <w:t>年</w:t>
      </w:r>
      <w:r>
        <w:rPr>
          <w:rFonts w:hint="eastAsia" w:ascii="宋体" w:hAnsi="宋体"/>
          <w:bCs/>
          <w:szCs w:val="21"/>
          <w:highlight w:val="none"/>
          <w:lang w:val="en-US" w:eastAsia="zh-CN"/>
        </w:rPr>
        <w:t>8</w:t>
      </w:r>
      <w:r>
        <w:rPr>
          <w:rFonts w:hint="eastAsia" w:ascii="宋体" w:hAnsi="宋体"/>
          <w:bCs/>
          <w:szCs w:val="21"/>
          <w:highlight w:val="none"/>
        </w:rPr>
        <w:t>月</w:t>
      </w:r>
      <w:r>
        <w:rPr>
          <w:rFonts w:hint="eastAsia" w:ascii="宋体" w:hAnsi="宋体"/>
          <w:bCs/>
          <w:szCs w:val="21"/>
          <w:highlight w:val="none"/>
          <w:lang w:val="en-US" w:eastAsia="zh-CN"/>
        </w:rPr>
        <w:t>27</w:t>
      </w:r>
      <w:r>
        <w:rPr>
          <w:rFonts w:hint="eastAsia" w:ascii="宋体" w:hAnsi="宋体"/>
          <w:bCs/>
          <w:szCs w:val="21"/>
          <w:highlight w:val="none"/>
        </w:rPr>
        <w:t>日09时30分（北京时间）</w:t>
      </w:r>
    </w:p>
    <w:p w14:paraId="1EDE591C">
      <w:pPr>
        <w:spacing w:line="360" w:lineRule="exact"/>
        <w:ind w:firstLine="420" w:firstLineChars="200"/>
        <w:rPr>
          <w:rFonts w:hint="eastAsia" w:ascii="宋体" w:hAnsi="宋体"/>
          <w:szCs w:val="21"/>
          <w:highlight w:val="none"/>
        </w:rPr>
      </w:pPr>
      <w:r>
        <w:rPr>
          <w:rFonts w:hint="eastAsia" w:ascii="宋体" w:hAnsi="宋体"/>
          <w:szCs w:val="21"/>
          <w:highlight w:val="none"/>
        </w:rPr>
        <w:t>地点：广西政府采购云平台</w:t>
      </w:r>
      <w:r>
        <w:rPr>
          <w:rFonts w:hint="eastAsia" w:ascii="宋体" w:hAnsi="宋体" w:cs="宋体"/>
          <w:bCs/>
          <w:kern w:val="0"/>
          <w:szCs w:val="21"/>
          <w:highlight w:val="none"/>
        </w:rPr>
        <w:t>（https://www.gcy.zfcg.gxzf.gov.cn/）</w:t>
      </w:r>
    </w:p>
    <w:p w14:paraId="530D412A">
      <w:pPr>
        <w:spacing w:line="360" w:lineRule="exact"/>
        <w:ind w:firstLine="354" w:firstLineChars="147"/>
        <w:rPr>
          <w:rFonts w:hint="eastAsia" w:ascii="黑体" w:hAnsi="黑体" w:eastAsia="黑体"/>
          <w:b/>
          <w:sz w:val="24"/>
          <w:highlight w:val="none"/>
        </w:rPr>
      </w:pPr>
      <w:bookmarkStart w:id="31" w:name="_Toc71365909"/>
      <w:r>
        <w:rPr>
          <w:rFonts w:hint="eastAsia" w:ascii="黑体" w:hAnsi="黑体" w:eastAsia="黑体"/>
          <w:b/>
          <w:sz w:val="24"/>
          <w:highlight w:val="none"/>
        </w:rPr>
        <w:t>五、开启</w:t>
      </w:r>
      <w:bookmarkEnd w:id="26"/>
      <w:bookmarkEnd w:id="27"/>
      <w:bookmarkEnd w:id="28"/>
      <w:bookmarkEnd w:id="29"/>
      <w:bookmarkEnd w:id="30"/>
      <w:bookmarkEnd w:id="31"/>
    </w:p>
    <w:p w14:paraId="3E89D8BA">
      <w:pPr>
        <w:spacing w:line="360" w:lineRule="exact"/>
        <w:ind w:firstLine="420" w:firstLineChars="200"/>
        <w:rPr>
          <w:rFonts w:hint="eastAsia" w:ascii="宋体" w:hAnsi="宋体"/>
          <w:bCs/>
          <w:szCs w:val="21"/>
          <w:highlight w:val="none"/>
          <w:u w:val="single"/>
        </w:rPr>
      </w:pPr>
      <w:r>
        <w:rPr>
          <w:rFonts w:hint="eastAsia" w:ascii="宋体" w:hAnsi="宋体"/>
          <w:szCs w:val="21"/>
          <w:highlight w:val="none"/>
        </w:rPr>
        <w:t>1</w:t>
      </w:r>
      <w:r>
        <w:rPr>
          <w:rFonts w:ascii="宋体" w:hAnsi="宋体"/>
          <w:szCs w:val="21"/>
          <w:highlight w:val="none"/>
        </w:rPr>
        <w:t>.</w:t>
      </w:r>
      <w:r>
        <w:rPr>
          <w:rFonts w:hint="eastAsia" w:ascii="宋体" w:hAnsi="宋体"/>
          <w:szCs w:val="21"/>
          <w:highlight w:val="none"/>
        </w:rPr>
        <w:t>时间：2</w:t>
      </w:r>
      <w:r>
        <w:rPr>
          <w:rFonts w:ascii="宋体" w:hAnsi="宋体"/>
          <w:szCs w:val="21"/>
          <w:highlight w:val="none"/>
        </w:rPr>
        <w:t>02</w:t>
      </w:r>
      <w:r>
        <w:rPr>
          <w:rFonts w:hint="eastAsia" w:ascii="宋体" w:hAnsi="宋体"/>
          <w:szCs w:val="21"/>
          <w:highlight w:val="none"/>
        </w:rPr>
        <w:t>6</w:t>
      </w:r>
      <w:r>
        <w:rPr>
          <w:rFonts w:hint="eastAsia" w:ascii="宋体" w:hAnsi="宋体"/>
          <w:bCs/>
          <w:szCs w:val="21"/>
          <w:highlight w:val="none"/>
        </w:rPr>
        <w:t>年</w:t>
      </w:r>
      <w:r>
        <w:rPr>
          <w:rFonts w:hint="eastAsia" w:ascii="宋体" w:hAnsi="宋体"/>
          <w:bCs/>
          <w:szCs w:val="21"/>
          <w:highlight w:val="none"/>
          <w:lang w:val="en-US" w:eastAsia="zh-CN"/>
        </w:rPr>
        <w:t>8</w:t>
      </w:r>
      <w:r>
        <w:rPr>
          <w:rFonts w:hint="eastAsia" w:ascii="宋体" w:hAnsi="宋体"/>
          <w:bCs/>
          <w:szCs w:val="21"/>
          <w:highlight w:val="none"/>
        </w:rPr>
        <w:t>月</w:t>
      </w:r>
      <w:r>
        <w:rPr>
          <w:rFonts w:hint="eastAsia" w:ascii="宋体" w:hAnsi="宋体"/>
          <w:bCs/>
          <w:szCs w:val="21"/>
          <w:highlight w:val="none"/>
          <w:lang w:val="en-US" w:eastAsia="zh-CN"/>
        </w:rPr>
        <w:t>27</w:t>
      </w:r>
      <w:r>
        <w:rPr>
          <w:rFonts w:hint="eastAsia" w:ascii="宋体" w:hAnsi="宋体"/>
          <w:bCs/>
          <w:szCs w:val="21"/>
          <w:highlight w:val="none"/>
        </w:rPr>
        <w:t>日09时30分（北京时间）</w:t>
      </w:r>
    </w:p>
    <w:p w14:paraId="494C23B2">
      <w:pPr>
        <w:spacing w:line="360" w:lineRule="exact"/>
        <w:ind w:firstLine="420" w:firstLineChars="200"/>
        <w:rPr>
          <w:rFonts w:hint="eastAsia" w:ascii="宋体" w:hAnsi="宋体"/>
          <w:bCs/>
          <w:szCs w:val="21"/>
          <w:highlight w:val="none"/>
          <w:u w:val="single"/>
        </w:rPr>
      </w:pPr>
      <w:r>
        <w:rPr>
          <w:rFonts w:hint="eastAsia" w:ascii="宋体" w:hAnsi="宋体"/>
          <w:szCs w:val="21"/>
          <w:highlight w:val="none"/>
        </w:rPr>
        <w:t>2</w:t>
      </w:r>
      <w:r>
        <w:rPr>
          <w:rFonts w:ascii="宋体" w:hAnsi="宋体"/>
          <w:szCs w:val="21"/>
          <w:highlight w:val="none"/>
        </w:rPr>
        <w:t>.</w:t>
      </w:r>
      <w:r>
        <w:rPr>
          <w:rFonts w:hint="eastAsia" w:ascii="宋体" w:hAnsi="宋体"/>
          <w:szCs w:val="21"/>
          <w:highlight w:val="none"/>
        </w:rPr>
        <w:t>地点：广西政府采购云平台</w:t>
      </w:r>
      <w:r>
        <w:rPr>
          <w:rFonts w:hint="eastAsia" w:ascii="宋体" w:hAnsi="宋体" w:cs="宋体"/>
          <w:bCs/>
          <w:kern w:val="0"/>
          <w:szCs w:val="21"/>
          <w:highlight w:val="none"/>
        </w:rPr>
        <w:t>（https://www.gcy.zfcg.gxzf.gov.cn/）</w:t>
      </w:r>
    </w:p>
    <w:p w14:paraId="0902527D">
      <w:pPr>
        <w:spacing w:line="360" w:lineRule="exact"/>
        <w:ind w:firstLine="354" w:firstLineChars="147"/>
        <w:rPr>
          <w:rFonts w:hint="eastAsia" w:ascii="黑体" w:hAnsi="黑体" w:eastAsia="黑体"/>
          <w:b/>
          <w:sz w:val="24"/>
          <w:highlight w:val="none"/>
        </w:rPr>
      </w:pPr>
      <w:bookmarkStart w:id="32" w:name="_Toc35393803"/>
      <w:bookmarkStart w:id="33" w:name="_Toc28359017"/>
      <w:bookmarkStart w:id="34" w:name="_Toc35393634"/>
      <w:bookmarkStart w:id="35" w:name="_Toc44229883"/>
      <w:bookmarkStart w:id="36" w:name="_Toc71365910"/>
      <w:bookmarkStart w:id="37" w:name="_Toc28359094"/>
      <w:r>
        <w:rPr>
          <w:rFonts w:hint="eastAsia" w:ascii="黑体" w:hAnsi="黑体" w:eastAsia="黑体"/>
          <w:b/>
          <w:sz w:val="24"/>
          <w:highlight w:val="none"/>
        </w:rPr>
        <w:t>六、公告期限</w:t>
      </w:r>
      <w:bookmarkEnd w:id="32"/>
      <w:bookmarkEnd w:id="33"/>
      <w:bookmarkEnd w:id="34"/>
      <w:bookmarkEnd w:id="35"/>
      <w:bookmarkEnd w:id="36"/>
      <w:bookmarkEnd w:id="37"/>
    </w:p>
    <w:p w14:paraId="39232B53">
      <w:pPr>
        <w:spacing w:line="360" w:lineRule="exact"/>
        <w:ind w:firstLine="420" w:firstLineChars="200"/>
        <w:rPr>
          <w:rFonts w:hint="eastAsia" w:ascii="宋体" w:hAnsi="宋体" w:cs="宋体"/>
          <w:kern w:val="0"/>
          <w:szCs w:val="21"/>
          <w:highlight w:val="none"/>
        </w:rPr>
      </w:pPr>
      <w:r>
        <w:rPr>
          <w:rFonts w:hint="eastAsia" w:ascii="宋体" w:hAnsi="宋体" w:cs="宋体"/>
          <w:kern w:val="0"/>
          <w:szCs w:val="21"/>
          <w:highlight w:val="none"/>
        </w:rPr>
        <w:t>自本公告发布之日起5个工作日。</w:t>
      </w:r>
    </w:p>
    <w:p w14:paraId="1541E58C">
      <w:pPr>
        <w:spacing w:line="360" w:lineRule="exact"/>
        <w:ind w:firstLine="354" w:firstLineChars="147"/>
        <w:rPr>
          <w:rFonts w:hint="eastAsia" w:ascii="黑体" w:hAnsi="黑体" w:eastAsia="黑体"/>
          <w:b/>
          <w:sz w:val="24"/>
          <w:highlight w:val="none"/>
        </w:rPr>
      </w:pPr>
      <w:bookmarkStart w:id="38" w:name="_Toc44229884"/>
      <w:bookmarkStart w:id="39" w:name="_Toc35393635"/>
      <w:bookmarkStart w:id="40" w:name="_Toc35393804"/>
      <w:bookmarkStart w:id="41" w:name="_Toc71365911"/>
      <w:r>
        <w:rPr>
          <w:rFonts w:hint="eastAsia" w:ascii="黑体" w:hAnsi="黑体" w:eastAsia="黑体"/>
          <w:b/>
          <w:sz w:val="24"/>
          <w:highlight w:val="none"/>
        </w:rPr>
        <w:t>七、其他补充事宜</w:t>
      </w:r>
      <w:bookmarkEnd w:id="38"/>
      <w:bookmarkEnd w:id="39"/>
      <w:bookmarkEnd w:id="40"/>
      <w:bookmarkEnd w:id="41"/>
    </w:p>
    <w:p w14:paraId="1C0FEFE6">
      <w:pPr>
        <w:spacing w:line="360" w:lineRule="exact"/>
        <w:ind w:firstLine="420" w:firstLineChars="200"/>
        <w:rPr>
          <w:rFonts w:hint="eastAsia" w:ascii="宋体" w:hAnsi="宋体"/>
          <w:szCs w:val="21"/>
          <w:highlight w:val="none"/>
        </w:rPr>
      </w:pPr>
      <w:bookmarkStart w:id="42" w:name="_Toc35393636"/>
      <w:bookmarkStart w:id="43" w:name="_Toc28359095"/>
      <w:bookmarkStart w:id="44" w:name="_Toc35393805"/>
      <w:bookmarkStart w:id="45" w:name="_Toc28359018"/>
      <w:bookmarkStart w:id="46" w:name="_Toc44229885"/>
      <w:r>
        <w:rPr>
          <w:rFonts w:hint="eastAsia" w:ascii="宋体" w:hAnsi="宋体"/>
          <w:szCs w:val="21"/>
          <w:highlight w:val="none"/>
        </w:rPr>
        <w:t>1.磋商保证金（人民币）：10000.00元。</w:t>
      </w:r>
    </w:p>
    <w:p w14:paraId="2A72FB56">
      <w:pPr>
        <w:spacing w:line="360" w:lineRule="exact"/>
        <w:ind w:firstLine="420" w:firstLineChars="200"/>
        <w:rPr>
          <w:rFonts w:hint="eastAsia" w:ascii="宋体" w:hAnsi="宋体"/>
          <w:szCs w:val="21"/>
          <w:highlight w:val="none"/>
        </w:rPr>
      </w:pPr>
      <w:r>
        <w:rPr>
          <w:rFonts w:hint="eastAsia" w:ascii="宋体" w:hAnsi="宋体"/>
          <w:szCs w:val="21"/>
          <w:highlight w:val="none"/>
        </w:rPr>
        <w:t>磋商保证金的交纳方式：银行转账、支票、汇票、本票或者银行、保险机构出具的保函等非现金形式。采用银行转账方式的，在响应文件递交截止时间前交至采购代理机构指定账户并且到账（开户名称：广西同泽工程项目管理股份有限公司；开户银行：建行广西区分行营业部本级营业厅；银行账号：45001594151050716039）。采用支票、汇票、本票或者保函等方式的，在首次响应文件提交截止时间前，供应商必须提交单独密封的支票、汇票、本票或者保函等原件给采购代理机构。</w:t>
      </w:r>
    </w:p>
    <w:p w14:paraId="1820CF3D">
      <w:pPr>
        <w:spacing w:line="360" w:lineRule="exact"/>
        <w:ind w:firstLine="420" w:firstLineChars="200"/>
        <w:rPr>
          <w:rFonts w:hint="eastAsia" w:ascii="宋体" w:hAnsi="宋体"/>
          <w:szCs w:val="21"/>
          <w:highlight w:val="none"/>
        </w:rPr>
      </w:pPr>
      <w:r>
        <w:rPr>
          <w:rFonts w:hint="eastAsia" w:ascii="宋体" w:hAnsi="宋体"/>
          <w:szCs w:val="21"/>
          <w:highlight w:val="none"/>
        </w:rPr>
        <w:t>2.发布公告的媒介：中国政府采购网、广西壮族自治区政府采购网。</w:t>
      </w:r>
    </w:p>
    <w:p w14:paraId="3DBB0517">
      <w:pPr>
        <w:spacing w:line="360" w:lineRule="exact"/>
        <w:ind w:firstLine="420" w:firstLineChars="200"/>
        <w:rPr>
          <w:rFonts w:hint="eastAsia" w:ascii="宋体" w:hAnsi="宋体"/>
          <w:szCs w:val="21"/>
          <w:highlight w:val="none"/>
        </w:rPr>
      </w:pPr>
      <w:r>
        <w:rPr>
          <w:rFonts w:hint="eastAsia" w:ascii="宋体" w:hAnsi="宋体"/>
          <w:szCs w:val="21"/>
          <w:highlight w:val="none"/>
        </w:rPr>
        <w:t>3.本项目需要落实的政府采购政策：</w:t>
      </w:r>
    </w:p>
    <w:p w14:paraId="4ABF2A75">
      <w:pPr>
        <w:spacing w:line="360" w:lineRule="exact"/>
        <w:ind w:firstLine="420" w:firstLineChars="200"/>
        <w:rPr>
          <w:rFonts w:hint="eastAsia" w:ascii="宋体" w:hAnsi="宋体"/>
          <w:szCs w:val="21"/>
          <w:highlight w:val="none"/>
        </w:rPr>
      </w:pPr>
      <w:r>
        <w:rPr>
          <w:rFonts w:hint="eastAsia" w:ascii="宋体" w:hAnsi="宋体"/>
          <w:szCs w:val="21"/>
          <w:highlight w:val="none"/>
        </w:rPr>
        <w:t>（1）政府采购促进中小企业发展；</w:t>
      </w:r>
    </w:p>
    <w:p w14:paraId="22CCA1F3">
      <w:pPr>
        <w:spacing w:line="360" w:lineRule="exact"/>
        <w:ind w:firstLine="420" w:firstLineChars="200"/>
        <w:rPr>
          <w:rFonts w:hint="eastAsia" w:ascii="宋体" w:hAnsi="宋体"/>
          <w:szCs w:val="21"/>
          <w:highlight w:val="none"/>
        </w:rPr>
      </w:pPr>
      <w:r>
        <w:rPr>
          <w:rFonts w:hint="eastAsia" w:ascii="宋体" w:hAnsi="宋体"/>
          <w:szCs w:val="21"/>
          <w:highlight w:val="none"/>
        </w:rPr>
        <w:t>（2）政府采购支持监狱企业发展；</w:t>
      </w:r>
    </w:p>
    <w:p w14:paraId="1F6D99C8">
      <w:pPr>
        <w:spacing w:line="360" w:lineRule="exact"/>
        <w:ind w:firstLine="420" w:firstLineChars="200"/>
        <w:rPr>
          <w:rFonts w:hint="eastAsia" w:ascii="宋体" w:hAnsi="宋体"/>
          <w:szCs w:val="21"/>
          <w:highlight w:val="none"/>
        </w:rPr>
      </w:pPr>
      <w:r>
        <w:rPr>
          <w:rFonts w:hint="eastAsia" w:ascii="宋体" w:hAnsi="宋体"/>
          <w:szCs w:val="21"/>
          <w:highlight w:val="none"/>
        </w:rPr>
        <w:t>（3）政府采购促进残疾人就业政策；</w:t>
      </w:r>
    </w:p>
    <w:p w14:paraId="4AB15177">
      <w:pPr>
        <w:spacing w:line="360" w:lineRule="exact"/>
        <w:ind w:firstLine="420" w:firstLineChars="200"/>
        <w:rPr>
          <w:rFonts w:hint="eastAsia" w:ascii="宋体" w:hAnsi="宋体"/>
          <w:szCs w:val="21"/>
          <w:highlight w:val="none"/>
        </w:rPr>
      </w:pPr>
      <w:r>
        <w:rPr>
          <w:rFonts w:hint="eastAsia" w:ascii="宋体" w:hAnsi="宋体"/>
          <w:szCs w:val="21"/>
          <w:highlight w:val="none"/>
        </w:rPr>
        <w:t>（4）本项目为服务项目，不涉及强制采购节能产品；</w:t>
      </w:r>
    </w:p>
    <w:p w14:paraId="0F8F2AD5">
      <w:pPr>
        <w:spacing w:line="360" w:lineRule="exact"/>
        <w:ind w:firstLine="420" w:firstLineChars="200"/>
        <w:rPr>
          <w:rFonts w:hint="eastAsia" w:ascii="宋体" w:hAnsi="宋体"/>
          <w:szCs w:val="21"/>
          <w:highlight w:val="none"/>
        </w:rPr>
      </w:pPr>
      <w:r>
        <w:rPr>
          <w:rFonts w:hint="eastAsia" w:ascii="宋体" w:hAnsi="宋体"/>
          <w:szCs w:val="21"/>
          <w:highlight w:val="none"/>
        </w:rPr>
        <w:t>（5）政府采购支持采用本国产品的政策；</w:t>
      </w:r>
    </w:p>
    <w:p w14:paraId="026AF6BD">
      <w:pPr>
        <w:spacing w:line="360" w:lineRule="exact"/>
        <w:ind w:firstLine="420" w:firstLineChars="200"/>
        <w:rPr>
          <w:rFonts w:hint="eastAsia" w:ascii="宋体" w:hAnsi="宋体"/>
          <w:szCs w:val="21"/>
          <w:highlight w:val="none"/>
        </w:rPr>
      </w:pPr>
      <w:r>
        <w:rPr>
          <w:rFonts w:hint="eastAsia" w:ascii="宋体" w:hAnsi="宋体"/>
          <w:szCs w:val="21"/>
          <w:highlight w:val="none"/>
        </w:rPr>
        <w:t>（6）优先采购节能产品、环境标志产品。</w:t>
      </w:r>
    </w:p>
    <w:p w14:paraId="5C885D77">
      <w:pPr>
        <w:spacing w:line="360" w:lineRule="exact"/>
        <w:ind w:firstLine="420" w:firstLineChars="200"/>
        <w:rPr>
          <w:rFonts w:hint="eastAsia" w:ascii="宋体" w:hAnsi="宋体"/>
          <w:szCs w:val="21"/>
          <w:highlight w:val="none"/>
        </w:rPr>
      </w:pPr>
      <w:r>
        <w:rPr>
          <w:rFonts w:hint="eastAsia" w:ascii="宋体" w:hAnsi="宋体"/>
          <w:szCs w:val="21"/>
          <w:highlight w:val="none"/>
        </w:rPr>
        <w:t>4.资格条件特别说明：</w:t>
      </w:r>
    </w:p>
    <w:p w14:paraId="76768FE5">
      <w:pPr>
        <w:spacing w:line="360" w:lineRule="exact"/>
        <w:ind w:firstLine="420" w:firstLineChars="200"/>
        <w:rPr>
          <w:rFonts w:hint="eastAsia" w:ascii="宋体" w:hAnsi="宋体"/>
          <w:szCs w:val="21"/>
          <w:highlight w:val="none"/>
        </w:rPr>
      </w:pPr>
      <w:r>
        <w:rPr>
          <w:rFonts w:hint="eastAsia" w:ascii="宋体" w:hAnsi="宋体"/>
          <w:szCs w:val="21"/>
          <w:highlight w:val="none"/>
        </w:rPr>
        <w:t>（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3D7B4A17">
      <w:pPr>
        <w:spacing w:line="360" w:lineRule="exact"/>
        <w:ind w:firstLine="420" w:firstLineChars="200"/>
        <w:rPr>
          <w:rFonts w:hint="eastAsia" w:ascii="宋体" w:hAnsi="宋体"/>
          <w:szCs w:val="21"/>
          <w:highlight w:val="none"/>
        </w:rPr>
      </w:pPr>
      <w:r>
        <w:rPr>
          <w:rFonts w:hint="eastAsia" w:ascii="宋体" w:hAnsi="宋体"/>
          <w:szCs w:val="21"/>
          <w:highlight w:val="none"/>
        </w:rPr>
        <w:t>（2）对在“信用中国”网站(www.creditchina.gov.cn)、中国政府采购网(www.ccgp.gov.cn)、中国执行信息公开网（https://zxgk.court.gov.cn/）被列入失信被执行人、重大税收违法失信主体、政府采购严重违法失信行为记录名单及其他不符合《中华人民共和国政府采购法》第二十二条规定条件的供应商，不得参与政府采购活动。</w:t>
      </w:r>
    </w:p>
    <w:p w14:paraId="3DD61E9C">
      <w:pPr>
        <w:spacing w:line="360" w:lineRule="exact"/>
        <w:ind w:firstLine="420" w:firstLineChars="200"/>
        <w:rPr>
          <w:rFonts w:hint="eastAsia" w:ascii="宋体" w:hAnsi="宋体"/>
          <w:szCs w:val="21"/>
          <w:highlight w:val="none"/>
        </w:rPr>
      </w:pPr>
      <w:r>
        <w:rPr>
          <w:rFonts w:hint="eastAsia" w:ascii="宋体" w:hAnsi="宋体"/>
          <w:szCs w:val="21"/>
          <w:highlight w:val="none"/>
        </w:rPr>
        <w:t xml:space="preserve"> (3)已获取磋商文件的供应商不等于符合本项目的供应商资格条件。</w:t>
      </w:r>
    </w:p>
    <w:p w14:paraId="5A6120BC">
      <w:pPr>
        <w:spacing w:line="360" w:lineRule="exact"/>
        <w:ind w:firstLine="420" w:firstLineChars="200"/>
        <w:rPr>
          <w:rFonts w:hint="eastAsia" w:ascii="宋体" w:hAnsi="宋体"/>
          <w:szCs w:val="21"/>
          <w:highlight w:val="none"/>
        </w:rPr>
      </w:pPr>
      <w:r>
        <w:rPr>
          <w:rFonts w:hint="eastAsia" w:ascii="宋体" w:hAnsi="宋体"/>
          <w:szCs w:val="21"/>
          <w:highlight w:val="none"/>
        </w:rPr>
        <w:t>5.广西政府采购云平台电子竞标相关事宜：</w:t>
      </w:r>
    </w:p>
    <w:p w14:paraId="5B31B2DF">
      <w:pPr>
        <w:spacing w:line="360" w:lineRule="exact"/>
        <w:ind w:firstLine="420" w:firstLineChars="200"/>
        <w:rPr>
          <w:rFonts w:hint="eastAsia" w:ascii="宋体" w:hAnsi="宋体"/>
          <w:szCs w:val="21"/>
          <w:highlight w:val="none"/>
        </w:rPr>
      </w:pPr>
      <w:r>
        <w:rPr>
          <w:rFonts w:hint="eastAsia" w:ascii="宋体" w:hAnsi="宋体"/>
          <w:szCs w:val="21"/>
          <w:highlight w:val="none"/>
        </w:rPr>
        <w:t>（1）本项目为全流程电子化采购项目，通过广西政府采购云平台实行在线电子竞标，供应商应先安装“广西政府采购云平台新版客户端”（请自行前往广西政府采购云平台进行下载），并按照本项目采购文件和广西政府采购云平台的要求编制、加密后在响应截止时间前通过网络上传至广西政府采购云平台。</w:t>
      </w:r>
    </w:p>
    <w:p w14:paraId="1CA80867">
      <w:pPr>
        <w:spacing w:line="360" w:lineRule="exact"/>
        <w:ind w:firstLine="420" w:firstLineChars="200"/>
        <w:rPr>
          <w:rFonts w:hint="eastAsia" w:ascii="宋体" w:hAnsi="宋体"/>
          <w:szCs w:val="21"/>
          <w:highlight w:val="none"/>
        </w:rPr>
      </w:pPr>
      <w:r>
        <w:rPr>
          <w:rFonts w:hint="eastAsia" w:ascii="宋体" w:hAnsi="宋体"/>
          <w:szCs w:val="21"/>
          <w:highlight w:val="none"/>
        </w:rPr>
        <w:t>（2）未进行网上注册并办理数字证书（CA认证）的供应商将无法参与本项目政府采购活动，供应商应当在响应截止时间前，完成电子交易平台上的CA数字证书办理及响应文件的提交（供应商可登录“广西政府采购网”，依次进入“办事服务-下载专区”或者登陆广西政府采购云平台，查看CA数字证书办理操作流程。如在操作过程中遇到问题或者需要技术支持，可拨打广西政府采购云平台服务热线获取热线服务帮助）。</w:t>
      </w:r>
    </w:p>
    <w:p w14:paraId="755726C4">
      <w:pPr>
        <w:spacing w:line="360" w:lineRule="exact"/>
        <w:ind w:firstLine="420" w:firstLineChars="200"/>
        <w:rPr>
          <w:rFonts w:hint="eastAsia" w:ascii="宋体" w:hAnsi="宋体"/>
          <w:szCs w:val="21"/>
          <w:highlight w:val="none"/>
        </w:rPr>
      </w:pPr>
      <w:r>
        <w:rPr>
          <w:rFonts w:hint="eastAsia" w:ascii="宋体" w:hAnsi="宋体"/>
          <w:szCs w:val="21"/>
          <w:highlight w:val="none"/>
        </w:rPr>
        <w:t>（3）CA证书在线解密：供应商竞标时，需凭制作响应文件时用来加密的有效数字证书（CA认证）登录广西政府采购云平台电子开标大厅现场按规定时间对加密的响应文件进行解密，否则后果自负。</w:t>
      </w:r>
    </w:p>
    <w:p w14:paraId="2B7714C1">
      <w:pPr>
        <w:spacing w:line="360" w:lineRule="exact"/>
        <w:ind w:firstLine="420" w:firstLineChars="200"/>
        <w:rPr>
          <w:rFonts w:hint="eastAsia" w:ascii="宋体" w:hAnsi="宋体"/>
          <w:szCs w:val="21"/>
          <w:highlight w:val="none"/>
        </w:rPr>
      </w:pPr>
      <w:r>
        <w:rPr>
          <w:rFonts w:hint="eastAsia" w:ascii="宋体" w:hAnsi="宋体"/>
          <w:szCs w:val="21"/>
          <w:highlight w:val="none"/>
        </w:rPr>
        <w:t>注：1）为确保网上操作合法、有效和安全，请供应商确保在电子竞标过程中能够对相关数据电文进行加密和使用电子签章，妥善保管CA数字证书并使用有效的CA数字证书参与整个采购活动。2）供应商应当在响应截止时间前完成电子响应文件的上传、提交，响应截止时间前可以补充、修改或者撤回响应文件。补充或者修改响应文件的，应当先行撤回原响应文件，补充、修改后重新上传、提交，响应截止时间前未完成上传、提交的，视为撤回响应文件。响应截止时间以后上传递交的响应文件，广西政府采购云平台将予以拒收。</w:t>
      </w:r>
    </w:p>
    <w:p w14:paraId="12640B27">
      <w:pPr>
        <w:spacing w:line="360" w:lineRule="exact"/>
        <w:ind w:firstLine="354" w:firstLineChars="147"/>
        <w:rPr>
          <w:rFonts w:hint="eastAsia" w:ascii="黑体" w:hAnsi="黑体" w:eastAsia="黑体"/>
          <w:b/>
          <w:sz w:val="24"/>
          <w:highlight w:val="none"/>
        </w:rPr>
      </w:pPr>
      <w:r>
        <w:rPr>
          <w:rFonts w:hint="eastAsia" w:ascii="黑体" w:hAnsi="黑体" w:eastAsia="黑体"/>
          <w:b/>
          <w:sz w:val="24"/>
          <w:highlight w:val="none"/>
        </w:rPr>
        <w:t>八、凡对本次采购提出询问，请按</w:t>
      </w:r>
      <w:r>
        <w:rPr>
          <w:rFonts w:ascii="黑体" w:hAnsi="黑体" w:eastAsia="黑体"/>
          <w:b/>
          <w:sz w:val="24"/>
          <w:highlight w:val="none"/>
        </w:rPr>
        <w:t>以下方式</w:t>
      </w:r>
      <w:r>
        <w:rPr>
          <w:rFonts w:hint="eastAsia" w:ascii="黑体" w:hAnsi="黑体" w:eastAsia="黑体"/>
          <w:b/>
          <w:sz w:val="24"/>
          <w:highlight w:val="none"/>
        </w:rPr>
        <w:t>联系。</w:t>
      </w:r>
      <w:bookmarkEnd w:id="42"/>
      <w:bookmarkEnd w:id="43"/>
      <w:bookmarkEnd w:id="44"/>
      <w:bookmarkEnd w:id="45"/>
      <w:bookmarkEnd w:id="46"/>
    </w:p>
    <w:bookmarkEnd w:id="1"/>
    <w:p w14:paraId="230CA53F">
      <w:pPr>
        <w:spacing w:line="360" w:lineRule="exact"/>
        <w:ind w:firstLine="420" w:firstLineChars="200"/>
        <w:rPr>
          <w:rFonts w:hint="eastAsia" w:ascii="宋体" w:hAnsi="宋体" w:cs="宋体"/>
          <w:kern w:val="0"/>
          <w:szCs w:val="21"/>
          <w:highlight w:val="none"/>
        </w:rPr>
      </w:pPr>
      <w:r>
        <w:rPr>
          <w:rFonts w:hint="eastAsia" w:ascii="宋体" w:hAnsi="宋体" w:cs="宋体"/>
          <w:kern w:val="0"/>
          <w:szCs w:val="21"/>
          <w:highlight w:val="none"/>
        </w:rPr>
        <w:t>1.采购人信息</w:t>
      </w:r>
    </w:p>
    <w:p w14:paraId="372C1FB4">
      <w:pPr>
        <w:spacing w:line="360" w:lineRule="exact"/>
        <w:ind w:firstLine="420" w:firstLineChars="200"/>
        <w:rPr>
          <w:rFonts w:hint="eastAsia" w:ascii="宋体" w:hAnsi="宋体" w:cs="宋体"/>
          <w:kern w:val="0"/>
          <w:szCs w:val="21"/>
          <w:highlight w:val="none"/>
        </w:rPr>
      </w:pPr>
      <w:r>
        <w:rPr>
          <w:rFonts w:hint="eastAsia" w:ascii="宋体" w:hAnsi="宋体" w:cs="宋体"/>
          <w:kern w:val="0"/>
          <w:szCs w:val="21"/>
          <w:highlight w:val="none"/>
        </w:rPr>
        <w:t>名    称：广西壮族自治区医疗保障局 </w:t>
      </w:r>
    </w:p>
    <w:p w14:paraId="32C9109C">
      <w:pPr>
        <w:spacing w:line="360" w:lineRule="exact"/>
        <w:ind w:firstLine="420" w:firstLineChars="200"/>
        <w:rPr>
          <w:rFonts w:hint="eastAsia" w:ascii="宋体" w:hAnsi="宋体" w:cs="宋体"/>
          <w:kern w:val="0"/>
          <w:szCs w:val="21"/>
          <w:highlight w:val="none"/>
        </w:rPr>
      </w:pPr>
      <w:r>
        <w:rPr>
          <w:rFonts w:hint="eastAsia" w:ascii="宋体" w:hAnsi="宋体" w:cs="宋体"/>
          <w:kern w:val="0"/>
          <w:szCs w:val="21"/>
          <w:highlight w:val="none"/>
        </w:rPr>
        <w:t xml:space="preserve">地    址：南宁市青秀区星湖路26号  </w:t>
      </w:r>
    </w:p>
    <w:p w14:paraId="668F10CE">
      <w:pPr>
        <w:spacing w:line="360" w:lineRule="exact"/>
        <w:ind w:firstLine="420" w:firstLineChars="200"/>
        <w:rPr>
          <w:rFonts w:hint="eastAsia" w:ascii="宋体" w:hAnsi="宋体" w:cs="宋体"/>
          <w:kern w:val="0"/>
          <w:szCs w:val="21"/>
          <w:highlight w:val="none"/>
        </w:rPr>
      </w:pPr>
      <w:r>
        <w:rPr>
          <w:rFonts w:hint="eastAsia" w:ascii="宋体" w:hAnsi="宋体" w:cs="宋体"/>
          <w:kern w:val="0"/>
          <w:szCs w:val="21"/>
          <w:highlight w:val="none"/>
        </w:rPr>
        <w:t>联系方式：李老师；0771-5893831</w:t>
      </w:r>
      <w:r>
        <w:rPr>
          <w:rFonts w:hint="eastAsia"/>
          <w:highlight w:val="none"/>
        </w:rPr>
        <w:t xml:space="preserve">   </w:t>
      </w:r>
    </w:p>
    <w:p w14:paraId="19848A67">
      <w:pPr>
        <w:spacing w:line="360" w:lineRule="exact"/>
        <w:ind w:firstLine="420" w:firstLineChars="200"/>
        <w:rPr>
          <w:rFonts w:hint="eastAsia" w:ascii="宋体" w:hAnsi="宋体" w:cs="宋体"/>
          <w:kern w:val="0"/>
          <w:szCs w:val="21"/>
          <w:highlight w:val="none"/>
        </w:rPr>
      </w:pPr>
      <w:r>
        <w:rPr>
          <w:rFonts w:hint="eastAsia" w:ascii="宋体" w:hAnsi="宋体" w:cs="宋体"/>
          <w:kern w:val="0"/>
          <w:szCs w:val="21"/>
          <w:highlight w:val="none"/>
        </w:rPr>
        <w:t>2.采购代理机构信息</w:t>
      </w:r>
    </w:p>
    <w:p w14:paraId="0CBE438C">
      <w:pPr>
        <w:spacing w:line="360" w:lineRule="exact"/>
        <w:ind w:firstLine="420" w:firstLineChars="200"/>
        <w:rPr>
          <w:rFonts w:hint="eastAsia" w:ascii="宋体" w:hAnsi="宋体" w:cs="宋体"/>
          <w:kern w:val="0"/>
          <w:szCs w:val="21"/>
          <w:highlight w:val="none"/>
        </w:rPr>
      </w:pPr>
      <w:r>
        <w:rPr>
          <w:rFonts w:hint="eastAsia" w:ascii="宋体" w:hAnsi="宋体" w:cs="宋体"/>
          <w:kern w:val="0"/>
          <w:szCs w:val="21"/>
          <w:highlight w:val="none"/>
        </w:rPr>
        <w:t>名    称：广西同泽工程项目管理股份有限公司</w:t>
      </w:r>
    </w:p>
    <w:p w14:paraId="7A321930">
      <w:pPr>
        <w:spacing w:line="360" w:lineRule="exact"/>
        <w:ind w:firstLine="420" w:firstLineChars="200"/>
        <w:rPr>
          <w:rFonts w:hint="eastAsia" w:ascii="宋体" w:hAnsi="宋体" w:cs="宋体"/>
          <w:kern w:val="0"/>
          <w:szCs w:val="21"/>
          <w:highlight w:val="none"/>
        </w:rPr>
      </w:pPr>
      <w:r>
        <w:rPr>
          <w:rFonts w:hint="eastAsia" w:ascii="宋体" w:hAnsi="宋体" w:cs="宋体"/>
          <w:kern w:val="0"/>
          <w:szCs w:val="21"/>
          <w:highlight w:val="none"/>
        </w:rPr>
        <w:t>地　　址：</w:t>
      </w:r>
      <w:r>
        <w:rPr>
          <w:rFonts w:hint="eastAsia" w:ascii="宋体" w:hAnsi="宋体" w:cs="宋体"/>
          <w:szCs w:val="21"/>
          <w:highlight w:val="none"/>
        </w:rPr>
        <w:t>广西南宁市良庆区凯旋路16号广西裕达集团南宁五象总部基地广东大厦十八楼</w:t>
      </w:r>
    </w:p>
    <w:p w14:paraId="6EFD43A4">
      <w:pPr>
        <w:spacing w:line="360" w:lineRule="exact"/>
        <w:ind w:firstLine="420" w:firstLineChars="200"/>
        <w:rPr>
          <w:rFonts w:hint="eastAsia" w:ascii="宋体" w:hAnsi="宋体" w:cs="宋体"/>
          <w:kern w:val="0"/>
          <w:szCs w:val="21"/>
          <w:highlight w:val="none"/>
        </w:rPr>
      </w:pPr>
      <w:r>
        <w:rPr>
          <w:rFonts w:hint="eastAsia" w:ascii="宋体" w:hAnsi="宋体" w:cs="宋体"/>
          <w:kern w:val="0"/>
          <w:szCs w:val="21"/>
          <w:highlight w:val="none"/>
        </w:rPr>
        <w:t>联系方式：陆珍花、奉云、谭晓妮、农英民；0771-</w:t>
      </w:r>
      <w:r>
        <w:rPr>
          <w:rFonts w:hint="eastAsia" w:ascii="宋体" w:hAnsi="宋体" w:cs="宋体"/>
          <w:szCs w:val="21"/>
          <w:highlight w:val="none"/>
        </w:rPr>
        <w:t>5590176</w:t>
      </w:r>
    </w:p>
    <w:p w14:paraId="0518D880">
      <w:pPr>
        <w:spacing w:line="360" w:lineRule="exact"/>
        <w:ind w:firstLine="420" w:firstLineChars="200"/>
        <w:rPr>
          <w:rFonts w:hint="eastAsia" w:ascii="宋体" w:hAnsi="宋体" w:cs="宋体"/>
          <w:kern w:val="0"/>
          <w:szCs w:val="21"/>
          <w:highlight w:val="none"/>
        </w:rPr>
      </w:pPr>
      <w:r>
        <w:rPr>
          <w:rFonts w:hint="eastAsia" w:ascii="宋体" w:hAnsi="宋体" w:cs="宋体"/>
          <w:kern w:val="0"/>
          <w:szCs w:val="21"/>
          <w:highlight w:val="none"/>
        </w:rPr>
        <w:t>3.项目联系方式</w:t>
      </w:r>
    </w:p>
    <w:p w14:paraId="25366BF6">
      <w:pPr>
        <w:spacing w:line="360" w:lineRule="exact"/>
        <w:ind w:firstLine="420" w:firstLineChars="200"/>
        <w:rPr>
          <w:rFonts w:hint="eastAsia" w:ascii="宋体" w:hAnsi="宋体" w:cs="宋体"/>
          <w:kern w:val="0"/>
          <w:szCs w:val="21"/>
          <w:highlight w:val="none"/>
        </w:rPr>
      </w:pPr>
      <w:r>
        <w:rPr>
          <w:rFonts w:hint="eastAsia" w:ascii="宋体" w:hAnsi="宋体" w:cs="宋体"/>
          <w:kern w:val="0"/>
          <w:szCs w:val="21"/>
          <w:highlight w:val="none"/>
        </w:rPr>
        <w:t>项目联系人：陆珍花、奉云、谭晓妮、农英民</w:t>
      </w:r>
    </w:p>
    <w:p w14:paraId="33D87E74">
      <w:pPr>
        <w:spacing w:line="360" w:lineRule="exact"/>
        <w:ind w:firstLine="420" w:firstLineChars="200"/>
        <w:rPr>
          <w:rFonts w:hint="eastAsia" w:ascii="宋体" w:hAnsi="宋体" w:cs="仿宋"/>
          <w:kern w:val="0"/>
          <w:szCs w:val="21"/>
          <w:highlight w:val="none"/>
        </w:rPr>
      </w:pPr>
      <w:r>
        <w:rPr>
          <w:rFonts w:hint="eastAsia" w:ascii="宋体" w:hAnsi="宋体" w:cs="宋体"/>
          <w:kern w:val="0"/>
          <w:szCs w:val="21"/>
          <w:highlight w:val="none"/>
        </w:rPr>
        <w:t>电　　话：0771-</w:t>
      </w:r>
      <w:r>
        <w:rPr>
          <w:rFonts w:hint="eastAsia" w:ascii="宋体" w:hAnsi="宋体" w:cs="宋体"/>
          <w:szCs w:val="21"/>
          <w:highlight w:val="none"/>
        </w:rPr>
        <w:t>5590176</w:t>
      </w:r>
    </w:p>
    <w:p w14:paraId="137809ED">
      <w:pPr>
        <w:pStyle w:val="4"/>
        <w:rPr>
          <w:highlight w:val="none"/>
        </w:rPr>
        <w:sectPr>
          <w:footerReference r:id="rId8" w:type="first"/>
          <w:footerReference r:id="rId7" w:type="default"/>
          <w:pgSz w:w="11906" w:h="16838"/>
          <w:pgMar w:top="1440" w:right="1080" w:bottom="1440" w:left="1080" w:header="851" w:footer="992" w:gutter="0"/>
          <w:pgNumType w:start="1"/>
          <w:cols w:space="720" w:num="1"/>
          <w:titlePg/>
          <w:docGrid w:type="lines" w:linePitch="312" w:charSpace="0"/>
        </w:sectPr>
      </w:pPr>
      <w:bookmarkStart w:id="47" w:name="_Toc151675537"/>
    </w:p>
    <w:p w14:paraId="7F217E25">
      <w:pPr>
        <w:pStyle w:val="4"/>
        <w:jc w:val="center"/>
        <w:rPr>
          <w:highlight w:val="none"/>
        </w:rPr>
      </w:pPr>
      <w:r>
        <w:rPr>
          <w:rFonts w:hint="eastAsia"/>
          <w:highlight w:val="none"/>
        </w:rPr>
        <w:t xml:space="preserve">第二章 </w:t>
      </w:r>
      <w:r>
        <w:rPr>
          <w:highlight w:val="none"/>
        </w:rPr>
        <w:t xml:space="preserve"> </w:t>
      </w:r>
      <w:r>
        <w:rPr>
          <w:rFonts w:hint="eastAsia"/>
          <w:highlight w:val="none"/>
        </w:rPr>
        <w:t>供应商须知</w:t>
      </w:r>
      <w:bookmarkEnd w:id="47"/>
    </w:p>
    <w:p w14:paraId="42F1425C">
      <w:pPr>
        <w:spacing w:line="400" w:lineRule="exact"/>
        <w:jc w:val="center"/>
        <w:rPr>
          <w:rFonts w:hint="eastAsia" w:ascii="宋体" w:hAnsi="宋体"/>
          <w:b/>
          <w:sz w:val="32"/>
          <w:szCs w:val="32"/>
          <w:highlight w:val="none"/>
        </w:rPr>
      </w:pPr>
      <w:r>
        <w:rPr>
          <w:rFonts w:hint="eastAsia" w:ascii="宋体" w:hAnsi="宋体"/>
          <w:b/>
          <w:sz w:val="32"/>
          <w:szCs w:val="32"/>
          <w:highlight w:val="none"/>
        </w:rPr>
        <w:t>供应商须知前附表</w:t>
      </w:r>
    </w:p>
    <w:p w14:paraId="3C8B9312">
      <w:pPr>
        <w:spacing w:line="400" w:lineRule="exact"/>
        <w:jc w:val="center"/>
        <w:rPr>
          <w:rFonts w:hint="eastAsia" w:ascii="宋体" w:hAnsi="宋体"/>
          <w:b/>
          <w:sz w:val="32"/>
          <w:szCs w:val="32"/>
          <w:highlight w:val="none"/>
        </w:rPr>
      </w:pPr>
    </w:p>
    <w:tbl>
      <w:tblPr>
        <w:tblStyle w:val="24"/>
        <w:tblW w:w="949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39"/>
        <w:gridCol w:w="8359"/>
      </w:tblGrid>
      <w:tr w14:paraId="19720A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9" w:type="dxa"/>
          </w:tcPr>
          <w:p w14:paraId="5195F699">
            <w:pPr>
              <w:spacing w:line="430" w:lineRule="exact"/>
              <w:jc w:val="center"/>
              <w:rPr>
                <w:rFonts w:hint="eastAsia" w:cs="宋体" w:asciiTheme="minorEastAsia" w:hAnsiTheme="minorEastAsia" w:eastAsiaTheme="minorEastAsia"/>
                <w:b/>
                <w:szCs w:val="21"/>
                <w:highlight w:val="none"/>
              </w:rPr>
            </w:pPr>
            <w:r>
              <w:rPr>
                <w:rFonts w:hint="eastAsia" w:cs="宋体" w:asciiTheme="minorEastAsia" w:hAnsiTheme="minorEastAsia" w:eastAsiaTheme="minorEastAsia"/>
                <w:b/>
                <w:szCs w:val="21"/>
                <w:highlight w:val="none"/>
              </w:rPr>
              <w:t>条款号</w:t>
            </w:r>
          </w:p>
        </w:tc>
        <w:tc>
          <w:tcPr>
            <w:tcW w:w="8359" w:type="dxa"/>
          </w:tcPr>
          <w:p w14:paraId="01223C5A">
            <w:pPr>
              <w:spacing w:line="430" w:lineRule="exact"/>
              <w:jc w:val="center"/>
              <w:rPr>
                <w:rFonts w:hint="eastAsia" w:cs="宋体" w:asciiTheme="minorEastAsia" w:hAnsiTheme="minorEastAsia" w:eastAsiaTheme="minorEastAsia"/>
                <w:b/>
                <w:szCs w:val="21"/>
                <w:highlight w:val="none"/>
              </w:rPr>
            </w:pPr>
            <w:r>
              <w:rPr>
                <w:rFonts w:hint="eastAsia" w:cs="宋体" w:asciiTheme="minorEastAsia" w:hAnsiTheme="minorEastAsia" w:eastAsiaTheme="minorEastAsia"/>
                <w:b/>
                <w:szCs w:val="21"/>
                <w:highlight w:val="none"/>
              </w:rPr>
              <w:t>内容</w:t>
            </w:r>
          </w:p>
        </w:tc>
      </w:tr>
      <w:tr w14:paraId="6DD140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9" w:type="dxa"/>
            <w:vAlign w:val="center"/>
          </w:tcPr>
          <w:p w14:paraId="47033D37">
            <w:pPr>
              <w:spacing w:line="430" w:lineRule="exact"/>
              <w:jc w:val="center"/>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3</w:t>
            </w:r>
          </w:p>
        </w:tc>
        <w:tc>
          <w:tcPr>
            <w:tcW w:w="8359" w:type="dxa"/>
            <w:vAlign w:val="center"/>
          </w:tcPr>
          <w:p w14:paraId="62504041">
            <w:pPr>
              <w:spacing w:line="430" w:lineRule="exact"/>
              <w:rPr>
                <w:rFonts w:hint="eastAsia" w:asciiTheme="minorEastAsia" w:hAnsiTheme="minorEastAsia" w:eastAsiaTheme="minorEastAsia"/>
                <w:szCs w:val="21"/>
                <w:highlight w:val="none"/>
              </w:rPr>
            </w:pPr>
            <w:r>
              <w:rPr>
                <w:rFonts w:hint="eastAsia" w:cs="宋体" w:asciiTheme="minorEastAsia" w:hAnsiTheme="minorEastAsia" w:eastAsiaTheme="minorEastAsia"/>
                <w:bCs/>
                <w:szCs w:val="21"/>
                <w:highlight w:val="none"/>
              </w:rPr>
              <w:t>1.供应商的资格条件</w:t>
            </w:r>
            <w:r>
              <w:rPr>
                <w:rFonts w:hint="eastAsia" w:cs="宋体" w:asciiTheme="minorEastAsia" w:hAnsiTheme="minorEastAsia" w:eastAsiaTheme="minorEastAsia"/>
                <w:szCs w:val="21"/>
                <w:highlight w:val="none"/>
              </w:rPr>
              <w:t>：详见竞争性磋商公告；</w:t>
            </w:r>
          </w:p>
          <w:p w14:paraId="3BBDFAE5">
            <w:pPr>
              <w:spacing w:line="430" w:lineRule="exact"/>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2.</w:t>
            </w:r>
            <w:r>
              <w:rPr>
                <w:rFonts w:hint="eastAsia" w:cs="宋体" w:asciiTheme="minorEastAsia" w:hAnsiTheme="minorEastAsia" w:eastAsiaTheme="minorEastAsia"/>
                <w:bCs/>
                <w:szCs w:val="21"/>
                <w:highlight w:val="none"/>
              </w:rPr>
              <w:t>供应商</w:t>
            </w:r>
            <w:r>
              <w:rPr>
                <w:rFonts w:hint="eastAsia" w:cs="宋体" w:asciiTheme="minorEastAsia" w:hAnsiTheme="minorEastAsia" w:eastAsiaTheme="minorEastAsia"/>
                <w:szCs w:val="21"/>
                <w:highlight w:val="none"/>
              </w:rPr>
              <w:t>出现下列情形之一的，不得参加政府采购活动：</w:t>
            </w:r>
          </w:p>
          <w:p w14:paraId="024EF1A5">
            <w:pPr>
              <w:spacing w:line="430" w:lineRule="exact"/>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2999013D">
            <w:pPr>
              <w:spacing w:line="430" w:lineRule="exact"/>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2.2对在“信用中国”网站（www.creditchina.gov.cn）、中国政府采购网（www.ccgp.gov.cn）、</w:t>
            </w:r>
            <w:r>
              <w:rPr>
                <w:rFonts w:hint="eastAsia" w:ascii="宋体" w:hAnsi="宋体"/>
                <w:szCs w:val="21"/>
                <w:highlight w:val="none"/>
              </w:rPr>
              <w:t>中国执行信息公开网（https://zxgk.court.gov.cn/）</w:t>
            </w:r>
            <w:r>
              <w:rPr>
                <w:rFonts w:hint="eastAsia" w:cs="宋体" w:asciiTheme="minorEastAsia" w:hAnsiTheme="minorEastAsia" w:eastAsiaTheme="minorEastAsia"/>
                <w:szCs w:val="21"/>
                <w:highlight w:val="none"/>
              </w:rPr>
              <w:t>被列入失信被执行人、重大税收违法失信主体、政府采购严重违法失信行为记录名单及其他不符合《中华人民共和国政府采购法》第二十二条规定条件的供应商，不得参与政府采购活动。</w:t>
            </w:r>
          </w:p>
        </w:tc>
      </w:tr>
      <w:tr w14:paraId="477A37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9" w:type="dxa"/>
            <w:vAlign w:val="center"/>
          </w:tcPr>
          <w:p w14:paraId="0FAEE4F1">
            <w:pPr>
              <w:spacing w:line="430" w:lineRule="exact"/>
              <w:jc w:val="center"/>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5.1</w:t>
            </w:r>
          </w:p>
        </w:tc>
        <w:tc>
          <w:tcPr>
            <w:tcW w:w="8359" w:type="dxa"/>
            <w:vAlign w:val="center"/>
          </w:tcPr>
          <w:p w14:paraId="4391B284">
            <w:pPr>
              <w:spacing w:line="430" w:lineRule="exact"/>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是否接受联合体竞标: 详见竞争性磋商公告</w:t>
            </w:r>
          </w:p>
        </w:tc>
      </w:tr>
      <w:tr w14:paraId="36D5B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9" w:type="dxa"/>
            <w:vAlign w:val="center"/>
          </w:tcPr>
          <w:p w14:paraId="36C0BEB1">
            <w:pPr>
              <w:spacing w:line="430" w:lineRule="exact"/>
              <w:jc w:val="center"/>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5</w:t>
            </w:r>
            <w:r>
              <w:rPr>
                <w:rFonts w:cs="宋体" w:asciiTheme="minorEastAsia" w:hAnsiTheme="minorEastAsia" w:eastAsiaTheme="minorEastAsia"/>
                <w:szCs w:val="21"/>
                <w:highlight w:val="none"/>
              </w:rPr>
              <w:t>.2</w:t>
            </w:r>
          </w:p>
        </w:tc>
        <w:tc>
          <w:tcPr>
            <w:tcW w:w="8359" w:type="dxa"/>
            <w:vAlign w:val="center"/>
          </w:tcPr>
          <w:p w14:paraId="1B60513D">
            <w:pPr>
              <w:spacing w:line="430" w:lineRule="exact"/>
              <w:rPr>
                <w:rFonts w:hint="eastAsia" w:cs="宋体" w:asciiTheme="minorEastAsia" w:hAnsiTheme="minorEastAsia" w:eastAsiaTheme="minorEastAsia"/>
                <w:szCs w:val="21"/>
                <w:highlight w:val="none"/>
              </w:rPr>
            </w:pPr>
            <w:r>
              <w:rPr>
                <w:rFonts w:hint="eastAsia" w:asciiTheme="minorEastAsia" w:hAnsiTheme="minorEastAsia" w:eastAsiaTheme="minorEastAsia"/>
                <w:szCs w:val="21"/>
                <w:highlight w:val="none"/>
              </w:rPr>
              <w:t>如接受联合体磋商，联合体磋商要求如下：</w:t>
            </w:r>
          </w:p>
          <w:p w14:paraId="591948D5">
            <w:pPr>
              <w:spacing w:line="430" w:lineRule="exact"/>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1</w:t>
            </w:r>
            <w:r>
              <w:rPr>
                <w:rFonts w:cs="宋体" w:asciiTheme="minorEastAsia" w:hAnsiTheme="minorEastAsia" w:eastAsiaTheme="minorEastAsia"/>
                <w:szCs w:val="21"/>
                <w:highlight w:val="none"/>
              </w:rPr>
              <w:t>.</w:t>
            </w:r>
            <w:r>
              <w:rPr>
                <w:rFonts w:hint="eastAsia" w:cs="宋体" w:asciiTheme="minorEastAsia" w:hAnsiTheme="minorEastAsia" w:eastAsiaTheme="minorEastAsia"/>
                <w:szCs w:val="21"/>
                <w:highlight w:val="none"/>
              </w:rPr>
              <w:t>两个以上供应商可以组成一个磋商联合体，以一个供应商的身份共同参加磋商。联合体磋商的，须提供《联合体竞标协议书》（格式后附）。</w:t>
            </w:r>
          </w:p>
          <w:p w14:paraId="3A0BEBA5">
            <w:pPr>
              <w:spacing w:line="430" w:lineRule="exact"/>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2</w:t>
            </w:r>
            <w:r>
              <w:rPr>
                <w:rFonts w:cs="宋体" w:asciiTheme="minorEastAsia" w:hAnsiTheme="minorEastAsia" w:eastAsiaTheme="minorEastAsia"/>
                <w:szCs w:val="21"/>
                <w:highlight w:val="none"/>
              </w:rPr>
              <w:t>.</w:t>
            </w:r>
            <w:r>
              <w:rPr>
                <w:rFonts w:hint="eastAsia" w:cs="宋体" w:asciiTheme="minorEastAsia" w:hAnsiTheme="minorEastAsia" w:eastAsiaTheme="minorEastAsia"/>
                <w:szCs w:val="21"/>
                <w:highlight w:val="none"/>
              </w:rPr>
              <w:t>以联合体形式参加磋商的，联合体各方均必须具备《中华人民共和国政府采购法》第二十二条第一款规定的基本条件（涉及行政许可范围的内容，联合体各方均应具备相应资质）。本项目有特殊要求规定供应商特定条件的，联合体各方中至少有一方必须符合磋商文件规定的特定条件。</w:t>
            </w:r>
          </w:p>
          <w:p w14:paraId="765BF1BA">
            <w:pPr>
              <w:spacing w:line="430" w:lineRule="exact"/>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3</w:t>
            </w:r>
            <w:r>
              <w:rPr>
                <w:rFonts w:cs="宋体" w:asciiTheme="minorEastAsia" w:hAnsiTheme="minorEastAsia" w:eastAsiaTheme="minorEastAsia"/>
                <w:szCs w:val="21"/>
                <w:highlight w:val="none"/>
              </w:rPr>
              <w:t>.</w:t>
            </w:r>
            <w:r>
              <w:rPr>
                <w:rFonts w:hint="eastAsia" w:cs="宋体" w:asciiTheme="minorEastAsia" w:hAnsiTheme="minorEastAsia" w:eastAsiaTheme="minorEastAsia"/>
                <w:szCs w:val="21"/>
                <w:highlight w:val="none"/>
              </w:rPr>
              <w:t>联合体各方之间必须签订联合磋商协议，协议书必须明确主体方（或者牵头方）并明确约定联合体各方承担的工作和相应的责任（</w:t>
            </w:r>
            <w:r>
              <w:rPr>
                <w:rFonts w:hint="eastAsia" w:cs="宋体" w:asciiTheme="minorEastAsia" w:hAnsiTheme="minorEastAsia" w:eastAsiaTheme="minorEastAsia"/>
                <w:b/>
                <w:szCs w:val="21"/>
                <w:highlight w:val="none"/>
              </w:rPr>
              <w:t>各方承担责任与义务的分工必须符合采购需求，否则，联合体竞标无效</w:t>
            </w:r>
            <w:r>
              <w:rPr>
                <w:rFonts w:hint="eastAsia" w:cs="宋体" w:asciiTheme="minorEastAsia" w:hAnsiTheme="minorEastAsia" w:eastAsiaTheme="minorEastAsia"/>
                <w:szCs w:val="21"/>
                <w:highlight w:val="none"/>
              </w:rPr>
              <w:t>），并将联合竞标协议放入响应文件。联合体各方必须共同与采购人签订采购合同，就采购合同约定的事项对采购人承担连带责任。</w:t>
            </w:r>
          </w:p>
          <w:p w14:paraId="40557624">
            <w:pPr>
              <w:spacing w:line="430" w:lineRule="exact"/>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4</w:t>
            </w:r>
            <w:r>
              <w:rPr>
                <w:rFonts w:cs="宋体" w:asciiTheme="minorEastAsia" w:hAnsiTheme="minorEastAsia" w:eastAsiaTheme="minorEastAsia"/>
                <w:szCs w:val="21"/>
                <w:highlight w:val="none"/>
              </w:rPr>
              <w:t>.</w:t>
            </w:r>
            <w:r>
              <w:rPr>
                <w:rFonts w:hint="eastAsia" w:cs="宋体" w:asciiTheme="minorEastAsia" w:hAnsiTheme="minorEastAsia" w:eastAsiaTheme="minorEastAsia"/>
                <w:szCs w:val="21"/>
                <w:highlight w:val="none"/>
              </w:rPr>
              <w:t>以联合体形式参加政府采购活动的，联合体各方不得再单独参加或者与其他供应商另外组成联合体参加同一合同项下的政府采购活动。</w:t>
            </w:r>
          </w:p>
          <w:p w14:paraId="29A20970">
            <w:pPr>
              <w:spacing w:line="430" w:lineRule="exact"/>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5</w:t>
            </w:r>
            <w:r>
              <w:rPr>
                <w:rFonts w:cs="宋体" w:asciiTheme="minorEastAsia" w:hAnsiTheme="minorEastAsia" w:eastAsiaTheme="minorEastAsia"/>
                <w:szCs w:val="21"/>
                <w:highlight w:val="none"/>
              </w:rPr>
              <w:t>.</w:t>
            </w:r>
            <w:r>
              <w:rPr>
                <w:rFonts w:hint="eastAsia" w:cs="宋体" w:asciiTheme="minorEastAsia" w:hAnsiTheme="minorEastAsia" w:eastAsiaTheme="minorEastAsia"/>
                <w:szCs w:val="21"/>
                <w:highlight w:val="none"/>
              </w:rPr>
              <w:t>联合体中有同类资质的供应商按照联合体分工承担相同工作的，应当按照资质等级较低的供应商确定资质等级。</w:t>
            </w:r>
          </w:p>
          <w:p w14:paraId="4850D6AB">
            <w:pPr>
              <w:spacing w:line="430" w:lineRule="exact"/>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6</w:t>
            </w:r>
            <w:r>
              <w:rPr>
                <w:rFonts w:cs="宋体" w:asciiTheme="minorEastAsia" w:hAnsiTheme="minorEastAsia" w:eastAsiaTheme="minorEastAsia"/>
                <w:szCs w:val="21"/>
                <w:highlight w:val="none"/>
              </w:rPr>
              <w:t>.</w:t>
            </w:r>
            <w:r>
              <w:rPr>
                <w:rFonts w:hint="eastAsia" w:cs="宋体" w:asciiTheme="minorEastAsia" w:hAnsiTheme="minorEastAsia" w:eastAsiaTheme="minorEastAsia"/>
                <w:szCs w:val="21"/>
                <w:highlight w:val="none"/>
              </w:rPr>
              <w:t>联合体磋商业绩、履约能力按照联合体各方中较高的一方认定并计算（磋商文件另有规定的除外）。</w:t>
            </w:r>
          </w:p>
          <w:p w14:paraId="604834D0">
            <w:pPr>
              <w:spacing w:line="430" w:lineRule="exact"/>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7</w:t>
            </w:r>
            <w:r>
              <w:rPr>
                <w:rFonts w:cs="宋体" w:asciiTheme="minorEastAsia" w:hAnsiTheme="minorEastAsia" w:eastAsiaTheme="minorEastAsia"/>
                <w:szCs w:val="21"/>
                <w:highlight w:val="none"/>
              </w:rPr>
              <w:t>.</w:t>
            </w:r>
            <w:r>
              <w:rPr>
                <w:rFonts w:hint="eastAsia" w:cs="宋体" w:asciiTheme="minorEastAsia" w:hAnsiTheme="minorEastAsia" w:eastAsiaTheme="minorEastAsia"/>
                <w:szCs w:val="21"/>
                <w:highlight w:val="none"/>
              </w:rPr>
              <w:t>供应商为联合体的，可以由联合体中的一方或者多方共同交纳磋商保证金，其交纳的保证金对联合体各方均具有约束力。</w:t>
            </w:r>
          </w:p>
          <w:p w14:paraId="4D1EEF78">
            <w:pPr>
              <w:spacing w:line="430" w:lineRule="exact"/>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8</w:t>
            </w:r>
            <w:r>
              <w:rPr>
                <w:rFonts w:cs="宋体" w:asciiTheme="minorEastAsia" w:hAnsiTheme="minorEastAsia" w:eastAsiaTheme="minorEastAsia"/>
                <w:szCs w:val="21"/>
                <w:highlight w:val="none"/>
              </w:rPr>
              <w:t>.</w:t>
            </w:r>
            <w:r>
              <w:rPr>
                <w:rFonts w:hint="eastAsia" w:cs="宋体" w:asciiTheme="minorEastAsia" w:hAnsiTheme="minorEastAsia" w:eastAsiaTheme="minorEastAsia"/>
                <w:szCs w:val="21"/>
                <w:highlight w:val="none"/>
              </w:rPr>
              <w:t>联合体各方均应按照磋商文件的规定提交资格证明文件。</w:t>
            </w:r>
          </w:p>
        </w:tc>
      </w:tr>
      <w:tr w14:paraId="29F5D2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9" w:type="dxa"/>
            <w:vAlign w:val="center"/>
          </w:tcPr>
          <w:p w14:paraId="408B5AE4">
            <w:pPr>
              <w:spacing w:line="430" w:lineRule="exact"/>
              <w:jc w:val="center"/>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6.2</w:t>
            </w:r>
          </w:p>
        </w:tc>
        <w:tc>
          <w:tcPr>
            <w:tcW w:w="8359" w:type="dxa"/>
            <w:vAlign w:val="center"/>
          </w:tcPr>
          <w:p w14:paraId="3D2AA309">
            <w:pPr>
              <w:pStyle w:val="11"/>
              <w:spacing w:line="430" w:lineRule="exact"/>
              <w:rPr>
                <w:rFonts w:hint="eastAsia" w:asciiTheme="minorEastAsia" w:hAnsiTheme="minorEastAsia" w:eastAsiaTheme="minorEastAsia"/>
                <w:b/>
                <w:szCs w:val="21"/>
                <w:highlight w:val="none"/>
              </w:rPr>
            </w:pPr>
            <w:r>
              <w:rPr>
                <w:rFonts w:hint="eastAsia" w:asciiTheme="minorEastAsia" w:hAnsiTheme="minorEastAsia" w:eastAsiaTheme="minorEastAsia"/>
                <w:b/>
                <w:szCs w:val="21"/>
                <w:highlight w:val="none"/>
              </w:rPr>
              <w:t>√不允许分包</w:t>
            </w:r>
          </w:p>
          <w:p w14:paraId="27BD71AE">
            <w:pPr>
              <w:pStyle w:val="11"/>
              <w:spacing w:line="430" w:lineRule="exact"/>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□允许分包</w:t>
            </w:r>
          </w:p>
          <w:p w14:paraId="29BED8C9">
            <w:pPr>
              <w:pStyle w:val="11"/>
              <w:spacing w:line="430" w:lineRule="exact"/>
              <w:rPr>
                <w:rFonts w:hint="eastAsia" w:asciiTheme="minorEastAsia" w:hAnsiTheme="minorEastAsia" w:eastAsiaTheme="minorEastAsia"/>
                <w:szCs w:val="21"/>
                <w:highlight w:val="none"/>
                <w:u w:val="single"/>
              </w:rPr>
            </w:pPr>
            <w:r>
              <w:rPr>
                <w:rFonts w:hint="eastAsia" w:asciiTheme="minorEastAsia" w:hAnsiTheme="minorEastAsia" w:eastAsiaTheme="minorEastAsia"/>
                <w:szCs w:val="21"/>
                <w:highlight w:val="none"/>
              </w:rPr>
              <w:t>分包内容：</w:t>
            </w:r>
            <w:r>
              <w:rPr>
                <w:rFonts w:hint="eastAsia" w:asciiTheme="minorEastAsia" w:hAnsiTheme="minorEastAsia" w:eastAsiaTheme="minorEastAsia"/>
                <w:szCs w:val="21"/>
                <w:highlight w:val="none"/>
                <w:u w:val="single"/>
              </w:rPr>
              <w:t>/。</w:t>
            </w:r>
          </w:p>
          <w:p w14:paraId="198F4FD1">
            <w:pPr>
              <w:pStyle w:val="11"/>
              <w:spacing w:line="430" w:lineRule="exact"/>
              <w:rPr>
                <w:rFonts w:hint="eastAsia" w:cs="宋体" w:asciiTheme="minorEastAsia" w:hAnsiTheme="minorEastAsia" w:eastAsiaTheme="minorEastAsia"/>
                <w:szCs w:val="21"/>
                <w:highlight w:val="none"/>
              </w:rPr>
            </w:pPr>
            <w:r>
              <w:rPr>
                <w:rFonts w:hint="eastAsia" w:asciiTheme="minorEastAsia" w:hAnsiTheme="minorEastAsia" w:eastAsiaTheme="minorEastAsia"/>
                <w:szCs w:val="21"/>
                <w:highlight w:val="none"/>
              </w:rPr>
              <w:t>分包金额或者比例：</w:t>
            </w:r>
            <w:r>
              <w:rPr>
                <w:rFonts w:hint="eastAsia" w:asciiTheme="minorEastAsia" w:hAnsiTheme="minorEastAsia" w:eastAsiaTheme="minorEastAsia"/>
                <w:szCs w:val="21"/>
                <w:highlight w:val="none"/>
                <w:u w:val="single"/>
              </w:rPr>
              <w:t>。</w:t>
            </w:r>
          </w:p>
        </w:tc>
      </w:tr>
      <w:tr w14:paraId="1C6B1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9" w:type="dxa"/>
            <w:vAlign w:val="center"/>
          </w:tcPr>
          <w:p w14:paraId="569E2BD3">
            <w:pPr>
              <w:spacing w:line="430" w:lineRule="exact"/>
              <w:jc w:val="center"/>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12.1.</w:t>
            </w:r>
            <w:r>
              <w:rPr>
                <w:rFonts w:cs="宋体" w:asciiTheme="minorEastAsia" w:hAnsiTheme="minorEastAsia" w:eastAsiaTheme="minorEastAsia"/>
                <w:szCs w:val="21"/>
                <w:highlight w:val="none"/>
              </w:rPr>
              <w:t>1</w:t>
            </w:r>
          </w:p>
        </w:tc>
        <w:tc>
          <w:tcPr>
            <w:tcW w:w="8359" w:type="dxa"/>
            <w:vAlign w:val="center"/>
          </w:tcPr>
          <w:p w14:paraId="0D04267B">
            <w:pPr>
              <w:snapToGrid w:val="0"/>
              <w:spacing w:line="430" w:lineRule="exact"/>
              <w:jc w:val="left"/>
              <w:rPr>
                <w:rFonts w:hint="eastAsia" w:cs="宋体" w:asciiTheme="minorEastAsia" w:hAnsiTheme="minorEastAsia" w:eastAsiaTheme="minorEastAsia"/>
                <w:b/>
                <w:szCs w:val="21"/>
                <w:highlight w:val="none"/>
              </w:rPr>
            </w:pPr>
            <w:r>
              <w:rPr>
                <w:rFonts w:hint="eastAsia" w:cs="宋体" w:asciiTheme="minorEastAsia" w:hAnsiTheme="minorEastAsia" w:eastAsiaTheme="minorEastAsia"/>
                <w:b/>
                <w:szCs w:val="21"/>
                <w:highlight w:val="none"/>
              </w:rPr>
              <w:t>资格证明文件</w:t>
            </w:r>
          </w:p>
          <w:p w14:paraId="7344F494">
            <w:pPr>
              <w:pStyle w:val="11"/>
              <w:spacing w:line="430" w:lineRule="exact"/>
              <w:rPr>
                <w:rFonts w:hint="eastAsia"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1.供应商为法人或者其他组织的提供其营业执照等证明文件（如营业执照或者事业单位法人证书或者执业许可证或者登记证书等），供应商为自然人的提供其身份证复印件；（</w:t>
            </w:r>
            <w:r>
              <w:rPr>
                <w:rFonts w:hint="eastAsia" w:cs="宋体" w:asciiTheme="minorEastAsia" w:hAnsiTheme="minorEastAsia" w:eastAsiaTheme="minorEastAsia"/>
                <w:b/>
                <w:szCs w:val="21"/>
                <w:highlight w:val="none"/>
              </w:rPr>
              <w:t>必须提供，否则响应文件按无效响应处理</w:t>
            </w:r>
            <w:r>
              <w:rPr>
                <w:rFonts w:hint="eastAsia" w:cs="宋体" w:asciiTheme="minorEastAsia" w:hAnsiTheme="minorEastAsia" w:eastAsiaTheme="minorEastAsia"/>
                <w:szCs w:val="21"/>
                <w:highlight w:val="none"/>
              </w:rPr>
              <w:t>）</w:t>
            </w:r>
          </w:p>
          <w:p w14:paraId="3767BEF0">
            <w:pPr>
              <w:spacing w:line="430" w:lineRule="exact"/>
              <w:contextualSpacing/>
              <w:jc w:val="left"/>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2.供应商依法缴纳税收的相关材料（</w:t>
            </w:r>
            <w:r>
              <w:rPr>
                <w:rFonts w:hint="eastAsia" w:ascii="宋体" w:hAnsi="宋体" w:cs="宋体"/>
                <w:szCs w:val="21"/>
                <w:highlight w:val="none"/>
              </w:rPr>
              <w:t>提交响应文件截止时间前半年内任意1个月的</w:t>
            </w:r>
            <w:r>
              <w:rPr>
                <w:rFonts w:hint="eastAsia" w:cs="宋体" w:asciiTheme="minorEastAsia" w:hAnsiTheme="minorEastAsia" w:eastAsiaTheme="minorEastAsia"/>
                <w:szCs w:val="21"/>
                <w:highlight w:val="none"/>
              </w:rPr>
              <w:t>依法缴纳税收的凭据复印件；</w:t>
            </w:r>
            <w:r>
              <w:rPr>
                <w:rFonts w:hint="eastAsia" w:asciiTheme="minorEastAsia" w:hAnsiTheme="minorEastAsia" w:eastAsiaTheme="minorEastAsia"/>
                <w:szCs w:val="21"/>
                <w:highlight w:val="none"/>
              </w:rPr>
              <w:t>依法免税的，必须提供相应文件证明其依法免税。</w:t>
            </w:r>
            <w:r>
              <w:rPr>
                <w:rFonts w:hint="eastAsia" w:cs="宋体" w:asciiTheme="minorEastAsia" w:hAnsiTheme="minorEastAsia" w:eastAsiaTheme="minorEastAsia"/>
                <w:szCs w:val="21"/>
                <w:highlight w:val="none"/>
              </w:rPr>
              <w:t>从</w:t>
            </w:r>
            <w:r>
              <w:rPr>
                <w:rFonts w:asciiTheme="minorEastAsia" w:hAnsiTheme="minorEastAsia" w:eastAsiaTheme="minorEastAsia"/>
                <w:szCs w:val="21"/>
                <w:highlight w:val="none"/>
              </w:rPr>
              <w:t>成立</w:t>
            </w:r>
            <w:r>
              <w:rPr>
                <w:rFonts w:hint="eastAsia" w:asciiTheme="minorEastAsia" w:hAnsiTheme="minorEastAsia" w:eastAsiaTheme="minorEastAsia"/>
                <w:szCs w:val="21"/>
                <w:highlight w:val="none"/>
              </w:rPr>
              <w:t>之日起</w:t>
            </w:r>
            <w:r>
              <w:rPr>
                <w:rFonts w:hint="eastAsia" w:cs="宋体" w:asciiTheme="minorEastAsia" w:hAnsiTheme="minorEastAsia" w:eastAsiaTheme="minorEastAsia"/>
                <w:szCs w:val="21"/>
                <w:highlight w:val="none"/>
              </w:rPr>
              <w:t>到响应文件提交截止时间止不足要求月数的，只需提供从</w:t>
            </w:r>
            <w:r>
              <w:rPr>
                <w:rFonts w:asciiTheme="minorEastAsia" w:hAnsiTheme="minorEastAsia" w:eastAsiaTheme="minorEastAsia"/>
                <w:szCs w:val="21"/>
                <w:highlight w:val="none"/>
              </w:rPr>
              <w:t>成立</w:t>
            </w:r>
            <w:r>
              <w:rPr>
                <w:rFonts w:hint="eastAsia" w:asciiTheme="minorEastAsia" w:hAnsiTheme="minorEastAsia" w:eastAsiaTheme="minorEastAsia"/>
                <w:szCs w:val="21"/>
                <w:highlight w:val="none"/>
              </w:rPr>
              <w:t>之日起</w:t>
            </w:r>
            <w:r>
              <w:rPr>
                <w:rFonts w:hint="eastAsia" w:cs="宋体" w:asciiTheme="minorEastAsia" w:hAnsiTheme="minorEastAsia" w:eastAsiaTheme="minorEastAsia"/>
                <w:szCs w:val="21"/>
                <w:highlight w:val="none"/>
              </w:rPr>
              <w:t>的依法缴纳税收</w:t>
            </w:r>
            <w:r>
              <w:rPr>
                <w:rFonts w:hint="eastAsia" w:asciiTheme="minorEastAsia" w:hAnsiTheme="minorEastAsia" w:eastAsiaTheme="minorEastAsia"/>
                <w:szCs w:val="21"/>
                <w:highlight w:val="none"/>
              </w:rPr>
              <w:t>相应证明文件</w:t>
            </w:r>
            <w:r>
              <w:rPr>
                <w:rFonts w:hint="eastAsia" w:cs="宋体" w:asciiTheme="minorEastAsia" w:hAnsiTheme="minorEastAsia" w:eastAsiaTheme="minorEastAsia"/>
                <w:szCs w:val="21"/>
                <w:highlight w:val="none"/>
              </w:rPr>
              <w:t>）；（</w:t>
            </w:r>
            <w:r>
              <w:rPr>
                <w:rFonts w:hint="eastAsia" w:cs="宋体" w:asciiTheme="minorEastAsia" w:hAnsiTheme="minorEastAsia" w:eastAsiaTheme="minorEastAsia"/>
                <w:b/>
                <w:szCs w:val="21"/>
                <w:highlight w:val="none"/>
              </w:rPr>
              <w:t>必须提供，否则响应文件按无效响应处理</w:t>
            </w:r>
            <w:r>
              <w:rPr>
                <w:rFonts w:hint="eastAsia" w:cs="宋体" w:asciiTheme="minorEastAsia" w:hAnsiTheme="minorEastAsia" w:eastAsiaTheme="minorEastAsia"/>
                <w:szCs w:val="21"/>
                <w:highlight w:val="none"/>
              </w:rPr>
              <w:t>）</w:t>
            </w:r>
          </w:p>
          <w:p w14:paraId="2214C9B1">
            <w:pPr>
              <w:spacing w:line="430" w:lineRule="exact"/>
              <w:contextualSpacing/>
              <w:jc w:val="left"/>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3.供应商依法缴纳社会保障资金的相关材料</w:t>
            </w:r>
            <w:r>
              <w:rPr>
                <w:rFonts w:hint="eastAsia" w:ascii="宋体" w:hAnsi="宋体" w:cs="宋体"/>
                <w:szCs w:val="21"/>
                <w:highlight w:val="none"/>
              </w:rPr>
              <w:t>[提交响应文件截止时间前半年内任意1个月的</w:t>
            </w:r>
            <w:r>
              <w:rPr>
                <w:rFonts w:hint="eastAsia" w:cs="宋体" w:asciiTheme="minorEastAsia" w:hAnsiTheme="minorEastAsia" w:eastAsiaTheme="minorEastAsia"/>
                <w:szCs w:val="21"/>
                <w:highlight w:val="none"/>
              </w:rPr>
              <w:t>依法缴纳社会保障资金的缴费凭证（专用收据或者社会保险缴纳清单）复印件；</w:t>
            </w:r>
            <w:r>
              <w:rPr>
                <w:rFonts w:hint="eastAsia" w:asciiTheme="minorEastAsia" w:hAnsiTheme="minorEastAsia" w:eastAsiaTheme="minorEastAsia"/>
                <w:szCs w:val="21"/>
                <w:highlight w:val="none"/>
              </w:rPr>
              <w:t>依法不需要缴纳社会保障资金的，必须提供相应文件证明不需要缴纳社会保障资金。</w:t>
            </w:r>
            <w:r>
              <w:rPr>
                <w:rFonts w:hint="eastAsia" w:cs="宋体" w:asciiTheme="minorEastAsia" w:hAnsiTheme="minorEastAsia" w:eastAsiaTheme="minorEastAsia"/>
                <w:szCs w:val="21"/>
                <w:highlight w:val="none"/>
              </w:rPr>
              <w:t>从</w:t>
            </w:r>
            <w:r>
              <w:rPr>
                <w:rFonts w:asciiTheme="minorEastAsia" w:hAnsiTheme="minorEastAsia" w:eastAsiaTheme="minorEastAsia"/>
                <w:szCs w:val="21"/>
                <w:highlight w:val="none"/>
              </w:rPr>
              <w:t>成立</w:t>
            </w:r>
            <w:r>
              <w:rPr>
                <w:rFonts w:hint="eastAsia" w:asciiTheme="minorEastAsia" w:hAnsiTheme="minorEastAsia" w:eastAsiaTheme="minorEastAsia"/>
                <w:szCs w:val="21"/>
                <w:highlight w:val="none"/>
              </w:rPr>
              <w:t>之日起</w:t>
            </w:r>
            <w:r>
              <w:rPr>
                <w:rFonts w:hint="eastAsia" w:cs="宋体" w:asciiTheme="minorEastAsia" w:hAnsiTheme="minorEastAsia" w:eastAsiaTheme="minorEastAsia"/>
                <w:szCs w:val="21"/>
                <w:highlight w:val="none"/>
              </w:rPr>
              <w:t>到响应文件提交截止时间止不足要求月数的只需提供从</w:t>
            </w:r>
            <w:r>
              <w:rPr>
                <w:rFonts w:asciiTheme="minorEastAsia" w:hAnsiTheme="minorEastAsia" w:eastAsiaTheme="minorEastAsia"/>
                <w:szCs w:val="21"/>
                <w:highlight w:val="none"/>
              </w:rPr>
              <w:t>成立</w:t>
            </w:r>
            <w:r>
              <w:rPr>
                <w:rFonts w:hint="eastAsia" w:asciiTheme="minorEastAsia" w:hAnsiTheme="minorEastAsia" w:eastAsiaTheme="minorEastAsia"/>
                <w:szCs w:val="21"/>
                <w:highlight w:val="none"/>
              </w:rPr>
              <w:t>之日起</w:t>
            </w:r>
            <w:r>
              <w:rPr>
                <w:rFonts w:hint="eastAsia" w:cs="宋体" w:asciiTheme="minorEastAsia" w:hAnsiTheme="minorEastAsia" w:eastAsiaTheme="minorEastAsia"/>
                <w:szCs w:val="21"/>
                <w:highlight w:val="none"/>
              </w:rPr>
              <w:t>的依法缴纳社会保障资金的</w:t>
            </w:r>
            <w:r>
              <w:rPr>
                <w:rFonts w:hint="eastAsia" w:asciiTheme="minorEastAsia" w:hAnsiTheme="minorEastAsia" w:eastAsiaTheme="minorEastAsia"/>
                <w:szCs w:val="21"/>
                <w:highlight w:val="none"/>
              </w:rPr>
              <w:t>相应证明文件</w:t>
            </w:r>
            <w:r>
              <w:rPr>
                <w:rFonts w:hint="eastAsia" w:cs="宋体" w:asciiTheme="minorEastAsia" w:hAnsiTheme="minorEastAsia" w:eastAsiaTheme="minorEastAsia"/>
                <w:szCs w:val="21"/>
                <w:highlight w:val="none"/>
              </w:rPr>
              <w:t>]；（</w:t>
            </w:r>
            <w:r>
              <w:rPr>
                <w:rFonts w:hint="eastAsia" w:cs="宋体" w:asciiTheme="minorEastAsia" w:hAnsiTheme="minorEastAsia" w:eastAsiaTheme="minorEastAsia"/>
                <w:b/>
                <w:szCs w:val="21"/>
                <w:highlight w:val="none"/>
              </w:rPr>
              <w:t>必须提供，否则响应文件按无效响应处理</w:t>
            </w:r>
            <w:r>
              <w:rPr>
                <w:rFonts w:hint="eastAsia" w:cs="宋体" w:asciiTheme="minorEastAsia" w:hAnsiTheme="minorEastAsia" w:eastAsiaTheme="minorEastAsia"/>
                <w:szCs w:val="21"/>
                <w:highlight w:val="none"/>
              </w:rPr>
              <w:t>）</w:t>
            </w:r>
          </w:p>
          <w:p w14:paraId="128A503D">
            <w:pPr>
              <w:spacing w:line="430" w:lineRule="exact"/>
              <w:contextualSpacing/>
              <w:jc w:val="left"/>
              <w:rPr>
                <w:rFonts w:hint="eastAsia" w:cs="宋体" w:asciiTheme="minorEastAsia" w:hAnsiTheme="minorEastAsia" w:eastAsiaTheme="minorEastAsia"/>
                <w:b/>
                <w:szCs w:val="21"/>
                <w:highlight w:val="none"/>
              </w:rPr>
            </w:pPr>
            <w:r>
              <w:rPr>
                <w:rFonts w:hint="eastAsia" w:cs="宋体" w:asciiTheme="minorEastAsia" w:hAnsiTheme="minorEastAsia" w:eastAsiaTheme="minorEastAsia"/>
                <w:szCs w:val="21"/>
                <w:highlight w:val="none"/>
              </w:rPr>
              <w:t>4.供应商</w:t>
            </w:r>
            <w:r>
              <w:rPr>
                <w:rFonts w:hint="eastAsia" w:asciiTheme="minorEastAsia" w:hAnsiTheme="minorEastAsia" w:eastAsiaTheme="minorEastAsia"/>
                <w:szCs w:val="21"/>
                <w:highlight w:val="none"/>
              </w:rPr>
              <w:t>财务状况报告（2025年度经审计的财务状况报告复印件，或者银行出具的资信证明，或者中国人民银行征信中心出具的信用报告（企业竞标的提供企业信用报告，自然人竞标的提供个人信用报告），供应商执行《政府会计制度》的，可提供资产负债表、收入费用表和净资产变动表及其附注；供应商属于成立时间</w:t>
            </w:r>
            <w:r>
              <w:rPr>
                <w:rFonts w:hint="eastAsia" w:asciiTheme="minorEastAsia" w:hAnsiTheme="minorEastAsia" w:eastAsiaTheme="minorEastAsia"/>
                <w:kern w:val="0"/>
                <w:szCs w:val="21"/>
                <w:highlight w:val="none"/>
              </w:rPr>
              <w:t>在2026年</w:t>
            </w:r>
            <w:r>
              <w:rPr>
                <w:rFonts w:hint="eastAsia" w:asciiTheme="minorEastAsia" w:hAnsiTheme="minorEastAsia" w:eastAsiaTheme="minorEastAsia"/>
                <w:szCs w:val="21"/>
                <w:highlight w:val="none"/>
              </w:rPr>
              <w:t>的法人或其他组织，需提供成立之日起至响应文件提交截止时间前的月报表或银行出具的资信证明或者中国人民银行征信中心出具的企业信用报告；资信证明应在有效期内，未注明有效期的，银行出具时间至响应文件提交截止时间不超过一年）</w:t>
            </w:r>
            <w:r>
              <w:rPr>
                <w:rFonts w:hint="eastAsia" w:cs="宋体" w:asciiTheme="minorEastAsia" w:hAnsiTheme="minorEastAsia" w:eastAsiaTheme="minorEastAsia"/>
                <w:szCs w:val="21"/>
                <w:highlight w:val="none"/>
              </w:rPr>
              <w:t>；</w:t>
            </w:r>
            <w:r>
              <w:rPr>
                <w:rFonts w:hint="eastAsia" w:cs="宋体" w:asciiTheme="minorEastAsia" w:hAnsiTheme="minorEastAsia" w:eastAsiaTheme="minorEastAsia"/>
                <w:bCs/>
                <w:szCs w:val="21"/>
                <w:highlight w:val="none"/>
              </w:rPr>
              <w:t>（</w:t>
            </w:r>
            <w:r>
              <w:rPr>
                <w:rFonts w:hint="eastAsia" w:asciiTheme="minorEastAsia" w:hAnsiTheme="minorEastAsia" w:eastAsiaTheme="minorEastAsia"/>
                <w:b/>
                <w:szCs w:val="21"/>
                <w:highlight w:val="none"/>
              </w:rPr>
              <w:t>必须提供</w:t>
            </w:r>
            <w:r>
              <w:rPr>
                <w:rFonts w:hint="eastAsia" w:cs="宋体" w:asciiTheme="minorEastAsia" w:hAnsiTheme="minorEastAsia" w:eastAsiaTheme="minorEastAsia"/>
                <w:b/>
                <w:szCs w:val="21"/>
                <w:highlight w:val="none"/>
              </w:rPr>
              <w:t>，否则响应文件按无效响应处理</w:t>
            </w:r>
            <w:r>
              <w:rPr>
                <w:rFonts w:hint="eastAsia" w:cs="宋体" w:asciiTheme="minorEastAsia" w:hAnsiTheme="minorEastAsia" w:eastAsiaTheme="minorEastAsia"/>
                <w:bCs/>
                <w:szCs w:val="21"/>
                <w:highlight w:val="none"/>
              </w:rPr>
              <w:t>）</w:t>
            </w:r>
          </w:p>
          <w:p w14:paraId="5F34EBD5">
            <w:pPr>
              <w:snapToGrid w:val="0"/>
              <w:spacing w:line="430" w:lineRule="exact"/>
              <w:jc w:val="left"/>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5.供应商直接控股、管理关系信息表（格式后附）；（</w:t>
            </w:r>
            <w:r>
              <w:rPr>
                <w:rFonts w:hint="eastAsia" w:cs="宋体" w:asciiTheme="minorEastAsia" w:hAnsiTheme="minorEastAsia" w:eastAsiaTheme="minorEastAsia"/>
                <w:b/>
                <w:szCs w:val="21"/>
                <w:highlight w:val="none"/>
              </w:rPr>
              <w:t>必须提供，否则响应文件按无效响应处理</w:t>
            </w:r>
            <w:r>
              <w:rPr>
                <w:rFonts w:hint="eastAsia" w:cs="宋体" w:asciiTheme="minorEastAsia" w:hAnsiTheme="minorEastAsia" w:eastAsiaTheme="minorEastAsia"/>
                <w:szCs w:val="21"/>
                <w:highlight w:val="none"/>
              </w:rPr>
              <w:t>）</w:t>
            </w:r>
          </w:p>
          <w:p w14:paraId="0C4822A6">
            <w:pPr>
              <w:snapToGrid w:val="0"/>
              <w:spacing w:line="430" w:lineRule="exact"/>
              <w:jc w:val="left"/>
              <w:rPr>
                <w:highlight w:val="none"/>
              </w:rPr>
            </w:pPr>
            <w:r>
              <w:rPr>
                <w:rFonts w:hint="eastAsia" w:cs="宋体" w:asciiTheme="minorEastAsia" w:hAnsiTheme="minorEastAsia" w:eastAsiaTheme="minorEastAsia"/>
                <w:szCs w:val="21"/>
                <w:highlight w:val="none"/>
              </w:rPr>
              <w:t>6.竞标声明（格式后附）；（</w:t>
            </w:r>
            <w:r>
              <w:rPr>
                <w:rFonts w:hint="eastAsia" w:cs="宋体" w:asciiTheme="minorEastAsia" w:hAnsiTheme="minorEastAsia" w:eastAsiaTheme="minorEastAsia"/>
                <w:b/>
                <w:szCs w:val="21"/>
                <w:highlight w:val="none"/>
              </w:rPr>
              <w:t>必须提供，否则响应文件按无效响应处理</w:t>
            </w:r>
            <w:r>
              <w:rPr>
                <w:rFonts w:hint="eastAsia" w:cs="宋体" w:asciiTheme="minorEastAsia" w:hAnsiTheme="minorEastAsia" w:eastAsiaTheme="minorEastAsia"/>
                <w:szCs w:val="21"/>
                <w:highlight w:val="none"/>
              </w:rPr>
              <w:t>）</w:t>
            </w:r>
          </w:p>
          <w:p w14:paraId="4665ECBB">
            <w:pPr>
              <w:snapToGrid w:val="0"/>
              <w:spacing w:line="360" w:lineRule="exact"/>
              <w:jc w:val="left"/>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7.除磋商文件规定必须提供以外，供应商认为需要提供的其他证明材料。（如有，请提供）</w:t>
            </w:r>
          </w:p>
          <w:p w14:paraId="4F37A523">
            <w:pPr>
              <w:snapToGrid w:val="0"/>
              <w:spacing w:line="430" w:lineRule="exact"/>
              <w:jc w:val="left"/>
              <w:rPr>
                <w:rFonts w:hint="eastAsia" w:cs="宋体" w:asciiTheme="minorEastAsia" w:hAnsiTheme="minorEastAsia" w:eastAsiaTheme="minorEastAsia"/>
                <w:b/>
                <w:szCs w:val="21"/>
                <w:highlight w:val="none"/>
              </w:rPr>
            </w:pPr>
            <w:r>
              <w:rPr>
                <w:rFonts w:hint="eastAsia" w:cs="宋体" w:asciiTheme="minorEastAsia" w:hAnsiTheme="minorEastAsia" w:eastAsiaTheme="minorEastAsia"/>
                <w:b/>
                <w:szCs w:val="21"/>
                <w:highlight w:val="none"/>
              </w:rPr>
              <w:t>注：</w:t>
            </w:r>
          </w:p>
          <w:p w14:paraId="24C71C70">
            <w:pPr>
              <w:snapToGrid w:val="0"/>
              <w:spacing w:line="430" w:lineRule="exact"/>
              <w:ind w:firstLine="413" w:firstLineChars="196"/>
              <w:jc w:val="left"/>
              <w:rPr>
                <w:rFonts w:hint="eastAsia" w:cs="宋体" w:asciiTheme="minorEastAsia" w:hAnsiTheme="minorEastAsia" w:eastAsiaTheme="minorEastAsia"/>
                <w:b/>
                <w:szCs w:val="21"/>
                <w:highlight w:val="none"/>
              </w:rPr>
            </w:pPr>
            <w:r>
              <w:rPr>
                <w:rFonts w:hint="eastAsia" w:cs="宋体" w:asciiTheme="minorEastAsia" w:hAnsiTheme="minorEastAsia" w:eastAsiaTheme="minorEastAsia"/>
                <w:b/>
                <w:szCs w:val="21"/>
                <w:highlight w:val="none"/>
              </w:rPr>
              <w:t>1.以上标明“必须提供”的材料属于复印件的，必须加盖供应商</w:t>
            </w:r>
            <w:r>
              <w:rPr>
                <w:rFonts w:hint="eastAsia" w:asciiTheme="minorEastAsia" w:hAnsiTheme="minorEastAsia" w:eastAsiaTheme="minorEastAsia"/>
                <w:b/>
                <w:szCs w:val="21"/>
                <w:highlight w:val="none"/>
              </w:rPr>
              <w:t>电子签章</w:t>
            </w:r>
            <w:r>
              <w:rPr>
                <w:rFonts w:hint="eastAsia" w:cs="宋体" w:asciiTheme="minorEastAsia" w:hAnsiTheme="minorEastAsia" w:eastAsiaTheme="minorEastAsia"/>
                <w:b/>
                <w:szCs w:val="21"/>
                <w:highlight w:val="none"/>
              </w:rPr>
              <w:t>，否则响应文件按无效处理。</w:t>
            </w:r>
          </w:p>
          <w:p w14:paraId="059ABDAC">
            <w:pPr>
              <w:pStyle w:val="11"/>
              <w:spacing w:line="430" w:lineRule="exact"/>
              <w:ind w:firstLine="422" w:firstLineChars="200"/>
              <w:rPr>
                <w:rFonts w:hint="eastAsia" w:cs="宋体" w:asciiTheme="minorEastAsia" w:hAnsiTheme="minorEastAsia" w:eastAsiaTheme="minorEastAsia"/>
                <w:b/>
                <w:szCs w:val="21"/>
                <w:highlight w:val="none"/>
              </w:rPr>
            </w:pPr>
            <w:r>
              <w:rPr>
                <w:rFonts w:hint="eastAsia" w:cs="宋体" w:asciiTheme="minorEastAsia" w:hAnsiTheme="minorEastAsia" w:eastAsiaTheme="minorEastAsia"/>
                <w:b/>
                <w:szCs w:val="21"/>
                <w:highlight w:val="none"/>
              </w:rPr>
              <w:t>2.</w:t>
            </w:r>
            <w:r>
              <w:rPr>
                <w:rFonts w:hint="eastAsia" w:asciiTheme="minorEastAsia" w:hAnsiTheme="minorEastAsia" w:eastAsiaTheme="minorEastAsia"/>
                <w:b/>
                <w:bCs/>
                <w:szCs w:val="21"/>
                <w:highlight w:val="none"/>
              </w:rPr>
              <w:t>分公司参加竞标的，应当取得总公司授权。</w:t>
            </w:r>
          </w:p>
        </w:tc>
      </w:tr>
      <w:tr w14:paraId="25339D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9" w:type="dxa"/>
            <w:vAlign w:val="center"/>
          </w:tcPr>
          <w:p w14:paraId="54B04E78">
            <w:pPr>
              <w:spacing w:line="430" w:lineRule="exact"/>
              <w:jc w:val="center"/>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12.1.2</w:t>
            </w:r>
          </w:p>
        </w:tc>
        <w:tc>
          <w:tcPr>
            <w:tcW w:w="8359" w:type="dxa"/>
            <w:vAlign w:val="center"/>
          </w:tcPr>
          <w:p w14:paraId="0ABF3E9E">
            <w:pPr>
              <w:spacing w:line="430" w:lineRule="exact"/>
              <w:rPr>
                <w:rFonts w:hint="eastAsia" w:cs="宋体" w:asciiTheme="minorEastAsia" w:hAnsiTheme="minorEastAsia" w:eastAsiaTheme="minorEastAsia"/>
                <w:b/>
                <w:szCs w:val="21"/>
                <w:highlight w:val="none"/>
              </w:rPr>
            </w:pPr>
            <w:r>
              <w:rPr>
                <w:rFonts w:hint="eastAsia" w:cs="宋体" w:asciiTheme="minorEastAsia" w:hAnsiTheme="minorEastAsia" w:eastAsiaTheme="minorEastAsia"/>
                <w:b/>
                <w:szCs w:val="21"/>
                <w:highlight w:val="none"/>
              </w:rPr>
              <w:t>报价文件</w:t>
            </w:r>
          </w:p>
          <w:p w14:paraId="65D1F1E3">
            <w:pPr>
              <w:spacing w:line="430" w:lineRule="exact"/>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1.响应函（格式后附）；（</w:t>
            </w:r>
            <w:r>
              <w:rPr>
                <w:rFonts w:hint="eastAsia" w:cs="宋体" w:asciiTheme="minorEastAsia" w:hAnsiTheme="minorEastAsia" w:eastAsiaTheme="minorEastAsia"/>
                <w:b/>
                <w:szCs w:val="21"/>
                <w:highlight w:val="none"/>
              </w:rPr>
              <w:t>必须提供，否则响应文件按无效处理</w:t>
            </w:r>
            <w:r>
              <w:rPr>
                <w:rFonts w:hint="eastAsia" w:cs="宋体" w:asciiTheme="minorEastAsia" w:hAnsiTheme="minorEastAsia" w:eastAsiaTheme="minorEastAsia"/>
                <w:szCs w:val="21"/>
                <w:highlight w:val="none"/>
              </w:rPr>
              <w:t>）</w:t>
            </w:r>
          </w:p>
          <w:p w14:paraId="42397E09">
            <w:pPr>
              <w:spacing w:line="430" w:lineRule="exact"/>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2.磋商报价表（格式后附）；（</w:t>
            </w:r>
            <w:r>
              <w:rPr>
                <w:rFonts w:hint="eastAsia" w:cs="宋体" w:asciiTheme="minorEastAsia" w:hAnsiTheme="minorEastAsia" w:eastAsiaTheme="minorEastAsia"/>
                <w:b/>
                <w:szCs w:val="21"/>
                <w:highlight w:val="none"/>
              </w:rPr>
              <w:t>必须提供，否则响应文件按无效处理</w:t>
            </w:r>
            <w:r>
              <w:rPr>
                <w:rFonts w:hint="eastAsia" w:cs="宋体" w:asciiTheme="minorEastAsia" w:hAnsiTheme="minorEastAsia" w:eastAsiaTheme="minorEastAsia"/>
                <w:szCs w:val="21"/>
                <w:highlight w:val="none"/>
              </w:rPr>
              <w:t>）</w:t>
            </w:r>
          </w:p>
          <w:p w14:paraId="32A500AD">
            <w:pPr>
              <w:spacing w:line="430" w:lineRule="exact"/>
              <w:rPr>
                <w:highlight w:val="none"/>
              </w:rPr>
            </w:pPr>
            <w:r>
              <w:rPr>
                <w:rFonts w:hint="eastAsia" w:cs="宋体" w:asciiTheme="minorEastAsia" w:hAnsiTheme="minorEastAsia" w:eastAsiaTheme="minorEastAsia"/>
                <w:szCs w:val="21"/>
                <w:highlight w:val="none"/>
              </w:rPr>
              <w:t>3.供应商认为需要提供的其他有关资料。</w:t>
            </w:r>
          </w:p>
          <w:p w14:paraId="7F17CBC7">
            <w:pPr>
              <w:snapToGrid w:val="0"/>
              <w:spacing w:line="430" w:lineRule="exact"/>
              <w:jc w:val="left"/>
              <w:rPr>
                <w:rFonts w:hint="eastAsia" w:cs="宋体" w:asciiTheme="minorEastAsia" w:hAnsiTheme="minorEastAsia" w:eastAsiaTheme="minorEastAsia"/>
                <w:b/>
                <w:szCs w:val="21"/>
                <w:highlight w:val="none"/>
              </w:rPr>
            </w:pPr>
            <w:r>
              <w:rPr>
                <w:rFonts w:hint="eastAsia" w:cs="宋体" w:asciiTheme="minorEastAsia" w:hAnsiTheme="minorEastAsia" w:eastAsiaTheme="minorEastAsia"/>
                <w:b/>
                <w:szCs w:val="21"/>
                <w:highlight w:val="none"/>
              </w:rPr>
              <w:t>注：</w:t>
            </w:r>
          </w:p>
          <w:p w14:paraId="4EF196D1">
            <w:pPr>
              <w:snapToGrid w:val="0"/>
              <w:spacing w:line="430" w:lineRule="exact"/>
              <w:ind w:firstLine="413" w:firstLineChars="196"/>
              <w:jc w:val="left"/>
              <w:rPr>
                <w:rFonts w:hint="eastAsia" w:asciiTheme="minorEastAsia" w:hAnsiTheme="minorEastAsia" w:eastAsiaTheme="minorEastAsia"/>
                <w:szCs w:val="21"/>
                <w:highlight w:val="none"/>
              </w:rPr>
            </w:pPr>
            <w:r>
              <w:rPr>
                <w:rFonts w:hint="eastAsia" w:cs="宋体" w:asciiTheme="minorEastAsia" w:hAnsiTheme="minorEastAsia" w:eastAsiaTheme="minorEastAsia"/>
                <w:b/>
                <w:szCs w:val="21"/>
                <w:highlight w:val="none"/>
              </w:rPr>
              <w:t>1.以上标明“必须提供”的材料属于复印件的，必须加盖供应商</w:t>
            </w:r>
            <w:r>
              <w:rPr>
                <w:rFonts w:hint="eastAsia" w:asciiTheme="minorEastAsia" w:hAnsiTheme="minorEastAsia" w:eastAsiaTheme="minorEastAsia"/>
                <w:b/>
                <w:szCs w:val="21"/>
                <w:highlight w:val="none"/>
              </w:rPr>
              <w:t>电子签章</w:t>
            </w:r>
            <w:r>
              <w:rPr>
                <w:rFonts w:hint="eastAsia" w:cs="宋体" w:asciiTheme="minorEastAsia" w:hAnsiTheme="minorEastAsia" w:eastAsiaTheme="minorEastAsia"/>
                <w:b/>
                <w:szCs w:val="21"/>
                <w:highlight w:val="none"/>
              </w:rPr>
              <w:t>，否则响应文件按无效处理。</w:t>
            </w:r>
          </w:p>
        </w:tc>
      </w:tr>
      <w:tr w14:paraId="4A3B9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9" w:type="dxa"/>
            <w:vAlign w:val="center"/>
          </w:tcPr>
          <w:p w14:paraId="4838AA91">
            <w:pPr>
              <w:spacing w:line="430" w:lineRule="exact"/>
              <w:jc w:val="center"/>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12.</w:t>
            </w:r>
            <w:r>
              <w:rPr>
                <w:rFonts w:cs="宋体" w:asciiTheme="minorEastAsia" w:hAnsiTheme="minorEastAsia" w:eastAsiaTheme="minorEastAsia"/>
                <w:szCs w:val="21"/>
                <w:highlight w:val="none"/>
              </w:rPr>
              <w:t>1</w:t>
            </w:r>
            <w:r>
              <w:rPr>
                <w:rFonts w:hint="eastAsia" w:cs="宋体" w:asciiTheme="minorEastAsia" w:hAnsiTheme="minorEastAsia" w:eastAsiaTheme="minorEastAsia"/>
                <w:szCs w:val="21"/>
                <w:highlight w:val="none"/>
              </w:rPr>
              <w:t>.3</w:t>
            </w:r>
          </w:p>
        </w:tc>
        <w:tc>
          <w:tcPr>
            <w:tcW w:w="8359" w:type="dxa"/>
            <w:vAlign w:val="center"/>
          </w:tcPr>
          <w:p w14:paraId="40F45D42">
            <w:pPr>
              <w:spacing w:line="430" w:lineRule="exact"/>
              <w:rPr>
                <w:rFonts w:hint="eastAsia" w:cs="宋体" w:asciiTheme="minorEastAsia" w:hAnsiTheme="minorEastAsia" w:eastAsiaTheme="minorEastAsia"/>
                <w:b/>
                <w:bCs/>
                <w:szCs w:val="21"/>
                <w:highlight w:val="none"/>
              </w:rPr>
            </w:pPr>
            <w:r>
              <w:rPr>
                <w:rFonts w:hint="eastAsia" w:cs="宋体" w:asciiTheme="minorEastAsia" w:hAnsiTheme="minorEastAsia" w:eastAsiaTheme="minorEastAsia"/>
                <w:b/>
                <w:bCs/>
                <w:szCs w:val="21"/>
                <w:highlight w:val="none"/>
              </w:rPr>
              <w:t>商务技术文件</w:t>
            </w:r>
          </w:p>
          <w:p w14:paraId="79AA8BFC">
            <w:pPr>
              <w:spacing w:line="430" w:lineRule="exact"/>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1.无串通竞标行为的承诺函（格式后附）；（</w:t>
            </w:r>
            <w:r>
              <w:rPr>
                <w:rFonts w:hint="eastAsia" w:cs="宋体" w:asciiTheme="minorEastAsia" w:hAnsiTheme="minorEastAsia" w:eastAsiaTheme="minorEastAsia"/>
                <w:b/>
                <w:szCs w:val="21"/>
                <w:highlight w:val="none"/>
              </w:rPr>
              <w:t>必须提供，否则响应文件按无效响应处理</w:t>
            </w:r>
            <w:r>
              <w:rPr>
                <w:rFonts w:hint="eastAsia" w:cs="宋体" w:asciiTheme="minorEastAsia" w:hAnsiTheme="minorEastAsia" w:eastAsiaTheme="minorEastAsia"/>
                <w:szCs w:val="21"/>
                <w:highlight w:val="none"/>
              </w:rPr>
              <w:t>）</w:t>
            </w:r>
          </w:p>
          <w:p w14:paraId="1EC928AD">
            <w:pPr>
              <w:spacing w:line="430" w:lineRule="exact"/>
              <w:rPr>
                <w:rFonts w:hint="eastAsia" w:cs="宋体" w:asciiTheme="minorEastAsia" w:hAnsiTheme="minorEastAsia" w:eastAsiaTheme="minorEastAsia"/>
                <w:szCs w:val="21"/>
                <w:highlight w:val="none"/>
              </w:rPr>
            </w:pPr>
            <w:r>
              <w:rPr>
                <w:rFonts w:cs="宋体" w:asciiTheme="minorEastAsia" w:hAnsiTheme="minorEastAsia" w:eastAsiaTheme="minorEastAsia"/>
                <w:szCs w:val="21"/>
                <w:highlight w:val="none"/>
              </w:rPr>
              <w:t>2</w:t>
            </w:r>
            <w:r>
              <w:rPr>
                <w:rFonts w:hint="eastAsia" w:cs="宋体" w:asciiTheme="minorEastAsia" w:hAnsiTheme="minorEastAsia" w:eastAsiaTheme="minorEastAsia"/>
                <w:szCs w:val="21"/>
                <w:highlight w:val="none"/>
              </w:rPr>
              <w:t>.法定代表人身份证明书及法定代表人有效身份证正反面复印件（格式后附）；（</w:t>
            </w:r>
            <w:r>
              <w:rPr>
                <w:rFonts w:hint="eastAsia" w:cs="宋体" w:asciiTheme="minorEastAsia" w:hAnsiTheme="minorEastAsia" w:eastAsiaTheme="minorEastAsia"/>
                <w:b/>
                <w:bCs/>
                <w:szCs w:val="21"/>
                <w:highlight w:val="none"/>
              </w:rPr>
              <w:t>除自然人竞标外</w:t>
            </w:r>
            <w:r>
              <w:rPr>
                <w:rFonts w:hint="eastAsia" w:cs="宋体" w:asciiTheme="minorEastAsia" w:hAnsiTheme="minorEastAsia" w:eastAsiaTheme="minorEastAsia"/>
                <w:b/>
                <w:szCs w:val="21"/>
                <w:highlight w:val="none"/>
              </w:rPr>
              <w:t>必须提供，否则响应文件按无效响应处理</w:t>
            </w:r>
            <w:r>
              <w:rPr>
                <w:rFonts w:hint="eastAsia" w:cs="宋体" w:asciiTheme="minorEastAsia" w:hAnsiTheme="minorEastAsia" w:eastAsiaTheme="minorEastAsia"/>
                <w:szCs w:val="21"/>
                <w:highlight w:val="none"/>
              </w:rPr>
              <w:t>）</w:t>
            </w:r>
          </w:p>
          <w:p w14:paraId="262A3E81">
            <w:pPr>
              <w:spacing w:line="430" w:lineRule="exact"/>
              <w:rPr>
                <w:rFonts w:hint="eastAsia" w:cs="宋体" w:asciiTheme="minorEastAsia" w:hAnsiTheme="minorEastAsia" w:eastAsiaTheme="minorEastAsia"/>
                <w:b/>
                <w:szCs w:val="21"/>
                <w:highlight w:val="none"/>
              </w:rPr>
            </w:pPr>
            <w:r>
              <w:rPr>
                <w:rFonts w:cs="宋体" w:asciiTheme="minorEastAsia" w:hAnsiTheme="minorEastAsia" w:eastAsiaTheme="minorEastAsia"/>
                <w:szCs w:val="21"/>
                <w:highlight w:val="none"/>
              </w:rPr>
              <w:t>3</w:t>
            </w:r>
            <w:r>
              <w:rPr>
                <w:rFonts w:hint="eastAsia" w:cs="宋体" w:asciiTheme="minorEastAsia" w:hAnsiTheme="minorEastAsia" w:eastAsiaTheme="minorEastAsia"/>
                <w:szCs w:val="21"/>
                <w:highlight w:val="none"/>
              </w:rPr>
              <w:t>.授权委托书及委托代理人有效身份证正反面复印件（格式后附）；（</w:t>
            </w:r>
            <w:r>
              <w:rPr>
                <w:rFonts w:hint="eastAsia" w:cs="宋体" w:asciiTheme="minorEastAsia" w:hAnsiTheme="minorEastAsia" w:eastAsiaTheme="minorEastAsia"/>
                <w:b/>
                <w:szCs w:val="21"/>
                <w:highlight w:val="none"/>
              </w:rPr>
              <w:t>委托时必须提供，否则响应文件按无效响应处理</w:t>
            </w:r>
            <w:r>
              <w:rPr>
                <w:rFonts w:hint="eastAsia" w:cs="宋体" w:asciiTheme="minorEastAsia" w:hAnsiTheme="minorEastAsia" w:eastAsiaTheme="minorEastAsia"/>
                <w:szCs w:val="21"/>
                <w:highlight w:val="none"/>
              </w:rPr>
              <w:t>）</w:t>
            </w:r>
          </w:p>
          <w:p w14:paraId="3DACA38B">
            <w:pPr>
              <w:spacing w:line="430" w:lineRule="exact"/>
              <w:rPr>
                <w:rFonts w:hint="eastAsia" w:cs="宋体" w:asciiTheme="minorEastAsia" w:hAnsiTheme="minorEastAsia" w:eastAsiaTheme="minorEastAsia"/>
                <w:szCs w:val="21"/>
                <w:highlight w:val="none"/>
              </w:rPr>
            </w:pPr>
            <w:r>
              <w:rPr>
                <w:rFonts w:cs="宋体" w:asciiTheme="minorEastAsia" w:hAnsiTheme="minorEastAsia" w:eastAsiaTheme="minorEastAsia"/>
                <w:szCs w:val="21"/>
                <w:highlight w:val="none"/>
              </w:rPr>
              <w:t>4</w:t>
            </w:r>
            <w:r>
              <w:rPr>
                <w:rFonts w:hint="eastAsia" w:cs="宋体" w:asciiTheme="minorEastAsia" w:hAnsiTheme="minorEastAsia" w:eastAsiaTheme="minorEastAsia"/>
                <w:szCs w:val="21"/>
                <w:highlight w:val="none"/>
              </w:rPr>
              <w:t>.磋商保证金提交凭证；（</w:t>
            </w:r>
            <w:r>
              <w:rPr>
                <w:rFonts w:hint="eastAsia" w:cs="宋体" w:asciiTheme="minorEastAsia" w:hAnsiTheme="minorEastAsia" w:eastAsiaTheme="minorEastAsia"/>
                <w:b/>
                <w:szCs w:val="21"/>
                <w:highlight w:val="none"/>
              </w:rPr>
              <w:t>必须提供，否则响应文件按无效响应处理</w:t>
            </w:r>
            <w:r>
              <w:rPr>
                <w:rFonts w:hint="eastAsia" w:cs="宋体" w:asciiTheme="minorEastAsia" w:hAnsiTheme="minorEastAsia" w:eastAsiaTheme="minorEastAsia"/>
                <w:szCs w:val="21"/>
                <w:highlight w:val="none"/>
              </w:rPr>
              <w:t>）</w:t>
            </w:r>
          </w:p>
          <w:p w14:paraId="230AECAE">
            <w:pPr>
              <w:spacing w:line="430" w:lineRule="exact"/>
              <w:rPr>
                <w:rFonts w:hint="eastAsia" w:cs="宋体" w:asciiTheme="minorEastAsia" w:hAnsiTheme="minorEastAsia" w:eastAsiaTheme="minorEastAsia"/>
                <w:szCs w:val="21"/>
                <w:highlight w:val="none"/>
              </w:rPr>
            </w:pPr>
            <w:r>
              <w:rPr>
                <w:rFonts w:cs="宋体" w:asciiTheme="minorEastAsia" w:hAnsiTheme="minorEastAsia" w:eastAsiaTheme="minorEastAsia"/>
                <w:szCs w:val="21"/>
                <w:highlight w:val="none"/>
              </w:rPr>
              <w:t>5</w:t>
            </w:r>
            <w:r>
              <w:rPr>
                <w:rFonts w:hint="eastAsia" w:cs="宋体" w:asciiTheme="minorEastAsia" w:hAnsiTheme="minorEastAsia" w:eastAsiaTheme="minorEastAsia"/>
                <w:szCs w:val="21"/>
                <w:highlight w:val="none"/>
              </w:rPr>
              <w:t>.商务要求偏离表（格式后附）；（</w:t>
            </w:r>
            <w:r>
              <w:rPr>
                <w:rFonts w:hint="eastAsia" w:cs="宋体" w:asciiTheme="minorEastAsia" w:hAnsiTheme="minorEastAsia" w:eastAsiaTheme="minorEastAsia"/>
                <w:b/>
                <w:szCs w:val="21"/>
                <w:highlight w:val="none"/>
              </w:rPr>
              <w:t>必须提供，否则响应文件按无效响应处理</w:t>
            </w:r>
            <w:r>
              <w:rPr>
                <w:rFonts w:hint="eastAsia" w:cs="宋体" w:asciiTheme="minorEastAsia" w:hAnsiTheme="minorEastAsia" w:eastAsiaTheme="minorEastAsia"/>
                <w:szCs w:val="21"/>
                <w:highlight w:val="none"/>
              </w:rPr>
              <w:t>）</w:t>
            </w:r>
          </w:p>
          <w:p w14:paraId="7526993D">
            <w:pPr>
              <w:spacing w:line="430" w:lineRule="exact"/>
              <w:rPr>
                <w:rFonts w:hint="eastAsia" w:cs="宋体" w:asciiTheme="minorEastAsia" w:hAnsiTheme="minorEastAsia" w:eastAsiaTheme="minorEastAsia"/>
                <w:szCs w:val="21"/>
                <w:highlight w:val="none"/>
              </w:rPr>
            </w:pPr>
            <w:r>
              <w:rPr>
                <w:rFonts w:cs="宋体" w:asciiTheme="minorEastAsia" w:hAnsiTheme="minorEastAsia" w:eastAsiaTheme="minorEastAsia"/>
                <w:szCs w:val="21"/>
                <w:highlight w:val="none"/>
              </w:rPr>
              <w:t>6</w:t>
            </w:r>
            <w:r>
              <w:rPr>
                <w:rFonts w:hint="eastAsia" w:cs="宋体" w:asciiTheme="minorEastAsia" w:hAnsiTheme="minorEastAsia" w:eastAsiaTheme="minorEastAsia"/>
                <w:szCs w:val="21"/>
                <w:highlight w:val="none"/>
              </w:rPr>
              <w:t>.技术要求偏离表（格式后附）；（</w:t>
            </w:r>
            <w:r>
              <w:rPr>
                <w:rFonts w:hint="eastAsia" w:cs="宋体" w:asciiTheme="minorEastAsia" w:hAnsiTheme="minorEastAsia" w:eastAsiaTheme="minorEastAsia"/>
                <w:b/>
                <w:szCs w:val="21"/>
                <w:highlight w:val="none"/>
              </w:rPr>
              <w:t>必须提供，否则响应文件按无效响应处理</w:t>
            </w:r>
            <w:r>
              <w:rPr>
                <w:rFonts w:hint="eastAsia" w:cs="宋体" w:asciiTheme="minorEastAsia" w:hAnsiTheme="minorEastAsia" w:eastAsiaTheme="minorEastAsia"/>
                <w:szCs w:val="21"/>
                <w:highlight w:val="none"/>
              </w:rPr>
              <w:t>）</w:t>
            </w:r>
          </w:p>
          <w:p w14:paraId="64D1A4AE">
            <w:pPr>
              <w:spacing w:line="430" w:lineRule="exact"/>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7.服务技术方案、售后服务方案、安全保障方案、培训保障方案（格式自拟）；</w:t>
            </w:r>
          </w:p>
          <w:p w14:paraId="59A79A3A">
            <w:pPr>
              <w:spacing w:line="430" w:lineRule="exact"/>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8.项目实施人员一览表（格式自拟）；</w:t>
            </w:r>
          </w:p>
          <w:p w14:paraId="0DD475F2">
            <w:pPr>
              <w:spacing w:line="430" w:lineRule="exact"/>
              <w:rPr>
                <w:rFonts w:hint="eastAsia" w:cs="宋体" w:asciiTheme="minorEastAsia" w:hAnsiTheme="minorEastAsia" w:eastAsiaTheme="minorEastAsia"/>
                <w:szCs w:val="21"/>
                <w:highlight w:val="none"/>
              </w:rPr>
            </w:pPr>
            <w:r>
              <w:rPr>
                <w:rFonts w:cs="宋体" w:asciiTheme="minorEastAsia" w:hAnsiTheme="minorEastAsia" w:eastAsiaTheme="minorEastAsia"/>
                <w:szCs w:val="21"/>
                <w:highlight w:val="none"/>
              </w:rPr>
              <w:t>9</w:t>
            </w:r>
            <w:r>
              <w:rPr>
                <w:rFonts w:hint="eastAsia" w:cs="宋体" w:asciiTheme="minorEastAsia" w:hAnsiTheme="minorEastAsia" w:eastAsiaTheme="minorEastAsia"/>
                <w:szCs w:val="21"/>
                <w:highlight w:val="none"/>
              </w:rPr>
              <w:t>.对应采购需求的技术要求、商务要求提供的其他文件资料（格式自拟）；</w:t>
            </w:r>
          </w:p>
          <w:p w14:paraId="2ABD7458">
            <w:pPr>
              <w:spacing w:line="430" w:lineRule="exact"/>
              <w:rPr>
                <w:rFonts w:hint="eastAsia" w:cs="宋体" w:asciiTheme="minorEastAsia" w:hAnsiTheme="minorEastAsia" w:eastAsiaTheme="minorEastAsia"/>
                <w:szCs w:val="21"/>
                <w:highlight w:val="none"/>
              </w:rPr>
            </w:pPr>
            <w:r>
              <w:rPr>
                <w:rFonts w:cs="宋体" w:asciiTheme="minorEastAsia" w:hAnsiTheme="minorEastAsia" w:eastAsiaTheme="minorEastAsia"/>
                <w:szCs w:val="21"/>
                <w:highlight w:val="none"/>
              </w:rPr>
              <w:t>10</w:t>
            </w:r>
            <w:r>
              <w:rPr>
                <w:rFonts w:hint="eastAsia" w:cs="宋体" w:asciiTheme="minorEastAsia" w:hAnsiTheme="minorEastAsia" w:eastAsiaTheme="minorEastAsia"/>
                <w:szCs w:val="21"/>
                <w:highlight w:val="none"/>
              </w:rPr>
              <w:t>.供应商认为需要提供的其他有关资料。</w:t>
            </w:r>
          </w:p>
          <w:p w14:paraId="41252CFC">
            <w:pPr>
              <w:snapToGrid w:val="0"/>
              <w:spacing w:line="430" w:lineRule="exact"/>
              <w:jc w:val="left"/>
              <w:rPr>
                <w:rFonts w:hint="eastAsia" w:cs="宋体" w:asciiTheme="minorEastAsia" w:hAnsiTheme="minorEastAsia" w:eastAsiaTheme="minorEastAsia"/>
                <w:b/>
                <w:szCs w:val="21"/>
                <w:highlight w:val="none"/>
              </w:rPr>
            </w:pPr>
            <w:r>
              <w:rPr>
                <w:rFonts w:hint="eastAsia" w:cs="宋体" w:asciiTheme="minorEastAsia" w:hAnsiTheme="minorEastAsia" w:eastAsiaTheme="minorEastAsia"/>
                <w:b/>
                <w:szCs w:val="21"/>
                <w:highlight w:val="none"/>
              </w:rPr>
              <w:t>注：以上标明“必须提供”的材料属于复印件的，必须加盖供应商</w:t>
            </w:r>
            <w:r>
              <w:rPr>
                <w:rFonts w:hint="eastAsia" w:asciiTheme="minorEastAsia" w:hAnsiTheme="minorEastAsia" w:eastAsiaTheme="minorEastAsia"/>
                <w:b/>
                <w:bCs/>
                <w:szCs w:val="21"/>
                <w:highlight w:val="none"/>
              </w:rPr>
              <w:t>电子签章</w:t>
            </w:r>
            <w:r>
              <w:rPr>
                <w:rFonts w:hint="eastAsia" w:cs="宋体" w:asciiTheme="minorEastAsia" w:hAnsiTheme="minorEastAsia" w:eastAsiaTheme="minorEastAsia"/>
                <w:b/>
                <w:szCs w:val="21"/>
                <w:highlight w:val="none"/>
              </w:rPr>
              <w:t>，否则响应文件按无效响应处理。</w:t>
            </w:r>
          </w:p>
        </w:tc>
      </w:tr>
      <w:tr w14:paraId="0593BC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9" w:type="dxa"/>
            <w:vAlign w:val="center"/>
          </w:tcPr>
          <w:p w14:paraId="6A41CA9A">
            <w:pPr>
              <w:spacing w:line="430" w:lineRule="exact"/>
              <w:jc w:val="center"/>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15.2</w:t>
            </w:r>
          </w:p>
        </w:tc>
        <w:tc>
          <w:tcPr>
            <w:tcW w:w="8359" w:type="dxa"/>
            <w:vAlign w:val="center"/>
          </w:tcPr>
          <w:p w14:paraId="79066669">
            <w:pPr>
              <w:spacing w:line="430" w:lineRule="exact"/>
              <w:contextualSpacing/>
              <w:jc w:val="left"/>
              <w:rPr>
                <w:rFonts w:hint="eastAsia" w:cs="宋体" w:asciiTheme="minorEastAsia" w:hAnsiTheme="minorEastAsia" w:eastAsiaTheme="minorEastAsia"/>
                <w:szCs w:val="21"/>
                <w:highlight w:val="none"/>
              </w:rPr>
            </w:pPr>
            <w:r>
              <w:rPr>
                <w:rFonts w:hint="eastAsia" w:asciiTheme="minorEastAsia" w:hAnsiTheme="minorEastAsia" w:eastAsiaTheme="minorEastAsia"/>
                <w:szCs w:val="21"/>
                <w:highlight w:val="none"/>
              </w:rPr>
              <w:t>磋商报价是供应商完成本项目的全部服务内容及其相关工作所需的全部费用：</w:t>
            </w:r>
            <w:r>
              <w:rPr>
                <w:rFonts w:hint="eastAsia" w:cs="宋体" w:asciiTheme="minorEastAsia" w:hAnsiTheme="minorEastAsia" w:eastAsiaTheme="minorEastAsia"/>
                <w:szCs w:val="21"/>
                <w:highlight w:val="none"/>
              </w:rPr>
              <w:t>应</w:t>
            </w:r>
            <w:r>
              <w:rPr>
                <w:rFonts w:hint="eastAsia" w:asciiTheme="minorEastAsia" w:hAnsiTheme="minorEastAsia" w:eastAsiaTheme="minorEastAsia"/>
                <w:szCs w:val="21"/>
                <w:highlight w:val="none"/>
              </w:rPr>
              <w:t>包括服务价款，备件、技术培训及技术资料和税费等全部费用。</w:t>
            </w:r>
          </w:p>
        </w:tc>
      </w:tr>
      <w:tr w14:paraId="7FF362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9" w:type="dxa"/>
            <w:vAlign w:val="center"/>
          </w:tcPr>
          <w:p w14:paraId="0FB881AC">
            <w:pPr>
              <w:spacing w:line="430" w:lineRule="exact"/>
              <w:jc w:val="center"/>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16.</w:t>
            </w:r>
            <w:r>
              <w:rPr>
                <w:rFonts w:cs="宋体" w:asciiTheme="minorEastAsia" w:hAnsiTheme="minorEastAsia" w:eastAsiaTheme="minorEastAsia"/>
                <w:szCs w:val="21"/>
                <w:highlight w:val="none"/>
              </w:rPr>
              <w:t>2</w:t>
            </w:r>
          </w:p>
        </w:tc>
        <w:tc>
          <w:tcPr>
            <w:tcW w:w="8359" w:type="dxa"/>
            <w:vAlign w:val="center"/>
          </w:tcPr>
          <w:p w14:paraId="34536FC3">
            <w:pPr>
              <w:pStyle w:val="8"/>
              <w:tabs>
                <w:tab w:val="left" w:pos="720"/>
                <w:tab w:val="left" w:pos="840"/>
              </w:tabs>
              <w:snapToGrid w:val="0"/>
              <w:spacing w:line="430" w:lineRule="exact"/>
              <w:ind w:left="283" w:hanging="283" w:hangingChars="135"/>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竞标有效期：自首次响应文件提交截止之日起</w:t>
            </w:r>
            <w:r>
              <w:rPr>
                <w:rFonts w:cs="宋体" w:asciiTheme="minorEastAsia" w:hAnsiTheme="minorEastAsia" w:eastAsiaTheme="minorEastAsia"/>
                <w:szCs w:val="21"/>
                <w:highlight w:val="none"/>
                <w:u w:val="single"/>
              </w:rPr>
              <w:t>60</w:t>
            </w:r>
            <w:r>
              <w:rPr>
                <w:rFonts w:hint="eastAsia" w:cs="宋体" w:asciiTheme="minorEastAsia" w:hAnsiTheme="minorEastAsia" w:eastAsiaTheme="minorEastAsia"/>
                <w:szCs w:val="21"/>
                <w:highlight w:val="none"/>
              </w:rPr>
              <w:t>日。</w:t>
            </w:r>
          </w:p>
        </w:tc>
      </w:tr>
      <w:tr w14:paraId="7431E5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9" w:type="dxa"/>
            <w:vAlign w:val="center"/>
          </w:tcPr>
          <w:p w14:paraId="370C5BD5">
            <w:pPr>
              <w:spacing w:line="430" w:lineRule="exact"/>
              <w:jc w:val="center"/>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17.1</w:t>
            </w:r>
          </w:p>
        </w:tc>
        <w:tc>
          <w:tcPr>
            <w:tcW w:w="8359" w:type="dxa"/>
            <w:vAlign w:val="center"/>
          </w:tcPr>
          <w:p w14:paraId="702BD185">
            <w:pPr>
              <w:autoSpaceDE w:val="0"/>
              <w:autoSpaceDN w:val="0"/>
              <w:snapToGrid w:val="0"/>
              <w:spacing w:line="430" w:lineRule="exact"/>
              <w:textAlignment w:val="bottom"/>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□本项目不收取磋商保证金。</w:t>
            </w:r>
          </w:p>
          <w:p w14:paraId="5C11BEAC">
            <w:pPr>
              <w:autoSpaceDE w:val="0"/>
              <w:autoSpaceDN w:val="0"/>
              <w:snapToGrid w:val="0"/>
              <w:spacing w:line="430" w:lineRule="exact"/>
              <w:textAlignment w:val="bottom"/>
              <w:rPr>
                <w:rFonts w:hint="eastAsia" w:asciiTheme="minorEastAsia" w:hAnsiTheme="minorEastAsia" w:eastAsiaTheme="minorEastAsia"/>
                <w:szCs w:val="21"/>
                <w:highlight w:val="none"/>
              </w:rPr>
            </w:pPr>
            <w:r>
              <w:rPr>
                <w:rFonts w:hint="eastAsia" w:ascii="Segoe UI Symbol" w:hAnsi="Segoe UI Symbol" w:cs="Segoe UI Symbol" w:eastAsiaTheme="minorEastAsia"/>
                <w:szCs w:val="21"/>
                <w:highlight w:val="none"/>
              </w:rPr>
              <w:t>☑</w:t>
            </w:r>
            <w:r>
              <w:rPr>
                <w:rFonts w:hint="eastAsia" w:asciiTheme="minorEastAsia" w:hAnsiTheme="minorEastAsia" w:eastAsiaTheme="minorEastAsia"/>
                <w:szCs w:val="21"/>
                <w:highlight w:val="none"/>
              </w:rPr>
              <w:t>本项目收取磋商保证金，具体规定如下：</w:t>
            </w:r>
          </w:p>
          <w:p w14:paraId="2FCCA0EE">
            <w:pPr>
              <w:autoSpaceDE w:val="0"/>
              <w:autoSpaceDN w:val="0"/>
              <w:snapToGrid w:val="0"/>
              <w:spacing w:line="430" w:lineRule="exact"/>
              <w:textAlignment w:val="bottom"/>
              <w:rPr>
                <w:rFonts w:hint="eastAsia" w:asciiTheme="minorEastAsia" w:hAnsiTheme="minorEastAsia" w:eastAsiaTheme="minorEastAsia"/>
                <w:szCs w:val="21"/>
                <w:highlight w:val="none"/>
              </w:rPr>
            </w:pPr>
            <w:r>
              <w:rPr>
                <w:rFonts w:hint="eastAsia" w:cs="宋体" w:asciiTheme="minorEastAsia" w:hAnsiTheme="minorEastAsia" w:eastAsiaTheme="minorEastAsia"/>
                <w:kern w:val="0"/>
                <w:szCs w:val="21"/>
                <w:highlight w:val="none"/>
              </w:rPr>
              <w:t>磋商保证金（人民币）：10000.00元。</w:t>
            </w:r>
          </w:p>
          <w:p w14:paraId="58469922">
            <w:pPr>
              <w:snapToGrid w:val="0"/>
              <w:spacing w:line="430" w:lineRule="exact"/>
              <w:rPr>
                <w:rFonts w:hint="eastAsia" w:cs="宋体" w:asciiTheme="minorEastAsia" w:hAnsiTheme="minorEastAsia" w:eastAsiaTheme="minorEastAsia"/>
                <w:kern w:val="0"/>
                <w:szCs w:val="21"/>
                <w:highlight w:val="none"/>
              </w:rPr>
            </w:pPr>
            <w:r>
              <w:rPr>
                <w:rFonts w:hint="eastAsia" w:cs="宋体" w:asciiTheme="minorEastAsia" w:hAnsiTheme="minorEastAsia" w:eastAsiaTheme="minorEastAsia"/>
                <w:kern w:val="0"/>
                <w:szCs w:val="21"/>
                <w:highlight w:val="none"/>
              </w:rPr>
              <w:t>磋商保证金的交纳方式：磋商保证金的交纳方式：银行转账、支票、汇票、本票或者银行、保险机构出具的保函等非现金形式。采用银行转账方式的，在响应文件递交截止时间前交至采购代理机构指定账户并且到账（开户银行：建行广西区分行营业部本级营业厅；开户名称：广西同泽工程项目管理股份有限公司；银行账号：45001594151050716039）。采用支票、汇票、本票或者保函等方式的，在首次响应文件提交截止时间前，供应商必须提交单独密封的支票、汇票、本票或者保函等原件给采购代理机构。</w:t>
            </w:r>
          </w:p>
          <w:p w14:paraId="276DA2EA">
            <w:pPr>
              <w:snapToGrid w:val="0"/>
              <w:spacing w:line="430" w:lineRule="exact"/>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相关要求：</w:t>
            </w:r>
          </w:p>
          <w:p w14:paraId="340FC4A0">
            <w:pPr>
              <w:snapToGrid w:val="0"/>
              <w:spacing w:line="430" w:lineRule="exact"/>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1.磋商保证金采用银行转账交纳方式的，在响应文件提交截止时间前交至指定账户并且到账，供应商应将银行转账底单的复印件作为磋商保证金提交凭证，放置于商务技术文件中，</w:t>
            </w:r>
            <w:r>
              <w:rPr>
                <w:rFonts w:hint="eastAsia" w:cs="宋体" w:asciiTheme="minorEastAsia" w:hAnsiTheme="minorEastAsia" w:eastAsiaTheme="minorEastAsia"/>
                <w:b/>
                <w:szCs w:val="21"/>
                <w:highlight w:val="none"/>
              </w:rPr>
              <w:t>否则响应文件按无效响应处理</w:t>
            </w:r>
            <w:r>
              <w:rPr>
                <w:rFonts w:hint="eastAsia" w:cs="宋体" w:asciiTheme="minorEastAsia" w:hAnsiTheme="minorEastAsia" w:eastAsiaTheme="minorEastAsia"/>
                <w:szCs w:val="21"/>
                <w:highlight w:val="none"/>
              </w:rPr>
              <w:t>。</w:t>
            </w:r>
          </w:p>
          <w:p w14:paraId="5BF6EAE4">
            <w:pPr>
              <w:snapToGrid w:val="0"/>
              <w:spacing w:line="430" w:lineRule="exact"/>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2.磋商保证金采用支票、汇票、本票或者银行、保险机构出具的保函交纳方式的，供应商应将支票、汇票、本票或者银行、保险机构出具的保函的复印件作为磋商保证金提交凭证，放置于</w:t>
            </w:r>
            <w:r>
              <w:rPr>
                <w:rFonts w:hint="eastAsia" w:cs="宋体" w:asciiTheme="minorEastAsia" w:hAnsiTheme="minorEastAsia" w:eastAsiaTheme="minorEastAsia"/>
                <w:szCs w:val="21"/>
                <w:highlight w:val="none"/>
              </w:rPr>
              <w:t>商务技术文件</w:t>
            </w:r>
            <w:r>
              <w:rPr>
                <w:rFonts w:hint="eastAsia" w:asciiTheme="minorEastAsia" w:hAnsiTheme="minorEastAsia" w:eastAsiaTheme="minorEastAsia"/>
                <w:szCs w:val="21"/>
                <w:highlight w:val="none"/>
              </w:rPr>
              <w:t>中，</w:t>
            </w:r>
            <w:r>
              <w:rPr>
                <w:rFonts w:hint="eastAsia" w:cs="宋体" w:asciiTheme="minorEastAsia" w:hAnsiTheme="minorEastAsia" w:eastAsiaTheme="minorEastAsia"/>
                <w:b/>
                <w:szCs w:val="21"/>
                <w:highlight w:val="none"/>
              </w:rPr>
              <w:t>否则响应文件按无效处理</w:t>
            </w:r>
            <w:r>
              <w:rPr>
                <w:rFonts w:hint="eastAsia" w:asciiTheme="minorEastAsia" w:hAnsiTheme="minorEastAsia" w:eastAsiaTheme="minorEastAsia"/>
                <w:szCs w:val="21"/>
                <w:highlight w:val="none"/>
              </w:rPr>
              <w:t>。供应商必须在响应文件提交截止时间前采用现场或邮寄方式（现场提交地址：</w:t>
            </w:r>
            <w:r>
              <w:rPr>
                <w:rFonts w:hint="eastAsia" w:asciiTheme="minorEastAsia" w:hAnsiTheme="minorEastAsia" w:eastAsiaTheme="minorEastAsia"/>
                <w:szCs w:val="21"/>
                <w:highlight w:val="none"/>
                <w:u w:val="single"/>
              </w:rPr>
              <w:t>广西同泽工程项目管理股份有限公司</w:t>
            </w:r>
            <w:r>
              <w:rPr>
                <w:rFonts w:hint="eastAsia" w:asciiTheme="minorEastAsia" w:hAnsiTheme="minorEastAsia" w:eastAsiaTheme="minorEastAsia"/>
                <w:szCs w:val="21"/>
                <w:highlight w:val="none"/>
              </w:rPr>
              <w:t>；邮寄地址：</w:t>
            </w:r>
            <w:r>
              <w:rPr>
                <w:rFonts w:hint="eastAsia" w:asciiTheme="minorEastAsia" w:hAnsiTheme="minorEastAsia" w:eastAsiaTheme="minorEastAsia"/>
                <w:szCs w:val="21"/>
                <w:highlight w:val="none"/>
                <w:u w:val="single"/>
              </w:rPr>
              <w:t>广西南宁市良庆区凯旋路16号广西裕达集团南宁五象总部基地广东大厦十八楼</w:t>
            </w:r>
            <w:r>
              <w:rPr>
                <w:rFonts w:hint="eastAsia" w:asciiTheme="minorEastAsia" w:hAnsiTheme="minorEastAsia" w:eastAsiaTheme="minorEastAsia"/>
                <w:szCs w:val="21"/>
                <w:highlight w:val="none"/>
              </w:rPr>
              <w:t>，收件人：</w:t>
            </w:r>
            <w:r>
              <w:rPr>
                <w:rFonts w:hint="eastAsia" w:asciiTheme="minorEastAsia" w:hAnsiTheme="minorEastAsia" w:eastAsiaTheme="minorEastAsia"/>
                <w:szCs w:val="21"/>
                <w:highlight w:val="none"/>
                <w:u w:val="single"/>
              </w:rPr>
              <w:t>陆珍花、奉云、谭晓妮、农英民</w:t>
            </w:r>
            <w:r>
              <w:rPr>
                <w:rFonts w:hint="eastAsia" w:asciiTheme="minorEastAsia" w:hAnsiTheme="minorEastAsia" w:eastAsiaTheme="minorEastAsia"/>
                <w:szCs w:val="21"/>
                <w:highlight w:val="none"/>
              </w:rPr>
              <w:t>，联系方式：</w:t>
            </w:r>
            <w:r>
              <w:rPr>
                <w:rFonts w:hint="eastAsia" w:asciiTheme="minorEastAsia" w:hAnsiTheme="minorEastAsia" w:eastAsiaTheme="minorEastAsia"/>
                <w:szCs w:val="21"/>
                <w:highlight w:val="none"/>
                <w:u w:val="single"/>
              </w:rPr>
              <w:t>0771-5590176</w:t>
            </w:r>
            <w:r>
              <w:rPr>
                <w:rFonts w:hint="eastAsia" w:asciiTheme="minorEastAsia" w:hAnsiTheme="minorEastAsia" w:eastAsiaTheme="minorEastAsia"/>
                <w:szCs w:val="21"/>
                <w:highlight w:val="none"/>
              </w:rPr>
              <w:t>）将</w:t>
            </w:r>
            <w:r>
              <w:rPr>
                <w:rFonts w:hint="eastAsia" w:cs="宋体" w:asciiTheme="minorEastAsia" w:hAnsiTheme="minorEastAsia" w:eastAsiaTheme="minorEastAsia"/>
                <w:kern w:val="0"/>
                <w:szCs w:val="21"/>
                <w:highlight w:val="none"/>
              </w:rPr>
              <w:t>单独密封的</w:t>
            </w:r>
            <w:r>
              <w:rPr>
                <w:rFonts w:hint="eastAsia" w:asciiTheme="minorEastAsia" w:hAnsiTheme="minorEastAsia" w:eastAsiaTheme="minorEastAsia"/>
                <w:szCs w:val="21"/>
                <w:highlight w:val="none"/>
              </w:rPr>
              <w:t>支票、汇票、本票或者银行、保险机构出具的保函原件提交给采购人或者采购代理机构，由采购人或者采购代理机构向供应商出具回执（邮寄方式的除外），并妥善保管。</w:t>
            </w:r>
          </w:p>
          <w:p w14:paraId="2A9E1295">
            <w:pPr>
              <w:snapToGrid w:val="0"/>
              <w:spacing w:line="430" w:lineRule="exact"/>
              <w:rPr>
                <w:rFonts w:hint="eastAsia" w:cs="宋体" w:asciiTheme="minorEastAsia" w:hAnsiTheme="minorEastAsia" w:eastAsiaTheme="minorEastAsia"/>
                <w:b/>
                <w:szCs w:val="21"/>
                <w:highlight w:val="none"/>
              </w:rPr>
            </w:pPr>
            <w:r>
              <w:rPr>
                <w:rFonts w:hint="eastAsia" w:cs="宋体" w:asciiTheme="minorEastAsia" w:hAnsiTheme="minorEastAsia" w:eastAsiaTheme="minorEastAsia"/>
                <w:szCs w:val="21"/>
                <w:highlight w:val="none"/>
              </w:rPr>
              <w:t>3.供应商为联合体的，可以由联合体中的一方或者多方共同交纳磋商保证金，其交纳的保证金对联合体各方均具有约束力。</w:t>
            </w:r>
          </w:p>
          <w:p w14:paraId="0D3BAB3C">
            <w:pPr>
              <w:snapToGrid w:val="0"/>
              <w:spacing w:line="430" w:lineRule="exact"/>
              <w:rPr>
                <w:rFonts w:hint="eastAsia" w:cs="宋体" w:asciiTheme="minorEastAsia" w:hAnsiTheme="minorEastAsia" w:eastAsiaTheme="minorEastAsia"/>
                <w:b/>
                <w:szCs w:val="21"/>
                <w:highlight w:val="none"/>
              </w:rPr>
            </w:pPr>
            <w:r>
              <w:rPr>
                <w:rFonts w:hint="eastAsia" w:cs="宋体" w:asciiTheme="minorEastAsia" w:hAnsiTheme="minorEastAsia" w:eastAsiaTheme="minorEastAsia"/>
                <w:b/>
                <w:szCs w:val="21"/>
                <w:highlight w:val="none"/>
              </w:rPr>
              <w:t>备注：</w:t>
            </w:r>
          </w:p>
          <w:p w14:paraId="4524CCC0">
            <w:pPr>
              <w:snapToGrid w:val="0"/>
              <w:spacing w:line="430" w:lineRule="exact"/>
              <w:rPr>
                <w:rFonts w:hint="eastAsia" w:cs="宋体" w:asciiTheme="minorEastAsia" w:hAnsiTheme="minorEastAsia" w:eastAsiaTheme="minorEastAsia"/>
                <w:b/>
                <w:szCs w:val="21"/>
                <w:highlight w:val="none"/>
              </w:rPr>
            </w:pPr>
            <w:r>
              <w:rPr>
                <w:rFonts w:hint="eastAsia" w:cs="宋体" w:asciiTheme="minorEastAsia" w:hAnsiTheme="minorEastAsia" w:eastAsiaTheme="minorEastAsia"/>
                <w:b/>
                <w:szCs w:val="21"/>
                <w:highlight w:val="none"/>
              </w:rPr>
              <w:t>1.磋商保证金在响应文件提交截止时间后提交的，或者不按规定交纳方式交纳的，或者未足额交纳的（包含保函额度不足的），视为无效磋商保证金。</w:t>
            </w:r>
          </w:p>
          <w:p w14:paraId="2FCFC52E">
            <w:pPr>
              <w:snapToGrid w:val="0"/>
              <w:spacing w:line="430" w:lineRule="exact"/>
              <w:rPr>
                <w:rFonts w:hint="eastAsia" w:cs="宋体" w:asciiTheme="minorEastAsia" w:hAnsiTheme="minorEastAsia" w:eastAsiaTheme="minorEastAsia"/>
                <w:b/>
                <w:szCs w:val="21"/>
                <w:highlight w:val="none"/>
              </w:rPr>
            </w:pPr>
            <w:r>
              <w:rPr>
                <w:rFonts w:hint="eastAsia" w:cs="宋体" w:asciiTheme="minorEastAsia" w:hAnsiTheme="minorEastAsia" w:eastAsiaTheme="minorEastAsia"/>
                <w:b/>
                <w:szCs w:val="21"/>
                <w:highlight w:val="none"/>
              </w:rPr>
              <w:t>2.供应商采用现钞方式或者从个人账户（自然人竞标除外）转出的磋商保证金，视为无效磋商保证金。</w:t>
            </w:r>
          </w:p>
          <w:p w14:paraId="50CC50F9">
            <w:pPr>
              <w:snapToGrid w:val="0"/>
              <w:spacing w:line="430" w:lineRule="exact"/>
              <w:rPr>
                <w:rFonts w:hint="eastAsia" w:cs="宋体" w:asciiTheme="minorEastAsia" w:hAnsiTheme="minorEastAsia" w:eastAsiaTheme="minorEastAsia"/>
                <w:b/>
                <w:szCs w:val="21"/>
                <w:highlight w:val="none"/>
              </w:rPr>
            </w:pPr>
            <w:r>
              <w:rPr>
                <w:rFonts w:hint="eastAsia" w:cs="宋体" w:asciiTheme="minorEastAsia" w:hAnsiTheme="minorEastAsia" w:eastAsiaTheme="minorEastAsia"/>
                <w:b/>
                <w:szCs w:val="21"/>
                <w:highlight w:val="none"/>
              </w:rPr>
              <w:t>3.支票、汇票或者本票出现无效或者背书情形的，视为无效磋商保证金。</w:t>
            </w:r>
          </w:p>
          <w:p w14:paraId="494B4370">
            <w:pPr>
              <w:snapToGrid w:val="0"/>
              <w:spacing w:line="430" w:lineRule="exact"/>
              <w:rPr>
                <w:rFonts w:hint="eastAsia" w:cs="宋体" w:asciiTheme="minorEastAsia" w:hAnsiTheme="minorEastAsia" w:eastAsiaTheme="minorEastAsia"/>
                <w:b/>
                <w:szCs w:val="21"/>
                <w:highlight w:val="none"/>
              </w:rPr>
            </w:pPr>
            <w:r>
              <w:rPr>
                <w:rFonts w:hint="eastAsia" w:cs="宋体" w:asciiTheme="minorEastAsia" w:hAnsiTheme="minorEastAsia" w:eastAsiaTheme="minorEastAsia"/>
                <w:b/>
                <w:szCs w:val="21"/>
                <w:highlight w:val="none"/>
              </w:rPr>
              <w:t>4.保函有效期低于竞标有效期的，视为无效磋商保证金。</w:t>
            </w:r>
          </w:p>
          <w:p w14:paraId="6766F780">
            <w:pPr>
              <w:snapToGrid w:val="0"/>
              <w:spacing w:line="430" w:lineRule="exact"/>
              <w:rPr>
                <w:rFonts w:hint="eastAsia" w:cs="宋体" w:asciiTheme="minorEastAsia" w:hAnsiTheme="minorEastAsia" w:eastAsiaTheme="minorEastAsia"/>
                <w:szCs w:val="21"/>
                <w:highlight w:val="none"/>
              </w:rPr>
            </w:pPr>
            <w:r>
              <w:rPr>
                <w:rFonts w:hint="eastAsia" w:cs="宋体" w:asciiTheme="minorEastAsia" w:hAnsiTheme="minorEastAsia" w:eastAsiaTheme="minorEastAsia"/>
                <w:b/>
                <w:szCs w:val="21"/>
                <w:highlight w:val="none"/>
              </w:rPr>
              <w:t>5.采用银行、保险机构出具保函的，必须为无条件保函，否则视为无效磋商保证金。</w:t>
            </w:r>
          </w:p>
        </w:tc>
      </w:tr>
      <w:tr w14:paraId="633A5F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9" w:type="dxa"/>
            <w:vAlign w:val="center"/>
          </w:tcPr>
          <w:p w14:paraId="3932F7D3">
            <w:pPr>
              <w:spacing w:line="430" w:lineRule="exact"/>
              <w:jc w:val="center"/>
              <w:rPr>
                <w:rFonts w:hint="eastAsia" w:cs="宋体" w:asciiTheme="minorEastAsia" w:hAnsiTheme="minorEastAsia" w:eastAsiaTheme="minorEastAsia"/>
                <w:szCs w:val="21"/>
                <w:highlight w:val="none"/>
              </w:rPr>
            </w:pPr>
            <w:r>
              <w:rPr>
                <w:rFonts w:cs="宋体" w:asciiTheme="minorEastAsia" w:hAnsiTheme="minorEastAsia" w:eastAsiaTheme="minorEastAsia"/>
                <w:szCs w:val="21"/>
                <w:highlight w:val="none"/>
              </w:rPr>
              <w:t>19</w:t>
            </w:r>
          </w:p>
        </w:tc>
        <w:tc>
          <w:tcPr>
            <w:tcW w:w="8359" w:type="dxa"/>
            <w:vAlign w:val="center"/>
          </w:tcPr>
          <w:p w14:paraId="735A1DE9">
            <w:pPr>
              <w:spacing w:line="430" w:lineRule="exact"/>
              <w:rPr>
                <w:rFonts w:hint="eastAsia" w:cs="宋体" w:asciiTheme="minorEastAsia" w:hAnsiTheme="minorEastAsia" w:eastAsiaTheme="minorEastAsia"/>
                <w:szCs w:val="21"/>
                <w:highlight w:val="none"/>
              </w:rPr>
            </w:pPr>
            <w:r>
              <w:rPr>
                <w:rFonts w:hint="eastAsia" w:asciiTheme="minorEastAsia" w:hAnsiTheme="minorEastAsia" w:eastAsiaTheme="minorEastAsia"/>
                <w:szCs w:val="21"/>
                <w:highlight w:val="none"/>
              </w:rPr>
              <w:t>本项目不接受电子备份响应文件</w:t>
            </w:r>
          </w:p>
        </w:tc>
      </w:tr>
      <w:tr w14:paraId="76DF8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9" w:type="dxa"/>
            <w:vAlign w:val="center"/>
          </w:tcPr>
          <w:p w14:paraId="5175E071">
            <w:pPr>
              <w:spacing w:line="430" w:lineRule="exact"/>
              <w:jc w:val="center"/>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20.1</w:t>
            </w:r>
          </w:p>
        </w:tc>
        <w:tc>
          <w:tcPr>
            <w:tcW w:w="8359" w:type="dxa"/>
            <w:vAlign w:val="center"/>
          </w:tcPr>
          <w:p w14:paraId="32303268">
            <w:pPr>
              <w:spacing w:line="430" w:lineRule="exact"/>
              <w:contextualSpacing/>
              <w:jc w:val="left"/>
              <w:rPr>
                <w:rFonts w:hint="eastAsia" w:cs="宋体" w:asciiTheme="minorEastAsia" w:hAnsiTheme="minorEastAsia" w:eastAsiaTheme="minorEastAsia"/>
                <w:szCs w:val="21"/>
                <w:highlight w:val="none"/>
                <w:u w:val="single"/>
              </w:rPr>
            </w:pPr>
            <w:r>
              <w:rPr>
                <w:rFonts w:hint="eastAsia" w:cs="宋体" w:asciiTheme="minorEastAsia" w:hAnsiTheme="minorEastAsia" w:eastAsiaTheme="minorEastAsia"/>
                <w:szCs w:val="21"/>
                <w:highlight w:val="none"/>
              </w:rPr>
              <w:t>响应文件提交截止时间：详见竞争性磋商公告。</w:t>
            </w:r>
          </w:p>
          <w:p w14:paraId="7E0A9412">
            <w:pPr>
              <w:spacing w:line="430" w:lineRule="exact"/>
              <w:contextualSpacing/>
              <w:jc w:val="left"/>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响应文件提交地点：详见竞争性磋商公告。</w:t>
            </w:r>
          </w:p>
        </w:tc>
      </w:tr>
      <w:tr w14:paraId="4BAF51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9" w:type="dxa"/>
            <w:vAlign w:val="center"/>
          </w:tcPr>
          <w:p w14:paraId="77D7F1CD">
            <w:pPr>
              <w:spacing w:line="430" w:lineRule="exact"/>
              <w:jc w:val="center"/>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24.1</w:t>
            </w:r>
          </w:p>
        </w:tc>
        <w:tc>
          <w:tcPr>
            <w:tcW w:w="8359" w:type="dxa"/>
            <w:vAlign w:val="center"/>
          </w:tcPr>
          <w:p w14:paraId="326444C7">
            <w:pPr>
              <w:snapToGrid w:val="0"/>
              <w:spacing w:line="430" w:lineRule="exact"/>
              <w:jc w:val="left"/>
              <w:rPr>
                <w:rFonts w:hint="eastAsia" w:cs="宋体" w:asciiTheme="minorEastAsia" w:hAnsiTheme="minorEastAsia" w:eastAsiaTheme="minorEastAsia"/>
                <w:szCs w:val="21"/>
                <w:highlight w:val="none"/>
                <w:u w:val="single"/>
              </w:rPr>
            </w:pPr>
            <w:r>
              <w:rPr>
                <w:rFonts w:hint="eastAsia" w:cs="宋体" w:asciiTheme="minorEastAsia" w:hAnsiTheme="minorEastAsia" w:eastAsiaTheme="minorEastAsia"/>
                <w:szCs w:val="21"/>
                <w:highlight w:val="none"/>
              </w:rPr>
              <w:t>磋商小组的人数：</w:t>
            </w:r>
            <w:r>
              <w:rPr>
                <w:rFonts w:cs="宋体" w:asciiTheme="minorEastAsia" w:hAnsiTheme="minorEastAsia" w:eastAsiaTheme="minorEastAsia"/>
                <w:szCs w:val="21"/>
                <w:highlight w:val="none"/>
                <w:u w:val="single"/>
              </w:rPr>
              <w:t>3</w:t>
            </w:r>
            <w:r>
              <w:rPr>
                <w:rFonts w:hint="eastAsia" w:cs="宋体" w:asciiTheme="minorEastAsia" w:hAnsiTheme="minorEastAsia" w:eastAsiaTheme="minorEastAsia"/>
                <w:szCs w:val="21"/>
                <w:highlight w:val="none"/>
              </w:rPr>
              <w:t>人或以上单数。</w:t>
            </w:r>
          </w:p>
        </w:tc>
      </w:tr>
      <w:tr w14:paraId="11C736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9" w:type="dxa"/>
            <w:vAlign w:val="center"/>
          </w:tcPr>
          <w:p w14:paraId="1FC8E3E4">
            <w:pPr>
              <w:spacing w:line="430" w:lineRule="exact"/>
              <w:jc w:val="center"/>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2</w:t>
            </w:r>
            <w:r>
              <w:rPr>
                <w:rFonts w:cs="宋体" w:asciiTheme="minorEastAsia" w:hAnsiTheme="minorEastAsia" w:eastAsiaTheme="minorEastAsia"/>
                <w:szCs w:val="21"/>
                <w:highlight w:val="none"/>
              </w:rPr>
              <w:t>5</w:t>
            </w:r>
          </w:p>
        </w:tc>
        <w:tc>
          <w:tcPr>
            <w:tcW w:w="8359" w:type="dxa"/>
            <w:vAlign w:val="center"/>
          </w:tcPr>
          <w:p w14:paraId="78DB676F">
            <w:pPr>
              <w:snapToGrid w:val="0"/>
              <w:spacing w:line="430" w:lineRule="exact"/>
              <w:jc w:val="left"/>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首次响应文件开启时间详见“竞争性磋商公告”</w:t>
            </w:r>
          </w:p>
          <w:p w14:paraId="141C03B7">
            <w:pPr>
              <w:snapToGrid w:val="0"/>
              <w:spacing w:line="430" w:lineRule="exact"/>
              <w:jc w:val="left"/>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首次响应文件解密时间：</w:t>
            </w:r>
            <w:r>
              <w:rPr>
                <w:rFonts w:asciiTheme="minorEastAsia" w:hAnsiTheme="minorEastAsia" w:eastAsiaTheme="minorEastAsia"/>
                <w:szCs w:val="21"/>
                <w:highlight w:val="none"/>
                <w:u w:val="single"/>
              </w:rPr>
              <w:t xml:space="preserve">30 </w:t>
            </w:r>
            <w:r>
              <w:rPr>
                <w:rFonts w:hint="eastAsia" w:asciiTheme="minorEastAsia" w:hAnsiTheme="minorEastAsia" w:eastAsiaTheme="minorEastAsia"/>
                <w:szCs w:val="21"/>
                <w:highlight w:val="none"/>
              </w:rPr>
              <w:t>分钟</w:t>
            </w:r>
          </w:p>
        </w:tc>
      </w:tr>
      <w:tr w14:paraId="20A90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9" w:type="dxa"/>
            <w:vAlign w:val="center"/>
          </w:tcPr>
          <w:p w14:paraId="2288A732">
            <w:pPr>
              <w:spacing w:line="430" w:lineRule="exact"/>
              <w:jc w:val="center"/>
              <w:rPr>
                <w:rFonts w:hint="eastAsia" w:cs="宋体" w:asciiTheme="minorEastAsia" w:hAnsiTheme="minorEastAsia" w:eastAsiaTheme="minorEastAsia"/>
                <w:szCs w:val="21"/>
                <w:highlight w:val="none"/>
              </w:rPr>
            </w:pPr>
            <w:r>
              <w:rPr>
                <w:rFonts w:cs="宋体" w:asciiTheme="minorEastAsia" w:hAnsiTheme="minorEastAsia" w:eastAsiaTheme="minorEastAsia"/>
                <w:szCs w:val="21"/>
                <w:highlight w:val="none"/>
              </w:rPr>
              <w:t>28.1</w:t>
            </w:r>
          </w:p>
        </w:tc>
        <w:tc>
          <w:tcPr>
            <w:tcW w:w="8359" w:type="dxa"/>
            <w:vAlign w:val="center"/>
          </w:tcPr>
          <w:p w14:paraId="6F82ECAC">
            <w:pPr>
              <w:autoSpaceDE w:val="0"/>
              <w:autoSpaceDN w:val="0"/>
              <w:snapToGrid w:val="0"/>
              <w:spacing w:line="430" w:lineRule="exact"/>
              <w:textAlignment w:val="bottom"/>
              <w:rPr>
                <w:rFonts w:hint="eastAsia" w:asciiTheme="minorEastAsia" w:hAnsiTheme="minorEastAsia" w:eastAsiaTheme="minorEastAsia"/>
                <w:szCs w:val="21"/>
                <w:highlight w:val="none"/>
              </w:rPr>
            </w:pPr>
            <w:r>
              <w:rPr>
                <w:rFonts w:hint="eastAsia" w:cs="Segoe UI Symbol" w:asciiTheme="minorEastAsia" w:hAnsiTheme="minorEastAsia" w:eastAsiaTheme="minorEastAsia"/>
                <w:szCs w:val="21"/>
                <w:highlight w:val="none"/>
              </w:rPr>
              <w:t>☑</w:t>
            </w:r>
            <w:r>
              <w:rPr>
                <w:rFonts w:hint="eastAsia" w:asciiTheme="minorEastAsia" w:hAnsiTheme="minorEastAsia" w:eastAsiaTheme="minorEastAsia"/>
                <w:szCs w:val="21"/>
                <w:highlight w:val="none"/>
              </w:rPr>
              <w:t>本项目不收取履约保证金。</w:t>
            </w:r>
          </w:p>
          <w:p w14:paraId="0CBE7594">
            <w:pPr>
              <w:autoSpaceDE w:val="0"/>
              <w:autoSpaceDN w:val="0"/>
              <w:snapToGrid w:val="0"/>
              <w:spacing w:line="430" w:lineRule="exact"/>
              <w:textAlignment w:val="bottom"/>
              <w:rPr>
                <w:rFonts w:hint="eastAsia" w:asciiTheme="minorEastAsia" w:hAnsiTheme="minorEastAsia" w:eastAsiaTheme="minorEastAsia"/>
                <w:szCs w:val="21"/>
                <w:highlight w:val="none"/>
              </w:rPr>
            </w:pPr>
            <w:r>
              <w:rPr>
                <w:rFonts w:hint="eastAsia" w:ascii="Segoe UI Symbol" w:hAnsi="Segoe UI Symbol" w:cs="Segoe UI Symbol" w:eastAsiaTheme="minorEastAsia"/>
                <w:szCs w:val="21"/>
                <w:highlight w:val="none"/>
              </w:rPr>
              <w:t>□</w:t>
            </w:r>
            <w:r>
              <w:rPr>
                <w:rFonts w:hint="eastAsia" w:asciiTheme="minorEastAsia" w:hAnsiTheme="minorEastAsia" w:eastAsiaTheme="minorEastAsia"/>
                <w:szCs w:val="21"/>
                <w:highlight w:val="none"/>
              </w:rPr>
              <w:t>本项目收取履约保证金，具体规定如下：</w:t>
            </w:r>
          </w:p>
          <w:p w14:paraId="01B1623F">
            <w:pPr>
              <w:autoSpaceDE w:val="0"/>
              <w:autoSpaceDN w:val="0"/>
              <w:snapToGrid w:val="0"/>
              <w:spacing w:line="430" w:lineRule="exact"/>
              <w:textAlignment w:val="bottom"/>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履约保证金金额：合同金额的</w:t>
            </w:r>
            <w:r>
              <w:rPr>
                <w:rFonts w:hint="eastAsia" w:cs="宋体" w:asciiTheme="minorEastAsia" w:hAnsiTheme="minorEastAsia" w:eastAsiaTheme="minorEastAsia"/>
                <w:szCs w:val="21"/>
                <w:highlight w:val="none"/>
                <w:u w:val="single"/>
              </w:rPr>
              <w:t xml:space="preserve"> / </w:t>
            </w:r>
            <w:r>
              <w:rPr>
                <w:rFonts w:hint="eastAsia" w:cs="宋体" w:asciiTheme="minorEastAsia" w:hAnsiTheme="minorEastAsia" w:eastAsiaTheme="minorEastAsia"/>
                <w:szCs w:val="21"/>
                <w:highlight w:val="none"/>
              </w:rPr>
              <w:t>%</w:t>
            </w:r>
          </w:p>
          <w:p w14:paraId="0D12B633">
            <w:pPr>
              <w:autoSpaceDE w:val="0"/>
              <w:autoSpaceDN w:val="0"/>
              <w:snapToGrid w:val="0"/>
              <w:spacing w:line="430" w:lineRule="exact"/>
              <w:textAlignment w:val="bottom"/>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签订合同前交至采购人指定账户，否则不予签订合同</w:t>
            </w:r>
          </w:p>
          <w:p w14:paraId="21E4758F">
            <w:pPr>
              <w:autoSpaceDE w:val="0"/>
              <w:autoSpaceDN w:val="0"/>
              <w:snapToGrid w:val="0"/>
              <w:spacing w:line="430" w:lineRule="exact"/>
              <w:textAlignment w:val="bottom"/>
              <w:rPr>
                <w:rFonts w:hint="eastAsia"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履约保证金递交方式：银行转账、电汇或网上支付、支票、汇票、本票或者银行、保险机构出具的保函等非现金方式</w:t>
            </w:r>
          </w:p>
          <w:p w14:paraId="547EADCE">
            <w:pPr>
              <w:autoSpaceDE w:val="0"/>
              <w:autoSpaceDN w:val="0"/>
              <w:snapToGrid w:val="0"/>
              <w:spacing w:line="430" w:lineRule="exact"/>
              <w:textAlignment w:val="bottom"/>
              <w:rPr>
                <w:rFonts w:hint="eastAsia"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履约保证金退付方式、时间及条件：验收合格后无息退付。</w:t>
            </w:r>
          </w:p>
          <w:p w14:paraId="1ADE91A4">
            <w:pPr>
              <w:autoSpaceDE w:val="0"/>
              <w:autoSpaceDN w:val="0"/>
              <w:snapToGrid w:val="0"/>
              <w:spacing w:line="430" w:lineRule="exact"/>
              <w:textAlignment w:val="bottom"/>
              <w:rPr>
                <w:rFonts w:hint="eastAsia"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由成交供应商向履约保证金收取单位提供《广西壮族自治区政府采购项目合同验收书》（详见桂财采〔2015〕22号），保证金收取单位在收到合格材料后5个工作日内办理退还手续（不计利息）。</w:t>
            </w:r>
          </w:p>
          <w:p w14:paraId="6785FB9F">
            <w:pPr>
              <w:autoSpaceDE w:val="0"/>
              <w:autoSpaceDN w:val="0"/>
              <w:snapToGrid w:val="0"/>
              <w:spacing w:line="430" w:lineRule="exact"/>
              <w:textAlignment w:val="bottom"/>
              <w:rPr>
                <w:rFonts w:hint="eastAsia" w:asciiTheme="minorEastAsia" w:hAnsiTheme="minorEastAsia" w:eastAsiaTheme="minorEastAsia"/>
                <w:b/>
                <w:bCs/>
                <w:szCs w:val="21"/>
                <w:highlight w:val="none"/>
              </w:rPr>
            </w:pPr>
            <w:r>
              <w:rPr>
                <w:rFonts w:hint="eastAsia" w:cs="宋体" w:asciiTheme="minorEastAsia" w:hAnsiTheme="minorEastAsia" w:eastAsiaTheme="minorEastAsia"/>
                <w:b/>
                <w:bCs/>
                <w:szCs w:val="21"/>
                <w:highlight w:val="none"/>
              </w:rPr>
              <w:t>履约保证金收取单位指定账户：由采购人提供</w:t>
            </w:r>
          </w:p>
          <w:p w14:paraId="1A12E1B3">
            <w:pPr>
              <w:autoSpaceDE w:val="0"/>
              <w:autoSpaceDN w:val="0"/>
              <w:snapToGrid w:val="0"/>
              <w:spacing w:line="430" w:lineRule="exact"/>
              <w:textAlignment w:val="bottom"/>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备注：</w:t>
            </w:r>
          </w:p>
          <w:p w14:paraId="616948D2">
            <w:pPr>
              <w:autoSpaceDE w:val="0"/>
              <w:autoSpaceDN w:val="0"/>
              <w:snapToGrid w:val="0"/>
              <w:spacing w:line="430" w:lineRule="exact"/>
              <w:textAlignment w:val="bottom"/>
              <w:rPr>
                <w:rFonts w:hint="eastAsia" w:asciiTheme="minorEastAsia" w:hAnsiTheme="minorEastAsia" w:eastAsiaTheme="minorEastAsia"/>
                <w:szCs w:val="21"/>
                <w:highlight w:val="none"/>
              </w:rPr>
            </w:pPr>
            <w:r>
              <w:rPr>
                <w:rFonts w:hint="eastAsia" w:cs="宋体" w:asciiTheme="minorEastAsia" w:hAnsiTheme="minorEastAsia" w:eastAsiaTheme="minorEastAsia"/>
                <w:b/>
                <w:szCs w:val="21"/>
                <w:highlight w:val="none"/>
              </w:rPr>
              <w:t>1.</w:t>
            </w:r>
            <w:bookmarkStart w:id="48" w:name="_Hlk54170335"/>
            <w:r>
              <w:rPr>
                <w:rFonts w:hint="eastAsia" w:asciiTheme="minorEastAsia" w:hAnsiTheme="minorEastAsia" w:eastAsiaTheme="minorEastAsia"/>
                <w:b/>
                <w:szCs w:val="21"/>
                <w:highlight w:val="none"/>
              </w:rPr>
              <w:t>根据桂财规〔2022〕8号广西壮族自治区财政厅关于规范政府采购货物和服务项目保证金管理的通知的规定，</w:t>
            </w:r>
            <w:bookmarkEnd w:id="48"/>
            <w:r>
              <w:rPr>
                <w:rFonts w:hint="eastAsia" w:asciiTheme="minorEastAsia" w:hAnsiTheme="minorEastAsia" w:eastAsiaTheme="minorEastAsia"/>
                <w:b/>
                <w:szCs w:val="21"/>
                <w:highlight w:val="none"/>
              </w:rPr>
              <w:t>采购人在采购文件中要求提交履约保证金的，履约保证金数额不得超过政府采购合同金额的5%；政府采购要加大对中小企业发展的扶持力度，对中小企业收取的履约保证金数额不得超过政府采购合同金额的2%。</w:t>
            </w:r>
          </w:p>
          <w:p w14:paraId="1F1B945B">
            <w:pPr>
              <w:autoSpaceDE w:val="0"/>
              <w:autoSpaceDN w:val="0"/>
              <w:snapToGrid w:val="0"/>
              <w:spacing w:line="430" w:lineRule="exact"/>
              <w:textAlignment w:val="bottom"/>
              <w:rPr>
                <w:rFonts w:hint="eastAsia" w:cs="宋体" w:asciiTheme="minorEastAsia" w:hAnsiTheme="minorEastAsia" w:eastAsiaTheme="minorEastAsia"/>
                <w:b/>
                <w:szCs w:val="21"/>
                <w:highlight w:val="none"/>
              </w:rPr>
            </w:pPr>
            <w:r>
              <w:rPr>
                <w:rFonts w:hint="eastAsia" w:cs="宋体" w:asciiTheme="minorEastAsia" w:hAnsiTheme="minorEastAsia" w:eastAsiaTheme="minorEastAsia"/>
                <w:b/>
                <w:szCs w:val="21"/>
                <w:highlight w:val="none"/>
              </w:rPr>
              <w:t>2.履约保证金不足额缴纳的，或者银行、保险机构出具的保函额度不足的或者保函有效期低于合同履行期限（即签订采购合同之日起至履行完合同约定的权利及义务之日止）的，不予签订合同。</w:t>
            </w:r>
          </w:p>
          <w:p w14:paraId="00172866">
            <w:pPr>
              <w:autoSpaceDE w:val="0"/>
              <w:autoSpaceDN w:val="0"/>
              <w:snapToGrid w:val="0"/>
              <w:spacing w:line="430" w:lineRule="exact"/>
              <w:textAlignment w:val="bottom"/>
              <w:rPr>
                <w:rFonts w:hint="eastAsia" w:asciiTheme="minorEastAsia" w:hAnsiTheme="minorEastAsia" w:eastAsiaTheme="minorEastAsia"/>
                <w:szCs w:val="21"/>
                <w:highlight w:val="none"/>
              </w:rPr>
            </w:pPr>
            <w:r>
              <w:rPr>
                <w:rFonts w:hint="eastAsia" w:cs="宋体" w:asciiTheme="minorEastAsia" w:hAnsiTheme="minorEastAsia" w:eastAsiaTheme="minorEastAsia"/>
                <w:b/>
                <w:szCs w:val="21"/>
                <w:highlight w:val="none"/>
              </w:rPr>
              <w:t>3.采用银行、保险机构出具的保函的，必须为无条件保函，否则不予签订合同。</w:t>
            </w:r>
          </w:p>
          <w:p w14:paraId="13759385">
            <w:pPr>
              <w:autoSpaceDE w:val="0"/>
              <w:autoSpaceDN w:val="0"/>
              <w:snapToGrid w:val="0"/>
              <w:spacing w:line="430" w:lineRule="exact"/>
              <w:textAlignment w:val="bottom"/>
              <w:rPr>
                <w:rFonts w:hint="eastAsia" w:asciiTheme="minorEastAsia" w:hAnsiTheme="minorEastAsia" w:eastAsiaTheme="minorEastAsia"/>
                <w:szCs w:val="21"/>
                <w:highlight w:val="none"/>
              </w:rPr>
            </w:pPr>
            <w:r>
              <w:rPr>
                <w:rFonts w:hint="eastAsia" w:cs="宋体" w:asciiTheme="minorEastAsia" w:hAnsiTheme="minorEastAsia" w:eastAsiaTheme="minorEastAsia"/>
                <w:b/>
                <w:szCs w:val="21"/>
                <w:highlight w:val="none"/>
              </w:rPr>
              <w:t>4.供应商为联合体的，由联合体任意一方按规定提交的履约保证金，视为有效履约保证金。</w:t>
            </w:r>
          </w:p>
        </w:tc>
      </w:tr>
      <w:tr w14:paraId="4807D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9" w:type="dxa"/>
            <w:vAlign w:val="center"/>
          </w:tcPr>
          <w:p w14:paraId="106CCB72">
            <w:pPr>
              <w:spacing w:line="430" w:lineRule="exact"/>
              <w:jc w:val="center"/>
              <w:rPr>
                <w:rFonts w:hint="eastAsia" w:cs="宋体" w:asciiTheme="minorEastAsia" w:hAnsiTheme="minorEastAsia" w:eastAsiaTheme="minorEastAsia"/>
                <w:szCs w:val="21"/>
                <w:highlight w:val="none"/>
              </w:rPr>
            </w:pPr>
            <w:r>
              <w:rPr>
                <w:rFonts w:cs="宋体" w:asciiTheme="minorEastAsia" w:hAnsiTheme="minorEastAsia" w:eastAsiaTheme="minorEastAsia"/>
                <w:szCs w:val="21"/>
                <w:highlight w:val="none"/>
              </w:rPr>
              <w:t>29.1</w:t>
            </w:r>
          </w:p>
        </w:tc>
        <w:tc>
          <w:tcPr>
            <w:tcW w:w="8359" w:type="dxa"/>
            <w:vAlign w:val="center"/>
          </w:tcPr>
          <w:p w14:paraId="38C59B39">
            <w:pPr>
              <w:autoSpaceDE w:val="0"/>
              <w:autoSpaceDN w:val="0"/>
              <w:snapToGrid w:val="0"/>
              <w:spacing w:line="430" w:lineRule="exact"/>
              <w:textAlignment w:val="bottom"/>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签订合同携带的证明材料：</w:t>
            </w:r>
          </w:p>
          <w:p w14:paraId="0FE0A623">
            <w:pPr>
              <w:autoSpaceDE w:val="0"/>
              <w:autoSpaceDN w:val="0"/>
              <w:snapToGrid w:val="0"/>
              <w:spacing w:line="430" w:lineRule="exact"/>
              <w:textAlignment w:val="bottom"/>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委托代理人负责签订合同的，须携带授权委托书及委托代理人身份证原件等其他资格证件。</w:t>
            </w:r>
          </w:p>
          <w:p w14:paraId="38524AAE">
            <w:pPr>
              <w:snapToGrid w:val="0"/>
              <w:spacing w:line="430" w:lineRule="exact"/>
              <w:rPr>
                <w:rFonts w:hint="eastAsia" w:cs="宋体" w:asciiTheme="minorEastAsia" w:hAnsiTheme="minorEastAsia" w:eastAsiaTheme="minorEastAsia"/>
                <w:szCs w:val="21"/>
                <w:highlight w:val="none"/>
              </w:rPr>
            </w:pPr>
            <w:r>
              <w:rPr>
                <w:rFonts w:hint="eastAsia" w:asciiTheme="minorEastAsia" w:hAnsiTheme="minorEastAsia" w:eastAsiaTheme="minorEastAsia"/>
                <w:szCs w:val="21"/>
                <w:highlight w:val="none"/>
              </w:rPr>
              <w:t>法定代表人负责签订合同的，须携带法定代表人</w:t>
            </w:r>
            <w:r>
              <w:rPr>
                <w:rFonts w:asciiTheme="minorEastAsia" w:hAnsiTheme="minorEastAsia" w:eastAsiaTheme="minorEastAsia"/>
                <w:szCs w:val="21"/>
                <w:highlight w:val="none"/>
              </w:rPr>
              <w:t>身份证明原件</w:t>
            </w:r>
            <w:r>
              <w:rPr>
                <w:rFonts w:hint="eastAsia" w:asciiTheme="minorEastAsia" w:hAnsiTheme="minorEastAsia" w:eastAsiaTheme="minorEastAsia"/>
                <w:szCs w:val="21"/>
                <w:highlight w:val="none"/>
              </w:rPr>
              <w:t>及</w:t>
            </w:r>
            <w:r>
              <w:rPr>
                <w:rFonts w:asciiTheme="minorEastAsia" w:hAnsiTheme="minorEastAsia" w:eastAsiaTheme="minorEastAsia"/>
                <w:szCs w:val="21"/>
                <w:highlight w:val="none"/>
              </w:rPr>
              <w:t>身份证原件</w:t>
            </w:r>
            <w:r>
              <w:rPr>
                <w:rFonts w:hint="eastAsia" w:asciiTheme="minorEastAsia" w:hAnsiTheme="minorEastAsia" w:eastAsiaTheme="minorEastAsia"/>
                <w:szCs w:val="21"/>
                <w:highlight w:val="none"/>
              </w:rPr>
              <w:t>等其他证明材料。</w:t>
            </w:r>
          </w:p>
        </w:tc>
      </w:tr>
      <w:tr w14:paraId="52C52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9" w:type="dxa"/>
            <w:vAlign w:val="center"/>
          </w:tcPr>
          <w:p w14:paraId="6FDE0909">
            <w:pPr>
              <w:spacing w:line="430" w:lineRule="exact"/>
              <w:jc w:val="center"/>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3</w:t>
            </w:r>
            <w:r>
              <w:rPr>
                <w:rFonts w:cs="宋体" w:asciiTheme="minorEastAsia" w:hAnsiTheme="minorEastAsia" w:eastAsiaTheme="minorEastAsia"/>
                <w:szCs w:val="21"/>
                <w:highlight w:val="none"/>
              </w:rPr>
              <w:t>1.2</w:t>
            </w:r>
          </w:p>
        </w:tc>
        <w:tc>
          <w:tcPr>
            <w:tcW w:w="8359" w:type="dxa"/>
            <w:vAlign w:val="center"/>
          </w:tcPr>
          <w:p w14:paraId="340DA0F2">
            <w:pPr>
              <w:snapToGrid w:val="0"/>
              <w:spacing w:line="430" w:lineRule="exact"/>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接收质疑函方式：以书面形式。</w:t>
            </w:r>
          </w:p>
          <w:p w14:paraId="09E4355D">
            <w:pPr>
              <w:snapToGrid w:val="0"/>
              <w:spacing w:line="430" w:lineRule="exact"/>
              <w:rPr>
                <w:rFonts w:hint="eastAsia" w:cs="宋体" w:asciiTheme="minorEastAsia" w:hAnsiTheme="minorEastAsia" w:eastAsiaTheme="minorEastAsia"/>
                <w:szCs w:val="21"/>
                <w:highlight w:val="none"/>
                <w:u w:val="single"/>
              </w:rPr>
            </w:pPr>
            <w:r>
              <w:rPr>
                <w:rFonts w:hint="eastAsia" w:cs="宋体" w:asciiTheme="minorEastAsia" w:hAnsiTheme="minorEastAsia" w:eastAsiaTheme="minorEastAsia"/>
                <w:szCs w:val="21"/>
                <w:highlight w:val="none"/>
              </w:rPr>
              <w:t>质疑联系部门及联系方式：</w:t>
            </w:r>
            <w:r>
              <w:rPr>
                <w:rFonts w:hint="eastAsia" w:cs="宋体" w:asciiTheme="minorEastAsia" w:hAnsiTheme="minorEastAsia" w:eastAsiaTheme="minorEastAsia"/>
                <w:szCs w:val="21"/>
                <w:highlight w:val="none"/>
                <w:u w:val="single"/>
              </w:rPr>
              <w:t>广西同泽工程项目管理股份有限公司</w:t>
            </w:r>
          </w:p>
          <w:p w14:paraId="12DFF546">
            <w:pPr>
              <w:snapToGrid w:val="0"/>
              <w:spacing w:line="430" w:lineRule="exact"/>
              <w:rPr>
                <w:rFonts w:hint="eastAsia" w:asciiTheme="minorEastAsia" w:hAnsiTheme="minorEastAsia" w:eastAsiaTheme="minorEastAsia"/>
                <w:szCs w:val="21"/>
                <w:highlight w:val="none"/>
                <w:u w:val="single"/>
              </w:rPr>
            </w:pPr>
            <w:r>
              <w:rPr>
                <w:rFonts w:hint="eastAsia" w:cs="宋体" w:asciiTheme="minorEastAsia" w:hAnsiTheme="minorEastAsia" w:eastAsiaTheme="minorEastAsia"/>
                <w:szCs w:val="21"/>
                <w:highlight w:val="none"/>
              </w:rPr>
              <w:t>联系电话：</w:t>
            </w:r>
            <w:r>
              <w:rPr>
                <w:rFonts w:hint="eastAsia" w:asciiTheme="minorEastAsia" w:hAnsiTheme="minorEastAsia" w:eastAsiaTheme="minorEastAsia"/>
                <w:szCs w:val="21"/>
                <w:highlight w:val="none"/>
                <w:u w:val="single"/>
              </w:rPr>
              <w:t>详见采购公告</w:t>
            </w:r>
          </w:p>
          <w:p w14:paraId="34D132A8">
            <w:pPr>
              <w:snapToGrid w:val="0"/>
              <w:spacing w:line="430" w:lineRule="exact"/>
              <w:rPr>
                <w:rFonts w:hint="eastAsia" w:asciiTheme="minorEastAsia" w:hAnsiTheme="minorEastAsia" w:eastAsiaTheme="minorEastAsia"/>
                <w:szCs w:val="21"/>
                <w:highlight w:val="none"/>
                <w:u w:val="single"/>
              </w:rPr>
            </w:pPr>
            <w:r>
              <w:rPr>
                <w:rFonts w:hint="eastAsia" w:cs="宋体" w:asciiTheme="minorEastAsia" w:hAnsiTheme="minorEastAsia" w:eastAsiaTheme="minorEastAsia"/>
                <w:szCs w:val="21"/>
                <w:highlight w:val="none"/>
              </w:rPr>
              <w:t>通讯地址：</w:t>
            </w:r>
            <w:r>
              <w:rPr>
                <w:rFonts w:hint="eastAsia" w:asciiTheme="minorEastAsia" w:hAnsiTheme="minorEastAsia" w:eastAsiaTheme="minorEastAsia"/>
                <w:szCs w:val="21"/>
                <w:highlight w:val="none"/>
                <w:u w:val="single"/>
              </w:rPr>
              <w:t>详见采购公告</w:t>
            </w:r>
          </w:p>
          <w:p w14:paraId="589121A9">
            <w:pPr>
              <w:snapToGrid w:val="0"/>
              <w:spacing w:line="430" w:lineRule="exact"/>
              <w:rPr>
                <w:rFonts w:hint="eastAsia"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业务时间：工作日每天上午9时0</w:t>
            </w:r>
            <w:r>
              <w:rPr>
                <w:rFonts w:cs="宋体" w:asciiTheme="minorEastAsia" w:hAnsiTheme="minorEastAsia" w:eastAsiaTheme="minorEastAsia"/>
                <w:szCs w:val="21"/>
                <w:highlight w:val="none"/>
              </w:rPr>
              <w:t>0</w:t>
            </w:r>
            <w:r>
              <w:rPr>
                <w:rFonts w:hint="eastAsia" w:cs="宋体" w:asciiTheme="minorEastAsia" w:hAnsiTheme="minorEastAsia" w:eastAsiaTheme="minorEastAsia"/>
                <w:szCs w:val="21"/>
                <w:highlight w:val="none"/>
              </w:rPr>
              <w:t>分到</w:t>
            </w:r>
            <w:r>
              <w:rPr>
                <w:rFonts w:cs="宋体" w:asciiTheme="minorEastAsia" w:hAnsiTheme="minorEastAsia" w:eastAsiaTheme="minorEastAsia"/>
                <w:szCs w:val="21"/>
                <w:highlight w:val="none"/>
              </w:rPr>
              <w:t>12</w:t>
            </w:r>
            <w:r>
              <w:rPr>
                <w:rFonts w:hint="eastAsia" w:cs="宋体" w:asciiTheme="minorEastAsia" w:hAnsiTheme="minorEastAsia" w:eastAsiaTheme="minorEastAsia"/>
                <w:szCs w:val="21"/>
                <w:highlight w:val="none"/>
              </w:rPr>
              <w:t>时</w:t>
            </w:r>
            <w:r>
              <w:rPr>
                <w:rFonts w:cs="宋体" w:asciiTheme="minorEastAsia" w:hAnsiTheme="minorEastAsia" w:eastAsiaTheme="minorEastAsia"/>
                <w:szCs w:val="21"/>
                <w:highlight w:val="none"/>
              </w:rPr>
              <w:t>00</w:t>
            </w:r>
            <w:r>
              <w:rPr>
                <w:rFonts w:hint="eastAsia" w:cs="宋体" w:asciiTheme="minorEastAsia" w:hAnsiTheme="minorEastAsia" w:eastAsiaTheme="minorEastAsia"/>
                <w:szCs w:val="21"/>
                <w:highlight w:val="none"/>
              </w:rPr>
              <w:t>分，下午14时30分到17时3</w:t>
            </w:r>
            <w:r>
              <w:rPr>
                <w:rFonts w:cs="宋体" w:asciiTheme="minorEastAsia" w:hAnsiTheme="minorEastAsia" w:eastAsiaTheme="minorEastAsia"/>
                <w:szCs w:val="21"/>
                <w:highlight w:val="none"/>
              </w:rPr>
              <w:t>0</w:t>
            </w:r>
            <w:r>
              <w:rPr>
                <w:rFonts w:hint="eastAsia" w:cs="宋体" w:asciiTheme="minorEastAsia" w:hAnsiTheme="minorEastAsia" w:eastAsiaTheme="minorEastAsia"/>
                <w:szCs w:val="21"/>
                <w:highlight w:val="none"/>
              </w:rPr>
              <w:t>分，</w:t>
            </w:r>
            <w:r>
              <w:rPr>
                <w:rFonts w:hint="eastAsia" w:asciiTheme="minorEastAsia" w:hAnsiTheme="minorEastAsia" w:eastAsiaTheme="minorEastAsia"/>
                <w:szCs w:val="21"/>
                <w:highlight w:val="none"/>
              </w:rPr>
              <w:t>双休日和法定节假日不办理业务。</w:t>
            </w:r>
          </w:p>
        </w:tc>
      </w:tr>
      <w:tr w14:paraId="7C74F2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9" w:type="dxa"/>
            <w:vAlign w:val="center"/>
          </w:tcPr>
          <w:p w14:paraId="70739728">
            <w:pPr>
              <w:spacing w:line="430" w:lineRule="exact"/>
              <w:jc w:val="center"/>
              <w:rPr>
                <w:rFonts w:hint="eastAsia" w:cs="宋体" w:asciiTheme="minorEastAsia" w:hAnsiTheme="minorEastAsia" w:eastAsiaTheme="minorEastAsia"/>
                <w:szCs w:val="21"/>
                <w:highlight w:val="none"/>
              </w:rPr>
            </w:pPr>
            <w:r>
              <w:rPr>
                <w:rFonts w:cs="宋体" w:asciiTheme="minorEastAsia" w:hAnsiTheme="minorEastAsia" w:eastAsiaTheme="minorEastAsia"/>
                <w:szCs w:val="21"/>
                <w:highlight w:val="none"/>
              </w:rPr>
              <w:t>32.1</w:t>
            </w:r>
          </w:p>
        </w:tc>
        <w:tc>
          <w:tcPr>
            <w:tcW w:w="8359" w:type="dxa"/>
            <w:vAlign w:val="center"/>
          </w:tcPr>
          <w:p w14:paraId="1D7ACECC">
            <w:pPr>
              <w:pStyle w:val="15"/>
              <w:snapToGrid w:val="0"/>
              <w:spacing w:line="430" w:lineRule="exact"/>
              <w:rPr>
                <w:rFonts w:hint="eastAsia" w:cs="宋体" w:asciiTheme="minorEastAsia" w:hAnsiTheme="minorEastAsia" w:eastAsiaTheme="minorEastAsia"/>
                <w:sz w:val="21"/>
                <w:highlight w:val="none"/>
              </w:rPr>
            </w:pPr>
            <w:r>
              <w:rPr>
                <w:rFonts w:hint="eastAsia" w:cs="宋体" w:asciiTheme="minorEastAsia" w:hAnsiTheme="minorEastAsia" w:eastAsiaTheme="minorEastAsia"/>
                <w:sz w:val="21"/>
                <w:highlight w:val="none"/>
              </w:rPr>
              <w:t>1.采购代理费支付方式：</w:t>
            </w:r>
          </w:p>
          <w:p w14:paraId="0B5C25EE">
            <w:pPr>
              <w:pStyle w:val="15"/>
              <w:snapToGrid w:val="0"/>
              <w:spacing w:line="430" w:lineRule="exact"/>
              <w:rPr>
                <w:rFonts w:hint="eastAsia" w:cs="宋体" w:asciiTheme="minorEastAsia" w:hAnsiTheme="minorEastAsia" w:eastAsiaTheme="minorEastAsia"/>
                <w:sz w:val="21"/>
                <w:highlight w:val="none"/>
              </w:rPr>
            </w:pPr>
            <w:r>
              <w:rPr>
                <w:rFonts w:hint="eastAsia" w:cs="宋体" w:asciiTheme="minorEastAsia" w:hAnsiTheme="minorEastAsia" w:eastAsiaTheme="minorEastAsia"/>
                <w:sz w:val="21"/>
                <w:highlight w:val="none"/>
              </w:rPr>
              <w:t>本项目代理服务费按如下规定由</w:t>
            </w:r>
            <w:r>
              <w:rPr>
                <w:rFonts w:hint="eastAsia" w:cs="宋体" w:asciiTheme="minorEastAsia" w:hAnsiTheme="minorEastAsia" w:eastAsiaTheme="minorEastAsia"/>
                <w:sz w:val="21"/>
                <w:highlight w:val="none"/>
                <w:u w:val="single"/>
              </w:rPr>
              <w:t>成交供应商</w:t>
            </w:r>
            <w:r>
              <w:rPr>
                <w:rFonts w:hint="eastAsia" w:cs="宋体" w:asciiTheme="minorEastAsia" w:hAnsiTheme="minorEastAsia" w:eastAsiaTheme="minorEastAsia"/>
                <w:sz w:val="21"/>
                <w:highlight w:val="none"/>
              </w:rPr>
              <w:t>在领取成交通知书前，一次性向采购代理机构支付。</w:t>
            </w:r>
          </w:p>
          <w:p w14:paraId="6927C951">
            <w:pPr>
              <w:pStyle w:val="15"/>
              <w:snapToGrid w:val="0"/>
              <w:spacing w:line="430" w:lineRule="exact"/>
              <w:rPr>
                <w:rFonts w:hint="eastAsia" w:cs="宋体" w:asciiTheme="minorEastAsia" w:hAnsiTheme="minorEastAsia" w:eastAsiaTheme="minorEastAsia"/>
                <w:sz w:val="21"/>
                <w:highlight w:val="none"/>
              </w:rPr>
            </w:pPr>
            <w:r>
              <w:rPr>
                <w:rFonts w:hint="eastAsia" w:cs="宋体" w:asciiTheme="minorEastAsia" w:hAnsiTheme="minorEastAsia" w:eastAsiaTheme="minorEastAsia"/>
                <w:sz w:val="21"/>
                <w:highlight w:val="none"/>
              </w:rPr>
              <w:t>2.采购代理费收取标准：</w:t>
            </w:r>
          </w:p>
          <w:p w14:paraId="3663088F">
            <w:pPr>
              <w:pStyle w:val="15"/>
              <w:snapToGrid w:val="0"/>
              <w:spacing w:line="430" w:lineRule="exact"/>
              <w:rPr>
                <w:rFonts w:hint="eastAsia" w:cs="宋体" w:asciiTheme="minorEastAsia" w:hAnsiTheme="minorEastAsia" w:eastAsiaTheme="minorEastAsia"/>
                <w:sz w:val="21"/>
                <w:highlight w:val="none"/>
              </w:rPr>
            </w:pPr>
            <w:r>
              <w:rPr>
                <w:rFonts w:hint="eastAsia" w:hAnsi="宋体" w:cs="宋体"/>
                <w:sz w:val="21"/>
                <w:highlight w:val="none"/>
              </w:rPr>
              <w:t>以预算金额为计费额，</w:t>
            </w:r>
            <w:r>
              <w:rPr>
                <w:rFonts w:hint="eastAsia" w:cs="宋体" w:asciiTheme="minorEastAsia" w:hAnsiTheme="minorEastAsia" w:eastAsiaTheme="minorEastAsia"/>
                <w:sz w:val="21"/>
                <w:highlight w:val="none"/>
              </w:rPr>
              <w:t>根据有关收费规定并经双方商定，委托代理服务费参照原《国家计委关于印发〈招标代理服务收费管理暂行办法〉的通知》（计价格〔2002〕1980号）、《国家发展改革委办公厅关于招标代理服务收费有关问题的通知》（发改办价格〔2003〕857号）、《国家发展改革委关于降低部分建设项目收费标准规范收费行为等有关问题的通知》（发改价格〔2011〕534号），向中标供应商收取。签订合同前，中标供应商应向乙方一次付清代理服务费。</w:t>
            </w:r>
          </w:p>
          <w:p w14:paraId="104C3184">
            <w:pPr>
              <w:pStyle w:val="15"/>
              <w:snapToGrid w:val="0"/>
              <w:spacing w:line="430" w:lineRule="exact"/>
              <w:rPr>
                <w:rFonts w:hint="eastAsia" w:cs="宋体" w:asciiTheme="minorEastAsia" w:hAnsiTheme="minorEastAsia" w:eastAsiaTheme="minorEastAsia"/>
                <w:sz w:val="21"/>
                <w:highlight w:val="none"/>
              </w:rPr>
            </w:pPr>
            <w:r>
              <w:rPr>
                <w:rFonts w:hint="eastAsia" w:cs="宋体" w:asciiTheme="minorEastAsia" w:hAnsiTheme="minorEastAsia" w:eastAsiaTheme="minorEastAsia"/>
                <w:sz w:val="21"/>
                <w:highlight w:val="none"/>
              </w:rPr>
              <w:t>3. 采购代理费收取银行账户</w:t>
            </w:r>
          </w:p>
          <w:p w14:paraId="56144714">
            <w:pPr>
              <w:pStyle w:val="15"/>
              <w:snapToGrid w:val="0"/>
              <w:spacing w:line="430" w:lineRule="exact"/>
              <w:rPr>
                <w:rFonts w:hint="eastAsia" w:cs="宋体" w:asciiTheme="minorEastAsia" w:hAnsiTheme="minorEastAsia" w:eastAsiaTheme="minorEastAsia"/>
                <w:sz w:val="21"/>
                <w:highlight w:val="none"/>
              </w:rPr>
            </w:pPr>
            <w:r>
              <w:rPr>
                <w:rFonts w:hint="eastAsia" w:cs="宋体" w:asciiTheme="minorEastAsia" w:hAnsiTheme="minorEastAsia" w:eastAsiaTheme="minorEastAsia"/>
                <w:sz w:val="21"/>
                <w:highlight w:val="none"/>
              </w:rPr>
              <w:t>开户名称：广西同泽工程项目管理股份有限公司南宁第八分公司</w:t>
            </w:r>
          </w:p>
          <w:p w14:paraId="62F7B7F5">
            <w:pPr>
              <w:pStyle w:val="15"/>
              <w:snapToGrid w:val="0"/>
              <w:spacing w:line="430" w:lineRule="exact"/>
              <w:rPr>
                <w:rFonts w:hint="eastAsia" w:cs="宋体" w:asciiTheme="minorEastAsia" w:hAnsiTheme="minorEastAsia" w:eastAsiaTheme="minorEastAsia"/>
                <w:sz w:val="21"/>
                <w:highlight w:val="none"/>
              </w:rPr>
            </w:pPr>
            <w:r>
              <w:rPr>
                <w:rFonts w:hint="eastAsia" w:cs="宋体" w:asciiTheme="minorEastAsia" w:hAnsiTheme="minorEastAsia" w:eastAsiaTheme="minorEastAsia"/>
                <w:sz w:val="21"/>
                <w:highlight w:val="none"/>
              </w:rPr>
              <w:t>开户银行：上海浦东发展银行广西自贸试验区南宁片区支行</w:t>
            </w:r>
          </w:p>
          <w:p w14:paraId="54592F35">
            <w:pPr>
              <w:pStyle w:val="15"/>
              <w:snapToGrid w:val="0"/>
              <w:spacing w:line="430" w:lineRule="exact"/>
              <w:rPr>
                <w:rFonts w:hint="eastAsia" w:cs="宋体" w:asciiTheme="minorEastAsia" w:hAnsiTheme="minorEastAsia" w:eastAsiaTheme="minorEastAsia"/>
                <w:sz w:val="21"/>
                <w:highlight w:val="none"/>
                <w:u w:val="single"/>
              </w:rPr>
            </w:pPr>
            <w:r>
              <w:rPr>
                <w:rFonts w:hint="eastAsia" w:cs="宋体" w:asciiTheme="minorEastAsia" w:hAnsiTheme="minorEastAsia" w:eastAsiaTheme="minorEastAsia"/>
                <w:sz w:val="21"/>
                <w:highlight w:val="none"/>
              </w:rPr>
              <w:t>银行账号：63150078801600000504</w:t>
            </w:r>
          </w:p>
        </w:tc>
      </w:tr>
      <w:tr w14:paraId="305AD8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9" w:type="dxa"/>
            <w:vAlign w:val="center"/>
          </w:tcPr>
          <w:p w14:paraId="2D788DDD">
            <w:pPr>
              <w:spacing w:line="430" w:lineRule="exact"/>
              <w:jc w:val="center"/>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3</w:t>
            </w:r>
            <w:r>
              <w:rPr>
                <w:rFonts w:cs="宋体" w:asciiTheme="minorEastAsia" w:hAnsiTheme="minorEastAsia" w:eastAsiaTheme="minorEastAsia"/>
                <w:szCs w:val="21"/>
                <w:highlight w:val="none"/>
              </w:rPr>
              <w:t>3.1</w:t>
            </w:r>
          </w:p>
        </w:tc>
        <w:tc>
          <w:tcPr>
            <w:tcW w:w="8359" w:type="dxa"/>
            <w:vAlign w:val="center"/>
          </w:tcPr>
          <w:p w14:paraId="04E7169A">
            <w:pPr>
              <w:pStyle w:val="15"/>
              <w:snapToGrid w:val="0"/>
              <w:spacing w:line="430" w:lineRule="exact"/>
              <w:rPr>
                <w:rFonts w:hint="eastAsia" w:cs="宋体" w:asciiTheme="minorEastAsia" w:hAnsiTheme="minorEastAsia" w:eastAsiaTheme="minorEastAsia"/>
                <w:kern w:val="2"/>
                <w:sz w:val="21"/>
                <w:highlight w:val="none"/>
              </w:rPr>
            </w:pPr>
            <w:r>
              <w:rPr>
                <w:rFonts w:hint="eastAsia" w:asciiTheme="minorEastAsia" w:hAnsiTheme="minorEastAsia" w:eastAsiaTheme="minorEastAsia"/>
                <w:sz w:val="21"/>
                <w:highlight w:val="none"/>
              </w:rPr>
              <w:t>解释：</w:t>
            </w:r>
            <w:r>
              <w:rPr>
                <w:rFonts w:asciiTheme="minorEastAsia" w:hAnsiTheme="minorEastAsia" w:eastAsiaTheme="minorEastAsia"/>
                <w:sz w:val="21"/>
                <w:highlight w:val="none"/>
              </w:rPr>
              <w:t>构成本</w:t>
            </w:r>
            <w:r>
              <w:rPr>
                <w:rFonts w:hint="eastAsia" w:asciiTheme="minorEastAsia" w:hAnsiTheme="minorEastAsia" w:eastAsiaTheme="minorEastAsia"/>
                <w:sz w:val="21"/>
                <w:highlight w:val="none"/>
              </w:rPr>
              <w:t>磋商文件</w:t>
            </w:r>
            <w:r>
              <w:rPr>
                <w:rFonts w:asciiTheme="minorEastAsia" w:hAnsiTheme="minorEastAsia" w:eastAsiaTheme="minorEastAsia"/>
                <w:sz w:val="21"/>
                <w:highlight w:val="none"/>
              </w:rPr>
              <w:t>的各个组成文件应互为解释，互为说明；除</w:t>
            </w:r>
            <w:r>
              <w:rPr>
                <w:rFonts w:hint="eastAsia" w:asciiTheme="minorEastAsia" w:hAnsiTheme="minorEastAsia" w:eastAsiaTheme="minorEastAsia"/>
                <w:sz w:val="21"/>
                <w:highlight w:val="none"/>
              </w:rPr>
              <w:t>磋商文件</w:t>
            </w:r>
            <w:r>
              <w:rPr>
                <w:rFonts w:asciiTheme="minorEastAsia" w:hAnsiTheme="minorEastAsia" w:eastAsiaTheme="minorEastAsia"/>
                <w:sz w:val="21"/>
                <w:highlight w:val="none"/>
              </w:rPr>
              <w:t>中有特别规定外，仅适用于</w:t>
            </w:r>
            <w:r>
              <w:rPr>
                <w:rFonts w:hint="eastAsia" w:asciiTheme="minorEastAsia" w:hAnsiTheme="minorEastAsia" w:eastAsiaTheme="minorEastAsia"/>
                <w:sz w:val="21"/>
                <w:highlight w:val="none"/>
              </w:rPr>
              <w:t>竞标</w:t>
            </w:r>
            <w:r>
              <w:rPr>
                <w:rFonts w:asciiTheme="minorEastAsia" w:hAnsiTheme="minorEastAsia" w:eastAsiaTheme="minorEastAsia"/>
                <w:sz w:val="21"/>
                <w:highlight w:val="none"/>
              </w:rPr>
              <w:t>阶段的规定，按</w:t>
            </w:r>
            <w:r>
              <w:rPr>
                <w:rFonts w:hint="eastAsia" w:asciiTheme="minorEastAsia" w:hAnsiTheme="minorEastAsia" w:eastAsiaTheme="minorEastAsia"/>
                <w:sz w:val="21"/>
                <w:highlight w:val="none"/>
              </w:rPr>
              <w:t>更正公告（澄清公告）</w:t>
            </w:r>
            <w:r>
              <w:rPr>
                <w:rFonts w:asciiTheme="minorEastAsia" w:hAnsiTheme="minorEastAsia" w:eastAsiaTheme="minorEastAsia"/>
                <w:sz w:val="21"/>
                <w:highlight w:val="none"/>
              </w:rPr>
              <w:t>、</w:t>
            </w:r>
            <w:r>
              <w:rPr>
                <w:rFonts w:hint="eastAsia" w:asciiTheme="minorEastAsia" w:hAnsiTheme="minorEastAsia" w:eastAsiaTheme="minorEastAsia"/>
                <w:sz w:val="21"/>
                <w:highlight w:val="none"/>
              </w:rPr>
              <w:t>竞争性磋商</w:t>
            </w:r>
            <w:r>
              <w:rPr>
                <w:rFonts w:asciiTheme="minorEastAsia" w:hAnsiTheme="minorEastAsia" w:eastAsiaTheme="minorEastAsia"/>
                <w:sz w:val="21"/>
                <w:highlight w:val="none"/>
              </w:rPr>
              <w:t>公告、</w:t>
            </w:r>
            <w:r>
              <w:rPr>
                <w:rFonts w:hint="eastAsia" w:asciiTheme="minorEastAsia" w:hAnsiTheme="minorEastAsia" w:eastAsiaTheme="minorEastAsia"/>
                <w:sz w:val="21"/>
                <w:highlight w:val="none"/>
              </w:rPr>
              <w:t>供应商</w:t>
            </w:r>
            <w:r>
              <w:rPr>
                <w:rFonts w:asciiTheme="minorEastAsia" w:hAnsiTheme="minorEastAsia" w:eastAsiaTheme="minorEastAsia"/>
                <w:sz w:val="21"/>
                <w:highlight w:val="none"/>
              </w:rPr>
              <w:t>须知</w:t>
            </w:r>
            <w:r>
              <w:rPr>
                <w:rFonts w:hint="eastAsia" w:asciiTheme="minorEastAsia" w:hAnsiTheme="minorEastAsia" w:eastAsiaTheme="minorEastAsia"/>
                <w:sz w:val="21"/>
                <w:highlight w:val="none"/>
              </w:rPr>
              <w:t>、采购需求</w:t>
            </w:r>
            <w:r>
              <w:rPr>
                <w:rFonts w:asciiTheme="minorEastAsia" w:hAnsiTheme="minorEastAsia" w:eastAsiaTheme="minorEastAsia"/>
                <w:sz w:val="21"/>
                <w:highlight w:val="none"/>
              </w:rPr>
              <w:t>、</w:t>
            </w:r>
            <w:r>
              <w:rPr>
                <w:rFonts w:hint="eastAsia" w:asciiTheme="minorEastAsia" w:hAnsiTheme="minorEastAsia" w:eastAsiaTheme="minorEastAsia"/>
                <w:sz w:val="21"/>
                <w:highlight w:val="none"/>
              </w:rPr>
              <w:t>评审程序、评审方法和评审标准</w:t>
            </w:r>
            <w:r>
              <w:rPr>
                <w:rFonts w:asciiTheme="minorEastAsia" w:hAnsiTheme="minorEastAsia" w:eastAsiaTheme="minorEastAsia"/>
                <w:sz w:val="21"/>
                <w:highlight w:val="none"/>
              </w:rPr>
              <w:t>、</w:t>
            </w:r>
            <w:r>
              <w:rPr>
                <w:rFonts w:hint="eastAsia" w:asciiTheme="minorEastAsia" w:hAnsiTheme="minorEastAsia" w:eastAsiaTheme="minorEastAsia"/>
                <w:sz w:val="21"/>
                <w:highlight w:val="none"/>
              </w:rPr>
              <w:t>响应</w:t>
            </w:r>
            <w:r>
              <w:rPr>
                <w:rFonts w:asciiTheme="minorEastAsia" w:hAnsiTheme="minorEastAsia" w:eastAsiaTheme="minorEastAsia"/>
                <w:sz w:val="21"/>
                <w:highlight w:val="none"/>
              </w:rPr>
              <w:t>文件格式</w:t>
            </w:r>
            <w:r>
              <w:rPr>
                <w:rFonts w:hint="eastAsia" w:asciiTheme="minorEastAsia" w:hAnsiTheme="minorEastAsia" w:eastAsiaTheme="minorEastAsia"/>
                <w:sz w:val="21"/>
                <w:highlight w:val="none"/>
              </w:rPr>
              <w:t>、合同文本</w:t>
            </w:r>
            <w:r>
              <w:rPr>
                <w:rFonts w:asciiTheme="minorEastAsia" w:hAnsiTheme="minorEastAsia" w:eastAsiaTheme="minorEastAsia"/>
                <w:sz w:val="21"/>
                <w:highlight w:val="none"/>
              </w:rPr>
              <w:t>的先后顺序解释；同一组成文件中就同一事项的规定或者约定不一致的，以编排顺序在后者为准；同一组成文件不同版本之间有不一致的，以形成时间在后者为准；</w:t>
            </w:r>
            <w:r>
              <w:rPr>
                <w:rFonts w:hint="eastAsia" w:asciiTheme="minorEastAsia" w:hAnsiTheme="minorEastAsia" w:eastAsiaTheme="minorEastAsia"/>
                <w:sz w:val="21"/>
                <w:highlight w:val="none"/>
              </w:rPr>
              <w:t>更正公告（澄清公告）</w:t>
            </w:r>
            <w:r>
              <w:rPr>
                <w:rFonts w:asciiTheme="minorEastAsia" w:hAnsiTheme="minorEastAsia" w:eastAsiaTheme="minorEastAsia"/>
                <w:sz w:val="21"/>
                <w:highlight w:val="none"/>
              </w:rPr>
              <w:t>与同步更新的</w:t>
            </w:r>
            <w:r>
              <w:rPr>
                <w:rFonts w:hint="eastAsia" w:asciiTheme="minorEastAsia" w:hAnsiTheme="minorEastAsia" w:eastAsiaTheme="minorEastAsia"/>
                <w:sz w:val="21"/>
                <w:highlight w:val="none"/>
              </w:rPr>
              <w:t>磋商文件</w:t>
            </w:r>
            <w:r>
              <w:rPr>
                <w:rFonts w:asciiTheme="minorEastAsia" w:hAnsiTheme="minorEastAsia" w:eastAsiaTheme="minorEastAsia"/>
                <w:sz w:val="21"/>
                <w:highlight w:val="none"/>
              </w:rPr>
              <w:t>不一致时以</w:t>
            </w:r>
            <w:r>
              <w:rPr>
                <w:rFonts w:hint="eastAsia" w:asciiTheme="minorEastAsia" w:hAnsiTheme="minorEastAsia" w:eastAsiaTheme="minorEastAsia"/>
                <w:sz w:val="21"/>
                <w:highlight w:val="none"/>
              </w:rPr>
              <w:t>更正公告（澄清公告）</w:t>
            </w:r>
            <w:r>
              <w:rPr>
                <w:rFonts w:asciiTheme="minorEastAsia" w:hAnsiTheme="minorEastAsia" w:eastAsiaTheme="minorEastAsia"/>
                <w:sz w:val="21"/>
                <w:highlight w:val="none"/>
              </w:rPr>
              <w:t>为准。按本款前述规定仍不能形成结论的，由</w:t>
            </w:r>
            <w:r>
              <w:rPr>
                <w:rFonts w:hint="eastAsia" w:asciiTheme="minorEastAsia" w:hAnsiTheme="minorEastAsia" w:eastAsiaTheme="minorEastAsia"/>
                <w:sz w:val="21"/>
                <w:highlight w:val="none"/>
              </w:rPr>
              <w:t>采购</w:t>
            </w:r>
            <w:r>
              <w:rPr>
                <w:rFonts w:asciiTheme="minorEastAsia" w:hAnsiTheme="minorEastAsia" w:eastAsiaTheme="minorEastAsia"/>
                <w:sz w:val="21"/>
                <w:highlight w:val="none"/>
              </w:rPr>
              <w:t>人</w:t>
            </w:r>
            <w:r>
              <w:rPr>
                <w:rFonts w:hint="eastAsia" w:asciiTheme="minorEastAsia" w:hAnsiTheme="minorEastAsia" w:eastAsiaTheme="minorEastAsia"/>
                <w:sz w:val="21"/>
                <w:highlight w:val="none"/>
              </w:rPr>
              <w:t>或者采购代理机构</w:t>
            </w:r>
            <w:r>
              <w:rPr>
                <w:rFonts w:asciiTheme="minorEastAsia" w:hAnsiTheme="minorEastAsia" w:eastAsiaTheme="minorEastAsia"/>
                <w:sz w:val="21"/>
                <w:highlight w:val="none"/>
              </w:rPr>
              <w:t>负责解释。</w:t>
            </w:r>
          </w:p>
        </w:tc>
      </w:tr>
      <w:tr w14:paraId="5BDA35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9" w:type="dxa"/>
            <w:vAlign w:val="center"/>
          </w:tcPr>
          <w:p w14:paraId="282051B5">
            <w:pPr>
              <w:spacing w:line="430" w:lineRule="exact"/>
              <w:jc w:val="center"/>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3</w:t>
            </w:r>
            <w:r>
              <w:rPr>
                <w:rFonts w:cs="宋体" w:asciiTheme="minorEastAsia" w:hAnsiTheme="minorEastAsia" w:eastAsiaTheme="minorEastAsia"/>
                <w:szCs w:val="21"/>
                <w:highlight w:val="none"/>
              </w:rPr>
              <w:t>3.2</w:t>
            </w:r>
          </w:p>
        </w:tc>
        <w:tc>
          <w:tcPr>
            <w:tcW w:w="8359" w:type="dxa"/>
            <w:vAlign w:val="center"/>
          </w:tcPr>
          <w:p w14:paraId="7AEB4971">
            <w:pPr>
              <w:pStyle w:val="15"/>
              <w:snapToGrid w:val="0"/>
              <w:spacing w:line="430" w:lineRule="exact"/>
              <w:rPr>
                <w:rFonts w:hint="eastAsia" w:cs="宋体" w:asciiTheme="minorEastAsia" w:hAnsiTheme="minorEastAsia" w:eastAsiaTheme="minorEastAsia"/>
                <w:sz w:val="21"/>
                <w:highlight w:val="none"/>
              </w:rPr>
            </w:pPr>
            <w:r>
              <w:rPr>
                <w:rFonts w:hint="eastAsia" w:cs="宋体" w:asciiTheme="minorEastAsia" w:hAnsiTheme="minorEastAsia" w:eastAsiaTheme="minorEastAsia"/>
                <w:sz w:val="21"/>
                <w:highlight w:val="none"/>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2F6D7933">
            <w:pPr>
              <w:pStyle w:val="15"/>
              <w:snapToGrid w:val="0"/>
              <w:spacing w:line="430" w:lineRule="exact"/>
              <w:rPr>
                <w:rFonts w:hint="eastAsia" w:cs="宋体" w:asciiTheme="minorEastAsia" w:hAnsiTheme="minorEastAsia" w:eastAsiaTheme="minorEastAsia"/>
                <w:sz w:val="21"/>
                <w:highlight w:val="none"/>
              </w:rPr>
            </w:pPr>
            <w:r>
              <w:rPr>
                <w:rFonts w:hint="eastAsia" w:cs="宋体" w:asciiTheme="minorEastAsia" w:hAnsiTheme="minorEastAsia" w:eastAsiaTheme="minorEastAsia"/>
                <w:bCs/>
                <w:sz w:val="21"/>
                <w:highlight w:val="none"/>
              </w:rPr>
              <w:t>2.本磋商文件所称的“</w:t>
            </w:r>
            <w:r>
              <w:rPr>
                <w:rFonts w:hint="eastAsia" w:asciiTheme="minorEastAsia" w:hAnsiTheme="minorEastAsia" w:eastAsiaTheme="minorEastAsia"/>
                <w:sz w:val="21"/>
                <w:highlight w:val="none"/>
              </w:rPr>
              <w:t>电子签章</w:t>
            </w:r>
            <w:r>
              <w:rPr>
                <w:rFonts w:hint="eastAsia" w:cs="宋体" w:asciiTheme="minorEastAsia" w:hAnsiTheme="minorEastAsia" w:eastAsiaTheme="minorEastAsia"/>
                <w:bCs/>
                <w:sz w:val="21"/>
                <w:highlight w:val="none"/>
              </w:rPr>
              <w:t>”、“电子签名”</w:t>
            </w:r>
            <w:r>
              <w:rPr>
                <w:rFonts w:hint="eastAsia" w:asciiTheme="minorEastAsia" w:hAnsiTheme="minorEastAsia" w:eastAsiaTheme="minorEastAsia"/>
                <w:sz w:val="21"/>
                <w:highlight w:val="none"/>
              </w:rPr>
              <w:t>，是指经广西政府采购云平台认可的CA认证的电子签名数据为表现形式的印章，可用于签署电子响应文件，电子印章与实物印章具有同等法律效力，不因其采用电子化表现形式而否定其法律效力。</w:t>
            </w:r>
          </w:p>
          <w:p w14:paraId="15CF6AD4">
            <w:pPr>
              <w:pStyle w:val="15"/>
              <w:snapToGrid w:val="0"/>
              <w:spacing w:line="430" w:lineRule="exact"/>
              <w:rPr>
                <w:rFonts w:hint="eastAsia" w:cs="宋体" w:asciiTheme="minorEastAsia" w:hAnsiTheme="minorEastAsia" w:eastAsiaTheme="minorEastAsia"/>
                <w:bCs/>
                <w:sz w:val="21"/>
                <w:highlight w:val="none"/>
              </w:rPr>
            </w:pPr>
            <w:r>
              <w:rPr>
                <w:rFonts w:cs="宋体" w:asciiTheme="minorEastAsia" w:hAnsiTheme="minorEastAsia" w:eastAsiaTheme="minorEastAsia"/>
                <w:sz w:val="21"/>
                <w:highlight w:val="none"/>
              </w:rPr>
              <w:t>3</w:t>
            </w:r>
            <w:r>
              <w:rPr>
                <w:rFonts w:hint="eastAsia" w:cs="宋体" w:asciiTheme="minorEastAsia" w:hAnsiTheme="minorEastAsia" w:eastAsiaTheme="minorEastAsia"/>
                <w:sz w:val="21"/>
                <w:highlight w:val="none"/>
              </w:rPr>
              <w:t>.供应商为其他组织或者自然人时，本磋商文件规定的法定代表人指负责人或者自然人。本磋商文件所称负责人是指参加竞标的其他组织</w:t>
            </w:r>
            <w:r>
              <w:rPr>
                <w:rFonts w:hint="eastAsia" w:cs="宋体" w:asciiTheme="minorEastAsia" w:hAnsiTheme="minorEastAsia" w:eastAsiaTheme="minorEastAsia"/>
                <w:bCs/>
                <w:sz w:val="21"/>
                <w:highlight w:val="none"/>
              </w:rPr>
              <w:t>营业执照或者执业许可证等证照上的</w:t>
            </w:r>
            <w:r>
              <w:rPr>
                <w:rFonts w:hint="eastAsia" w:cs="宋体" w:asciiTheme="minorEastAsia" w:hAnsiTheme="minorEastAsia" w:eastAsiaTheme="minorEastAsia"/>
                <w:sz w:val="21"/>
                <w:highlight w:val="none"/>
              </w:rPr>
              <w:t>负责人，本磋商文件所称自然人指参与竞标的自然人本人，</w:t>
            </w:r>
            <w:r>
              <w:rPr>
                <w:rFonts w:hint="eastAsia" w:cs="宋体" w:asciiTheme="minorEastAsia" w:hAnsiTheme="minorEastAsia" w:eastAsiaTheme="minorEastAsia"/>
                <w:bCs/>
                <w:sz w:val="21"/>
                <w:highlight w:val="none"/>
              </w:rPr>
              <w:t>且应具备独立承担民事责任能力，自然人应当为年满18岁以上成年人（十六周岁以上的未成年人，以自己的劳动收入为主要生活来源的，视为完全民事行为能力人）。</w:t>
            </w:r>
          </w:p>
          <w:p w14:paraId="5141FD90">
            <w:pPr>
              <w:pStyle w:val="15"/>
              <w:snapToGrid w:val="0"/>
              <w:spacing w:line="430" w:lineRule="exact"/>
              <w:rPr>
                <w:rFonts w:hint="eastAsia" w:cs="宋体" w:asciiTheme="minorEastAsia" w:hAnsiTheme="minorEastAsia" w:eastAsiaTheme="minorEastAsia"/>
                <w:sz w:val="21"/>
                <w:highlight w:val="none"/>
              </w:rPr>
            </w:pPr>
            <w:r>
              <w:rPr>
                <w:rFonts w:cs="宋体" w:asciiTheme="minorEastAsia" w:hAnsiTheme="minorEastAsia" w:eastAsiaTheme="minorEastAsia"/>
                <w:sz w:val="21"/>
                <w:highlight w:val="none"/>
              </w:rPr>
              <w:t>4.</w:t>
            </w:r>
            <w:r>
              <w:rPr>
                <w:rFonts w:hint="eastAsia" w:cs="宋体" w:asciiTheme="minorEastAsia" w:hAnsiTheme="minorEastAsia" w:eastAsiaTheme="minorEastAsia"/>
                <w:sz w:val="21"/>
                <w:highlight w:val="none"/>
              </w:rPr>
              <w:t>本磋商文件中描述供应商的“签字”是指供应商的法定代表人或者委托代理人亲自在文件规定签署处亲笔写上个人的名字的行为，私章、签字章、印鉴、影印等其他形式均不能代替亲笔签字。</w:t>
            </w:r>
          </w:p>
          <w:p w14:paraId="6BA96024">
            <w:pPr>
              <w:pStyle w:val="15"/>
              <w:snapToGrid w:val="0"/>
              <w:spacing w:line="430" w:lineRule="exact"/>
              <w:rPr>
                <w:rFonts w:hint="eastAsia" w:cs="宋体" w:asciiTheme="minorEastAsia" w:hAnsiTheme="minorEastAsia" w:eastAsiaTheme="minorEastAsia"/>
                <w:sz w:val="21"/>
                <w:highlight w:val="none"/>
              </w:rPr>
            </w:pPr>
            <w:r>
              <w:rPr>
                <w:rFonts w:hint="eastAsia" w:cs="宋体" w:asciiTheme="minorEastAsia" w:hAnsiTheme="minorEastAsia" w:eastAsiaTheme="minorEastAsia"/>
                <w:sz w:val="21"/>
                <w:highlight w:val="none"/>
              </w:rPr>
              <w:t>5</w:t>
            </w:r>
            <w:r>
              <w:rPr>
                <w:rFonts w:cs="宋体" w:asciiTheme="minorEastAsia" w:hAnsiTheme="minorEastAsia" w:eastAsiaTheme="minorEastAsia"/>
                <w:sz w:val="21"/>
                <w:highlight w:val="none"/>
              </w:rPr>
              <w:t>.</w:t>
            </w:r>
            <w:r>
              <w:rPr>
                <w:rFonts w:hint="eastAsia" w:cs="宋体" w:asciiTheme="minorEastAsia" w:hAnsiTheme="minorEastAsia" w:eastAsiaTheme="minorEastAsia"/>
                <w:sz w:val="21"/>
                <w:highlight w:val="none"/>
              </w:rPr>
              <w:t>本磋商文件所称的“以上”“以下”“以内”“届满”，包括本数；所称的“不满”“超过”“以外”，不包括本数。</w:t>
            </w:r>
          </w:p>
        </w:tc>
      </w:tr>
      <w:tr w14:paraId="606DD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9" w:type="dxa"/>
            <w:vAlign w:val="center"/>
          </w:tcPr>
          <w:p w14:paraId="5D3C6886">
            <w:pPr>
              <w:spacing w:line="430" w:lineRule="exact"/>
              <w:jc w:val="center"/>
              <w:rPr>
                <w:rFonts w:hint="eastAsia" w:cs="宋体" w:asciiTheme="minorEastAsia" w:hAnsiTheme="minorEastAsia" w:eastAsiaTheme="minorEastAsia"/>
                <w:szCs w:val="21"/>
                <w:highlight w:val="none"/>
              </w:rPr>
            </w:pPr>
            <w:r>
              <w:rPr>
                <w:rFonts w:hint="eastAsia" w:ascii="宋体" w:hAnsi="宋体" w:cs="宋体"/>
                <w:szCs w:val="21"/>
                <w:highlight w:val="none"/>
              </w:rPr>
              <w:t>负偏离要求</w:t>
            </w:r>
          </w:p>
        </w:tc>
        <w:tc>
          <w:tcPr>
            <w:tcW w:w="8359" w:type="dxa"/>
            <w:vAlign w:val="center"/>
          </w:tcPr>
          <w:p w14:paraId="7182BF6F">
            <w:pPr>
              <w:snapToGrid w:val="0"/>
              <w:spacing w:line="320" w:lineRule="exact"/>
              <w:jc w:val="left"/>
              <w:rPr>
                <w:rFonts w:hint="eastAsia" w:ascii="宋体" w:hAnsi="宋体" w:cs="宋体"/>
                <w:szCs w:val="21"/>
                <w:highlight w:val="none"/>
              </w:rPr>
            </w:pPr>
            <w:r>
              <w:rPr>
                <w:rFonts w:hint="eastAsia" w:ascii="宋体" w:hAnsi="宋体" w:cs="宋体"/>
                <w:szCs w:val="21"/>
                <w:highlight w:val="none"/>
              </w:rPr>
              <w:t>商务条款评审中允许负偏离的条款数为</w:t>
            </w:r>
            <w:r>
              <w:rPr>
                <w:rFonts w:hint="eastAsia" w:ascii="宋体" w:hAnsi="宋体" w:cs="宋体"/>
                <w:szCs w:val="21"/>
                <w:highlight w:val="none"/>
                <w:u w:val="single"/>
              </w:rPr>
              <w:t xml:space="preserve"> 0</w:t>
            </w:r>
            <w:r>
              <w:rPr>
                <w:rFonts w:hint="eastAsia" w:ascii="宋体" w:hAnsi="宋体" w:cs="宋体"/>
                <w:szCs w:val="21"/>
                <w:highlight w:val="none"/>
              </w:rPr>
              <w:t>项。</w:t>
            </w:r>
          </w:p>
          <w:p w14:paraId="3FF6EE99">
            <w:pPr>
              <w:snapToGrid w:val="0"/>
              <w:spacing w:line="320" w:lineRule="exact"/>
              <w:jc w:val="left"/>
              <w:rPr>
                <w:rFonts w:hint="eastAsia" w:ascii="宋体" w:hAnsi="宋体" w:cs="宋体"/>
                <w:szCs w:val="21"/>
                <w:highlight w:val="none"/>
              </w:rPr>
            </w:pPr>
            <w:r>
              <w:rPr>
                <w:rFonts w:hint="eastAsia" w:ascii="宋体" w:hAnsi="宋体" w:cs="宋体"/>
                <w:szCs w:val="21"/>
                <w:highlight w:val="none"/>
              </w:rPr>
              <w:t>服务需求评审中标注“▲”号允许负偏离的条款数为</w:t>
            </w:r>
            <w:r>
              <w:rPr>
                <w:rFonts w:hint="eastAsia" w:ascii="宋体" w:hAnsi="宋体" w:cs="宋体"/>
                <w:szCs w:val="21"/>
                <w:highlight w:val="none"/>
                <w:u w:val="single"/>
              </w:rPr>
              <w:t xml:space="preserve"> 0 </w:t>
            </w:r>
            <w:r>
              <w:rPr>
                <w:rFonts w:hint="eastAsia" w:ascii="宋体" w:hAnsi="宋体" w:cs="宋体"/>
                <w:szCs w:val="21"/>
                <w:highlight w:val="none"/>
              </w:rPr>
              <w:t>项。</w:t>
            </w:r>
          </w:p>
          <w:p w14:paraId="7F2C455C">
            <w:pPr>
              <w:spacing w:line="430" w:lineRule="exact"/>
              <w:rPr>
                <w:rFonts w:hint="eastAsia" w:asciiTheme="minorEastAsia" w:hAnsiTheme="minorEastAsia" w:eastAsiaTheme="minorEastAsia"/>
                <w:szCs w:val="21"/>
                <w:highlight w:val="none"/>
              </w:rPr>
            </w:pPr>
            <w:r>
              <w:rPr>
                <w:rFonts w:hint="eastAsia" w:ascii="宋体" w:hAnsi="宋体" w:cs="宋体"/>
                <w:szCs w:val="21"/>
                <w:highlight w:val="none"/>
              </w:rPr>
              <w:t>服务需求评审中未标注“▲”号允许负偏离的条款数为</w:t>
            </w:r>
            <w:r>
              <w:rPr>
                <w:rFonts w:hint="eastAsia" w:ascii="宋体" w:hAnsi="宋体" w:cs="宋体"/>
                <w:szCs w:val="21"/>
                <w:highlight w:val="none"/>
                <w:u w:val="single"/>
              </w:rPr>
              <w:t xml:space="preserve"> 0</w:t>
            </w:r>
            <w:r>
              <w:rPr>
                <w:rFonts w:hint="eastAsia" w:ascii="宋体" w:hAnsi="宋体" w:cs="宋体"/>
                <w:szCs w:val="21"/>
                <w:highlight w:val="none"/>
              </w:rPr>
              <w:t>项。</w:t>
            </w:r>
          </w:p>
        </w:tc>
      </w:tr>
      <w:tr w14:paraId="7AE246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9" w:type="dxa"/>
            <w:vAlign w:val="center"/>
          </w:tcPr>
          <w:p w14:paraId="71A55B14">
            <w:pPr>
              <w:spacing w:line="430" w:lineRule="exact"/>
              <w:jc w:val="center"/>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特别说明</w:t>
            </w:r>
          </w:p>
        </w:tc>
        <w:tc>
          <w:tcPr>
            <w:tcW w:w="8359" w:type="dxa"/>
            <w:vAlign w:val="center"/>
          </w:tcPr>
          <w:p w14:paraId="6FA40433">
            <w:pPr>
              <w:spacing w:line="430" w:lineRule="exact"/>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截标后将进行磋商：</w:t>
            </w:r>
          </w:p>
          <w:p w14:paraId="02421523">
            <w:pPr>
              <w:spacing w:line="430" w:lineRule="exact"/>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w:t>
            </w:r>
            <w:r>
              <w:rPr>
                <w:rFonts w:asciiTheme="minorEastAsia" w:hAnsiTheme="minorEastAsia" w:eastAsiaTheme="minorEastAsia"/>
                <w:szCs w:val="21"/>
                <w:highlight w:val="none"/>
              </w:rPr>
              <w:t>1</w:t>
            </w:r>
            <w:r>
              <w:rPr>
                <w:rFonts w:hint="eastAsia" w:asciiTheme="minorEastAsia" w:hAnsiTheme="minorEastAsia" w:eastAsiaTheme="minorEastAsia"/>
                <w:szCs w:val="21"/>
                <w:highlight w:val="none"/>
              </w:rPr>
              <w:t>）委托代理人（法定代表人）请注意预留的手机号码中广西政府采购云平台系统发送的短信提示，并按照要求进行响应及报价。</w:t>
            </w:r>
          </w:p>
          <w:p w14:paraId="3C3195E3">
            <w:pPr>
              <w:spacing w:line="430" w:lineRule="exact"/>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w:t>
            </w:r>
            <w:r>
              <w:rPr>
                <w:rFonts w:asciiTheme="minorEastAsia" w:hAnsiTheme="minorEastAsia" w:eastAsiaTheme="minorEastAsia"/>
                <w:szCs w:val="21"/>
                <w:highlight w:val="none"/>
              </w:rPr>
              <w:t>2</w:t>
            </w:r>
            <w:r>
              <w:rPr>
                <w:rFonts w:hint="eastAsia" w:asciiTheme="minorEastAsia" w:hAnsiTheme="minorEastAsia" w:eastAsiaTheme="minorEastAsia"/>
                <w:szCs w:val="21"/>
                <w:highlight w:val="none"/>
              </w:rPr>
              <w:t>）进入广西政府采购云平台系统，点击页面右上角的</w:t>
            </w:r>
            <w:r>
              <w:rPr>
                <w:rFonts w:asciiTheme="minorEastAsia" w:hAnsiTheme="minorEastAsia" w:eastAsiaTheme="minorEastAsia"/>
                <w:szCs w:val="21"/>
                <w:highlight w:val="none"/>
              </w:rPr>
              <w:t>“</w:t>
            </w:r>
            <w:r>
              <w:rPr>
                <w:rFonts w:hint="eastAsia" w:asciiTheme="minorEastAsia" w:hAnsiTheme="minorEastAsia" w:eastAsiaTheme="minorEastAsia"/>
                <w:szCs w:val="21"/>
                <w:highlight w:val="none"/>
              </w:rPr>
              <w:t>待办</w:t>
            </w:r>
            <w:r>
              <w:rPr>
                <w:rFonts w:asciiTheme="minorEastAsia" w:hAnsiTheme="minorEastAsia" w:eastAsiaTheme="minorEastAsia"/>
                <w:szCs w:val="21"/>
                <w:highlight w:val="none"/>
              </w:rPr>
              <w:t>”</w:t>
            </w:r>
            <w:r>
              <w:rPr>
                <w:rFonts w:hint="eastAsia" w:asciiTheme="minorEastAsia" w:hAnsiTheme="minorEastAsia" w:eastAsiaTheme="minorEastAsia"/>
                <w:szCs w:val="21"/>
                <w:highlight w:val="none"/>
              </w:rPr>
              <w:t>，找到对应的项目，按系统提示操作。</w:t>
            </w:r>
          </w:p>
          <w:p w14:paraId="55500BD1">
            <w:pPr>
              <w:spacing w:line="430" w:lineRule="exact"/>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w:t>
            </w:r>
            <w:r>
              <w:rPr>
                <w:rFonts w:asciiTheme="minorEastAsia" w:hAnsiTheme="minorEastAsia" w:eastAsiaTheme="minorEastAsia"/>
                <w:szCs w:val="21"/>
                <w:highlight w:val="none"/>
              </w:rPr>
              <w:t>3</w:t>
            </w:r>
            <w:r>
              <w:rPr>
                <w:rFonts w:hint="eastAsia" w:asciiTheme="minorEastAsia" w:hAnsiTheme="minorEastAsia" w:eastAsiaTheme="minorEastAsia"/>
                <w:szCs w:val="21"/>
                <w:highlight w:val="none"/>
              </w:rPr>
              <w:t>）如仍无法找到，请电话咨询广西同泽工程项目管理股份有限公司。</w:t>
            </w:r>
          </w:p>
        </w:tc>
      </w:tr>
      <w:tr w14:paraId="08CAED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9" w:type="dxa"/>
            <w:vAlign w:val="center"/>
          </w:tcPr>
          <w:p w14:paraId="55B42327">
            <w:pPr>
              <w:spacing w:line="430" w:lineRule="exact"/>
              <w:jc w:val="center"/>
              <w:rPr>
                <w:rFonts w:hint="eastAsia" w:cs="宋体" w:asciiTheme="minorEastAsia" w:hAnsiTheme="minorEastAsia" w:eastAsiaTheme="minorEastAsia"/>
                <w:szCs w:val="21"/>
                <w:highlight w:val="none"/>
              </w:rPr>
            </w:pPr>
          </w:p>
        </w:tc>
        <w:tc>
          <w:tcPr>
            <w:tcW w:w="8359" w:type="dxa"/>
            <w:vAlign w:val="center"/>
          </w:tcPr>
          <w:p w14:paraId="7AB5767E">
            <w:pPr>
              <w:spacing w:line="360" w:lineRule="auto"/>
              <w:jc w:val="left"/>
              <w:rPr>
                <w:rFonts w:hint="eastAsia" w:hAnsi="宋体" w:cs="宋体"/>
                <w:b/>
                <w:highlight w:val="none"/>
              </w:rPr>
            </w:pPr>
            <w:r>
              <w:rPr>
                <w:rFonts w:hint="eastAsia" w:hAnsi="宋体" w:cs="宋体"/>
                <w:b/>
                <w:highlight w:val="none"/>
              </w:rPr>
              <w:t>特别说明：因项目存档需要，须按以下要求提供纸质竞标响应文件：</w:t>
            </w:r>
          </w:p>
          <w:p w14:paraId="1E8FAC1F">
            <w:pPr>
              <w:spacing w:line="430" w:lineRule="exact"/>
              <w:rPr>
                <w:rFonts w:hint="eastAsia" w:asciiTheme="minorEastAsia" w:hAnsiTheme="minorEastAsia" w:eastAsiaTheme="minorEastAsia"/>
                <w:szCs w:val="21"/>
                <w:highlight w:val="none"/>
              </w:rPr>
            </w:pPr>
            <w:r>
              <w:rPr>
                <w:rFonts w:hint="eastAsia" w:hAnsi="宋体" w:cs="宋体"/>
                <w:b/>
                <w:highlight w:val="none"/>
              </w:rPr>
              <w:t>中标（成交）供应商在中标通知书发出后5天内须提交3套纸质版竞标响应文件（含报价文件、资格证明文件、商务文件、技术文件。按要求加盖公章）给招标代理机构，一正二副。提交的纸质版响应文件文本必须与其上传系统的电子响应文件内容一致，不允许有篡改。如项目验收时因所提供的纸质响应文件与评标的响应文件不一致造成纠纷时，所有责任由中标人承担。</w:t>
            </w:r>
          </w:p>
        </w:tc>
      </w:tr>
    </w:tbl>
    <w:p w14:paraId="6C15FCE0">
      <w:pPr>
        <w:spacing w:line="400" w:lineRule="exact"/>
        <w:jc w:val="center"/>
        <w:rPr>
          <w:rFonts w:hint="eastAsia" w:ascii="宋体" w:hAnsi="宋体"/>
          <w:b/>
          <w:sz w:val="32"/>
          <w:szCs w:val="32"/>
          <w:highlight w:val="none"/>
        </w:rPr>
      </w:pPr>
      <w:r>
        <w:rPr>
          <w:rFonts w:ascii="宋体" w:hAnsi="宋体"/>
          <w:b/>
          <w:sz w:val="32"/>
          <w:szCs w:val="32"/>
          <w:highlight w:val="none"/>
        </w:rPr>
        <w:br w:type="page"/>
      </w:r>
      <w:r>
        <w:rPr>
          <w:rFonts w:hint="eastAsia" w:ascii="宋体" w:hAnsi="宋体"/>
          <w:b/>
          <w:sz w:val="32"/>
          <w:szCs w:val="32"/>
          <w:highlight w:val="none"/>
        </w:rPr>
        <w:t>供应商须知正文</w:t>
      </w:r>
    </w:p>
    <w:p w14:paraId="22931989">
      <w:pPr>
        <w:spacing w:line="400" w:lineRule="exact"/>
        <w:jc w:val="center"/>
        <w:rPr>
          <w:rFonts w:hint="eastAsia" w:ascii="宋体" w:hAnsi="宋体"/>
          <w:b/>
          <w:sz w:val="32"/>
          <w:szCs w:val="32"/>
          <w:highlight w:val="none"/>
        </w:rPr>
      </w:pPr>
    </w:p>
    <w:p w14:paraId="00474F80">
      <w:pPr>
        <w:spacing w:line="400" w:lineRule="exact"/>
        <w:jc w:val="center"/>
        <w:rPr>
          <w:rFonts w:hint="eastAsia" w:ascii="宋体" w:hAnsi="宋体"/>
          <w:b/>
          <w:sz w:val="32"/>
          <w:szCs w:val="32"/>
          <w:highlight w:val="none"/>
        </w:rPr>
      </w:pPr>
      <w:r>
        <w:rPr>
          <w:rFonts w:hint="eastAsia" w:ascii="宋体" w:hAnsi="宋体"/>
          <w:b/>
          <w:sz w:val="32"/>
          <w:szCs w:val="32"/>
          <w:highlight w:val="none"/>
        </w:rPr>
        <w:t>一、总则</w:t>
      </w:r>
    </w:p>
    <w:p w14:paraId="4AC193DA">
      <w:pPr>
        <w:spacing w:line="400" w:lineRule="exact"/>
        <w:rPr>
          <w:rFonts w:hint="eastAsia" w:ascii="宋体" w:hAnsi="宋体"/>
          <w:szCs w:val="21"/>
          <w:highlight w:val="none"/>
        </w:rPr>
      </w:pPr>
    </w:p>
    <w:p w14:paraId="7F51EE6E">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1.适用范围</w:t>
      </w:r>
    </w:p>
    <w:p w14:paraId="0534F131">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1.1本项目采购人、采购代理机构、供应商、磋商小组的相关行为均受《中华人民共和国政府采购法》《中华人民共和国政府采购法实施条例》</w:t>
      </w:r>
      <w:r>
        <w:rPr>
          <w:rFonts w:hint="eastAsia" w:ascii="宋体" w:hAnsi="宋体"/>
          <w:szCs w:val="21"/>
          <w:highlight w:val="none"/>
        </w:rPr>
        <w:t>《政府采购竞争性磋商采购方式管理暂行办法》《财政部关于政府采购竞争性磋商采购方式管理暂行办法有关问题的补充通知》</w:t>
      </w:r>
      <w:r>
        <w:rPr>
          <w:rFonts w:hint="eastAsia" w:ascii="宋体" w:hAnsi="宋体" w:cs="宋体"/>
          <w:szCs w:val="21"/>
          <w:highlight w:val="none"/>
        </w:rPr>
        <w:t>及本项目本级和上级财政部门政府采购有关规定的约束和保护。</w:t>
      </w:r>
    </w:p>
    <w:p w14:paraId="5B15A8C2">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1.2</w:t>
      </w:r>
      <w:r>
        <w:rPr>
          <w:rFonts w:hint="eastAsia" w:ascii="宋体" w:hAnsi="宋体" w:cs="宋体"/>
          <w:spacing w:val="-6"/>
          <w:szCs w:val="21"/>
          <w:highlight w:val="none"/>
        </w:rPr>
        <w:t>本竞争性磋商文件（以下简称磋商文件）适用于本项目的所有采购程序和环节（法律、法规另有规定的，从其规定）。</w:t>
      </w:r>
    </w:p>
    <w:p w14:paraId="68F81103">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2.定义</w:t>
      </w:r>
    </w:p>
    <w:p w14:paraId="0FB18792">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2.1“采购人”是指依法进行政府采购的国家机关、事业单位、团体组织。</w:t>
      </w:r>
    </w:p>
    <w:p w14:paraId="28AA9999">
      <w:pPr>
        <w:spacing w:line="360" w:lineRule="auto"/>
        <w:ind w:firstLine="420" w:firstLineChars="200"/>
        <w:rPr>
          <w:rFonts w:hint="eastAsia" w:ascii="宋体" w:hAnsi="宋体" w:cs="宋体"/>
          <w:szCs w:val="21"/>
          <w:highlight w:val="none"/>
          <w:u w:val="single"/>
        </w:rPr>
      </w:pPr>
      <w:r>
        <w:rPr>
          <w:rFonts w:hint="eastAsia" w:ascii="宋体" w:hAnsi="宋体" w:cs="宋体"/>
          <w:szCs w:val="21"/>
          <w:highlight w:val="none"/>
        </w:rPr>
        <w:t>2.2“采购代理机构”是指政府采购集中采购机构和集中采购机构以外的采购代理机构。</w:t>
      </w:r>
    </w:p>
    <w:p w14:paraId="33D346D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2.3“供应商”是指向采购人提供货物、工程或者服务的法人、其他组织或者自然人。</w:t>
      </w:r>
    </w:p>
    <w:p w14:paraId="4B519227">
      <w:pPr>
        <w:spacing w:line="360" w:lineRule="auto"/>
        <w:ind w:firstLine="420" w:firstLineChars="200"/>
        <w:rPr>
          <w:rFonts w:hint="eastAsia" w:ascii="宋体" w:hAnsi="宋体" w:cs="宋体"/>
          <w:szCs w:val="21"/>
          <w:highlight w:val="none"/>
        </w:rPr>
      </w:pPr>
      <w:r>
        <w:rPr>
          <w:rFonts w:hint="eastAsia" w:ascii="宋体" w:hAnsi="宋体"/>
          <w:szCs w:val="21"/>
          <w:highlight w:val="none"/>
        </w:rPr>
        <w:t>2.4“服务”是指除货物和工程以外的其他政府采购对象。</w:t>
      </w:r>
    </w:p>
    <w:p w14:paraId="1360B92A">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w:t>
      </w:r>
      <w:r>
        <w:rPr>
          <w:rFonts w:ascii="宋体" w:hAnsi="宋体" w:cs="宋体"/>
          <w:szCs w:val="21"/>
          <w:highlight w:val="none"/>
        </w:rPr>
        <w:t>5</w:t>
      </w:r>
      <w:r>
        <w:rPr>
          <w:rFonts w:hint="eastAsia" w:ascii="宋体" w:hAnsi="宋体" w:cs="宋体"/>
          <w:szCs w:val="21"/>
          <w:highlight w:val="none"/>
        </w:rPr>
        <w:t>“竞标”是指供应商按照本项目竞争性磋商公告或者邀请函规定的方式获取磋商文件、提交响应文件并希望获得标的的行为。</w:t>
      </w:r>
    </w:p>
    <w:p w14:paraId="00AC2F51">
      <w:pPr>
        <w:spacing w:line="360" w:lineRule="auto"/>
        <w:ind w:firstLine="420" w:firstLineChars="200"/>
        <w:contextualSpacing/>
        <w:rPr>
          <w:rFonts w:hint="eastAsia" w:ascii="宋体" w:hAnsi="宋体" w:cs="宋体"/>
          <w:szCs w:val="21"/>
          <w:highlight w:val="none"/>
        </w:rPr>
      </w:pPr>
      <w:r>
        <w:rPr>
          <w:rFonts w:hint="eastAsia" w:ascii="宋体" w:hAnsi="宋体" w:cs="宋体"/>
          <w:szCs w:val="21"/>
          <w:highlight w:val="none"/>
        </w:rPr>
        <w:t>2.6“书面形式”是指合同书、信件和数据电文（包括电报、电传、传真、电子数据交换和电子邮件）等可以有形地表现所载内容的形式。</w:t>
      </w:r>
    </w:p>
    <w:p w14:paraId="689FEC99">
      <w:pPr>
        <w:spacing w:line="360" w:lineRule="auto"/>
        <w:ind w:firstLine="420" w:firstLineChars="200"/>
        <w:contextualSpacing/>
        <w:rPr>
          <w:rFonts w:hint="eastAsia" w:ascii="宋体" w:hAnsi="宋体" w:cs="宋体"/>
          <w:szCs w:val="21"/>
          <w:highlight w:val="none"/>
        </w:rPr>
      </w:pPr>
      <w:r>
        <w:rPr>
          <w:rFonts w:hint="eastAsia" w:ascii="宋体" w:hAnsi="宋体" w:cs="宋体"/>
          <w:szCs w:val="21"/>
          <w:highlight w:val="none"/>
        </w:rPr>
        <w:t>2.7“响应文件”</w:t>
      </w:r>
      <w:r>
        <w:rPr>
          <w:rFonts w:hint="eastAsia" w:ascii="宋体" w:hAnsi="宋体" w:cs="宋体"/>
          <w:spacing w:val="-6"/>
          <w:szCs w:val="21"/>
          <w:highlight w:val="none"/>
        </w:rPr>
        <w:t>是指：供应商根据本磋商文件要求，编制包含资格证明、报价、商务技术等所有内容的文件。</w:t>
      </w:r>
    </w:p>
    <w:p w14:paraId="5A448FEF">
      <w:pPr>
        <w:spacing w:line="360" w:lineRule="auto"/>
        <w:ind w:firstLine="420" w:firstLineChars="200"/>
        <w:contextualSpacing/>
        <w:rPr>
          <w:rFonts w:hint="eastAsia" w:ascii="宋体" w:hAnsi="宋体" w:cs="宋体"/>
          <w:szCs w:val="21"/>
          <w:highlight w:val="none"/>
        </w:rPr>
      </w:pPr>
      <w:r>
        <w:rPr>
          <w:rFonts w:hint="eastAsia" w:ascii="宋体" w:hAnsi="宋体" w:cs="宋体"/>
          <w:szCs w:val="21"/>
          <w:highlight w:val="none"/>
        </w:rPr>
        <w:t>2.8“实质性要求”是指磋商文件中已经指明不满足则响应文件按无效响应处理的条款，或者不能负偏离的条款，或者采购需求中带“▲”的条款。</w:t>
      </w:r>
    </w:p>
    <w:p w14:paraId="1352ADC7">
      <w:pPr>
        <w:spacing w:line="360" w:lineRule="auto"/>
        <w:ind w:firstLine="420" w:firstLineChars="200"/>
        <w:contextualSpacing/>
        <w:rPr>
          <w:rFonts w:hint="eastAsia" w:ascii="宋体" w:hAnsi="宋体" w:cs="宋体"/>
          <w:szCs w:val="21"/>
          <w:highlight w:val="none"/>
        </w:rPr>
      </w:pPr>
      <w:r>
        <w:rPr>
          <w:rFonts w:hint="eastAsia" w:ascii="宋体" w:hAnsi="宋体" w:cs="宋体"/>
          <w:szCs w:val="21"/>
          <w:highlight w:val="none"/>
        </w:rPr>
        <w:t>2.9“正偏离”，是指响应文件对磋商文件“采购需求”中有关条款作出的响应优于条款要求并有利于采购人的情形。</w:t>
      </w:r>
    </w:p>
    <w:p w14:paraId="65E1589F">
      <w:pPr>
        <w:spacing w:line="360" w:lineRule="auto"/>
        <w:ind w:firstLine="420" w:firstLineChars="200"/>
        <w:contextualSpacing/>
        <w:rPr>
          <w:rFonts w:hint="eastAsia" w:ascii="宋体" w:hAnsi="宋体" w:cs="宋体"/>
          <w:szCs w:val="21"/>
          <w:highlight w:val="none"/>
        </w:rPr>
      </w:pPr>
      <w:r>
        <w:rPr>
          <w:rFonts w:ascii="宋体" w:hAnsi="宋体" w:cs="宋体"/>
          <w:szCs w:val="21"/>
          <w:highlight w:val="none"/>
        </w:rPr>
        <w:t>2.</w:t>
      </w:r>
      <w:r>
        <w:rPr>
          <w:rFonts w:hint="eastAsia" w:ascii="宋体" w:hAnsi="宋体" w:cs="宋体"/>
          <w:szCs w:val="21"/>
          <w:highlight w:val="none"/>
        </w:rPr>
        <w:t>10“负偏离”，是指响应文件对磋商文件“采购需求”中有关条款作出的响应不满足条款要求，导致采购人要求不能得到满足的情形。</w:t>
      </w:r>
    </w:p>
    <w:p w14:paraId="1111C7D9">
      <w:pPr>
        <w:spacing w:line="360" w:lineRule="auto"/>
        <w:ind w:firstLine="420" w:firstLineChars="200"/>
        <w:contextualSpacing/>
        <w:rPr>
          <w:rFonts w:hint="eastAsia" w:ascii="宋体" w:hAnsi="宋体" w:cs="宋体"/>
          <w:szCs w:val="21"/>
          <w:highlight w:val="none"/>
        </w:rPr>
      </w:pPr>
      <w:r>
        <w:rPr>
          <w:rFonts w:hint="eastAsia" w:ascii="宋体" w:hAnsi="宋体" w:cs="宋体"/>
          <w:szCs w:val="21"/>
          <w:highlight w:val="none"/>
        </w:rPr>
        <w:t>2.11“允许负偏离的条款”是指采购需求中的不属于“实质性要求”的条款。</w:t>
      </w:r>
    </w:p>
    <w:p w14:paraId="722C7B83">
      <w:pPr>
        <w:spacing w:line="360" w:lineRule="auto"/>
        <w:ind w:firstLine="420" w:firstLineChars="200"/>
        <w:contextualSpacing/>
        <w:rPr>
          <w:rFonts w:hint="eastAsia" w:ascii="宋体" w:hAnsi="宋体" w:cs="宋体"/>
          <w:szCs w:val="21"/>
          <w:highlight w:val="none"/>
        </w:rPr>
      </w:pPr>
      <w:r>
        <w:rPr>
          <w:rFonts w:hint="eastAsia" w:ascii="宋体" w:hAnsi="宋体" w:cs="宋体"/>
          <w:szCs w:val="21"/>
          <w:highlight w:val="none"/>
        </w:rPr>
        <w:t>2.</w:t>
      </w:r>
      <w:r>
        <w:rPr>
          <w:rFonts w:ascii="宋体" w:hAnsi="宋体" w:cs="宋体"/>
          <w:szCs w:val="21"/>
          <w:highlight w:val="none"/>
        </w:rPr>
        <w:t>1</w:t>
      </w:r>
      <w:r>
        <w:rPr>
          <w:rFonts w:hint="eastAsia" w:ascii="宋体" w:hAnsi="宋体" w:cs="宋体"/>
          <w:szCs w:val="21"/>
          <w:highlight w:val="none"/>
        </w:rPr>
        <w:t>2“首次报价”是指供应商提交的首次响应文件中的报价。</w:t>
      </w:r>
    </w:p>
    <w:p w14:paraId="2F8B4CD3">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3.供应商的资格条件</w:t>
      </w:r>
    </w:p>
    <w:p w14:paraId="0E0EF46D">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供应商的资格条件详见“供应商须知前附表”。</w:t>
      </w:r>
    </w:p>
    <w:p w14:paraId="6EC3AECB">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4.磋商费用</w:t>
      </w:r>
    </w:p>
    <w:p w14:paraId="6415A099">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供应商应承担参与本次采购活动有关的所有费用，包括但不限于获取磋商文件、勘查现场、编制和提交响应文件、参加磋商与应答、签订合同等，不论竞标结果如何，均应自行承担。</w:t>
      </w:r>
    </w:p>
    <w:p w14:paraId="2CBEFB5A">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5.联合体竞标</w:t>
      </w:r>
    </w:p>
    <w:p w14:paraId="35BD8982">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5.1本项目是否接受联合体竞标，详见“供应商须知前附表”。</w:t>
      </w:r>
    </w:p>
    <w:p w14:paraId="43510396">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5.2</w:t>
      </w:r>
      <w:r>
        <w:rPr>
          <w:rFonts w:hint="eastAsia" w:ascii="宋体" w:hAnsi="宋体"/>
          <w:highlight w:val="none"/>
        </w:rPr>
        <w:t>如接受联合体竞标，</w:t>
      </w:r>
      <w:r>
        <w:rPr>
          <w:rFonts w:hint="eastAsia" w:ascii="宋体" w:hAnsi="宋体" w:cs="宋体"/>
          <w:szCs w:val="21"/>
          <w:highlight w:val="none"/>
        </w:rPr>
        <w:t>联合体竞标要求详见“供应商须知前附表”。</w:t>
      </w:r>
    </w:p>
    <w:p w14:paraId="160376A6">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5.3</w:t>
      </w:r>
      <w:bookmarkStart w:id="49" w:name="_Hlk66782192"/>
      <w:r>
        <w:rPr>
          <w:rFonts w:hint="eastAsia" w:ascii="宋体" w:hAnsi="宋体"/>
          <w:szCs w:val="21"/>
          <w:highlight w:val="none"/>
        </w:rPr>
        <w:t>根据《政府采购促进中小企业发展管理办法》（财库〔2020〕46号）第九条第二款及桂财采〔2022〕30号广西壮族自治区财政厅关于进一步发挥政府采购政策功能促进企业发展的通知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w:t>
      </w:r>
      <w:r>
        <w:rPr>
          <w:rFonts w:ascii="宋体" w:hAnsi="宋体"/>
          <w:szCs w:val="21"/>
          <w:highlight w:val="none"/>
        </w:rPr>
        <w:t>4</w:t>
      </w:r>
      <w:r>
        <w:rPr>
          <w:rFonts w:hint="eastAsia" w:ascii="宋体" w:hAnsi="宋体"/>
          <w:szCs w:val="21"/>
          <w:highlight w:val="none"/>
        </w:rPr>
        <w:t>%-</w:t>
      </w:r>
      <w:r>
        <w:rPr>
          <w:rFonts w:ascii="宋体" w:hAnsi="宋体"/>
          <w:szCs w:val="21"/>
          <w:highlight w:val="none"/>
        </w:rPr>
        <w:t>6</w:t>
      </w:r>
      <w:r>
        <w:rPr>
          <w:rFonts w:hint="eastAsia" w:ascii="宋体" w:hAnsi="宋体"/>
          <w:szCs w:val="21"/>
          <w:highlight w:val="none"/>
        </w:rPr>
        <w:t>%的扣除，用扣除后的价格参加评审。</w:t>
      </w:r>
      <w:bookmarkEnd w:id="49"/>
    </w:p>
    <w:p w14:paraId="1DEB7A06">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6.转包与分包</w:t>
      </w:r>
    </w:p>
    <w:p w14:paraId="6DB5091A">
      <w:pPr>
        <w:spacing w:line="360" w:lineRule="auto"/>
        <w:ind w:left="420" w:leftChars="200"/>
        <w:rPr>
          <w:rFonts w:hint="eastAsia" w:ascii="宋体" w:hAnsi="宋体"/>
          <w:szCs w:val="21"/>
          <w:highlight w:val="none"/>
        </w:rPr>
      </w:pPr>
      <w:bookmarkStart w:id="50" w:name="_Toc254970673"/>
      <w:bookmarkStart w:id="51" w:name="_Toc254970532"/>
      <w:r>
        <w:rPr>
          <w:rFonts w:hint="eastAsia" w:ascii="宋体" w:hAnsi="宋体"/>
          <w:szCs w:val="21"/>
          <w:highlight w:val="none"/>
        </w:rPr>
        <w:t>6.1本项目不允许转包。</w:t>
      </w:r>
    </w:p>
    <w:p w14:paraId="552B0AE1">
      <w:pPr>
        <w:spacing w:line="360" w:lineRule="auto"/>
        <w:ind w:firstLine="315" w:firstLineChars="150"/>
        <w:rPr>
          <w:rFonts w:hint="eastAsia" w:ascii="宋体" w:hAnsi="宋体"/>
          <w:szCs w:val="21"/>
          <w:highlight w:val="none"/>
        </w:rPr>
      </w:pPr>
      <w:r>
        <w:rPr>
          <w:rFonts w:hint="eastAsia" w:ascii="宋体" w:hAnsi="宋体"/>
          <w:szCs w:val="21"/>
          <w:highlight w:val="none"/>
        </w:rPr>
        <w:t xml:space="preserve"> 6.2本项目是否允许分包详见“供应商须知前附表”，本项目不允许违法分包。允许分包的非主体、非关键性工作，根据法律法规规定承担该工作需要行政许可的，如该工作由供应商自行承担，供应商应具备相应的行政许可，如供应商不具备相应的行政许可必须采用分包的方式，但分包供应商应具备相应行政许可。</w:t>
      </w:r>
    </w:p>
    <w:p w14:paraId="6F4D2AE2">
      <w:pPr>
        <w:spacing w:line="360" w:lineRule="auto"/>
        <w:ind w:firstLine="315" w:firstLineChars="150"/>
        <w:rPr>
          <w:rFonts w:hint="eastAsia" w:ascii="宋体" w:hAnsi="宋体"/>
          <w:szCs w:val="21"/>
          <w:highlight w:val="none"/>
        </w:rPr>
      </w:pPr>
      <w:r>
        <w:rPr>
          <w:rFonts w:hint="eastAsia" w:ascii="宋体" w:hAnsi="宋体"/>
          <w:szCs w:val="21"/>
          <w:highlight w:val="none"/>
        </w:rPr>
        <w:t xml:space="preserve"> 6.3供应商根据磋商文件的规定和采购项目的实际情况，拟在成交后将成交项目的非主体、非关键性工作分包的，应当在响应文件中载明分包承担主体，分包承担主体应当具备相应资质条件且不得再次分包。</w:t>
      </w:r>
    </w:p>
    <w:p w14:paraId="7E731570">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7.特别说明</w:t>
      </w:r>
      <w:bookmarkEnd w:id="50"/>
      <w:bookmarkEnd w:id="51"/>
    </w:p>
    <w:p w14:paraId="200A54EA">
      <w:pPr>
        <w:spacing w:line="360" w:lineRule="auto"/>
        <w:ind w:firstLine="420" w:firstLineChars="200"/>
        <w:rPr>
          <w:rFonts w:hint="eastAsia" w:ascii="宋体" w:hAnsi="宋体" w:cs="宋体"/>
          <w:szCs w:val="21"/>
          <w:highlight w:val="none"/>
        </w:rPr>
      </w:pPr>
      <w:bookmarkStart w:id="52" w:name="_8.1提供相同品牌产品且通过资格审查、符合性审查的不同投标人参加同一合"/>
      <w:bookmarkEnd w:id="52"/>
      <w:r>
        <w:rPr>
          <w:rFonts w:hint="eastAsia" w:ascii="宋体" w:hAnsi="宋体" w:cs="宋体"/>
          <w:szCs w:val="21"/>
          <w:highlight w:val="none"/>
        </w:rPr>
        <w:t>7.</w:t>
      </w:r>
      <w:r>
        <w:rPr>
          <w:rFonts w:ascii="宋体" w:hAnsi="宋体" w:cs="宋体"/>
          <w:szCs w:val="21"/>
          <w:highlight w:val="none"/>
        </w:rPr>
        <w:t>1</w:t>
      </w:r>
      <w:bookmarkStart w:id="53" w:name="_Hlk65832145"/>
      <w:r>
        <w:rPr>
          <w:rFonts w:hint="eastAsia" w:ascii="宋体" w:hAnsi="宋体"/>
          <w:szCs w:val="21"/>
          <w:highlight w:val="none"/>
        </w:rPr>
        <w:t>如果本磋商文件要求提供供应商或制造商的资格、信誉、荣誉、业绩与企业认证等材料的，资格、信誉、荣誉、业绩与企业认证等必须为供应商或者制造商所拥有或自身获得</w:t>
      </w:r>
      <w:r>
        <w:rPr>
          <w:rFonts w:hint="eastAsia" w:ascii="宋体" w:hAnsi="宋体" w:cs="宋体"/>
          <w:szCs w:val="21"/>
          <w:highlight w:val="none"/>
        </w:rPr>
        <w:t>。</w:t>
      </w:r>
    </w:p>
    <w:bookmarkEnd w:id="53"/>
    <w:p w14:paraId="476845C9">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7.</w:t>
      </w:r>
      <w:r>
        <w:rPr>
          <w:rFonts w:ascii="宋体" w:hAnsi="宋体" w:cs="宋体"/>
          <w:szCs w:val="21"/>
          <w:highlight w:val="none"/>
        </w:rPr>
        <w:t>2</w:t>
      </w:r>
      <w:r>
        <w:rPr>
          <w:rFonts w:hint="eastAsia" w:ascii="宋体" w:hAnsi="宋体" w:cs="宋体"/>
          <w:szCs w:val="21"/>
          <w:highlight w:val="none"/>
        </w:rPr>
        <w:t>供应商应仔细阅读磋商文件的所有内容，按照磋商文件的要求提交响应文件，并对所提供的全部资料的真实性承担法律责任。</w:t>
      </w:r>
    </w:p>
    <w:p w14:paraId="064A1361">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7.</w:t>
      </w:r>
      <w:r>
        <w:rPr>
          <w:rFonts w:ascii="宋体" w:hAnsi="宋体" w:cs="宋体"/>
          <w:szCs w:val="21"/>
          <w:highlight w:val="none"/>
        </w:rPr>
        <w:t>3</w:t>
      </w:r>
      <w:r>
        <w:rPr>
          <w:rFonts w:hint="eastAsia" w:ascii="宋体" w:hAnsi="宋体" w:cs="宋体"/>
          <w:szCs w:val="21"/>
          <w:highlight w:val="none"/>
        </w:rPr>
        <w:t>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62D61E2B">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7.</w:t>
      </w:r>
      <w:r>
        <w:rPr>
          <w:rFonts w:ascii="宋体" w:hAnsi="宋体" w:cs="宋体"/>
          <w:szCs w:val="21"/>
          <w:highlight w:val="none"/>
        </w:rPr>
        <w:t>4</w:t>
      </w:r>
      <w:r>
        <w:rPr>
          <w:rFonts w:hint="eastAsia" w:ascii="宋体" w:hAnsi="宋体" w:cs="宋体"/>
          <w:szCs w:val="21"/>
          <w:highlight w:val="none"/>
        </w:rPr>
        <w:t>在政府采购活动中，采购人员及相关人员与供应商有下列利害关系之一的，应当回避：</w:t>
      </w:r>
    </w:p>
    <w:p w14:paraId="4B503EB9">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（1）参加采购活动前3年内与供应商存在劳动关系；</w:t>
      </w:r>
    </w:p>
    <w:p w14:paraId="608316A6">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（2）参加采购活动前3年内担任供应商的董事、监事；</w:t>
      </w:r>
    </w:p>
    <w:p w14:paraId="2008B72C">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（3）参加采购活动前3年内是供应商的控股股东或者实际控制人；</w:t>
      </w:r>
    </w:p>
    <w:p w14:paraId="0967D6CC">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（4）与供应商的法定代表人或者负责人有夫妻、直系血亲、三代以内旁系血亲或者近姻亲关系；</w:t>
      </w:r>
    </w:p>
    <w:p w14:paraId="6FA8125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（5）与供应商有其他可能影响政府采购活动公平、公正进行的关系。</w:t>
      </w:r>
    </w:p>
    <w:p w14:paraId="1DD4A9B0">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027E9830">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7.</w:t>
      </w:r>
      <w:r>
        <w:rPr>
          <w:rFonts w:ascii="宋体" w:hAnsi="宋体" w:cs="宋体"/>
          <w:szCs w:val="21"/>
          <w:highlight w:val="none"/>
        </w:rPr>
        <w:t>5</w:t>
      </w:r>
      <w:r>
        <w:rPr>
          <w:rFonts w:hint="eastAsia" w:ascii="宋体" w:hAnsi="宋体" w:cs="宋体"/>
          <w:szCs w:val="21"/>
          <w:highlight w:val="none"/>
        </w:rPr>
        <w:t>有下列情形之一的视为供应商相互串通竞标，响应文件将被视为无效：</w:t>
      </w:r>
    </w:p>
    <w:p w14:paraId="4DA1155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（1）不同供应商的响应文件由同一单位或者个人编制；</w:t>
      </w:r>
    </w:p>
    <w:p w14:paraId="37BCBBBF">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（2）不同供应商委托同一单位或者个人办理竞标事宜；</w:t>
      </w:r>
    </w:p>
    <w:p w14:paraId="5E7B52A5">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（3）不同的供应商的响应文件载明的项目管理员为同一个人；</w:t>
      </w:r>
    </w:p>
    <w:p w14:paraId="3C1E6FFD">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（4）不同供应商的响应文件异常一致或者报价呈规律性差异；</w:t>
      </w:r>
    </w:p>
    <w:p w14:paraId="76BB13E6">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（5）不同供应商的响应文件相互混装；</w:t>
      </w:r>
    </w:p>
    <w:p w14:paraId="01F75A57">
      <w:pPr>
        <w:tabs>
          <w:tab w:val="left" w:pos="6931"/>
        </w:tabs>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（6）不同供应商的磋商保证金从同一单位或者个人账户转出。</w:t>
      </w:r>
      <w:r>
        <w:rPr>
          <w:rFonts w:ascii="宋体" w:hAnsi="宋体" w:cs="宋体"/>
          <w:szCs w:val="21"/>
          <w:highlight w:val="none"/>
        </w:rPr>
        <w:tab/>
      </w:r>
    </w:p>
    <w:p w14:paraId="095171C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7.</w:t>
      </w:r>
      <w:r>
        <w:rPr>
          <w:rFonts w:ascii="宋体" w:hAnsi="宋体" w:cs="宋体"/>
          <w:szCs w:val="21"/>
          <w:highlight w:val="none"/>
        </w:rPr>
        <w:t>6</w:t>
      </w:r>
      <w:r>
        <w:rPr>
          <w:rFonts w:hint="eastAsia" w:ascii="宋体" w:hAnsi="宋体" w:cs="宋体"/>
          <w:szCs w:val="21"/>
          <w:highlight w:val="none"/>
        </w:rPr>
        <w:t>供应商有下列情形之一的，属于恶意串通行为，将报同级监督管理部门：</w:t>
      </w:r>
    </w:p>
    <w:p w14:paraId="1486C5A6">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（1）供应商直接或者间接从采购人或者采购代理机构处获得其他供应商的相关信息并修改其响应文件；</w:t>
      </w:r>
    </w:p>
    <w:p w14:paraId="1159406C">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（2）供应商按照采购人或者采购代理机构的授意撤换、修改响应文件；</w:t>
      </w:r>
    </w:p>
    <w:p w14:paraId="280932A2">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（3）供应商之间协商报价、技术方案等响应文件或者响应文件的实质性内容；</w:t>
      </w:r>
    </w:p>
    <w:p w14:paraId="03E84650">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（4）属于同一集团、协会、商会等组织成员的供应商按照该组织要求协同参加政府采购活动；</w:t>
      </w:r>
    </w:p>
    <w:p w14:paraId="00DE118B">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（5）供应商之间事先约定一致抬高或者压低报价，或者在政府采购活动中事先约定轮流以高价位或者低价位成交，或者事先约定由某一特定供应商成交，然后再参加竞标；</w:t>
      </w:r>
    </w:p>
    <w:p w14:paraId="6253AC3E">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（6）供应商之间商定部分供应商放弃参加政府采购活动或者放弃成交；</w:t>
      </w:r>
    </w:p>
    <w:p w14:paraId="3F03A532">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（7）供应商与采购人或者采购代理机构之间、供应商相互之间，为谋求特定供应商成交或者排斥其他供应商的其他串通行为。</w:t>
      </w:r>
    </w:p>
    <w:p w14:paraId="09E5549F">
      <w:pPr>
        <w:spacing w:line="360" w:lineRule="auto"/>
        <w:rPr>
          <w:rFonts w:hint="eastAsia" w:ascii="宋体" w:hAnsi="宋体"/>
          <w:highlight w:val="none"/>
        </w:rPr>
      </w:pPr>
      <w:bookmarkStart w:id="54" w:name="_Toc254970675"/>
      <w:bookmarkStart w:id="55" w:name="_Toc254970534"/>
    </w:p>
    <w:p w14:paraId="3DEC08FD">
      <w:pPr>
        <w:spacing w:line="360" w:lineRule="auto"/>
        <w:jc w:val="center"/>
        <w:rPr>
          <w:rFonts w:hint="eastAsia" w:ascii="宋体" w:hAnsi="宋体"/>
          <w:b/>
          <w:bCs/>
          <w:sz w:val="32"/>
          <w:szCs w:val="32"/>
          <w:highlight w:val="none"/>
        </w:rPr>
      </w:pPr>
    </w:p>
    <w:p w14:paraId="2321B8B7">
      <w:pPr>
        <w:spacing w:line="360" w:lineRule="auto"/>
        <w:jc w:val="center"/>
        <w:rPr>
          <w:rFonts w:hint="eastAsia" w:ascii="宋体" w:hAnsi="宋体"/>
          <w:b/>
          <w:bCs/>
          <w:sz w:val="32"/>
          <w:szCs w:val="32"/>
          <w:highlight w:val="none"/>
        </w:rPr>
      </w:pPr>
    </w:p>
    <w:p w14:paraId="5FB8000C">
      <w:pPr>
        <w:spacing w:line="360" w:lineRule="auto"/>
        <w:jc w:val="center"/>
        <w:rPr>
          <w:rFonts w:hint="eastAsia" w:ascii="宋体" w:hAnsi="宋体"/>
          <w:b/>
          <w:bCs/>
          <w:sz w:val="32"/>
          <w:szCs w:val="32"/>
          <w:highlight w:val="none"/>
        </w:rPr>
      </w:pPr>
    </w:p>
    <w:p w14:paraId="30E6B5B6">
      <w:pPr>
        <w:spacing w:line="360" w:lineRule="auto"/>
        <w:jc w:val="center"/>
        <w:rPr>
          <w:rFonts w:hint="eastAsia" w:ascii="宋体" w:hAnsi="宋体"/>
          <w:b/>
          <w:bCs/>
          <w:sz w:val="32"/>
          <w:szCs w:val="32"/>
          <w:highlight w:val="none"/>
        </w:rPr>
      </w:pPr>
      <w:r>
        <w:rPr>
          <w:rFonts w:hint="eastAsia" w:ascii="宋体" w:hAnsi="宋体"/>
          <w:b/>
          <w:bCs/>
          <w:sz w:val="32"/>
          <w:szCs w:val="32"/>
          <w:highlight w:val="none"/>
        </w:rPr>
        <w:t>二、磋商文件</w:t>
      </w:r>
      <w:bookmarkEnd w:id="54"/>
      <w:bookmarkEnd w:id="55"/>
    </w:p>
    <w:p w14:paraId="1DD5C96E">
      <w:pPr>
        <w:spacing w:line="360" w:lineRule="auto"/>
        <w:rPr>
          <w:rFonts w:hint="eastAsia" w:ascii="宋体" w:hAnsi="宋体"/>
          <w:szCs w:val="21"/>
          <w:highlight w:val="none"/>
        </w:rPr>
      </w:pPr>
    </w:p>
    <w:p w14:paraId="2D9D5149">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8.磋商文件的构成</w:t>
      </w:r>
    </w:p>
    <w:p w14:paraId="07442C93">
      <w:pPr>
        <w:spacing w:line="360" w:lineRule="auto"/>
        <w:ind w:firstLine="420" w:firstLineChars="200"/>
        <w:jc w:val="left"/>
        <w:rPr>
          <w:rFonts w:hint="eastAsia" w:ascii="宋体" w:hAnsi="宋体"/>
          <w:szCs w:val="21"/>
          <w:highlight w:val="none"/>
        </w:rPr>
      </w:pPr>
      <w:r>
        <w:rPr>
          <w:rFonts w:hint="eastAsia" w:ascii="宋体" w:hAnsi="宋体"/>
          <w:szCs w:val="21"/>
          <w:highlight w:val="none"/>
        </w:rPr>
        <w:t>（1）竞争性磋商公告；</w:t>
      </w:r>
    </w:p>
    <w:p w14:paraId="5D6EA8B7">
      <w:pPr>
        <w:spacing w:line="360" w:lineRule="auto"/>
        <w:ind w:firstLine="420" w:firstLineChars="200"/>
        <w:jc w:val="left"/>
        <w:rPr>
          <w:rFonts w:hint="eastAsia" w:ascii="宋体" w:hAnsi="宋体"/>
          <w:szCs w:val="21"/>
          <w:highlight w:val="none"/>
        </w:rPr>
      </w:pPr>
      <w:r>
        <w:rPr>
          <w:rFonts w:hint="eastAsia" w:ascii="宋体" w:hAnsi="宋体"/>
          <w:szCs w:val="21"/>
          <w:highlight w:val="none"/>
        </w:rPr>
        <w:t>（2）供应商须知；</w:t>
      </w:r>
    </w:p>
    <w:p w14:paraId="794B5FD9">
      <w:pPr>
        <w:spacing w:line="360" w:lineRule="auto"/>
        <w:ind w:firstLine="420" w:firstLineChars="200"/>
        <w:jc w:val="left"/>
        <w:rPr>
          <w:rFonts w:hint="eastAsia" w:ascii="宋体" w:hAnsi="宋体"/>
          <w:szCs w:val="21"/>
          <w:highlight w:val="none"/>
        </w:rPr>
      </w:pPr>
      <w:r>
        <w:rPr>
          <w:rFonts w:hint="eastAsia" w:ascii="宋体" w:hAnsi="宋体"/>
          <w:szCs w:val="21"/>
          <w:highlight w:val="none"/>
        </w:rPr>
        <w:t>（3）采购需求；</w:t>
      </w:r>
    </w:p>
    <w:p w14:paraId="5BA91333">
      <w:pPr>
        <w:spacing w:line="360" w:lineRule="auto"/>
        <w:ind w:firstLine="420" w:firstLineChars="200"/>
        <w:jc w:val="left"/>
        <w:rPr>
          <w:rFonts w:hint="eastAsia" w:ascii="宋体" w:hAnsi="宋体"/>
          <w:szCs w:val="21"/>
          <w:highlight w:val="none"/>
        </w:rPr>
      </w:pPr>
      <w:r>
        <w:rPr>
          <w:rFonts w:hint="eastAsia" w:ascii="宋体" w:hAnsi="宋体"/>
          <w:szCs w:val="21"/>
          <w:highlight w:val="none"/>
        </w:rPr>
        <w:t>（4）评审程序、评审方法和评审标准；</w:t>
      </w:r>
    </w:p>
    <w:p w14:paraId="00525FAD">
      <w:pPr>
        <w:spacing w:line="360" w:lineRule="auto"/>
        <w:ind w:firstLine="420" w:firstLineChars="200"/>
        <w:jc w:val="left"/>
        <w:rPr>
          <w:rFonts w:hint="eastAsia" w:ascii="宋体" w:hAnsi="宋体"/>
          <w:szCs w:val="21"/>
          <w:highlight w:val="none"/>
        </w:rPr>
      </w:pPr>
      <w:r>
        <w:rPr>
          <w:rFonts w:hint="eastAsia" w:ascii="宋体" w:hAnsi="宋体"/>
          <w:szCs w:val="21"/>
          <w:highlight w:val="none"/>
        </w:rPr>
        <w:t>（5）响应文件格式；</w:t>
      </w:r>
    </w:p>
    <w:p w14:paraId="732D22A5">
      <w:pPr>
        <w:spacing w:line="360" w:lineRule="auto"/>
        <w:ind w:firstLine="420" w:firstLineChars="200"/>
        <w:jc w:val="left"/>
        <w:rPr>
          <w:rFonts w:hint="eastAsia" w:ascii="宋体" w:hAnsi="宋体"/>
          <w:szCs w:val="21"/>
          <w:highlight w:val="none"/>
        </w:rPr>
      </w:pPr>
      <w:r>
        <w:rPr>
          <w:rFonts w:hint="eastAsia" w:ascii="宋体" w:hAnsi="宋体"/>
          <w:szCs w:val="21"/>
          <w:highlight w:val="none"/>
        </w:rPr>
        <w:t>（6）合同文本。</w:t>
      </w:r>
    </w:p>
    <w:p w14:paraId="259719FE">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9.供应商的询问</w:t>
      </w:r>
    </w:p>
    <w:p w14:paraId="30CCE57D">
      <w:pPr>
        <w:spacing w:line="360" w:lineRule="auto"/>
        <w:ind w:firstLine="420" w:firstLineChars="200"/>
        <w:rPr>
          <w:rFonts w:hint="eastAsia" w:ascii="宋体" w:hAnsi="宋体"/>
          <w:szCs w:val="21"/>
          <w:highlight w:val="none"/>
        </w:rPr>
      </w:pPr>
      <w:r>
        <w:rPr>
          <w:rFonts w:hint="eastAsia" w:ascii="宋体" w:hAnsi="宋体"/>
          <w:szCs w:val="21"/>
          <w:highlight w:val="none"/>
        </w:rPr>
        <w:t>供应商应认真阅读磋商文件的采购需求，如供应商对磋商文件有疑问的，如要求采购人作出澄清或者修改的，供应商尽可能在</w:t>
      </w:r>
      <w:r>
        <w:rPr>
          <w:rFonts w:ascii="宋体" w:hAnsi="宋体"/>
          <w:szCs w:val="21"/>
          <w:highlight w:val="none"/>
        </w:rPr>
        <w:t>提交首次响应文件截止之日前</w:t>
      </w:r>
      <w:r>
        <w:rPr>
          <w:rFonts w:hint="eastAsia" w:ascii="宋体" w:hAnsi="宋体"/>
          <w:szCs w:val="21"/>
          <w:highlight w:val="none"/>
        </w:rPr>
        <w:t>，以书面形式向</w:t>
      </w:r>
      <w:r>
        <w:rPr>
          <w:rFonts w:ascii="宋体" w:hAnsi="宋体"/>
          <w:szCs w:val="21"/>
          <w:highlight w:val="none"/>
        </w:rPr>
        <w:t>采购人、采购代理机构</w:t>
      </w:r>
      <w:r>
        <w:rPr>
          <w:rFonts w:hint="eastAsia" w:ascii="宋体" w:hAnsi="宋体"/>
          <w:szCs w:val="21"/>
          <w:highlight w:val="none"/>
        </w:rPr>
        <w:t>提出。</w:t>
      </w:r>
    </w:p>
    <w:p w14:paraId="3F8CB970">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10.磋商文件的澄清和修改</w:t>
      </w:r>
    </w:p>
    <w:p w14:paraId="14B2CD0A">
      <w:pPr>
        <w:spacing w:line="360" w:lineRule="auto"/>
        <w:ind w:firstLine="420" w:firstLineChars="200"/>
        <w:rPr>
          <w:rFonts w:hint="eastAsia" w:ascii="宋体" w:hAnsi="宋体"/>
          <w:szCs w:val="21"/>
          <w:highlight w:val="none"/>
        </w:rPr>
      </w:pPr>
      <w:r>
        <w:rPr>
          <w:rFonts w:ascii="宋体" w:hAnsi="宋体"/>
          <w:szCs w:val="21"/>
          <w:highlight w:val="none"/>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w:t>
      </w:r>
      <w:r>
        <w:rPr>
          <w:rFonts w:hint="eastAsia" w:ascii="宋体" w:hAnsi="宋体"/>
          <w:szCs w:val="21"/>
          <w:highlight w:val="none"/>
        </w:rPr>
        <w:t>5个</w:t>
      </w:r>
      <w:r>
        <w:rPr>
          <w:rFonts w:ascii="宋体" w:hAnsi="宋体"/>
          <w:szCs w:val="21"/>
          <w:highlight w:val="none"/>
        </w:rPr>
        <w:t>自然</w:t>
      </w:r>
      <w:r>
        <w:rPr>
          <w:rFonts w:hint="eastAsia" w:ascii="宋体" w:hAnsi="宋体"/>
          <w:szCs w:val="21"/>
          <w:highlight w:val="none"/>
        </w:rPr>
        <w:t>日</w:t>
      </w:r>
      <w:r>
        <w:rPr>
          <w:rFonts w:ascii="宋体" w:hAnsi="宋体"/>
          <w:szCs w:val="21"/>
          <w:highlight w:val="none"/>
        </w:rPr>
        <w:t>前，以书面形式通知所有</w:t>
      </w:r>
      <w:r>
        <w:rPr>
          <w:rFonts w:hint="eastAsia" w:ascii="宋体" w:hAnsi="宋体"/>
          <w:szCs w:val="21"/>
          <w:highlight w:val="none"/>
        </w:rPr>
        <w:t>获取</w:t>
      </w:r>
      <w:r>
        <w:rPr>
          <w:rFonts w:ascii="宋体" w:hAnsi="宋体"/>
          <w:szCs w:val="21"/>
          <w:highlight w:val="none"/>
        </w:rPr>
        <w:t>磋商文件的供应商，不足5</w:t>
      </w:r>
      <w:r>
        <w:rPr>
          <w:rFonts w:hint="eastAsia" w:ascii="宋体" w:hAnsi="宋体"/>
          <w:szCs w:val="21"/>
          <w:highlight w:val="none"/>
        </w:rPr>
        <w:t>个</w:t>
      </w:r>
      <w:r>
        <w:rPr>
          <w:rFonts w:ascii="宋体" w:hAnsi="宋体"/>
          <w:szCs w:val="21"/>
          <w:highlight w:val="none"/>
        </w:rPr>
        <w:t>自然</w:t>
      </w:r>
      <w:r>
        <w:rPr>
          <w:rFonts w:hint="eastAsia" w:ascii="宋体" w:hAnsi="宋体"/>
          <w:szCs w:val="21"/>
          <w:highlight w:val="none"/>
        </w:rPr>
        <w:t>日</w:t>
      </w:r>
      <w:r>
        <w:rPr>
          <w:rFonts w:ascii="宋体" w:hAnsi="宋体"/>
          <w:szCs w:val="21"/>
          <w:highlight w:val="none"/>
        </w:rPr>
        <w:t>的，应当顺延提交首次响应文件截止之日。</w:t>
      </w:r>
    </w:p>
    <w:p w14:paraId="2A70B9D2">
      <w:pPr>
        <w:spacing w:line="360" w:lineRule="auto"/>
        <w:rPr>
          <w:rFonts w:hint="eastAsia" w:ascii="宋体" w:hAnsi="宋体"/>
          <w:szCs w:val="21"/>
          <w:highlight w:val="none"/>
        </w:rPr>
      </w:pPr>
    </w:p>
    <w:p w14:paraId="4195882D">
      <w:pPr>
        <w:spacing w:line="360" w:lineRule="auto"/>
        <w:jc w:val="center"/>
        <w:rPr>
          <w:rFonts w:hint="eastAsia" w:ascii="宋体" w:hAnsi="宋体"/>
          <w:b/>
          <w:bCs/>
          <w:szCs w:val="21"/>
          <w:highlight w:val="none"/>
        </w:rPr>
      </w:pPr>
      <w:r>
        <w:rPr>
          <w:rFonts w:hint="eastAsia" w:ascii="宋体" w:hAnsi="宋体"/>
          <w:b/>
          <w:bCs/>
          <w:sz w:val="32"/>
          <w:szCs w:val="32"/>
          <w:highlight w:val="none"/>
        </w:rPr>
        <w:t>三、响应文件的编制</w:t>
      </w:r>
    </w:p>
    <w:p w14:paraId="20960CDA">
      <w:pPr>
        <w:spacing w:line="360" w:lineRule="auto"/>
        <w:rPr>
          <w:rFonts w:hint="eastAsia" w:ascii="宋体" w:hAnsi="宋体"/>
          <w:szCs w:val="21"/>
          <w:highlight w:val="none"/>
        </w:rPr>
      </w:pPr>
    </w:p>
    <w:p w14:paraId="3777CD41">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11.响应文件的编制原则</w:t>
      </w:r>
    </w:p>
    <w:p w14:paraId="0A0A0A16">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供应商必须按照磋商文件的要求编制响应文件，并对其提交的响应文件的真实性、合法性承担法律责任。响应文件必须对磋商文件作出实质性响应。</w:t>
      </w:r>
    </w:p>
    <w:p w14:paraId="3E31AECE">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12.响应文件的组成</w:t>
      </w:r>
    </w:p>
    <w:p w14:paraId="130BF340">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12.1响应文件由资格证明文件、报价文件、商务技术文件三部分组成。</w:t>
      </w:r>
    </w:p>
    <w:p w14:paraId="4C7F8CA1">
      <w:pPr>
        <w:spacing w:line="360" w:lineRule="auto"/>
        <w:ind w:left="840" w:leftChars="200" w:hanging="420" w:hangingChars="200"/>
        <w:rPr>
          <w:rFonts w:hint="eastAsia" w:ascii="宋体" w:hAnsi="宋体" w:cs="宋体"/>
          <w:szCs w:val="21"/>
          <w:highlight w:val="none"/>
        </w:rPr>
      </w:pPr>
      <w:r>
        <w:rPr>
          <w:rFonts w:hint="eastAsia" w:ascii="宋体" w:hAnsi="宋体" w:cs="宋体"/>
          <w:szCs w:val="21"/>
          <w:highlight w:val="none"/>
        </w:rPr>
        <w:t>12.1.1资格证明文件：详见“供应商须知前附表”</w:t>
      </w:r>
    </w:p>
    <w:p w14:paraId="5442E709">
      <w:pPr>
        <w:spacing w:line="360" w:lineRule="auto"/>
        <w:ind w:left="840" w:leftChars="200" w:hanging="420" w:hangingChars="200"/>
        <w:rPr>
          <w:rFonts w:hint="eastAsia" w:ascii="宋体" w:hAnsi="宋体" w:cs="宋体"/>
          <w:szCs w:val="21"/>
          <w:highlight w:val="none"/>
        </w:rPr>
      </w:pPr>
      <w:r>
        <w:rPr>
          <w:rFonts w:hint="eastAsia" w:ascii="宋体" w:hAnsi="宋体" w:cs="宋体"/>
          <w:szCs w:val="21"/>
          <w:highlight w:val="none"/>
        </w:rPr>
        <w:t>12.1.2报价文件：详见“供应商须知前附表”</w:t>
      </w:r>
    </w:p>
    <w:p w14:paraId="25A6295A">
      <w:pPr>
        <w:spacing w:line="360" w:lineRule="auto"/>
        <w:ind w:left="840" w:leftChars="200" w:hanging="420" w:hangingChars="200"/>
        <w:rPr>
          <w:rFonts w:hint="eastAsia" w:ascii="宋体" w:hAnsi="宋体" w:cs="宋体"/>
          <w:szCs w:val="21"/>
          <w:highlight w:val="none"/>
        </w:rPr>
      </w:pPr>
      <w:r>
        <w:rPr>
          <w:rFonts w:hint="eastAsia" w:ascii="宋体" w:hAnsi="宋体" w:cs="宋体"/>
          <w:szCs w:val="21"/>
          <w:highlight w:val="none"/>
        </w:rPr>
        <w:t>12.1.3商务技术文件：详见“供应商须知前附表”</w:t>
      </w:r>
    </w:p>
    <w:p w14:paraId="728D1671">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13.计量单位</w:t>
      </w:r>
    </w:p>
    <w:p w14:paraId="29A2E876">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磋商文件已有明确规定的，使用磋商文件规定的计量单位；磋商文件没有规定的，应采用中华人民共和国法定计量单位，货币种类为人民币，否则视同未响应。</w:t>
      </w:r>
    </w:p>
    <w:p w14:paraId="69BCB0A2">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14.磋商的风险</w:t>
      </w:r>
    </w:p>
    <w:p w14:paraId="06D138C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供应商没有按照磋商文件要求提供全部资料，或者供应商没有对磋商文件在各方面作出实质性响应可能导致其响应无效，是供应商应当考虑的风险。</w:t>
      </w:r>
    </w:p>
    <w:p w14:paraId="237C02C9">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15.磋商报价</w:t>
      </w:r>
    </w:p>
    <w:p w14:paraId="6783A059">
      <w:pPr>
        <w:tabs>
          <w:tab w:val="left" w:pos="2492"/>
        </w:tabs>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15.1磋商报价应按磋商文件中“磋商报价表”格式填写。</w:t>
      </w:r>
    </w:p>
    <w:p w14:paraId="3FAB738A">
      <w:pPr>
        <w:tabs>
          <w:tab w:val="left" w:pos="2492"/>
        </w:tabs>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15.2磋商报价的内容见“供应商须知前附表”。</w:t>
      </w:r>
    </w:p>
    <w:p w14:paraId="2F7C3C9E">
      <w:pPr>
        <w:spacing w:line="360" w:lineRule="auto"/>
        <w:ind w:left="426" w:leftChars="203"/>
        <w:rPr>
          <w:rFonts w:hint="eastAsia" w:ascii="宋体" w:hAnsi="宋体" w:cs="宋体"/>
          <w:szCs w:val="21"/>
          <w:highlight w:val="none"/>
        </w:rPr>
      </w:pPr>
      <w:r>
        <w:rPr>
          <w:rFonts w:hint="eastAsia" w:ascii="宋体" w:hAnsi="宋体" w:cs="宋体"/>
          <w:szCs w:val="21"/>
          <w:highlight w:val="none"/>
        </w:rPr>
        <w:t>15.3磋商报价要求</w:t>
      </w:r>
    </w:p>
    <w:p w14:paraId="4C2E37D0">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w:t>
      </w:r>
      <w:r>
        <w:rPr>
          <w:rFonts w:ascii="宋体" w:hAnsi="宋体" w:cs="宋体"/>
          <w:szCs w:val="21"/>
          <w:highlight w:val="none"/>
        </w:rPr>
        <w:t>5.3.1</w:t>
      </w:r>
      <w:r>
        <w:rPr>
          <w:rFonts w:hint="eastAsia" w:ascii="宋体" w:hAnsi="宋体" w:cs="宋体"/>
          <w:szCs w:val="21"/>
          <w:highlight w:val="none"/>
        </w:rPr>
        <w:t>供应商的磋商报价应符合以下要求，否则响应文件按无效响应处理：</w:t>
      </w:r>
    </w:p>
    <w:p w14:paraId="24200C2B">
      <w:pPr>
        <w:spacing w:line="360" w:lineRule="auto"/>
        <w:ind w:left="420" w:leftChars="200"/>
        <w:rPr>
          <w:rFonts w:hint="eastAsia" w:ascii="宋体" w:hAnsi="宋体" w:cs="宋体"/>
          <w:szCs w:val="21"/>
          <w:highlight w:val="none"/>
        </w:rPr>
      </w:pPr>
      <w:r>
        <w:rPr>
          <w:rFonts w:hint="eastAsia" w:ascii="宋体" w:hAnsi="宋体" w:cs="宋体"/>
          <w:szCs w:val="21"/>
          <w:highlight w:val="none"/>
        </w:rPr>
        <w:t>（1）供应商必须就“采购需求”中所竞标的每个分标的全部内容分别作完整唯一总价报价，</w:t>
      </w:r>
    </w:p>
    <w:p w14:paraId="7C7F8CC8">
      <w:pPr>
        <w:spacing w:line="360" w:lineRule="auto"/>
        <w:rPr>
          <w:rFonts w:hint="eastAsia" w:ascii="宋体" w:hAnsi="宋体" w:cs="宋体"/>
          <w:szCs w:val="21"/>
          <w:highlight w:val="none"/>
        </w:rPr>
      </w:pPr>
      <w:r>
        <w:rPr>
          <w:rFonts w:hint="eastAsia" w:ascii="宋体" w:hAnsi="宋体" w:cs="宋体"/>
          <w:szCs w:val="21"/>
          <w:highlight w:val="none"/>
        </w:rPr>
        <w:t>不得存在漏项报价；</w:t>
      </w:r>
    </w:p>
    <w:p w14:paraId="4448D99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w:t>
      </w:r>
      <w:r>
        <w:rPr>
          <w:rFonts w:ascii="宋体" w:hAnsi="宋体" w:cs="宋体"/>
          <w:szCs w:val="21"/>
          <w:highlight w:val="none"/>
        </w:rPr>
        <w:t>2</w:t>
      </w:r>
      <w:r>
        <w:rPr>
          <w:rFonts w:hint="eastAsia" w:ascii="宋体" w:hAnsi="宋体" w:cs="宋体"/>
          <w:szCs w:val="21"/>
          <w:highlight w:val="none"/>
        </w:rPr>
        <w:t>）供应商必须就所竞标的分标的单项内容作唯一报价。</w:t>
      </w:r>
    </w:p>
    <w:p w14:paraId="39CFE599">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15.3.</w:t>
      </w:r>
      <w:r>
        <w:rPr>
          <w:rFonts w:ascii="宋体" w:hAnsi="宋体" w:cs="宋体"/>
          <w:szCs w:val="21"/>
          <w:highlight w:val="none"/>
        </w:rPr>
        <w:t>2</w:t>
      </w:r>
      <w:r>
        <w:rPr>
          <w:rFonts w:hint="eastAsia" w:ascii="宋体" w:hAnsi="宋体" w:cs="宋体"/>
          <w:szCs w:val="21"/>
          <w:highlight w:val="none"/>
        </w:rPr>
        <w:t>磋商报价（包含首次报价、最后报价）超过所磋商分标规定的采购预算金额或者最高限价的，其响应文件将按无效处理。</w:t>
      </w:r>
    </w:p>
    <w:p w14:paraId="77A7E875">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15.3.</w:t>
      </w:r>
      <w:r>
        <w:rPr>
          <w:rFonts w:ascii="宋体" w:hAnsi="宋体" w:cs="宋体"/>
          <w:szCs w:val="21"/>
          <w:highlight w:val="none"/>
        </w:rPr>
        <w:t>3</w:t>
      </w:r>
      <w:bookmarkStart w:id="56" w:name="_Hlk42592874"/>
      <w:r>
        <w:rPr>
          <w:rFonts w:hint="eastAsia" w:ascii="宋体" w:hAnsi="宋体" w:cs="宋体"/>
          <w:szCs w:val="21"/>
          <w:highlight w:val="none"/>
        </w:rPr>
        <w:t>磋商报价（包含首次报价、最后报价）超过分项采购预算金额或者最高限价的，其响应文件将按无效处理。</w:t>
      </w:r>
    </w:p>
    <w:bookmarkEnd w:id="56"/>
    <w:p w14:paraId="7F8DD473">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16.竞标有效期</w:t>
      </w:r>
    </w:p>
    <w:p w14:paraId="7F1C3B0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16.1竞标有效期是指为保证采购人有足够的时间在提交响应文件后完成评审、确定成交供应商、合同签订等工作而要求供应商提交的响应文件在一定时间内保持有效的期限。</w:t>
      </w:r>
    </w:p>
    <w:p w14:paraId="79119A76">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16.2 竞标有效期应由供应商按“供应商须知前附表”规定的期限作出响应。</w:t>
      </w:r>
    </w:p>
    <w:p w14:paraId="335FAB1C">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16.3供应商的响应文件在竞标有效期内均保持有效。</w:t>
      </w:r>
    </w:p>
    <w:p w14:paraId="78342FF4">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17.磋商保证金</w:t>
      </w:r>
    </w:p>
    <w:p w14:paraId="05209B3B">
      <w:pPr>
        <w:spacing w:line="360" w:lineRule="auto"/>
        <w:ind w:left="420" w:leftChars="200"/>
        <w:rPr>
          <w:rFonts w:hint="eastAsia" w:ascii="宋体" w:hAnsi="宋体" w:cs="宋体"/>
          <w:szCs w:val="21"/>
          <w:highlight w:val="none"/>
        </w:rPr>
      </w:pPr>
      <w:r>
        <w:rPr>
          <w:rFonts w:hint="eastAsia" w:ascii="宋体" w:hAnsi="宋体" w:cs="宋体"/>
          <w:szCs w:val="21"/>
          <w:highlight w:val="none"/>
        </w:rPr>
        <w:t>17.1供应商须按“供应商须知前附表”的规定提交磋商保证金。</w:t>
      </w:r>
    </w:p>
    <w:p w14:paraId="4EEFD603">
      <w:pPr>
        <w:spacing w:line="360" w:lineRule="auto"/>
        <w:ind w:left="420" w:leftChars="200"/>
        <w:rPr>
          <w:rFonts w:hint="eastAsia" w:ascii="宋体" w:hAnsi="宋体" w:cs="宋体"/>
          <w:szCs w:val="21"/>
          <w:highlight w:val="none"/>
        </w:rPr>
      </w:pPr>
      <w:r>
        <w:rPr>
          <w:rFonts w:hint="eastAsia" w:ascii="宋体" w:hAnsi="宋体" w:cs="宋体"/>
          <w:szCs w:val="21"/>
          <w:highlight w:val="none"/>
        </w:rPr>
        <w:t>17.2磋商保证金的退还</w:t>
      </w:r>
    </w:p>
    <w:p w14:paraId="61F2180A">
      <w:pPr>
        <w:spacing w:line="360" w:lineRule="auto"/>
        <w:ind w:firstLine="420" w:firstLineChars="200"/>
        <w:rPr>
          <w:rFonts w:hint="eastAsia" w:ascii="宋体" w:hAnsi="宋体" w:cs="宋体"/>
          <w:szCs w:val="21"/>
          <w:highlight w:val="none"/>
        </w:rPr>
      </w:pPr>
      <w:bookmarkStart w:id="57" w:name="_Hlk66782243"/>
      <w:r>
        <w:rPr>
          <w:rFonts w:hint="eastAsia" w:ascii="宋体" w:hAnsi="宋体" w:cs="宋体"/>
          <w:szCs w:val="21"/>
          <w:highlight w:val="none"/>
        </w:rPr>
        <w:t>未</w:t>
      </w:r>
      <w:r>
        <w:rPr>
          <w:rFonts w:hint="eastAsia" w:ascii="宋体" w:hAnsi="宋体" w:cs="宋体"/>
          <w:spacing w:val="-6"/>
          <w:szCs w:val="21"/>
          <w:highlight w:val="none"/>
        </w:rPr>
        <w:t>成交供应商的竞标保证金自成交通知书发出之日起5个工作日内退还；</w:t>
      </w:r>
      <w:r>
        <w:rPr>
          <w:rFonts w:hint="eastAsia" w:ascii="宋体" w:hAnsi="宋体" w:cs="宋体"/>
          <w:szCs w:val="21"/>
          <w:highlight w:val="none"/>
        </w:rPr>
        <w:t>成交供应商的磋商保证金自签订合同之日起5个工作日内退还。</w:t>
      </w:r>
      <w:bookmarkEnd w:id="57"/>
    </w:p>
    <w:p w14:paraId="1F912781">
      <w:pPr>
        <w:spacing w:line="360" w:lineRule="auto"/>
        <w:ind w:left="420" w:leftChars="200"/>
        <w:rPr>
          <w:rFonts w:hint="eastAsia" w:ascii="宋体" w:hAnsi="宋体" w:cs="宋体"/>
          <w:szCs w:val="21"/>
          <w:highlight w:val="none"/>
        </w:rPr>
      </w:pPr>
      <w:r>
        <w:rPr>
          <w:rFonts w:hint="eastAsia" w:ascii="宋体" w:hAnsi="宋体" w:cs="宋体"/>
          <w:szCs w:val="21"/>
          <w:highlight w:val="none"/>
        </w:rPr>
        <w:t>17.3磋商保证金不计息。</w:t>
      </w:r>
    </w:p>
    <w:p w14:paraId="1EA53A9C">
      <w:pPr>
        <w:spacing w:line="360" w:lineRule="auto"/>
        <w:ind w:left="420" w:leftChars="200"/>
        <w:rPr>
          <w:rFonts w:hint="eastAsia" w:ascii="宋体" w:hAnsi="宋体" w:cs="宋体"/>
          <w:szCs w:val="21"/>
          <w:highlight w:val="none"/>
        </w:rPr>
      </w:pPr>
      <w:r>
        <w:rPr>
          <w:rFonts w:hint="eastAsia" w:ascii="宋体" w:hAnsi="宋体" w:cs="宋体"/>
          <w:szCs w:val="21"/>
          <w:highlight w:val="none"/>
        </w:rPr>
        <w:t>17.4供应商有下列情形之一的，磋商保证金将不予退还：</w:t>
      </w:r>
    </w:p>
    <w:p w14:paraId="43C635BC">
      <w:pPr>
        <w:spacing w:line="360" w:lineRule="auto"/>
        <w:ind w:left="420" w:leftChars="200"/>
        <w:rPr>
          <w:rFonts w:hint="eastAsia" w:ascii="宋体" w:hAnsi="宋体" w:cs="宋体"/>
          <w:szCs w:val="21"/>
          <w:highlight w:val="none"/>
        </w:rPr>
      </w:pPr>
      <w:r>
        <w:rPr>
          <w:rFonts w:hint="eastAsia" w:ascii="宋体" w:hAnsi="宋体" w:cs="宋体"/>
          <w:szCs w:val="21"/>
          <w:highlight w:val="none"/>
        </w:rPr>
        <w:t>（1）供应商在提交响应文件截止时间后撤回响应文件的；</w:t>
      </w:r>
    </w:p>
    <w:p w14:paraId="26083694">
      <w:pPr>
        <w:spacing w:line="360" w:lineRule="auto"/>
        <w:ind w:left="420" w:leftChars="200"/>
        <w:rPr>
          <w:rFonts w:hint="eastAsia" w:ascii="宋体" w:hAnsi="宋体" w:cs="宋体"/>
          <w:szCs w:val="21"/>
          <w:highlight w:val="none"/>
        </w:rPr>
      </w:pPr>
      <w:r>
        <w:rPr>
          <w:rFonts w:hint="eastAsia" w:ascii="宋体" w:hAnsi="宋体"/>
          <w:szCs w:val="21"/>
          <w:highlight w:val="none"/>
        </w:rPr>
        <w:t>（2）未按规定提交履约保证金的；</w:t>
      </w:r>
    </w:p>
    <w:p w14:paraId="242297F8">
      <w:pPr>
        <w:spacing w:line="360" w:lineRule="auto"/>
        <w:ind w:left="420" w:leftChars="200"/>
        <w:rPr>
          <w:rFonts w:hint="eastAsia" w:ascii="宋体" w:hAnsi="宋体" w:cs="宋体"/>
          <w:szCs w:val="21"/>
          <w:highlight w:val="none"/>
        </w:rPr>
      </w:pPr>
      <w:r>
        <w:rPr>
          <w:rFonts w:hint="eastAsia" w:ascii="宋体" w:hAnsi="宋体" w:cs="宋体"/>
          <w:szCs w:val="21"/>
          <w:highlight w:val="none"/>
        </w:rPr>
        <w:t>（3）供应商在响应文件中提供虚假材料的；</w:t>
      </w:r>
    </w:p>
    <w:p w14:paraId="5E2CD48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（4）除因不可抗力或者磋商文件认可的情形以外，成交供应商不与采购人签订合同的；</w:t>
      </w:r>
    </w:p>
    <w:p w14:paraId="78E1BA78">
      <w:pPr>
        <w:spacing w:line="360" w:lineRule="auto"/>
        <w:ind w:left="420" w:leftChars="200"/>
        <w:rPr>
          <w:rFonts w:hint="eastAsia" w:ascii="宋体" w:hAnsi="宋体" w:cs="宋体"/>
          <w:szCs w:val="21"/>
          <w:highlight w:val="none"/>
        </w:rPr>
      </w:pPr>
      <w:r>
        <w:rPr>
          <w:rFonts w:hint="eastAsia" w:ascii="宋体" w:hAnsi="宋体" w:cs="宋体"/>
          <w:szCs w:val="21"/>
          <w:highlight w:val="none"/>
        </w:rPr>
        <w:t>（5）供应商与采购人、其他供应商或者采购代理机构恶意串通的；</w:t>
      </w:r>
    </w:p>
    <w:p w14:paraId="06BB8ABA">
      <w:pPr>
        <w:spacing w:line="360" w:lineRule="auto"/>
        <w:ind w:left="420" w:leftChars="200"/>
        <w:rPr>
          <w:rFonts w:hint="eastAsia" w:ascii="宋体" w:hAnsi="宋体" w:cs="宋体"/>
          <w:szCs w:val="21"/>
          <w:highlight w:val="none"/>
        </w:rPr>
      </w:pPr>
      <w:r>
        <w:rPr>
          <w:rFonts w:hint="eastAsia" w:ascii="宋体" w:hAnsi="宋体" w:cs="宋体"/>
          <w:szCs w:val="21"/>
          <w:highlight w:val="none"/>
        </w:rPr>
        <w:t>（6）法律法规规定的其他情形。</w:t>
      </w:r>
    </w:p>
    <w:p w14:paraId="63C5C23B">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18.响应文件编制的要求</w:t>
      </w:r>
    </w:p>
    <w:p w14:paraId="34B94845">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18.1供应商应先安装“广西政府采购云平台新版客户端”（请自行前往广西政府采购云平台进行下载），并按照本项目磋商文件规定的格式和顺序和广西政府采购云平台的要求编制并加密。响应文件内容不完整、编排混乱导致响应文件被误读、漏读或者查找不到相关内容的，由此引发的后果由供应商承担。</w:t>
      </w:r>
    </w:p>
    <w:p w14:paraId="43165C0D">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18.2为确保网上操作合法、有效和安全，供应商应当在提交响应文件截止时间前完成在广西政府采购云平台的身份认证，确保在电子竞标过程中能够对相关数据电文进行加密和使用电子签章。</w:t>
      </w:r>
    </w:p>
    <w:p w14:paraId="4BD64885">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18.3响应文件须由供应商在规定位置签字、盖章（具体以供应商须知前附表或响应文件格式规定为准），否则按无效响应处理。</w:t>
      </w:r>
    </w:p>
    <w:p w14:paraId="76A9026F">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18.4响应文件中标注的供应商名称应与主体资格证明（如营业执照或者事业单位法人证书或者执业许可证或者登记证书等）及公章一致，供应商为自然人的，标注的供应商名称应与身份证姓名及签名一致，否则其响应文件按无效响应处理。</w:t>
      </w:r>
    </w:p>
    <w:p w14:paraId="4CCF60A6">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18.5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14:paraId="4ABB91C0">
      <w:pPr>
        <w:spacing w:line="360" w:lineRule="auto"/>
        <w:ind w:firstLine="482" w:firstLineChars="200"/>
        <w:rPr>
          <w:rFonts w:hint="eastAsia" w:ascii="黑体" w:hAnsi="黑体" w:eastAsia="黑体"/>
          <w:sz w:val="24"/>
          <w:highlight w:val="none"/>
        </w:rPr>
      </w:pPr>
      <w:r>
        <w:rPr>
          <w:rFonts w:hint="eastAsia" w:ascii="黑体" w:hAnsi="黑体" w:eastAsia="黑体" w:cs="宋体"/>
          <w:b/>
          <w:bCs/>
          <w:sz w:val="24"/>
          <w:highlight w:val="none"/>
        </w:rPr>
        <w:t>19.电子</w:t>
      </w:r>
      <w:r>
        <w:rPr>
          <w:rFonts w:hint="eastAsia" w:ascii="黑体" w:hAnsi="黑体" w:eastAsia="黑体"/>
          <w:b/>
          <w:sz w:val="24"/>
          <w:highlight w:val="none"/>
        </w:rPr>
        <w:t>备份响应文件</w:t>
      </w:r>
    </w:p>
    <w:p w14:paraId="18D35D9A">
      <w:pPr>
        <w:spacing w:line="360" w:lineRule="auto"/>
        <w:ind w:firstLine="420" w:firstLineChars="200"/>
        <w:rPr>
          <w:rFonts w:hint="eastAsia" w:ascii="宋体" w:hAnsi="宋体" w:cs="宋体"/>
          <w:szCs w:val="21"/>
          <w:highlight w:val="none"/>
        </w:rPr>
      </w:pPr>
      <w:r>
        <w:rPr>
          <w:rFonts w:hint="eastAsia"/>
          <w:highlight w:val="none"/>
        </w:rPr>
        <w:t>电子备份响应文件是指通过“</w:t>
      </w:r>
      <w:r>
        <w:rPr>
          <w:rFonts w:hint="eastAsia" w:ascii="宋体" w:hAnsi="宋体" w:cs="宋体"/>
          <w:szCs w:val="21"/>
          <w:highlight w:val="none"/>
        </w:rPr>
        <w:t>广西政府采购云平台新版客户端</w:t>
      </w:r>
      <w:r>
        <w:rPr>
          <w:rFonts w:hint="eastAsia"/>
          <w:highlight w:val="none"/>
        </w:rPr>
        <w:t>”在线编制生成且后缀名为“</w:t>
      </w:r>
      <w:r>
        <w:rPr>
          <w:highlight w:val="none"/>
        </w:rPr>
        <w:t>bfbs</w:t>
      </w:r>
      <w:r>
        <w:rPr>
          <w:rFonts w:hint="eastAsia"/>
          <w:highlight w:val="none"/>
        </w:rPr>
        <w:t>”的文件，是否接受电子备份响应文件</w:t>
      </w:r>
      <w:r>
        <w:rPr>
          <w:rFonts w:hint="eastAsia" w:hAnsi="宋体"/>
          <w:bCs/>
          <w:szCs w:val="21"/>
          <w:highlight w:val="none"/>
        </w:rPr>
        <w:t>详见在“供应商须知前附表”。</w:t>
      </w:r>
    </w:p>
    <w:p w14:paraId="7FBA912B">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20.响应文件的提交</w:t>
      </w:r>
    </w:p>
    <w:p w14:paraId="33600F9D">
      <w:pPr>
        <w:spacing w:line="360" w:lineRule="auto"/>
        <w:ind w:firstLine="420" w:firstLineChars="200"/>
        <w:rPr>
          <w:rFonts w:hint="eastAsia" w:hAnsi="宋体"/>
          <w:b/>
          <w:highlight w:val="none"/>
        </w:rPr>
      </w:pPr>
      <w:r>
        <w:rPr>
          <w:rFonts w:hint="eastAsia" w:hAnsi="宋体"/>
          <w:bCs/>
          <w:szCs w:val="21"/>
          <w:highlight w:val="none"/>
        </w:rPr>
        <w:t>20.1供应商必须按“供应商须知前附表”规定的</w:t>
      </w:r>
      <w:r>
        <w:rPr>
          <w:rFonts w:hint="eastAsia" w:ascii="宋体" w:hAnsi="宋体" w:cs="宋体"/>
          <w:szCs w:val="21"/>
          <w:highlight w:val="none"/>
        </w:rPr>
        <w:t>时间</w:t>
      </w:r>
      <w:r>
        <w:rPr>
          <w:rFonts w:hint="eastAsia" w:ascii="宋体" w:hAnsi="宋体"/>
          <w:szCs w:val="21"/>
          <w:highlight w:val="none"/>
        </w:rPr>
        <w:t>及</w:t>
      </w:r>
      <w:r>
        <w:rPr>
          <w:rFonts w:hint="eastAsia" w:hAnsi="宋体"/>
          <w:bCs/>
          <w:szCs w:val="21"/>
          <w:highlight w:val="none"/>
        </w:rPr>
        <w:t>地点提交响应文件。电子响应文件应在制作完成后，</w:t>
      </w:r>
      <w:r>
        <w:rPr>
          <w:rFonts w:hAnsi="宋体"/>
          <w:bCs/>
          <w:szCs w:val="21"/>
          <w:highlight w:val="none"/>
        </w:rPr>
        <w:t>在</w:t>
      </w:r>
      <w:r>
        <w:rPr>
          <w:rFonts w:hint="eastAsia" w:hAnsi="宋体"/>
          <w:bCs/>
          <w:szCs w:val="21"/>
          <w:highlight w:val="none"/>
        </w:rPr>
        <w:t>提交响应文件截止</w:t>
      </w:r>
      <w:r>
        <w:rPr>
          <w:rFonts w:hAnsi="宋体"/>
          <w:bCs/>
          <w:szCs w:val="21"/>
          <w:highlight w:val="none"/>
        </w:rPr>
        <w:t>时间前</w:t>
      </w:r>
      <w:r>
        <w:rPr>
          <w:rFonts w:hint="eastAsia" w:hAnsi="宋体"/>
          <w:bCs/>
          <w:szCs w:val="21"/>
          <w:highlight w:val="none"/>
        </w:rPr>
        <w:t>通过有效数字证书（CA认证锁）进行电子签章、加密，然后通过网络将加密的电子响应文件提交至</w:t>
      </w:r>
      <w:r>
        <w:rPr>
          <w:rFonts w:hint="eastAsia" w:ascii="宋体" w:hAnsi="宋体"/>
          <w:szCs w:val="21"/>
          <w:highlight w:val="none"/>
        </w:rPr>
        <w:t>广西政府采购云平台</w:t>
      </w:r>
      <w:r>
        <w:rPr>
          <w:rFonts w:hint="eastAsia" w:hAnsi="宋体"/>
          <w:bCs/>
          <w:szCs w:val="21"/>
          <w:highlight w:val="none"/>
        </w:rPr>
        <w:t>。</w:t>
      </w:r>
    </w:p>
    <w:p w14:paraId="0743D095">
      <w:pPr>
        <w:spacing w:line="360" w:lineRule="auto"/>
        <w:ind w:firstLine="422" w:firstLineChars="200"/>
        <w:rPr>
          <w:rFonts w:hint="eastAsia" w:ascii="宋体" w:hAnsi="宋体" w:cs="宋体"/>
          <w:szCs w:val="21"/>
          <w:highlight w:val="none"/>
        </w:rPr>
      </w:pPr>
      <w:r>
        <w:rPr>
          <w:rFonts w:hint="eastAsia" w:ascii="宋体" w:hAnsi="宋体"/>
          <w:b/>
          <w:szCs w:val="21"/>
          <w:highlight w:val="none"/>
        </w:rPr>
        <w:t>20.</w:t>
      </w:r>
      <w:r>
        <w:rPr>
          <w:rFonts w:ascii="宋体" w:hAnsi="宋体"/>
          <w:b/>
          <w:szCs w:val="21"/>
          <w:highlight w:val="none"/>
        </w:rPr>
        <w:t>2</w:t>
      </w:r>
      <w:r>
        <w:rPr>
          <w:rFonts w:hint="eastAsia" w:ascii="宋体" w:hAnsi="宋体"/>
          <w:b/>
          <w:szCs w:val="21"/>
          <w:highlight w:val="none"/>
        </w:rPr>
        <w:t>未在规定时间内提交或者未按照磋商文件要求加密的电子响应文件，广西政府采购云平台将拒收。</w:t>
      </w:r>
    </w:p>
    <w:p w14:paraId="4FA58FBD">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21.首次响应文件的补充、修改与撤回</w:t>
      </w:r>
    </w:p>
    <w:p w14:paraId="1D881490">
      <w:pPr>
        <w:snapToGrid w:val="0"/>
        <w:spacing w:line="360" w:lineRule="auto"/>
        <w:ind w:firstLine="420"/>
        <w:jc w:val="left"/>
        <w:rPr>
          <w:rFonts w:hint="eastAsia" w:ascii="宋体" w:hAnsi="宋体"/>
          <w:szCs w:val="21"/>
          <w:highlight w:val="none"/>
        </w:rPr>
      </w:pPr>
      <w:bookmarkStart w:id="58" w:name="_Toc254970543"/>
      <w:bookmarkStart w:id="59" w:name="_Toc254970684"/>
      <w:r>
        <w:rPr>
          <w:rFonts w:ascii="宋体" w:hAnsi="宋体" w:cs="宋体"/>
          <w:szCs w:val="21"/>
          <w:highlight w:val="none"/>
        </w:rPr>
        <w:t>2</w:t>
      </w:r>
      <w:r>
        <w:rPr>
          <w:rFonts w:hint="eastAsia" w:ascii="宋体" w:hAnsi="宋体" w:cs="宋体"/>
          <w:szCs w:val="21"/>
          <w:highlight w:val="none"/>
        </w:rPr>
        <w:t>1.1</w:t>
      </w:r>
      <w:r>
        <w:rPr>
          <w:rFonts w:hint="eastAsia" w:ascii="宋体" w:hAnsi="宋体"/>
          <w:bCs/>
          <w:szCs w:val="21"/>
          <w:highlight w:val="none"/>
        </w:rPr>
        <w:t>供应商应当在</w:t>
      </w:r>
      <w:r>
        <w:rPr>
          <w:rFonts w:hint="eastAsia" w:hAnsi="宋体"/>
          <w:bCs/>
          <w:szCs w:val="21"/>
          <w:highlight w:val="none"/>
        </w:rPr>
        <w:t>提交响应文件截止</w:t>
      </w:r>
      <w:r>
        <w:rPr>
          <w:rFonts w:hAnsi="宋体"/>
          <w:bCs/>
          <w:szCs w:val="21"/>
          <w:highlight w:val="none"/>
        </w:rPr>
        <w:t>时间</w:t>
      </w:r>
      <w:r>
        <w:rPr>
          <w:rFonts w:hint="eastAsia" w:ascii="宋体" w:hAnsi="宋体"/>
          <w:bCs/>
          <w:szCs w:val="21"/>
          <w:highlight w:val="none"/>
        </w:rPr>
        <w:t>前完成电子响应文件的提交（上传），</w:t>
      </w:r>
      <w:r>
        <w:rPr>
          <w:rFonts w:hint="eastAsia" w:hAnsi="宋体"/>
          <w:bCs/>
          <w:szCs w:val="21"/>
          <w:highlight w:val="none"/>
        </w:rPr>
        <w:t>提交响应文件截止</w:t>
      </w:r>
      <w:r>
        <w:rPr>
          <w:rFonts w:hAnsi="宋体"/>
          <w:bCs/>
          <w:szCs w:val="21"/>
          <w:highlight w:val="none"/>
        </w:rPr>
        <w:t>时间</w:t>
      </w:r>
      <w:r>
        <w:rPr>
          <w:rFonts w:hint="eastAsia" w:hAnsi="宋体"/>
          <w:bCs/>
          <w:szCs w:val="21"/>
          <w:highlight w:val="none"/>
        </w:rPr>
        <w:t>前</w:t>
      </w:r>
      <w:r>
        <w:rPr>
          <w:rFonts w:hint="eastAsia" w:ascii="宋体" w:hAnsi="宋体"/>
          <w:bCs/>
          <w:szCs w:val="21"/>
          <w:highlight w:val="none"/>
        </w:rPr>
        <w:t>可以补充、修改或者撤回响应文件。补充或者修改响应文件的，应当先行撤回原响应文件，补充、修改后重新提交（上传），</w:t>
      </w:r>
      <w:r>
        <w:rPr>
          <w:rFonts w:hint="eastAsia" w:hAnsi="宋体"/>
          <w:bCs/>
          <w:szCs w:val="21"/>
          <w:highlight w:val="none"/>
        </w:rPr>
        <w:t>提交响应文件截止</w:t>
      </w:r>
      <w:r>
        <w:rPr>
          <w:rFonts w:hAnsi="宋体"/>
          <w:bCs/>
          <w:szCs w:val="21"/>
          <w:highlight w:val="none"/>
        </w:rPr>
        <w:t>时间</w:t>
      </w:r>
      <w:r>
        <w:rPr>
          <w:rFonts w:hint="eastAsia" w:hAnsi="宋体"/>
          <w:bCs/>
          <w:szCs w:val="21"/>
          <w:highlight w:val="none"/>
        </w:rPr>
        <w:t>前</w:t>
      </w:r>
      <w:r>
        <w:rPr>
          <w:rFonts w:hint="eastAsia" w:ascii="宋体" w:hAnsi="宋体"/>
          <w:bCs/>
          <w:szCs w:val="21"/>
          <w:highlight w:val="none"/>
        </w:rPr>
        <w:t>未完成提交（上传）的，视为撤回响应文件。</w:t>
      </w:r>
      <w:r>
        <w:rPr>
          <w:rFonts w:hint="eastAsia" w:hAnsi="宋体"/>
          <w:bCs/>
          <w:szCs w:val="21"/>
          <w:highlight w:val="none"/>
        </w:rPr>
        <w:t>提交响应文件截止</w:t>
      </w:r>
      <w:r>
        <w:rPr>
          <w:rFonts w:hAnsi="宋体"/>
          <w:bCs/>
          <w:szCs w:val="21"/>
          <w:highlight w:val="none"/>
        </w:rPr>
        <w:t>时间</w:t>
      </w:r>
      <w:r>
        <w:rPr>
          <w:rFonts w:hint="eastAsia" w:ascii="宋体" w:hAnsi="宋体"/>
          <w:bCs/>
          <w:szCs w:val="21"/>
          <w:highlight w:val="none"/>
        </w:rPr>
        <w:t>以后提交（上传）的响应文件，广西政府采购云平台将予以拒收。</w:t>
      </w:r>
      <w:r>
        <w:rPr>
          <w:rFonts w:hint="eastAsia" w:ascii="宋体" w:hAnsi="宋体" w:cs="宋体"/>
          <w:szCs w:val="21"/>
          <w:highlight w:val="none"/>
        </w:rPr>
        <w:t>（补充、修改或者撤回方式可</w:t>
      </w:r>
      <w:r>
        <w:rPr>
          <w:rFonts w:hint="eastAsia" w:ascii="宋体" w:hAnsi="宋体"/>
          <w:szCs w:val="21"/>
          <w:highlight w:val="none"/>
        </w:rPr>
        <w:t>登录</w:t>
      </w:r>
      <w:r>
        <w:rPr>
          <w:rFonts w:hint="eastAsia" w:ascii="宋体" w:hAnsi="宋体" w:cs="宋体"/>
          <w:kern w:val="0"/>
          <w:szCs w:val="21"/>
          <w:highlight w:val="none"/>
        </w:rPr>
        <w:t>广西政府采购云平台，</w:t>
      </w:r>
      <w:r>
        <w:rPr>
          <w:rFonts w:hint="eastAsia" w:ascii="宋体" w:hAnsi="宋体"/>
          <w:szCs w:val="21"/>
          <w:highlight w:val="none"/>
        </w:rPr>
        <w:t>进入“服务中心”中查看</w:t>
      </w:r>
      <w:r>
        <w:rPr>
          <w:rFonts w:hint="eastAsia" w:ascii="宋体" w:hAnsi="宋体" w:cs="宋体"/>
          <w:szCs w:val="21"/>
          <w:highlight w:val="none"/>
        </w:rPr>
        <w:t>“电子投标文件制作与投送教程”）</w:t>
      </w:r>
    </w:p>
    <w:bookmarkEnd w:id="58"/>
    <w:bookmarkEnd w:id="59"/>
    <w:p w14:paraId="0889960F">
      <w:pPr>
        <w:pStyle w:val="30"/>
        <w:spacing w:before="0"/>
        <w:ind w:firstLine="420"/>
        <w:rPr>
          <w:rFonts w:hint="eastAsia" w:ascii="宋体" w:hAnsi="宋体" w:cs="宋体"/>
          <w:sz w:val="21"/>
          <w:szCs w:val="21"/>
          <w:highlight w:val="none"/>
        </w:rPr>
      </w:pPr>
      <w:r>
        <w:rPr>
          <w:rFonts w:ascii="宋体" w:hAnsi="宋体" w:cs="宋体"/>
          <w:sz w:val="21"/>
          <w:szCs w:val="21"/>
          <w:highlight w:val="none"/>
        </w:rPr>
        <w:t>2</w:t>
      </w:r>
      <w:r>
        <w:rPr>
          <w:rFonts w:hint="eastAsia" w:ascii="宋体" w:hAnsi="宋体" w:cs="宋体"/>
          <w:sz w:val="21"/>
          <w:szCs w:val="21"/>
          <w:highlight w:val="none"/>
        </w:rPr>
        <w:t>1</w:t>
      </w:r>
      <w:r>
        <w:rPr>
          <w:rFonts w:ascii="宋体" w:hAnsi="宋体" w:cs="宋体"/>
          <w:sz w:val="21"/>
          <w:szCs w:val="21"/>
          <w:highlight w:val="none"/>
        </w:rPr>
        <w:t>.</w:t>
      </w:r>
      <w:r>
        <w:rPr>
          <w:rFonts w:hint="eastAsia" w:ascii="宋体" w:hAnsi="宋体" w:cs="宋体"/>
          <w:sz w:val="21"/>
          <w:szCs w:val="21"/>
          <w:highlight w:val="none"/>
        </w:rPr>
        <w:t>2在提交响应文件截止时间前，除供应商补充、修改或者撤回响应文件外，任何单位和个人不得解密或提取响应文件。</w:t>
      </w:r>
    </w:p>
    <w:p w14:paraId="214E6457">
      <w:pPr>
        <w:spacing w:line="360" w:lineRule="auto"/>
        <w:ind w:firstLine="482" w:firstLineChars="200"/>
        <w:rPr>
          <w:rFonts w:hint="eastAsia" w:ascii="黑体" w:hAnsi="黑体" w:eastAsia="黑体" w:cs="宋体"/>
          <w:b/>
          <w:bCs/>
          <w:sz w:val="24"/>
          <w:highlight w:val="none"/>
        </w:rPr>
      </w:pPr>
      <w:bookmarkStart w:id="60" w:name="_Hlk45702405"/>
      <w:r>
        <w:rPr>
          <w:rFonts w:hint="eastAsia" w:ascii="黑体" w:hAnsi="黑体" w:eastAsia="黑体" w:cs="宋体"/>
          <w:b/>
          <w:bCs/>
          <w:sz w:val="24"/>
          <w:highlight w:val="none"/>
        </w:rPr>
        <w:t>22.响应文件的退回</w:t>
      </w:r>
    </w:p>
    <w:p w14:paraId="576C1B7F">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采购人和采购代理机构对已提交的响应文件概不退回。</w:t>
      </w:r>
    </w:p>
    <w:p w14:paraId="6967B252">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23.截止时间后的撤回</w:t>
      </w:r>
    </w:p>
    <w:p w14:paraId="4A30F62A">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供应商在响应文件提交截止时间后向采购人、采购代理机构书面申请撤回响应文件的，将根据本须知正文17.4的规定不予退还其磋商保证金。</w:t>
      </w:r>
    </w:p>
    <w:bookmarkEnd w:id="60"/>
    <w:p w14:paraId="53608532">
      <w:pPr>
        <w:spacing w:line="360" w:lineRule="auto"/>
        <w:rPr>
          <w:rFonts w:hint="eastAsia" w:ascii="宋体" w:hAnsi="宋体"/>
          <w:szCs w:val="21"/>
          <w:highlight w:val="none"/>
        </w:rPr>
      </w:pPr>
    </w:p>
    <w:p w14:paraId="38E2A422">
      <w:pPr>
        <w:spacing w:line="360" w:lineRule="auto"/>
        <w:ind w:left="420" w:firstLine="420"/>
        <w:jc w:val="center"/>
        <w:rPr>
          <w:rFonts w:hint="eastAsia" w:ascii="宋体" w:hAnsi="宋体"/>
          <w:b/>
          <w:bCs/>
          <w:sz w:val="32"/>
          <w:szCs w:val="32"/>
          <w:highlight w:val="none"/>
        </w:rPr>
      </w:pPr>
      <w:r>
        <w:rPr>
          <w:rFonts w:hint="eastAsia" w:ascii="宋体" w:hAnsi="宋体"/>
          <w:b/>
          <w:bCs/>
          <w:sz w:val="32"/>
          <w:szCs w:val="32"/>
          <w:highlight w:val="none"/>
        </w:rPr>
        <w:t>四、评审及磋商</w:t>
      </w:r>
    </w:p>
    <w:p w14:paraId="69BF8570">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24.磋商小组成立</w:t>
      </w:r>
    </w:p>
    <w:p w14:paraId="736F18C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24.1磋商小组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0815F372">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4D29009B">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24.3</w:t>
      </w:r>
      <w:r>
        <w:rPr>
          <w:rFonts w:hint="eastAsia" w:hAnsi="宋体"/>
          <w:bCs/>
          <w:szCs w:val="21"/>
          <w:highlight w:val="none"/>
        </w:rPr>
        <w:t>采购代理机构</w:t>
      </w:r>
      <w:r>
        <w:rPr>
          <w:rFonts w:hint="eastAsia" w:hAnsi="宋体"/>
          <w:bCs/>
          <w:highlight w:val="none"/>
        </w:rPr>
        <w:t>应当</w:t>
      </w:r>
      <w:r>
        <w:rPr>
          <w:rFonts w:hint="eastAsia" w:hAnsi="宋体"/>
          <w:bCs/>
          <w:szCs w:val="21"/>
          <w:highlight w:val="none"/>
        </w:rPr>
        <w:t>基于广西政府采购云平台</w:t>
      </w:r>
      <w:r>
        <w:rPr>
          <w:rFonts w:hint="eastAsia" w:hAnsi="宋体"/>
          <w:bCs/>
          <w:highlight w:val="none"/>
        </w:rPr>
        <w:t>抽（选）取</w:t>
      </w:r>
      <w:r>
        <w:rPr>
          <w:rFonts w:hint="eastAsia" w:hAnsi="宋体"/>
          <w:bCs/>
          <w:szCs w:val="21"/>
          <w:highlight w:val="none"/>
        </w:rPr>
        <w:t>评审专家。</w:t>
      </w:r>
    </w:p>
    <w:p w14:paraId="390909E2">
      <w:pPr>
        <w:spacing w:line="360" w:lineRule="auto"/>
        <w:ind w:firstLine="482" w:firstLineChars="200"/>
        <w:rPr>
          <w:rFonts w:hint="eastAsia" w:ascii="黑体" w:hAnsi="黑体" w:eastAsia="黑体" w:cs="宋体"/>
          <w:b/>
          <w:bCs/>
          <w:sz w:val="24"/>
          <w:highlight w:val="none"/>
        </w:rPr>
      </w:pPr>
      <w:r>
        <w:rPr>
          <w:rFonts w:ascii="黑体" w:hAnsi="黑体" w:eastAsia="黑体" w:cs="宋体"/>
          <w:b/>
          <w:bCs/>
          <w:sz w:val="24"/>
          <w:highlight w:val="none"/>
        </w:rPr>
        <w:t>25.</w:t>
      </w:r>
      <w:r>
        <w:rPr>
          <w:rFonts w:hint="eastAsia" w:ascii="黑体" w:hAnsi="黑体" w:eastAsia="黑体" w:cs="宋体"/>
          <w:b/>
          <w:bCs/>
          <w:sz w:val="24"/>
          <w:highlight w:val="none"/>
        </w:rPr>
        <w:t>首次响应文件的开启和解密</w:t>
      </w:r>
    </w:p>
    <w:p w14:paraId="2ACCF932">
      <w:pPr>
        <w:spacing w:line="360" w:lineRule="auto"/>
        <w:ind w:firstLine="420" w:firstLineChars="200"/>
        <w:rPr>
          <w:rFonts w:hint="eastAsia" w:ascii="宋体" w:hAnsi="宋体" w:cs="宋体"/>
          <w:szCs w:val="21"/>
          <w:highlight w:val="none"/>
        </w:rPr>
      </w:pPr>
      <w:r>
        <w:rPr>
          <w:rFonts w:hint="eastAsia" w:hAnsi="宋体"/>
          <w:bCs/>
          <w:highlight w:val="none"/>
        </w:rPr>
        <w:t>采购代理机构将在“供应商须知前附表”规定的时</w:t>
      </w:r>
      <w:r>
        <w:rPr>
          <w:rFonts w:hint="eastAsia" w:hAnsi="宋体"/>
          <w:highlight w:val="none"/>
        </w:rPr>
        <w:t>间通过电子交易平台组织响应文件开启，供应商的法定代表人或其委托代理人须携带加密时所用的CA锁，按平台提示和磋商文件的规定登录到广西政府采购云平台电子开标大厅签到，</w:t>
      </w:r>
      <w:r>
        <w:rPr>
          <w:rFonts w:hint="eastAsia"/>
          <w:highlight w:val="none"/>
        </w:rPr>
        <w:t>采购代理机构依托广西政府采购云平台向各供应商发出电子加密响应文件【开始解密】通知，由供应商按</w:t>
      </w:r>
      <w:r>
        <w:rPr>
          <w:rFonts w:hint="eastAsia" w:hAnsi="宋体"/>
          <w:bCs/>
          <w:szCs w:val="21"/>
          <w:highlight w:val="none"/>
        </w:rPr>
        <w:t>“供应商须知前附表”</w:t>
      </w:r>
      <w:r>
        <w:rPr>
          <w:rFonts w:hint="eastAsia"/>
          <w:highlight w:val="none"/>
        </w:rPr>
        <w:t>规定的时间内自行进行响应文件解密</w:t>
      </w:r>
      <w:r>
        <w:rPr>
          <w:rFonts w:hint="eastAsia" w:hAnsi="宋体"/>
          <w:highlight w:val="none"/>
        </w:rPr>
        <w:t>。</w:t>
      </w:r>
      <w:r>
        <w:rPr>
          <w:rFonts w:hint="eastAsia"/>
          <w:b/>
          <w:highlight w:val="none"/>
        </w:rPr>
        <w:t>供应商未在</w:t>
      </w:r>
      <w:r>
        <w:rPr>
          <w:b/>
          <w:highlight w:val="none"/>
        </w:rPr>
        <w:t>规定的时间内解密</w:t>
      </w:r>
      <w:r>
        <w:rPr>
          <w:rFonts w:hint="eastAsia"/>
          <w:b/>
          <w:highlight w:val="none"/>
        </w:rPr>
        <w:t>响应文件</w:t>
      </w:r>
      <w:r>
        <w:rPr>
          <w:b/>
          <w:highlight w:val="none"/>
        </w:rPr>
        <w:t>或</w:t>
      </w:r>
      <w:r>
        <w:rPr>
          <w:rFonts w:hint="eastAsia"/>
          <w:b/>
          <w:highlight w:val="none"/>
        </w:rPr>
        <w:t>者</w:t>
      </w:r>
      <w:r>
        <w:rPr>
          <w:b/>
          <w:highlight w:val="none"/>
        </w:rPr>
        <w:t>解密失败的</w:t>
      </w:r>
      <w:r>
        <w:rPr>
          <w:rFonts w:hint="eastAsia"/>
          <w:b/>
          <w:highlight w:val="none"/>
        </w:rPr>
        <w:t>，供应商</w:t>
      </w:r>
      <w:r>
        <w:rPr>
          <w:rFonts w:hint="eastAsia" w:ascii="宋体" w:hAnsi="宋体"/>
          <w:b/>
          <w:szCs w:val="21"/>
          <w:highlight w:val="none"/>
        </w:rPr>
        <w:t>的响应文件作无效处理</w:t>
      </w:r>
      <w:r>
        <w:rPr>
          <w:b/>
          <w:highlight w:val="none"/>
        </w:rPr>
        <w:t>。</w:t>
      </w:r>
    </w:p>
    <w:p w14:paraId="1480C1B1">
      <w:pPr>
        <w:spacing w:line="360" w:lineRule="auto"/>
        <w:ind w:firstLine="482" w:firstLineChars="200"/>
        <w:rPr>
          <w:rFonts w:hint="eastAsia" w:ascii="黑体" w:hAnsi="黑体" w:eastAsia="黑体" w:cs="宋体"/>
          <w:b/>
          <w:bCs/>
          <w:sz w:val="24"/>
          <w:highlight w:val="none"/>
        </w:rPr>
      </w:pPr>
      <w:r>
        <w:rPr>
          <w:rFonts w:ascii="黑体" w:hAnsi="黑体" w:eastAsia="黑体" w:cs="宋体"/>
          <w:b/>
          <w:bCs/>
          <w:sz w:val="24"/>
          <w:highlight w:val="none"/>
        </w:rPr>
        <w:t>26</w:t>
      </w:r>
      <w:r>
        <w:rPr>
          <w:rFonts w:hint="eastAsia" w:ascii="黑体" w:hAnsi="黑体" w:eastAsia="黑体" w:cs="宋体"/>
          <w:b/>
          <w:bCs/>
          <w:sz w:val="24"/>
          <w:highlight w:val="none"/>
        </w:rPr>
        <w:t>.评审程序、评审方法和评审标准</w:t>
      </w:r>
    </w:p>
    <w:p w14:paraId="2A936491">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w:t>
      </w:r>
      <w:r>
        <w:rPr>
          <w:rFonts w:ascii="宋体" w:hAnsi="宋体" w:cs="宋体"/>
          <w:szCs w:val="21"/>
          <w:highlight w:val="none"/>
        </w:rPr>
        <w:t>6</w:t>
      </w:r>
      <w:r>
        <w:rPr>
          <w:rFonts w:hint="eastAsia" w:ascii="宋体" w:hAnsi="宋体" w:cs="宋体"/>
          <w:szCs w:val="21"/>
          <w:highlight w:val="none"/>
        </w:rPr>
        <w:t>.1本项目的评审方法为综合评分法。</w:t>
      </w:r>
    </w:p>
    <w:p w14:paraId="7385CA2B">
      <w:pPr>
        <w:spacing w:line="360" w:lineRule="auto"/>
        <w:ind w:firstLine="420" w:firstLineChars="200"/>
        <w:rPr>
          <w:rFonts w:hint="eastAsia" w:ascii="宋体" w:hAnsi="宋体" w:cs="宋体"/>
          <w:szCs w:val="21"/>
          <w:highlight w:val="none"/>
        </w:rPr>
      </w:pPr>
      <w:r>
        <w:rPr>
          <w:rFonts w:ascii="宋体" w:hAnsi="宋体" w:cs="宋体"/>
          <w:szCs w:val="21"/>
          <w:highlight w:val="none"/>
        </w:rPr>
        <w:t>26.2</w:t>
      </w:r>
      <w:r>
        <w:rPr>
          <w:rFonts w:hint="eastAsia" w:ascii="宋体" w:hAnsi="宋体" w:cs="宋体"/>
          <w:szCs w:val="21"/>
          <w:highlight w:val="none"/>
        </w:rPr>
        <w:t>磋商小组</w:t>
      </w:r>
      <w:r>
        <w:rPr>
          <w:rFonts w:ascii="宋体" w:hAnsi="宋体" w:cs="宋体"/>
          <w:szCs w:val="21"/>
          <w:highlight w:val="none"/>
        </w:rPr>
        <w:t>按照</w:t>
      </w:r>
      <w:r>
        <w:rPr>
          <w:rFonts w:hint="eastAsia" w:ascii="宋体" w:hAnsi="宋体" w:cs="宋体"/>
          <w:szCs w:val="21"/>
          <w:highlight w:val="none"/>
        </w:rPr>
        <w:t>“第四章评审程序、评审方法和评审标准”</w:t>
      </w:r>
      <w:r>
        <w:rPr>
          <w:rFonts w:ascii="宋体" w:hAnsi="宋体" w:cs="宋体"/>
          <w:szCs w:val="21"/>
          <w:highlight w:val="none"/>
        </w:rPr>
        <w:t>规定的方法、评审因素、标准和程序对</w:t>
      </w:r>
      <w:r>
        <w:rPr>
          <w:rFonts w:hint="eastAsia" w:ascii="宋体" w:hAnsi="宋体" w:cs="宋体"/>
          <w:szCs w:val="21"/>
          <w:highlight w:val="none"/>
        </w:rPr>
        <w:t>响应</w:t>
      </w:r>
      <w:r>
        <w:rPr>
          <w:rFonts w:ascii="宋体" w:hAnsi="宋体" w:cs="宋体"/>
          <w:szCs w:val="21"/>
          <w:highlight w:val="none"/>
        </w:rPr>
        <w:t>文件进行评审。</w:t>
      </w:r>
    </w:p>
    <w:p w14:paraId="6EA9B600">
      <w:pPr>
        <w:spacing w:line="360" w:lineRule="auto"/>
        <w:ind w:firstLine="420" w:firstLineChars="200"/>
        <w:rPr>
          <w:rFonts w:hint="eastAsia" w:ascii="宋体" w:hAnsi="宋体"/>
          <w:szCs w:val="21"/>
          <w:highlight w:val="none"/>
        </w:rPr>
      </w:pPr>
      <w:r>
        <w:rPr>
          <w:rFonts w:hint="eastAsia" w:ascii="宋体" w:hAnsi="宋体" w:cs="宋体"/>
          <w:highlight w:val="none"/>
        </w:rPr>
        <w:t>26.3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7FB80ADE">
      <w:pPr>
        <w:spacing w:line="360" w:lineRule="auto"/>
        <w:ind w:firstLine="420" w:firstLineChars="200"/>
        <w:rPr>
          <w:rFonts w:hint="eastAsia" w:hAnsi="宋体"/>
          <w:highlight w:val="none"/>
        </w:rPr>
      </w:pPr>
      <w:r>
        <w:rPr>
          <w:rFonts w:hint="eastAsia" w:ascii="宋体" w:hAnsi="宋体" w:cs="宋体"/>
          <w:highlight w:val="none"/>
        </w:rPr>
        <w:t>2</w:t>
      </w:r>
      <w:r>
        <w:rPr>
          <w:rFonts w:ascii="宋体" w:hAnsi="宋体" w:cs="宋体"/>
          <w:highlight w:val="none"/>
        </w:rPr>
        <w:t>6.</w:t>
      </w:r>
      <w:r>
        <w:rPr>
          <w:rFonts w:hint="eastAsia" w:ascii="宋体" w:hAnsi="宋体" w:cs="宋体"/>
          <w:highlight w:val="none"/>
        </w:rPr>
        <w:t>4</w:t>
      </w:r>
      <w:r>
        <w:rPr>
          <w:rFonts w:hint="eastAsia" w:hAnsi="宋体"/>
          <w:highlight w:val="none"/>
        </w:rPr>
        <w:t>电子交易活动的中止。采购过程中出现以下情形，导致电子交易平台无法正常运行，或者无法保证电子交易的公平、公正和安全时，采购机构可中止电子交易活动：</w:t>
      </w:r>
    </w:p>
    <w:p w14:paraId="5285E401">
      <w:pPr>
        <w:spacing w:line="360" w:lineRule="auto"/>
        <w:ind w:firstLine="420" w:firstLineChars="200"/>
        <w:rPr>
          <w:rFonts w:hint="eastAsia" w:hAnsi="宋体"/>
          <w:highlight w:val="none"/>
        </w:rPr>
      </w:pPr>
      <w:r>
        <w:rPr>
          <w:rFonts w:hint="eastAsia" w:hAnsi="宋体"/>
          <w:highlight w:val="none"/>
        </w:rPr>
        <w:t>（1）电子交易平台发生故障而无法登录访问的；</w:t>
      </w:r>
    </w:p>
    <w:p w14:paraId="7588CFDB">
      <w:pPr>
        <w:spacing w:line="360" w:lineRule="auto"/>
        <w:ind w:firstLine="420" w:firstLineChars="200"/>
        <w:rPr>
          <w:rFonts w:hint="eastAsia" w:hAnsi="宋体"/>
          <w:highlight w:val="none"/>
        </w:rPr>
      </w:pPr>
      <w:r>
        <w:rPr>
          <w:rFonts w:hint="eastAsia" w:hAnsi="宋体"/>
          <w:highlight w:val="none"/>
        </w:rPr>
        <w:t>（2）电子交易平台应用或数据库出现错误，不能进行正常操作的；</w:t>
      </w:r>
    </w:p>
    <w:p w14:paraId="1C9AE811">
      <w:pPr>
        <w:spacing w:line="360" w:lineRule="auto"/>
        <w:ind w:firstLine="420" w:firstLineChars="200"/>
        <w:rPr>
          <w:rFonts w:hint="eastAsia" w:hAnsi="宋体"/>
          <w:highlight w:val="none"/>
        </w:rPr>
      </w:pPr>
      <w:r>
        <w:rPr>
          <w:rFonts w:hint="eastAsia" w:hAnsi="宋体"/>
          <w:highlight w:val="none"/>
        </w:rPr>
        <w:t>（3）电子交易平台发现严重安全漏洞，有潜在泄密危险的；</w:t>
      </w:r>
    </w:p>
    <w:p w14:paraId="7DC5900A">
      <w:pPr>
        <w:spacing w:line="360" w:lineRule="auto"/>
        <w:ind w:firstLine="420" w:firstLineChars="200"/>
        <w:rPr>
          <w:rFonts w:hint="eastAsia" w:hAnsi="宋体"/>
          <w:highlight w:val="none"/>
        </w:rPr>
      </w:pPr>
      <w:r>
        <w:rPr>
          <w:rFonts w:hint="eastAsia" w:hAnsi="宋体"/>
          <w:highlight w:val="none"/>
        </w:rPr>
        <w:t>（4）病毒发作导致不能进行正常操作的；</w:t>
      </w:r>
    </w:p>
    <w:p w14:paraId="1F33D4DC">
      <w:pPr>
        <w:spacing w:line="360" w:lineRule="auto"/>
        <w:ind w:firstLine="420" w:firstLineChars="200"/>
        <w:rPr>
          <w:rFonts w:hint="eastAsia" w:hAnsi="宋体"/>
          <w:highlight w:val="none"/>
        </w:rPr>
      </w:pPr>
      <w:r>
        <w:rPr>
          <w:rFonts w:hint="eastAsia" w:hAnsi="宋体"/>
          <w:highlight w:val="none"/>
        </w:rPr>
        <w:t>（5）其他无法保证电子交易的公平、公正和安全的情况。</w:t>
      </w:r>
    </w:p>
    <w:p w14:paraId="2279ADE7">
      <w:pPr>
        <w:spacing w:line="360" w:lineRule="auto"/>
        <w:ind w:firstLine="420" w:firstLineChars="200"/>
        <w:rPr>
          <w:rFonts w:hint="eastAsia" w:ascii="宋体" w:hAnsi="宋体" w:cs="宋体"/>
          <w:szCs w:val="21"/>
          <w:highlight w:val="none"/>
        </w:rPr>
      </w:pPr>
      <w:r>
        <w:rPr>
          <w:rFonts w:hint="eastAsia" w:ascii="宋体" w:hAnsi="宋体"/>
          <w:highlight w:val="none"/>
        </w:rPr>
        <w:t>26.5</w:t>
      </w:r>
      <w:r>
        <w:rPr>
          <w:rFonts w:hint="eastAsia" w:hAnsi="宋体"/>
          <w:highlight w:val="none"/>
        </w:rPr>
        <w:t>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作出妥善保密处理，并报财政部门备案。</w:t>
      </w:r>
    </w:p>
    <w:p w14:paraId="31113050">
      <w:pPr>
        <w:spacing w:line="360" w:lineRule="auto"/>
        <w:ind w:firstLine="482" w:firstLineChars="200"/>
        <w:rPr>
          <w:rFonts w:hint="eastAsia" w:ascii="黑体" w:hAnsi="黑体" w:eastAsia="黑体" w:cs="宋体"/>
          <w:b/>
          <w:bCs/>
          <w:sz w:val="24"/>
          <w:highlight w:val="none"/>
        </w:rPr>
      </w:pPr>
      <w:r>
        <w:rPr>
          <w:rFonts w:ascii="黑体" w:hAnsi="黑体" w:eastAsia="黑体" w:cs="宋体"/>
          <w:b/>
          <w:bCs/>
          <w:sz w:val="24"/>
          <w:highlight w:val="none"/>
        </w:rPr>
        <w:t>27</w:t>
      </w:r>
      <w:r>
        <w:rPr>
          <w:rFonts w:hint="eastAsia" w:ascii="黑体" w:hAnsi="黑体" w:eastAsia="黑体" w:cs="宋体"/>
          <w:b/>
          <w:bCs/>
          <w:sz w:val="24"/>
          <w:highlight w:val="none"/>
        </w:rPr>
        <w:t>.确定成交供应商及结果公告</w:t>
      </w:r>
    </w:p>
    <w:p w14:paraId="7B774C25">
      <w:pPr>
        <w:spacing w:line="360" w:lineRule="auto"/>
        <w:ind w:firstLine="420" w:firstLineChars="200"/>
        <w:rPr>
          <w:rFonts w:hint="eastAsia" w:ascii="宋体" w:hAnsi="宋体" w:cs="宋体"/>
          <w:szCs w:val="21"/>
          <w:highlight w:val="none"/>
        </w:rPr>
      </w:pPr>
      <w:r>
        <w:rPr>
          <w:rFonts w:ascii="宋体" w:hAnsi="宋体" w:cs="宋体"/>
          <w:szCs w:val="21"/>
          <w:highlight w:val="none"/>
        </w:rPr>
        <w:t>27</w:t>
      </w:r>
      <w:r>
        <w:rPr>
          <w:rFonts w:hint="eastAsia" w:ascii="宋体" w:hAnsi="宋体" w:cs="宋体"/>
          <w:szCs w:val="21"/>
          <w:highlight w:val="none"/>
        </w:rPr>
        <w:t>.1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2AB1148A">
      <w:pPr>
        <w:spacing w:line="360" w:lineRule="auto"/>
        <w:ind w:firstLine="420" w:firstLineChars="200"/>
        <w:rPr>
          <w:rFonts w:hint="eastAsia" w:ascii="宋体" w:hAnsi="宋体" w:cs="Courier New"/>
          <w:szCs w:val="21"/>
          <w:highlight w:val="none"/>
        </w:rPr>
      </w:pPr>
      <w:r>
        <w:rPr>
          <w:rFonts w:ascii="宋体" w:hAnsi="宋体" w:cs="宋体"/>
          <w:szCs w:val="21"/>
          <w:highlight w:val="none"/>
        </w:rPr>
        <w:t>27</w:t>
      </w:r>
      <w:r>
        <w:rPr>
          <w:rFonts w:hint="eastAsia" w:ascii="宋体" w:hAnsi="宋体" w:cs="宋体"/>
          <w:szCs w:val="21"/>
          <w:highlight w:val="none"/>
        </w:rPr>
        <w:t>.2采购代理机构应当在</w:t>
      </w:r>
      <w:r>
        <w:rPr>
          <w:rFonts w:hint="eastAsia" w:ascii="宋体" w:hAnsi="宋体" w:cs="宋体"/>
          <w:kern w:val="0"/>
          <w:szCs w:val="21"/>
          <w:highlight w:val="none"/>
        </w:rPr>
        <w:t>成交</w:t>
      </w:r>
      <w:r>
        <w:rPr>
          <w:rFonts w:hint="eastAsia" w:ascii="宋体" w:hAnsi="宋体" w:cs="宋体"/>
          <w:szCs w:val="21"/>
          <w:highlight w:val="none"/>
        </w:rPr>
        <w:t>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磋商文件一并保存。</w:t>
      </w:r>
      <w:bookmarkStart w:id="61" w:name="_Hlk66782294"/>
      <w:r>
        <w:rPr>
          <w:rFonts w:hint="eastAsia" w:ascii="宋体" w:hAnsi="宋体" w:cs="Courier New"/>
          <w:szCs w:val="21"/>
          <w:highlight w:val="none"/>
        </w:rPr>
        <w:t>成交供应商享受</w:t>
      </w:r>
      <w:r>
        <w:rPr>
          <w:rFonts w:hint="eastAsia" w:ascii="宋体" w:hAnsi="宋体"/>
          <w:szCs w:val="21"/>
          <w:highlight w:val="none"/>
        </w:rPr>
        <w:t>《政府采购促进中小企业发展管理办法》（财库〔2020〕46号）规定的中小企业扶持</w:t>
      </w:r>
      <w:r>
        <w:rPr>
          <w:rFonts w:hint="eastAsia" w:ascii="宋体" w:hAnsi="宋体" w:cs="Courier New"/>
          <w:szCs w:val="21"/>
          <w:highlight w:val="none"/>
        </w:rPr>
        <w:t>政策的，采购人、采购代理机构应当随成交结果公开成交供应商的《中小企业声明函》。</w:t>
      </w:r>
      <w:bookmarkEnd w:id="61"/>
    </w:p>
    <w:p w14:paraId="666DB797">
      <w:pPr>
        <w:spacing w:line="360" w:lineRule="auto"/>
        <w:ind w:firstLine="420" w:firstLineChars="200"/>
        <w:rPr>
          <w:rFonts w:hint="eastAsia" w:ascii="宋体" w:hAnsi="宋体" w:cs="Courier New"/>
          <w:szCs w:val="21"/>
          <w:highlight w:val="none"/>
        </w:rPr>
      </w:pPr>
      <w:r>
        <w:rPr>
          <w:rFonts w:hint="eastAsia" w:ascii="宋体" w:hAnsi="宋体" w:cs="Courier New"/>
          <w:szCs w:val="21"/>
          <w:highlight w:val="none"/>
        </w:rPr>
        <w:t>27.3出现下列情形之一的，采购人或者采购代理机构应当终止竞争性磋商采购活动，发布项目终止公告并说明原因，重新开展采购活动：</w:t>
      </w:r>
    </w:p>
    <w:p w14:paraId="1A29044F">
      <w:pPr>
        <w:spacing w:line="360" w:lineRule="auto"/>
        <w:ind w:firstLine="420" w:firstLineChars="200"/>
        <w:rPr>
          <w:rFonts w:hint="eastAsia" w:ascii="宋体" w:hAnsi="宋体" w:cs="Courier New"/>
          <w:szCs w:val="21"/>
          <w:highlight w:val="none"/>
        </w:rPr>
      </w:pPr>
      <w:r>
        <w:rPr>
          <w:rFonts w:hint="eastAsia" w:ascii="宋体" w:hAnsi="宋体" w:cs="Courier New"/>
          <w:szCs w:val="21"/>
          <w:highlight w:val="none"/>
        </w:rPr>
        <w:t>（1）因情况变化，不再符合规定的竞争性磋商采购方式适用情形的；</w:t>
      </w:r>
    </w:p>
    <w:p w14:paraId="3297061E">
      <w:pPr>
        <w:spacing w:line="360" w:lineRule="auto"/>
        <w:ind w:firstLine="420" w:firstLineChars="200"/>
        <w:rPr>
          <w:rFonts w:hint="eastAsia" w:ascii="宋体" w:hAnsi="宋体" w:cs="Courier New"/>
          <w:szCs w:val="21"/>
          <w:highlight w:val="none"/>
        </w:rPr>
      </w:pPr>
      <w:r>
        <w:rPr>
          <w:rFonts w:hint="eastAsia" w:ascii="宋体" w:hAnsi="宋体" w:cs="Courier New"/>
          <w:szCs w:val="21"/>
          <w:highlight w:val="none"/>
        </w:rPr>
        <w:t>（2）出现影响采购公正的违法、违规行为的；</w:t>
      </w:r>
    </w:p>
    <w:p w14:paraId="66D2884F">
      <w:pPr>
        <w:spacing w:line="360" w:lineRule="auto"/>
        <w:ind w:firstLine="420" w:firstLineChars="200"/>
        <w:rPr>
          <w:rFonts w:hint="eastAsia" w:ascii="宋体" w:hAnsi="宋体" w:cs="Courier New"/>
          <w:szCs w:val="21"/>
          <w:highlight w:val="none"/>
        </w:rPr>
      </w:pPr>
      <w:r>
        <w:rPr>
          <w:rFonts w:hint="eastAsia" w:ascii="宋体" w:hAnsi="宋体" w:cs="Courier New"/>
          <w:szCs w:val="21"/>
          <w:highlight w:val="none"/>
        </w:rPr>
        <w:t>（3）除“第四章评审程序、评审方法和评审标准”第4.3条规定的情形外，在采购过程中符合要求的供应商或者报价未超过采购预算的供应商不足3家的。</w:t>
      </w:r>
    </w:p>
    <w:p w14:paraId="35C42F9E">
      <w:pPr>
        <w:spacing w:line="360" w:lineRule="auto"/>
        <w:ind w:firstLine="420" w:firstLineChars="200"/>
        <w:rPr>
          <w:rFonts w:hint="eastAsia" w:ascii="宋体" w:hAnsi="宋体" w:cs="宋体"/>
          <w:szCs w:val="21"/>
          <w:highlight w:val="none"/>
        </w:rPr>
      </w:pPr>
      <w:r>
        <w:rPr>
          <w:rFonts w:hint="eastAsia" w:ascii="宋体" w:hAnsi="宋体" w:cs="Courier New"/>
          <w:szCs w:val="21"/>
          <w:highlight w:val="none"/>
        </w:rPr>
        <w:t>27.4 在采购活动中因重大变故，采购任务取消的，采购人或者采购代理机构应当终止采购活动，通知所有参加采购活动的供应商，并将项目实施情况和采购任务取消原因报送本级财政部门。</w:t>
      </w:r>
    </w:p>
    <w:p w14:paraId="42638FF9">
      <w:pPr>
        <w:spacing w:line="360" w:lineRule="auto"/>
        <w:ind w:firstLine="482" w:firstLineChars="200"/>
        <w:rPr>
          <w:rFonts w:hint="eastAsia" w:ascii="黑体" w:hAnsi="黑体" w:eastAsia="黑体" w:cs="宋体"/>
          <w:b/>
          <w:bCs/>
          <w:sz w:val="24"/>
          <w:highlight w:val="none"/>
        </w:rPr>
      </w:pPr>
      <w:r>
        <w:rPr>
          <w:rFonts w:ascii="黑体" w:hAnsi="黑体" w:eastAsia="黑体" w:cs="宋体"/>
          <w:b/>
          <w:bCs/>
          <w:sz w:val="24"/>
          <w:highlight w:val="none"/>
        </w:rPr>
        <w:t>28</w:t>
      </w:r>
      <w:r>
        <w:rPr>
          <w:rFonts w:hint="eastAsia" w:ascii="黑体" w:hAnsi="黑体" w:eastAsia="黑体" w:cs="宋体"/>
          <w:b/>
          <w:bCs/>
          <w:sz w:val="24"/>
          <w:highlight w:val="none"/>
        </w:rPr>
        <w:t>.履约保证金</w:t>
      </w:r>
    </w:p>
    <w:p w14:paraId="0097198E">
      <w:pPr>
        <w:spacing w:line="360" w:lineRule="auto"/>
        <w:ind w:firstLine="424" w:firstLineChars="202"/>
        <w:rPr>
          <w:rFonts w:hint="eastAsia" w:ascii="宋体" w:hAnsi="宋体" w:cs="宋体"/>
          <w:szCs w:val="21"/>
          <w:highlight w:val="none"/>
        </w:rPr>
      </w:pPr>
      <w:r>
        <w:rPr>
          <w:rFonts w:ascii="宋体" w:hAnsi="宋体" w:cs="宋体"/>
          <w:szCs w:val="21"/>
          <w:highlight w:val="none"/>
        </w:rPr>
        <w:t>28</w:t>
      </w:r>
      <w:r>
        <w:rPr>
          <w:rFonts w:hint="eastAsia" w:ascii="宋体" w:hAnsi="宋体" w:cs="宋体"/>
          <w:szCs w:val="21"/>
          <w:highlight w:val="none"/>
        </w:rPr>
        <w:t>.1履约保证金的金额、提交方式、退付的时间和条件详见“供应商须知前附表”。成交供应商未按规定提交履约保证金的，视为拒绝</w:t>
      </w:r>
      <w:r>
        <w:rPr>
          <w:rFonts w:ascii="宋体" w:hAnsi="宋体"/>
          <w:highlight w:val="none"/>
        </w:rPr>
        <w:t>与采购人</w:t>
      </w:r>
      <w:r>
        <w:rPr>
          <w:rFonts w:hint="eastAsia" w:ascii="宋体" w:hAnsi="宋体" w:cs="宋体"/>
          <w:szCs w:val="21"/>
          <w:highlight w:val="none"/>
        </w:rPr>
        <w:t>签订合同。</w:t>
      </w:r>
    </w:p>
    <w:p w14:paraId="3FBC04BF">
      <w:pPr>
        <w:spacing w:line="360" w:lineRule="auto"/>
        <w:ind w:firstLine="424" w:firstLineChars="202"/>
        <w:rPr>
          <w:rFonts w:hint="eastAsia" w:ascii="宋体" w:hAnsi="宋体" w:cs="宋体"/>
          <w:szCs w:val="21"/>
          <w:highlight w:val="none"/>
        </w:rPr>
      </w:pPr>
      <w:r>
        <w:rPr>
          <w:rFonts w:ascii="宋体" w:hAnsi="宋体" w:cs="宋体"/>
          <w:szCs w:val="21"/>
          <w:highlight w:val="none"/>
        </w:rPr>
        <w:t>28</w:t>
      </w:r>
      <w:r>
        <w:rPr>
          <w:rFonts w:hint="eastAsia" w:ascii="宋体" w:hAnsi="宋体" w:cs="宋体"/>
          <w:szCs w:val="21"/>
          <w:highlight w:val="none"/>
        </w:rPr>
        <w:t>.2在履约保证金退还日期前，若成交供应商的开户名称、开户银行、帐号有变动的，请以书面形式通知履约保证金收取单位，否则由此产生的后果由成交供应商自行承担。</w:t>
      </w:r>
    </w:p>
    <w:p w14:paraId="2B0EFB04">
      <w:pPr>
        <w:spacing w:line="360" w:lineRule="auto"/>
        <w:ind w:firstLine="482" w:firstLineChars="200"/>
        <w:rPr>
          <w:rFonts w:hint="eastAsia" w:ascii="黑体" w:hAnsi="黑体" w:eastAsia="黑体" w:cs="宋体"/>
          <w:b/>
          <w:bCs/>
          <w:sz w:val="24"/>
          <w:highlight w:val="none"/>
        </w:rPr>
      </w:pPr>
      <w:r>
        <w:rPr>
          <w:rFonts w:ascii="黑体" w:hAnsi="黑体" w:eastAsia="黑体" w:cs="宋体"/>
          <w:b/>
          <w:bCs/>
          <w:sz w:val="24"/>
          <w:highlight w:val="none"/>
        </w:rPr>
        <w:t>29</w:t>
      </w:r>
      <w:r>
        <w:rPr>
          <w:rFonts w:hint="eastAsia" w:ascii="黑体" w:hAnsi="黑体" w:eastAsia="黑体" w:cs="宋体"/>
          <w:b/>
          <w:bCs/>
          <w:sz w:val="24"/>
          <w:highlight w:val="none"/>
        </w:rPr>
        <w:t>.签订合同</w:t>
      </w:r>
    </w:p>
    <w:p w14:paraId="78C08F68">
      <w:pPr>
        <w:spacing w:line="360" w:lineRule="auto"/>
        <w:ind w:firstLine="424" w:firstLineChars="202"/>
        <w:rPr>
          <w:rFonts w:hint="eastAsia" w:ascii="宋体" w:hAnsi="宋体" w:cs="宋体"/>
          <w:szCs w:val="21"/>
          <w:highlight w:val="none"/>
        </w:rPr>
      </w:pPr>
      <w:r>
        <w:rPr>
          <w:rFonts w:hint="eastAsia" w:ascii="宋体" w:hAnsi="宋体" w:cs="宋体"/>
          <w:szCs w:val="21"/>
          <w:highlight w:val="none"/>
        </w:rPr>
        <w:t>29.1签订电子采购合同：成交供应商领取电子成交通知书后，在</w:t>
      </w:r>
      <w:r>
        <w:rPr>
          <w:rFonts w:hint="eastAsia" w:ascii="宋体" w:hAnsi="宋体" w:cs="宋体"/>
          <w:szCs w:val="21"/>
          <w:highlight w:val="none"/>
          <w:lang w:val="zh-CN"/>
        </w:rPr>
        <w:t>规定的日期、时间、地点，由法定代表人或其授权代表与采购人代表签订电子采购合同。如成交供应商为联合体的，由联合体成员各方法定代表人或其授权代表与采购人代表签订合同。</w:t>
      </w:r>
    </w:p>
    <w:p w14:paraId="0E4A8983">
      <w:pPr>
        <w:spacing w:line="360" w:lineRule="auto"/>
        <w:ind w:firstLine="424" w:firstLineChars="202"/>
        <w:rPr>
          <w:rFonts w:hint="eastAsia" w:ascii="宋体" w:hAnsi="宋体" w:cs="宋体"/>
          <w:szCs w:val="21"/>
          <w:highlight w:val="none"/>
        </w:rPr>
      </w:pPr>
      <w:r>
        <w:rPr>
          <w:rFonts w:hint="eastAsia" w:ascii="宋体" w:hAnsi="宋体" w:cs="宋体"/>
          <w:szCs w:val="21"/>
          <w:highlight w:val="none"/>
        </w:rPr>
        <w:t>线下签订纸质合同：供应商领取成交通知书后，按“供应商须知前附表”规定向采购人出示相关证明材料，经采购人核验合格后方可签订合同。</w:t>
      </w:r>
    </w:p>
    <w:p w14:paraId="5C8A1C76">
      <w:pPr>
        <w:spacing w:line="360" w:lineRule="auto"/>
        <w:ind w:firstLine="424" w:firstLineChars="202"/>
        <w:rPr>
          <w:rFonts w:hint="eastAsia" w:ascii="宋体" w:hAnsi="宋体" w:cs="宋体"/>
          <w:szCs w:val="21"/>
          <w:highlight w:val="none"/>
        </w:rPr>
      </w:pPr>
      <w:r>
        <w:rPr>
          <w:rFonts w:hint="eastAsia" w:ascii="宋体" w:hAnsi="宋体" w:cs="宋体"/>
          <w:szCs w:val="21"/>
          <w:highlight w:val="none"/>
        </w:rPr>
        <w:t>29.2签订合同时间：按成交通知书规定的时间与采购人签订合同。</w:t>
      </w:r>
    </w:p>
    <w:p w14:paraId="3972CBB6">
      <w:pPr>
        <w:spacing w:line="360" w:lineRule="auto"/>
        <w:ind w:firstLine="424" w:firstLineChars="202"/>
        <w:rPr>
          <w:rFonts w:hint="eastAsia" w:ascii="宋体" w:hAnsi="宋体" w:cs="宋体"/>
          <w:szCs w:val="21"/>
          <w:highlight w:val="none"/>
        </w:rPr>
      </w:pPr>
      <w:r>
        <w:rPr>
          <w:rFonts w:hint="eastAsia" w:ascii="宋体" w:hAnsi="宋体" w:cs="宋体"/>
          <w:szCs w:val="21"/>
          <w:highlight w:val="none"/>
        </w:rPr>
        <w:t>29.</w:t>
      </w:r>
      <w:r>
        <w:rPr>
          <w:rFonts w:ascii="宋体" w:hAnsi="宋体" w:cs="宋体"/>
          <w:szCs w:val="21"/>
          <w:highlight w:val="none"/>
        </w:rPr>
        <w:t>3</w:t>
      </w:r>
      <w:r>
        <w:rPr>
          <w:rFonts w:hint="eastAsia" w:ascii="宋体" w:hAnsi="宋体" w:cs="宋体"/>
          <w:szCs w:val="21"/>
          <w:highlight w:val="none"/>
        </w:rPr>
        <w:t>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供应商可追究采购人承担相应的法律责任。</w:t>
      </w:r>
    </w:p>
    <w:p w14:paraId="03FDCDBA">
      <w:pPr>
        <w:spacing w:line="360" w:lineRule="auto"/>
        <w:ind w:firstLine="424" w:firstLineChars="202"/>
        <w:rPr>
          <w:rFonts w:hint="eastAsia" w:ascii="宋体" w:hAnsi="宋体" w:cs="宋体"/>
          <w:szCs w:val="21"/>
          <w:highlight w:val="none"/>
        </w:rPr>
      </w:pPr>
      <w:r>
        <w:rPr>
          <w:rFonts w:hint="eastAsia" w:ascii="宋体" w:hAnsi="宋体" w:cs="宋体"/>
          <w:szCs w:val="21"/>
          <w:highlight w:val="none"/>
        </w:rPr>
        <w:t>29.4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3ACA0C6C">
      <w:pPr>
        <w:spacing w:line="360" w:lineRule="auto"/>
        <w:ind w:firstLine="424" w:firstLineChars="202"/>
        <w:rPr>
          <w:rFonts w:hint="eastAsia" w:ascii="宋体" w:hAnsi="宋体" w:cs="宋体"/>
          <w:szCs w:val="21"/>
          <w:highlight w:val="none"/>
        </w:rPr>
      </w:pPr>
      <w:r>
        <w:rPr>
          <w:rFonts w:hint="eastAsia" w:ascii="宋体" w:hAnsi="宋体" w:cs="宋体"/>
          <w:szCs w:val="21"/>
          <w:highlight w:val="none"/>
        </w:rPr>
        <w:t>29.5采购人或成交供应商不得单方面向合同另一方提出任何磋商文件没有约定的条件或不合理的要求，作为签订合同的条件；也不得协商另行订立背离磋商文件和合同实质性内容的协议。</w:t>
      </w:r>
    </w:p>
    <w:p w14:paraId="744B5962">
      <w:pPr>
        <w:spacing w:line="360" w:lineRule="auto"/>
        <w:ind w:firstLine="424" w:firstLineChars="202"/>
        <w:rPr>
          <w:rFonts w:hint="eastAsia" w:ascii="宋体" w:hAnsi="宋体" w:cs="宋体"/>
          <w:szCs w:val="21"/>
          <w:highlight w:val="none"/>
        </w:rPr>
      </w:pPr>
      <w:r>
        <w:rPr>
          <w:rFonts w:hint="eastAsia" w:ascii="宋体" w:hAnsi="宋体" w:cs="宋体"/>
          <w:szCs w:val="21"/>
          <w:highlight w:val="none"/>
        </w:rPr>
        <w:t>29.6如签订合同并生效后，供应商无故拒绝或延期，除按照合同条款处理外，将承担相应的法律责任。</w:t>
      </w:r>
    </w:p>
    <w:p w14:paraId="09B0EFC1">
      <w:pPr>
        <w:spacing w:line="360" w:lineRule="auto"/>
        <w:ind w:firstLine="424" w:firstLineChars="202"/>
        <w:rPr>
          <w:rFonts w:hint="eastAsia" w:ascii="宋体" w:hAnsi="宋体" w:cs="宋体"/>
          <w:szCs w:val="21"/>
          <w:highlight w:val="none"/>
        </w:rPr>
      </w:pPr>
      <w:r>
        <w:rPr>
          <w:rFonts w:hint="eastAsia" w:ascii="宋体" w:hAnsi="宋体" w:cs="宋体"/>
          <w:szCs w:val="21"/>
          <w:highlight w:val="none"/>
        </w:rPr>
        <w:t>29.7政府采购合同履行中，采购人需追加与合同标的相同的货物、工程或者服务的，在不改变合同其他条款的前提下，可以与供应商协商签订补充合同，但所有补充合同的采购金额不得超过原合同采购金额的10%。</w:t>
      </w:r>
    </w:p>
    <w:p w14:paraId="63EA68FF">
      <w:pPr>
        <w:spacing w:line="360" w:lineRule="auto"/>
        <w:ind w:firstLine="482" w:firstLineChars="200"/>
        <w:rPr>
          <w:rFonts w:hint="eastAsia" w:ascii="黑体" w:hAnsi="黑体" w:eastAsia="黑体" w:cs="宋体"/>
          <w:b/>
          <w:bCs/>
          <w:sz w:val="24"/>
          <w:highlight w:val="none"/>
        </w:rPr>
      </w:pPr>
      <w:r>
        <w:rPr>
          <w:rFonts w:ascii="黑体" w:hAnsi="黑体" w:eastAsia="黑体" w:cs="宋体"/>
          <w:b/>
          <w:bCs/>
          <w:sz w:val="24"/>
          <w:highlight w:val="none"/>
        </w:rPr>
        <w:t>30</w:t>
      </w:r>
      <w:r>
        <w:rPr>
          <w:rFonts w:hint="eastAsia" w:ascii="黑体" w:hAnsi="黑体" w:eastAsia="黑体" w:cs="宋体"/>
          <w:b/>
          <w:bCs/>
          <w:sz w:val="24"/>
          <w:highlight w:val="none"/>
        </w:rPr>
        <w:t>.政府采购合同公告</w:t>
      </w:r>
    </w:p>
    <w:p w14:paraId="32CAED15">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2DF60E6E">
      <w:pPr>
        <w:spacing w:line="360" w:lineRule="auto"/>
        <w:ind w:firstLine="482" w:firstLineChars="200"/>
        <w:rPr>
          <w:rFonts w:hint="eastAsia" w:ascii="黑体" w:hAnsi="黑体" w:eastAsia="黑体" w:cs="宋体"/>
          <w:b/>
          <w:bCs/>
          <w:sz w:val="24"/>
          <w:highlight w:val="none"/>
        </w:rPr>
      </w:pPr>
      <w:r>
        <w:rPr>
          <w:rFonts w:ascii="黑体" w:hAnsi="黑体" w:eastAsia="黑体" w:cs="宋体"/>
          <w:b/>
          <w:bCs/>
          <w:sz w:val="24"/>
          <w:highlight w:val="none"/>
        </w:rPr>
        <w:t>31</w:t>
      </w:r>
      <w:r>
        <w:rPr>
          <w:rFonts w:hint="eastAsia" w:ascii="黑体" w:hAnsi="黑体" w:eastAsia="黑体" w:cs="宋体"/>
          <w:b/>
          <w:bCs/>
          <w:sz w:val="24"/>
          <w:highlight w:val="none"/>
        </w:rPr>
        <w:t>. 询问、质疑和投诉</w:t>
      </w:r>
    </w:p>
    <w:p w14:paraId="53945698">
      <w:pPr>
        <w:pStyle w:val="9"/>
        <w:spacing w:line="360" w:lineRule="auto"/>
        <w:rPr>
          <w:rFonts w:hint="eastAsia" w:ascii="宋体" w:hAnsi="宋体"/>
          <w:szCs w:val="21"/>
          <w:highlight w:val="none"/>
        </w:rPr>
      </w:pPr>
      <w:r>
        <w:rPr>
          <w:rFonts w:hint="eastAsia" w:ascii="宋体" w:hAnsi="宋体" w:cs="宋体"/>
          <w:highlight w:val="none"/>
        </w:rPr>
        <w:t>3</w:t>
      </w:r>
      <w:r>
        <w:rPr>
          <w:rFonts w:ascii="宋体" w:hAnsi="宋体" w:cs="宋体"/>
          <w:highlight w:val="none"/>
        </w:rPr>
        <w:t>1</w:t>
      </w:r>
      <w:r>
        <w:rPr>
          <w:rFonts w:hint="eastAsia" w:ascii="宋体" w:hAnsi="宋体" w:cs="宋体"/>
          <w:highlight w:val="none"/>
        </w:rPr>
        <w:t>.1供应商对政府采购活动事项有疑问的，可以向采购人、采购代理机构提出询问，采购人或者采购代理机构应当在3个工作日内对供应商依法提出的询问作出答复，</w:t>
      </w:r>
      <w:r>
        <w:rPr>
          <w:rFonts w:hint="eastAsia" w:ascii="宋体" w:hAnsi="宋体"/>
          <w:szCs w:val="21"/>
          <w:highlight w:val="none"/>
        </w:rPr>
        <w:t>但答复的内容不得涉及商业秘密</w:t>
      </w:r>
      <w:r>
        <w:rPr>
          <w:rFonts w:hint="eastAsia" w:ascii="宋体" w:hAnsi="宋体" w:cs="宋体"/>
          <w:highlight w:val="none"/>
        </w:rPr>
        <w:t>。</w:t>
      </w:r>
    </w:p>
    <w:p w14:paraId="7CCAEDBE">
      <w:pPr>
        <w:spacing w:line="360" w:lineRule="auto"/>
        <w:ind w:firstLine="420" w:firstLineChars="200"/>
        <w:rPr>
          <w:rFonts w:hint="eastAsia" w:ascii="宋体" w:hAnsi="宋体" w:cs="宋体"/>
          <w:highlight w:val="none"/>
        </w:rPr>
      </w:pPr>
      <w:r>
        <w:rPr>
          <w:rFonts w:hint="eastAsia" w:ascii="宋体" w:hAnsi="宋体" w:cs="宋体"/>
          <w:highlight w:val="none"/>
        </w:rPr>
        <w:t>3</w:t>
      </w:r>
      <w:r>
        <w:rPr>
          <w:rFonts w:ascii="宋体" w:hAnsi="宋体" w:cs="宋体"/>
          <w:highlight w:val="none"/>
        </w:rPr>
        <w:t>1</w:t>
      </w:r>
      <w:r>
        <w:rPr>
          <w:rFonts w:hint="eastAsia" w:ascii="宋体" w:hAnsi="宋体" w:cs="宋体"/>
          <w:highlight w:val="none"/>
        </w:rPr>
        <w:t>.2供应商认为磋商文件、采购过程或者成交结果使自己的合法权益受到损害的，应当在知道或者应知其权益受到损害之日起7个工作日内，以书面形式向采购人、采购代理机构提出质疑，</w:t>
      </w:r>
      <w:r>
        <w:rPr>
          <w:rFonts w:ascii="宋体" w:hAnsi="宋体" w:cs="Arial"/>
          <w:highlight w:val="none"/>
        </w:rPr>
        <w:t>接收质疑函的方式、联系部门、联系电话和通讯地址等信息</w:t>
      </w:r>
      <w:r>
        <w:rPr>
          <w:rFonts w:hint="eastAsia" w:ascii="宋体" w:hAnsi="宋体" w:cs="Arial"/>
          <w:highlight w:val="none"/>
        </w:rPr>
        <w:t>详见</w:t>
      </w:r>
      <w:r>
        <w:rPr>
          <w:rFonts w:hint="eastAsia" w:ascii="宋体" w:hAnsi="宋体" w:cs="宋体"/>
          <w:szCs w:val="21"/>
          <w:highlight w:val="none"/>
        </w:rPr>
        <w:t>“供应商须知前附表”</w:t>
      </w:r>
      <w:r>
        <w:rPr>
          <w:rFonts w:hint="eastAsia" w:ascii="宋体" w:hAnsi="宋体" w:cs="宋体"/>
          <w:highlight w:val="none"/>
        </w:rPr>
        <w:t>。具体质疑起算时间如下：</w:t>
      </w:r>
    </w:p>
    <w:p w14:paraId="100F7AC7">
      <w:pPr>
        <w:spacing w:line="360" w:lineRule="auto"/>
        <w:ind w:firstLine="420" w:firstLineChars="200"/>
        <w:rPr>
          <w:rFonts w:hint="eastAsia" w:ascii="宋体" w:hAnsi="宋体" w:cs="宋体"/>
          <w:highlight w:val="none"/>
        </w:rPr>
      </w:pPr>
      <w:r>
        <w:rPr>
          <w:rFonts w:hint="eastAsia" w:ascii="宋体" w:hAnsi="宋体" w:cs="宋体"/>
          <w:highlight w:val="none"/>
        </w:rPr>
        <w:t>（1）对可以质疑的磋商文件提出质疑的，为收到磋商文件之日或者</w:t>
      </w:r>
      <w:r>
        <w:rPr>
          <w:rFonts w:hint="eastAsia" w:ascii="宋体" w:hAnsi="宋体"/>
          <w:highlight w:val="none"/>
        </w:rPr>
        <w:t>竞争性磋商公告期限届满之日</w:t>
      </w:r>
      <w:r>
        <w:rPr>
          <w:rFonts w:hint="eastAsia" w:ascii="宋体" w:hAnsi="宋体" w:cs="宋体"/>
          <w:highlight w:val="none"/>
        </w:rPr>
        <w:t>；</w:t>
      </w:r>
    </w:p>
    <w:p w14:paraId="3CE5D55F">
      <w:pPr>
        <w:spacing w:line="360" w:lineRule="auto"/>
        <w:ind w:firstLine="420" w:firstLineChars="200"/>
        <w:rPr>
          <w:rFonts w:hint="eastAsia" w:ascii="宋体" w:hAnsi="宋体" w:cs="宋体"/>
          <w:highlight w:val="none"/>
        </w:rPr>
      </w:pPr>
      <w:r>
        <w:rPr>
          <w:rFonts w:hint="eastAsia" w:ascii="宋体" w:hAnsi="宋体" w:cs="宋体"/>
          <w:highlight w:val="none"/>
        </w:rPr>
        <w:t>（2）对采购过程提出质疑的，为各采购程序环节结束之日；</w:t>
      </w:r>
    </w:p>
    <w:p w14:paraId="58377660">
      <w:pPr>
        <w:spacing w:line="360" w:lineRule="auto"/>
        <w:ind w:firstLine="420" w:firstLineChars="200"/>
        <w:rPr>
          <w:rFonts w:hint="eastAsia" w:ascii="宋体" w:hAnsi="宋体" w:cs="宋体"/>
          <w:highlight w:val="none"/>
        </w:rPr>
      </w:pPr>
      <w:r>
        <w:rPr>
          <w:rFonts w:hint="eastAsia" w:ascii="宋体" w:hAnsi="宋体" w:cs="宋体"/>
          <w:highlight w:val="none"/>
        </w:rPr>
        <w:t>（3）对成交结果提出质疑的，为成交结果公告期限届满之日。</w:t>
      </w:r>
    </w:p>
    <w:p w14:paraId="62C52B0C">
      <w:pPr>
        <w:spacing w:line="360" w:lineRule="auto"/>
        <w:ind w:firstLine="420" w:firstLineChars="200"/>
        <w:rPr>
          <w:rFonts w:hint="eastAsia" w:ascii="宋体" w:hAnsi="宋体" w:cs="宋体"/>
          <w:highlight w:val="none"/>
        </w:rPr>
      </w:pPr>
      <w:r>
        <w:rPr>
          <w:rFonts w:hint="eastAsia" w:ascii="宋体" w:hAnsi="宋体" w:cs="宋体"/>
          <w:highlight w:val="none"/>
        </w:rPr>
        <w:t>3</w:t>
      </w:r>
      <w:r>
        <w:rPr>
          <w:rFonts w:ascii="宋体" w:hAnsi="宋体" w:cs="宋体"/>
          <w:highlight w:val="none"/>
        </w:rPr>
        <w:t>1</w:t>
      </w:r>
      <w:r>
        <w:rPr>
          <w:rFonts w:hint="eastAsia" w:ascii="宋体" w:hAnsi="宋体" w:cs="宋体"/>
          <w:highlight w:val="none"/>
        </w:rPr>
        <w:t>.3供应商提出的询问或者质疑超出采购人对采购代理机构委托授权范围的，采购代理机构应当告知供应商向采购人提出。政府采购评审专家应当配合采购人或者采购代理机构答复供应商的询问和质疑。</w:t>
      </w:r>
    </w:p>
    <w:p w14:paraId="411153F6">
      <w:pPr>
        <w:spacing w:line="360" w:lineRule="auto"/>
        <w:ind w:firstLine="420" w:firstLineChars="200"/>
        <w:rPr>
          <w:rFonts w:hint="eastAsia" w:ascii="宋体" w:hAnsi="宋体" w:cs="宋体"/>
          <w:highlight w:val="none"/>
        </w:rPr>
      </w:pPr>
      <w:r>
        <w:rPr>
          <w:rFonts w:hint="eastAsia" w:ascii="宋体" w:hAnsi="宋体" w:cs="宋体"/>
          <w:highlight w:val="none"/>
        </w:rPr>
        <w:t>3</w:t>
      </w:r>
      <w:r>
        <w:rPr>
          <w:rFonts w:ascii="宋体" w:hAnsi="宋体" w:cs="宋体"/>
          <w:highlight w:val="none"/>
        </w:rPr>
        <w:t>1</w:t>
      </w:r>
      <w:r>
        <w:rPr>
          <w:rFonts w:hint="eastAsia" w:ascii="宋体" w:hAnsi="宋体" w:cs="宋体"/>
          <w:highlight w:val="none"/>
        </w:rPr>
        <w:t>.4 供应商提出质疑应当提交质疑函和必要的证明材料，针对同一采购程序环节的质疑必须在法定质疑期内一次性提出。质疑函应当包括下列内容</w:t>
      </w:r>
      <w:r>
        <w:rPr>
          <w:rFonts w:hint="eastAsia" w:hAnsi="宋体"/>
          <w:bCs/>
          <w:highlight w:val="none"/>
        </w:rPr>
        <w:t>（质疑函格式后附）</w:t>
      </w:r>
      <w:r>
        <w:rPr>
          <w:rFonts w:hint="eastAsia" w:ascii="宋体" w:hAnsi="宋体" w:cs="宋体"/>
          <w:highlight w:val="none"/>
        </w:rPr>
        <w:t>：</w:t>
      </w:r>
    </w:p>
    <w:p w14:paraId="50CECDB9">
      <w:pPr>
        <w:spacing w:line="360" w:lineRule="auto"/>
        <w:ind w:firstLine="420" w:firstLineChars="200"/>
        <w:rPr>
          <w:rFonts w:hint="eastAsia" w:ascii="宋体" w:hAnsi="宋体" w:cs="宋体"/>
          <w:highlight w:val="none"/>
        </w:rPr>
      </w:pPr>
      <w:r>
        <w:rPr>
          <w:rFonts w:hint="eastAsia" w:ascii="宋体" w:hAnsi="宋体" w:cs="宋体"/>
          <w:highlight w:val="none"/>
        </w:rPr>
        <w:t>（1）供应商的姓名或者名称、地址、邮编、联系人及联系电话；</w:t>
      </w:r>
    </w:p>
    <w:p w14:paraId="28B70561">
      <w:pPr>
        <w:spacing w:line="360" w:lineRule="auto"/>
        <w:ind w:firstLine="420" w:firstLineChars="200"/>
        <w:rPr>
          <w:rFonts w:hint="eastAsia" w:ascii="宋体" w:hAnsi="宋体" w:cs="宋体"/>
          <w:highlight w:val="none"/>
        </w:rPr>
      </w:pPr>
      <w:r>
        <w:rPr>
          <w:rFonts w:hint="eastAsia" w:ascii="宋体" w:hAnsi="宋体" w:cs="宋体"/>
          <w:highlight w:val="none"/>
        </w:rPr>
        <w:t>（2）质疑项目的名称、编号；</w:t>
      </w:r>
    </w:p>
    <w:p w14:paraId="1056258B">
      <w:pPr>
        <w:spacing w:line="360" w:lineRule="auto"/>
        <w:ind w:firstLine="420" w:firstLineChars="200"/>
        <w:rPr>
          <w:rFonts w:hint="eastAsia" w:ascii="宋体" w:hAnsi="宋体" w:cs="宋体"/>
          <w:highlight w:val="none"/>
        </w:rPr>
      </w:pPr>
      <w:r>
        <w:rPr>
          <w:rFonts w:hint="eastAsia" w:ascii="宋体" w:hAnsi="宋体" w:cs="宋体"/>
          <w:highlight w:val="none"/>
        </w:rPr>
        <w:t>（3）具体、明确的质疑事项和与质疑事项相关的请求；</w:t>
      </w:r>
    </w:p>
    <w:p w14:paraId="53EB0E07">
      <w:pPr>
        <w:spacing w:line="360" w:lineRule="auto"/>
        <w:ind w:firstLine="420" w:firstLineChars="200"/>
        <w:rPr>
          <w:rFonts w:hint="eastAsia" w:ascii="宋体" w:hAnsi="宋体" w:cs="宋体"/>
          <w:highlight w:val="none"/>
        </w:rPr>
      </w:pPr>
      <w:r>
        <w:rPr>
          <w:rFonts w:hint="eastAsia" w:ascii="宋体" w:hAnsi="宋体" w:cs="宋体"/>
          <w:highlight w:val="none"/>
        </w:rPr>
        <w:t>（4）事实依据；</w:t>
      </w:r>
    </w:p>
    <w:p w14:paraId="7B85F5C9">
      <w:pPr>
        <w:spacing w:line="360" w:lineRule="auto"/>
        <w:ind w:firstLine="420" w:firstLineChars="200"/>
        <w:rPr>
          <w:rFonts w:hint="eastAsia" w:ascii="宋体" w:hAnsi="宋体" w:cs="宋体"/>
          <w:highlight w:val="none"/>
        </w:rPr>
      </w:pPr>
      <w:r>
        <w:rPr>
          <w:rFonts w:hint="eastAsia" w:ascii="宋体" w:hAnsi="宋体" w:cs="宋体"/>
          <w:highlight w:val="none"/>
        </w:rPr>
        <w:t>（5）必要的法律依据；</w:t>
      </w:r>
    </w:p>
    <w:p w14:paraId="5D3318A7">
      <w:pPr>
        <w:spacing w:line="360" w:lineRule="auto"/>
        <w:ind w:firstLine="420" w:firstLineChars="200"/>
        <w:rPr>
          <w:rFonts w:hint="eastAsia" w:ascii="宋体" w:hAnsi="宋体" w:cs="宋体"/>
          <w:highlight w:val="none"/>
        </w:rPr>
      </w:pPr>
      <w:r>
        <w:rPr>
          <w:rFonts w:hint="eastAsia" w:ascii="宋体" w:hAnsi="宋体" w:cs="宋体"/>
          <w:highlight w:val="none"/>
        </w:rPr>
        <w:t>（6）提出质疑的日期。</w:t>
      </w:r>
    </w:p>
    <w:p w14:paraId="0C45A998">
      <w:pPr>
        <w:spacing w:line="360" w:lineRule="auto"/>
        <w:ind w:firstLine="420" w:firstLineChars="200"/>
        <w:rPr>
          <w:rFonts w:hint="eastAsia" w:ascii="宋体" w:hAnsi="宋体" w:cs="宋体"/>
          <w:highlight w:val="none"/>
        </w:rPr>
      </w:pPr>
      <w:r>
        <w:rPr>
          <w:rFonts w:hint="eastAsia" w:ascii="宋体" w:hAnsi="宋体" w:cs="宋体"/>
          <w:highlight w:val="none"/>
        </w:rPr>
        <w:t>供应商为自然人的，应当由本人签字；供应商为法人或者其他组织的，应当由法定代表人、主要负责人，或者其委托代理人签字或者盖章，并加盖公章。</w:t>
      </w:r>
    </w:p>
    <w:p w14:paraId="6787E769">
      <w:pPr>
        <w:spacing w:line="360" w:lineRule="auto"/>
        <w:ind w:firstLine="420" w:firstLineChars="200"/>
        <w:rPr>
          <w:rFonts w:hint="eastAsia" w:ascii="宋体" w:hAnsi="宋体" w:cs="宋体"/>
          <w:highlight w:val="none"/>
        </w:rPr>
      </w:pPr>
      <w:r>
        <w:rPr>
          <w:rFonts w:hint="eastAsia" w:ascii="宋体" w:hAnsi="宋体" w:cs="宋体"/>
          <w:highlight w:val="none"/>
        </w:rPr>
        <w:t>3</w:t>
      </w:r>
      <w:r>
        <w:rPr>
          <w:rFonts w:ascii="宋体" w:hAnsi="宋体" w:cs="宋体"/>
          <w:highlight w:val="none"/>
        </w:rPr>
        <w:t>1.5</w:t>
      </w:r>
      <w:r>
        <w:rPr>
          <w:rFonts w:hint="eastAsia" w:ascii="宋体" w:hAnsi="宋体" w:cs="宋体"/>
          <w:highlight w:val="none"/>
        </w:rPr>
        <w:t>采购人、采购代理机构认为供应商质疑不成立，或者成立但未对成交结果构成影响的，继续开展采购活动；认为供应商质疑成立且影响或者可能影响成交结果的，按照下列情况处理：</w:t>
      </w:r>
    </w:p>
    <w:p w14:paraId="63C59403">
      <w:pPr>
        <w:spacing w:line="360" w:lineRule="auto"/>
        <w:ind w:firstLine="420" w:firstLineChars="200"/>
        <w:rPr>
          <w:rFonts w:hint="eastAsia" w:ascii="宋体" w:hAnsi="宋体" w:cs="宋体"/>
          <w:highlight w:val="none"/>
        </w:rPr>
      </w:pPr>
      <w:r>
        <w:rPr>
          <w:rFonts w:hint="eastAsia" w:ascii="宋体" w:hAnsi="宋体" w:cs="宋体"/>
          <w:highlight w:val="none"/>
        </w:rPr>
        <w:t>（一）对采购文件提出的质疑，依法通过澄清或者修改可以继续开展采购活动的，澄清或者修改采购文件后继续开展采购活动；否则应当修改采购文件后重新开展采购活动。</w:t>
      </w:r>
    </w:p>
    <w:p w14:paraId="2DCC345F">
      <w:pPr>
        <w:spacing w:line="360" w:lineRule="auto"/>
        <w:ind w:firstLine="420" w:firstLineChars="200"/>
        <w:rPr>
          <w:rFonts w:hint="eastAsia" w:ascii="宋体" w:hAnsi="宋体" w:cs="宋体"/>
          <w:highlight w:val="none"/>
        </w:rPr>
      </w:pPr>
      <w:r>
        <w:rPr>
          <w:rFonts w:hint="eastAsia" w:ascii="宋体" w:hAnsi="宋体" w:cs="宋体"/>
          <w:highlight w:val="none"/>
        </w:rPr>
        <w:t>（二）对采购过程或者成交结果提出的质疑，合格供应商符合法定数量时，可以从合格的成交候选人中另行确定成交供应商的，应当依法另行确定成交供应商；否则应当重新开展采购活动。</w:t>
      </w:r>
    </w:p>
    <w:p w14:paraId="0E01EEF7">
      <w:pPr>
        <w:spacing w:line="360" w:lineRule="auto"/>
        <w:ind w:firstLine="420" w:firstLineChars="200"/>
        <w:rPr>
          <w:rFonts w:hint="eastAsia" w:ascii="宋体" w:hAnsi="宋体" w:cs="宋体"/>
          <w:highlight w:val="none"/>
        </w:rPr>
      </w:pPr>
      <w:r>
        <w:rPr>
          <w:rFonts w:hint="eastAsia" w:ascii="宋体" w:hAnsi="宋体" w:cs="宋体"/>
          <w:highlight w:val="none"/>
        </w:rPr>
        <w:t>质疑答复导致成交结果改变的，采购人或者采购代理机构应当将有关情况书面报告本级财政部门。</w:t>
      </w:r>
    </w:p>
    <w:p w14:paraId="7B393405">
      <w:pPr>
        <w:spacing w:line="360" w:lineRule="auto"/>
        <w:ind w:firstLine="420" w:firstLineChars="200"/>
        <w:rPr>
          <w:rFonts w:hint="eastAsia" w:ascii="宋体" w:hAnsi="宋体" w:cs="宋体"/>
          <w:szCs w:val="21"/>
          <w:highlight w:val="none"/>
        </w:rPr>
      </w:pPr>
      <w:r>
        <w:rPr>
          <w:rFonts w:ascii="宋体" w:hAnsi="宋体" w:cs="宋体"/>
          <w:highlight w:val="none"/>
        </w:rPr>
        <w:t>31</w:t>
      </w:r>
      <w:r>
        <w:rPr>
          <w:rFonts w:hint="eastAsia" w:ascii="宋体" w:hAnsi="宋体" w:cs="宋体"/>
          <w:highlight w:val="none"/>
        </w:rPr>
        <w:t>.</w:t>
      </w:r>
      <w:r>
        <w:rPr>
          <w:rFonts w:ascii="宋体" w:hAnsi="宋体" w:cs="宋体"/>
          <w:highlight w:val="none"/>
        </w:rPr>
        <w:t>6</w:t>
      </w:r>
      <w:r>
        <w:rPr>
          <w:rFonts w:hint="eastAsia" w:ascii="宋体" w:hAnsi="宋体" w:cs="宋体"/>
          <w:highlight w:val="none"/>
        </w:rPr>
        <w:t>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5C8DB028">
      <w:pPr>
        <w:spacing w:line="360" w:lineRule="auto"/>
        <w:ind w:firstLine="482" w:firstLineChars="200"/>
        <w:rPr>
          <w:rFonts w:hint="eastAsia" w:ascii="黑体" w:hAnsi="黑体" w:eastAsia="黑体" w:cs="宋体"/>
          <w:b/>
          <w:bCs/>
          <w:sz w:val="24"/>
          <w:highlight w:val="none"/>
        </w:rPr>
      </w:pPr>
      <w:r>
        <w:rPr>
          <w:rFonts w:ascii="黑体" w:hAnsi="黑体" w:eastAsia="黑体" w:cs="宋体"/>
          <w:b/>
          <w:bCs/>
          <w:sz w:val="24"/>
          <w:highlight w:val="none"/>
        </w:rPr>
        <w:t>32</w:t>
      </w:r>
      <w:r>
        <w:rPr>
          <w:rFonts w:hint="eastAsia" w:ascii="黑体" w:hAnsi="黑体" w:eastAsia="黑体" w:cs="宋体"/>
          <w:b/>
          <w:bCs/>
          <w:sz w:val="24"/>
          <w:highlight w:val="none"/>
        </w:rPr>
        <w:t>.其他内容</w:t>
      </w:r>
    </w:p>
    <w:p w14:paraId="42ABD09D">
      <w:pPr>
        <w:tabs>
          <w:tab w:val="left" w:pos="2835"/>
        </w:tabs>
        <w:spacing w:line="360" w:lineRule="auto"/>
        <w:ind w:firstLine="420" w:firstLineChars="200"/>
        <w:rPr>
          <w:rFonts w:hint="eastAsia" w:ascii="宋体" w:hAnsi="宋体" w:cs="宋体"/>
          <w:szCs w:val="21"/>
          <w:highlight w:val="none"/>
        </w:rPr>
      </w:pPr>
      <w:r>
        <w:rPr>
          <w:rFonts w:ascii="宋体" w:hAnsi="宋体" w:cs="宋体"/>
          <w:szCs w:val="21"/>
          <w:highlight w:val="none"/>
        </w:rPr>
        <w:t>32</w:t>
      </w:r>
      <w:r>
        <w:rPr>
          <w:rFonts w:hint="eastAsia" w:ascii="宋体" w:hAnsi="宋体" w:cs="宋体"/>
          <w:szCs w:val="21"/>
          <w:highlight w:val="none"/>
        </w:rPr>
        <w:t>.1代理服务收取标准及缴费账户详见“供应商须知前附表”，供应商为联合体的，可以由联合体中的一方或者多方共同交纳代理服务费。</w:t>
      </w:r>
    </w:p>
    <w:p w14:paraId="546EE7F5">
      <w:pPr>
        <w:spacing w:line="440" w:lineRule="exact"/>
        <w:ind w:firstLine="420" w:firstLineChars="200"/>
        <w:rPr>
          <w:rFonts w:hint="eastAsia" w:ascii="宋体" w:hAnsi="宋体" w:cs="宋体"/>
          <w:highlight w:val="none"/>
        </w:rPr>
      </w:pPr>
      <w:r>
        <w:rPr>
          <w:rFonts w:ascii="宋体" w:hAnsi="宋体" w:cs="宋体"/>
          <w:szCs w:val="21"/>
          <w:highlight w:val="none"/>
        </w:rPr>
        <w:t>32.2</w:t>
      </w:r>
      <w:r>
        <w:rPr>
          <w:rFonts w:hint="eastAsia" w:ascii="宋体" w:hAnsi="宋体" w:cs="宋体"/>
          <w:szCs w:val="21"/>
          <w:highlight w:val="none"/>
        </w:rPr>
        <w:t>代理服务费收费计算标准：</w:t>
      </w:r>
      <w:r>
        <w:rPr>
          <w:rFonts w:hint="eastAsia" w:ascii="宋体" w:hAnsi="宋体" w:cs="宋体"/>
          <w:highlight w:val="none"/>
        </w:rPr>
        <w:t>详见“供应商须知前附表”</w:t>
      </w:r>
      <w:r>
        <w:rPr>
          <w:rFonts w:hint="eastAsia" w:hAnsi="宋体" w:cs="宋体"/>
          <w:highlight w:val="none"/>
        </w:rPr>
        <w:t>。</w:t>
      </w:r>
    </w:p>
    <w:p w14:paraId="3DC58270">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3</w:t>
      </w:r>
      <w:r>
        <w:rPr>
          <w:rFonts w:ascii="黑体" w:hAnsi="黑体" w:eastAsia="黑体" w:cs="宋体"/>
          <w:b/>
          <w:bCs/>
          <w:sz w:val="24"/>
          <w:highlight w:val="none"/>
        </w:rPr>
        <w:t>3.需要补充的其他内容</w:t>
      </w:r>
    </w:p>
    <w:p w14:paraId="5D29D3C2">
      <w:pPr>
        <w:pStyle w:val="15"/>
        <w:spacing w:line="360" w:lineRule="auto"/>
        <w:ind w:firstLine="420" w:firstLineChars="200"/>
        <w:textAlignment w:val="center"/>
        <w:rPr>
          <w:rFonts w:hint="eastAsia" w:hAnsi="宋体" w:cs="宋体"/>
          <w:kern w:val="2"/>
          <w:sz w:val="21"/>
          <w:highlight w:val="none"/>
        </w:rPr>
      </w:pPr>
      <w:r>
        <w:rPr>
          <w:rFonts w:hint="eastAsia" w:hAnsi="宋体" w:cs="宋体"/>
          <w:kern w:val="2"/>
          <w:sz w:val="21"/>
          <w:highlight w:val="none"/>
        </w:rPr>
        <w:t>3</w:t>
      </w:r>
      <w:r>
        <w:rPr>
          <w:rFonts w:hAnsi="宋体" w:cs="宋体"/>
          <w:kern w:val="2"/>
          <w:sz w:val="21"/>
          <w:highlight w:val="none"/>
        </w:rPr>
        <w:t>3.1</w:t>
      </w:r>
      <w:r>
        <w:rPr>
          <w:rFonts w:hint="eastAsia" w:hAnsi="宋体" w:cs="宋体"/>
          <w:kern w:val="2"/>
          <w:sz w:val="21"/>
          <w:highlight w:val="none"/>
        </w:rPr>
        <w:t>本磋商文件解释规则详见“供应商须知前附表”。</w:t>
      </w:r>
    </w:p>
    <w:p w14:paraId="28ADA7D9">
      <w:pPr>
        <w:pStyle w:val="15"/>
        <w:spacing w:line="360" w:lineRule="auto"/>
        <w:ind w:firstLine="420" w:firstLineChars="200"/>
        <w:textAlignment w:val="center"/>
        <w:rPr>
          <w:rFonts w:hint="eastAsia" w:hAnsi="宋体" w:cs="宋体"/>
          <w:kern w:val="2"/>
          <w:sz w:val="21"/>
          <w:highlight w:val="none"/>
        </w:rPr>
      </w:pPr>
      <w:r>
        <w:rPr>
          <w:rFonts w:hAnsi="宋体" w:cs="宋体"/>
          <w:kern w:val="2"/>
          <w:sz w:val="21"/>
          <w:highlight w:val="none"/>
        </w:rPr>
        <w:t>33.2</w:t>
      </w:r>
      <w:r>
        <w:rPr>
          <w:rFonts w:hint="eastAsia" w:hAnsi="宋体" w:cs="宋体"/>
          <w:kern w:val="2"/>
          <w:sz w:val="21"/>
          <w:highlight w:val="none"/>
        </w:rPr>
        <w:t>其他事项详见“供应商须知前附表”。</w:t>
      </w:r>
    </w:p>
    <w:p w14:paraId="290CF8AA">
      <w:pPr>
        <w:pStyle w:val="15"/>
        <w:spacing w:line="360" w:lineRule="auto"/>
        <w:ind w:firstLine="420" w:firstLineChars="200"/>
        <w:textAlignment w:val="center"/>
        <w:rPr>
          <w:rFonts w:hint="eastAsia" w:hAnsi="宋体" w:cs="宋体"/>
          <w:kern w:val="2"/>
          <w:sz w:val="21"/>
          <w:highlight w:val="none"/>
        </w:rPr>
      </w:pPr>
      <w:r>
        <w:rPr>
          <w:rFonts w:hint="eastAsia" w:hAnsi="宋体" w:cs="宋体"/>
          <w:kern w:val="2"/>
          <w:sz w:val="21"/>
          <w:highlight w:val="none"/>
        </w:rPr>
        <w:t>3</w:t>
      </w:r>
      <w:r>
        <w:rPr>
          <w:rFonts w:hAnsi="宋体" w:cs="宋体"/>
          <w:kern w:val="2"/>
          <w:sz w:val="21"/>
          <w:highlight w:val="none"/>
        </w:rPr>
        <w:t>3.3</w:t>
      </w:r>
      <w:r>
        <w:rPr>
          <w:rFonts w:hint="eastAsia" w:hAnsi="宋体" w:cs="宋体"/>
          <w:kern w:val="2"/>
          <w:sz w:val="21"/>
          <w:highlight w:val="none"/>
        </w:rPr>
        <w:t>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14:paraId="71AC5A83">
      <w:pPr>
        <w:pStyle w:val="15"/>
        <w:spacing w:line="360" w:lineRule="auto"/>
        <w:ind w:firstLine="420" w:firstLineChars="200"/>
        <w:contextualSpacing/>
        <w:rPr>
          <w:rFonts w:hint="eastAsia" w:hAnsi="宋体"/>
          <w:sz w:val="21"/>
          <w:highlight w:val="none"/>
        </w:rPr>
      </w:pPr>
      <w:r>
        <w:rPr>
          <w:rFonts w:hint="eastAsia" w:hAnsi="宋体"/>
          <w:sz w:val="21"/>
          <w:highlight w:val="none"/>
        </w:rPr>
        <w:t>（1）在货物采购项目中，货物由中小企业制造，即货物由中小企业生产且使用该中小企业商号或者注册商标，不对其中涉及的工程承建商和服务的承接商作出要求；</w:t>
      </w:r>
    </w:p>
    <w:p w14:paraId="7C193BBD">
      <w:pPr>
        <w:pStyle w:val="15"/>
        <w:spacing w:line="360" w:lineRule="auto"/>
        <w:ind w:firstLine="420" w:firstLineChars="200"/>
        <w:contextualSpacing/>
        <w:rPr>
          <w:rFonts w:hint="eastAsia" w:hAnsi="宋体"/>
          <w:sz w:val="21"/>
          <w:highlight w:val="none"/>
        </w:rPr>
      </w:pPr>
      <w:r>
        <w:rPr>
          <w:rFonts w:hint="eastAsia" w:hAnsi="宋体"/>
          <w:sz w:val="21"/>
          <w:highlight w:val="none"/>
        </w:rPr>
        <w:t>（2）在工程采购项目中，工程由中小企业承建，即工程施工单位为中小企业，不对其中涉及的货物的制造商和服务的承接商作出要求；</w:t>
      </w:r>
    </w:p>
    <w:p w14:paraId="6F15AE14">
      <w:pPr>
        <w:pStyle w:val="15"/>
        <w:spacing w:line="360" w:lineRule="auto"/>
        <w:ind w:firstLine="420" w:firstLineChars="200"/>
        <w:contextualSpacing/>
        <w:rPr>
          <w:rFonts w:hint="eastAsia" w:hAnsi="宋体"/>
          <w:sz w:val="21"/>
          <w:highlight w:val="none"/>
        </w:rPr>
      </w:pPr>
      <w:r>
        <w:rPr>
          <w:rFonts w:hint="eastAsia" w:hAnsi="宋体"/>
          <w:sz w:val="21"/>
          <w:highlight w:val="none"/>
        </w:rPr>
        <w:t>（3）在服务采购项目中，服务由中小企业承接，即提供服务的人员为中小企业依照《中华人民共和国劳动合同法》订立劳动合同的从业人员，不对其中涉及的货物的制造商和工程承建商作出要求。</w:t>
      </w:r>
    </w:p>
    <w:p w14:paraId="2DC42F2D">
      <w:pPr>
        <w:pStyle w:val="15"/>
        <w:spacing w:line="360" w:lineRule="auto"/>
        <w:ind w:firstLine="420" w:firstLineChars="200"/>
        <w:textAlignment w:val="center"/>
        <w:rPr>
          <w:rFonts w:hint="eastAsia" w:hAnsi="宋体" w:cs="宋体"/>
          <w:kern w:val="2"/>
          <w:sz w:val="21"/>
          <w:highlight w:val="none"/>
        </w:rPr>
      </w:pPr>
      <w:r>
        <w:rPr>
          <w:rFonts w:hint="eastAsia" w:hAnsi="宋体" w:cs="宋体"/>
          <w:kern w:val="2"/>
          <w:sz w:val="21"/>
          <w:highlight w:val="none"/>
        </w:rPr>
        <w:t>在货物采购项目中，供应商提供的货物既有中小企业制造货物，也有大型企业制造货物的，不享受本磋商文件规定的中小企业扶持政策。以联合体形式参加政府采购活动，联合体各方均为中小企业的，联合体视同中小企业。其中，联合体各方均为小微企业的，联合体视同小微企业。</w:t>
      </w:r>
    </w:p>
    <w:p w14:paraId="5A529934">
      <w:pPr>
        <w:pStyle w:val="15"/>
        <w:spacing w:line="360" w:lineRule="auto"/>
        <w:ind w:firstLine="420" w:firstLineChars="200"/>
        <w:textAlignment w:val="center"/>
        <w:rPr>
          <w:highlight w:val="none"/>
        </w:rPr>
      </w:pPr>
      <w:r>
        <w:rPr>
          <w:rFonts w:hint="eastAsia" w:hAnsi="宋体" w:cs="宋体"/>
          <w:kern w:val="2"/>
          <w:sz w:val="21"/>
          <w:highlight w:val="none"/>
        </w:rPr>
        <w:t>依据本磋商文件规定享受扶持政策获得政府采购合同的，小微企业不得将合同分包给大中型企业，中型企业不得将合同分包给大型企业。</w:t>
      </w:r>
      <w:r>
        <w:rPr>
          <w:highlight w:val="none"/>
        </w:rPr>
        <w:br w:type="page"/>
      </w:r>
    </w:p>
    <w:p w14:paraId="2DCC4126">
      <w:pPr>
        <w:pStyle w:val="15"/>
        <w:snapToGrid w:val="0"/>
        <w:spacing w:line="360" w:lineRule="auto"/>
        <w:ind w:left="840" w:hanging="420"/>
        <w:rPr>
          <w:rFonts w:hint="eastAsia" w:hAnsi="宋体"/>
          <w:highlight w:val="none"/>
        </w:rPr>
      </w:pPr>
      <w:r>
        <w:rPr>
          <w:rFonts w:hint="eastAsia" w:ascii="黑体" w:hAnsi="黑体" w:eastAsia="黑体" w:cs="黑体"/>
          <w:bCs/>
          <w:sz w:val="32"/>
          <w:szCs w:val="32"/>
          <w:highlight w:val="none"/>
        </w:rPr>
        <w:t>附件1：</w:t>
      </w:r>
    </w:p>
    <w:p w14:paraId="0FEC1FCE">
      <w:pPr>
        <w:widowControl/>
        <w:shd w:val="clear" w:color="auto" w:fill="FFFFFF"/>
        <w:spacing w:line="480" w:lineRule="atLeast"/>
        <w:jc w:val="center"/>
        <w:rPr>
          <w:rFonts w:hint="eastAsia" w:ascii="仿宋" w:hAnsi="仿宋" w:eastAsia="仿宋" w:cs="宋体"/>
          <w:kern w:val="0"/>
          <w:sz w:val="32"/>
          <w:szCs w:val="32"/>
          <w:highlight w:val="none"/>
        </w:rPr>
      </w:pPr>
      <w:r>
        <w:rPr>
          <w:rFonts w:hint="eastAsia" w:ascii="宋体" w:hAnsi="宋体" w:cs="宋体"/>
          <w:b/>
          <w:bCs/>
          <w:kern w:val="0"/>
          <w:sz w:val="32"/>
          <w:szCs w:val="32"/>
          <w:highlight w:val="none"/>
        </w:rPr>
        <w:t>广西壮族自治区政府采购项目合同验收书（格式参考）</w:t>
      </w:r>
    </w:p>
    <w:p w14:paraId="708CE2DF">
      <w:pPr>
        <w:widowControl/>
        <w:shd w:val="clear" w:color="auto" w:fill="FFFFFF"/>
        <w:spacing w:line="480" w:lineRule="atLeast"/>
        <w:jc w:val="center"/>
        <w:rPr>
          <w:rFonts w:hint="eastAsia" w:ascii="仿宋" w:hAnsi="仿宋" w:eastAsia="仿宋" w:cs="宋体"/>
          <w:kern w:val="0"/>
          <w:sz w:val="32"/>
          <w:szCs w:val="32"/>
          <w:highlight w:val="none"/>
        </w:rPr>
      </w:pPr>
    </w:p>
    <w:p w14:paraId="67E87853">
      <w:pPr>
        <w:widowControl/>
        <w:shd w:val="clear" w:color="auto" w:fill="FFFFFF"/>
        <w:snapToGrid w:val="0"/>
        <w:spacing w:line="320" w:lineRule="atLeast"/>
        <w:ind w:firstLine="480"/>
        <w:jc w:val="left"/>
        <w:rPr>
          <w:rFonts w:hint="eastAsia" w:ascii="宋体" w:hAnsi="宋体" w:cs="宋体"/>
          <w:kern w:val="0"/>
          <w:szCs w:val="21"/>
          <w:highlight w:val="none"/>
        </w:rPr>
      </w:pPr>
      <w:r>
        <w:rPr>
          <w:rFonts w:hint="eastAsia" w:ascii="宋体" w:hAnsi="宋体" w:cs="宋体"/>
          <w:kern w:val="0"/>
          <w:szCs w:val="21"/>
          <w:highlight w:val="none"/>
        </w:rPr>
        <w:t>根据政府采购项目（</w:t>
      </w:r>
      <w:r>
        <w:rPr>
          <w:rFonts w:hint="eastAsia" w:ascii="宋体" w:hAnsi="宋体" w:cs="宋体"/>
          <w:kern w:val="0"/>
          <w:szCs w:val="21"/>
          <w:highlight w:val="none"/>
          <w:u w:val="single"/>
        </w:rPr>
        <w:t>采购合同编号：</w:t>
      </w:r>
      <w:r>
        <w:rPr>
          <w:rFonts w:hint="eastAsia" w:ascii="宋体" w:hAnsi="宋体" w:cs="宋体"/>
          <w:kern w:val="0"/>
          <w:szCs w:val="21"/>
          <w:highlight w:val="none"/>
          <w:u w:val="single"/>
        </w:rPr>
        <w:softHyphen/>
      </w:r>
      <w:r>
        <w:rPr>
          <w:rFonts w:hint="eastAsia" w:ascii="宋体" w:hAnsi="宋体" w:cs="宋体"/>
          <w:kern w:val="0"/>
          <w:szCs w:val="21"/>
          <w:highlight w:val="none"/>
          <w:u w:val="single"/>
        </w:rPr>
        <w:t xml:space="preserve"> </w:t>
      </w:r>
      <w:r>
        <w:rPr>
          <w:rFonts w:hint="eastAsia" w:ascii="宋体" w:hAnsi="宋体" w:cs="宋体"/>
          <w:kern w:val="0"/>
          <w:szCs w:val="21"/>
          <w:highlight w:val="none"/>
        </w:rPr>
        <w:t>）的约定，我单位对（</w:t>
      </w:r>
      <w:r>
        <w:rPr>
          <w:rFonts w:hint="eastAsia" w:ascii="宋体" w:hAnsi="宋体" w:cs="宋体"/>
          <w:kern w:val="0"/>
          <w:szCs w:val="21"/>
          <w:highlight w:val="none"/>
          <w:u w:val="single"/>
        </w:rPr>
        <w:t xml:space="preserve"> 项目名称 </w:t>
      </w:r>
      <w:r>
        <w:rPr>
          <w:rFonts w:hint="eastAsia" w:ascii="宋体" w:hAnsi="宋体" w:cs="宋体"/>
          <w:kern w:val="0"/>
          <w:szCs w:val="21"/>
          <w:highlight w:val="none"/>
        </w:rPr>
        <w:t>） 政府采购项目成交供应商（</w:t>
      </w:r>
      <w:r>
        <w:rPr>
          <w:rFonts w:hint="eastAsia" w:ascii="宋体" w:hAnsi="宋体" w:cs="宋体"/>
          <w:kern w:val="0"/>
          <w:szCs w:val="21"/>
          <w:highlight w:val="none"/>
          <w:u w:val="single"/>
        </w:rPr>
        <w:t xml:space="preserve"> 公司名称 </w:t>
      </w:r>
      <w:r>
        <w:rPr>
          <w:rFonts w:hint="eastAsia" w:ascii="宋体" w:hAnsi="宋体" w:cs="宋体"/>
          <w:kern w:val="0"/>
          <w:szCs w:val="21"/>
          <w:highlight w:val="none"/>
        </w:rPr>
        <w:t>） 提供的货物（或者工程、服务）进行了验收，验收情况如下：</w:t>
      </w:r>
    </w:p>
    <w:tbl>
      <w:tblPr>
        <w:tblStyle w:val="24"/>
        <w:tblW w:w="8445" w:type="dxa"/>
        <w:jc w:val="center"/>
        <w:tblLayout w:type="fixed"/>
        <w:tblCellMar>
          <w:top w:w="0" w:type="dxa"/>
          <w:left w:w="0" w:type="dxa"/>
          <w:bottom w:w="0" w:type="dxa"/>
          <w:right w:w="0" w:type="dxa"/>
        </w:tblCellMar>
      </w:tblPr>
      <w:tblGrid>
        <w:gridCol w:w="804"/>
        <w:gridCol w:w="825"/>
        <w:gridCol w:w="1623"/>
        <w:gridCol w:w="798"/>
        <w:gridCol w:w="102"/>
        <w:gridCol w:w="2002"/>
        <w:gridCol w:w="178"/>
        <w:gridCol w:w="685"/>
        <w:gridCol w:w="1428"/>
      </w:tblGrid>
      <w:tr w14:paraId="1D2054B1">
        <w:tblPrEx>
          <w:tblCellMar>
            <w:top w:w="0" w:type="dxa"/>
            <w:left w:w="0" w:type="dxa"/>
            <w:bottom w:w="0" w:type="dxa"/>
            <w:right w:w="0" w:type="dxa"/>
          </w:tblCellMar>
        </w:tblPrEx>
        <w:trPr>
          <w:trHeight w:val="497" w:hRule="atLeast"/>
          <w:jc w:val="center"/>
        </w:trPr>
        <w:tc>
          <w:tcPr>
            <w:tcW w:w="3252" w:type="dxa"/>
            <w:gridSpan w:val="3"/>
            <w:tcBorders>
              <w:top w:val="single" w:color="auto" w:sz="8" w:space="0"/>
              <w:left w:val="single" w:color="auto" w:sz="8" w:space="0"/>
              <w:bottom w:val="single" w:color="auto" w:sz="8" w:space="0"/>
              <w:right w:val="single" w:color="auto" w:sz="8" w:space="0"/>
            </w:tcBorders>
            <w:vAlign w:val="center"/>
          </w:tcPr>
          <w:p w14:paraId="5C5CF6F8">
            <w:pPr>
              <w:widowControl/>
              <w:snapToGrid w:val="0"/>
              <w:spacing w:before="100" w:beforeAutospacing="1" w:after="100" w:afterAutospacing="1" w:line="320" w:lineRule="atLeast"/>
              <w:ind w:firstLine="5"/>
              <w:jc w:val="center"/>
              <w:rPr>
                <w:rFonts w:hint="eastAsia" w:ascii="宋体" w:hAnsi="宋体" w:cs="宋体"/>
                <w:kern w:val="0"/>
                <w:szCs w:val="21"/>
                <w:highlight w:val="none"/>
              </w:rPr>
            </w:pPr>
            <w:r>
              <w:rPr>
                <w:rFonts w:ascii="宋体" w:hAnsi="宋体" w:cs="宋体"/>
                <w:kern w:val="0"/>
                <w:szCs w:val="21"/>
                <w:highlight w:val="none"/>
              </w:rPr>
              <w:t>验收方式：</w:t>
            </w:r>
          </w:p>
        </w:tc>
        <w:tc>
          <w:tcPr>
            <w:tcW w:w="5193" w:type="dxa"/>
            <w:gridSpan w:val="6"/>
            <w:tcBorders>
              <w:top w:val="single" w:color="auto" w:sz="8" w:space="0"/>
              <w:left w:val="nil"/>
              <w:bottom w:val="single" w:color="auto" w:sz="8" w:space="0"/>
              <w:right w:val="single" w:color="auto" w:sz="8" w:space="0"/>
            </w:tcBorders>
            <w:vAlign w:val="center"/>
          </w:tcPr>
          <w:p w14:paraId="757B7ABB">
            <w:pPr>
              <w:widowControl/>
              <w:snapToGrid w:val="0"/>
              <w:spacing w:before="100" w:beforeAutospacing="1" w:after="100" w:afterAutospacing="1" w:line="320" w:lineRule="atLeast"/>
              <w:jc w:val="center"/>
              <w:rPr>
                <w:rFonts w:hint="eastAsia" w:ascii="宋体" w:hAnsi="宋体" w:cs="宋体"/>
                <w:kern w:val="0"/>
                <w:szCs w:val="21"/>
                <w:highlight w:val="none"/>
              </w:rPr>
            </w:pPr>
            <w:r>
              <w:rPr>
                <w:rFonts w:ascii="宋体" w:hAnsi="宋体" w:cs="宋体"/>
                <w:kern w:val="0"/>
                <w:szCs w:val="21"/>
                <w:highlight w:val="none"/>
              </w:rPr>
              <w:t>□自行验收 □委托验收</w:t>
            </w:r>
          </w:p>
        </w:tc>
      </w:tr>
      <w:tr w14:paraId="2472CF78">
        <w:tblPrEx>
          <w:tblCellMar>
            <w:top w:w="0" w:type="dxa"/>
            <w:left w:w="0" w:type="dxa"/>
            <w:bottom w:w="0" w:type="dxa"/>
            <w:right w:w="0" w:type="dxa"/>
          </w:tblCellMar>
        </w:tblPrEx>
        <w:trPr>
          <w:trHeight w:val="622" w:hRule="atLeast"/>
          <w:jc w:val="center"/>
        </w:trPr>
        <w:tc>
          <w:tcPr>
            <w:tcW w:w="804" w:type="dxa"/>
            <w:tcBorders>
              <w:top w:val="nil"/>
              <w:left w:val="single" w:color="auto" w:sz="8" w:space="0"/>
              <w:bottom w:val="single" w:color="auto" w:sz="8" w:space="0"/>
              <w:right w:val="single" w:color="auto" w:sz="8" w:space="0"/>
            </w:tcBorders>
            <w:vAlign w:val="center"/>
          </w:tcPr>
          <w:p w14:paraId="7C5DCE68">
            <w:pPr>
              <w:widowControl/>
              <w:snapToGrid w:val="0"/>
              <w:spacing w:before="100" w:beforeAutospacing="1" w:after="100" w:afterAutospacing="1" w:line="320" w:lineRule="atLeast"/>
              <w:ind w:firstLine="2"/>
              <w:jc w:val="center"/>
              <w:rPr>
                <w:rFonts w:hint="eastAsia" w:ascii="宋体" w:hAnsi="宋体" w:cs="宋体"/>
                <w:kern w:val="0"/>
                <w:szCs w:val="21"/>
                <w:highlight w:val="none"/>
              </w:rPr>
            </w:pPr>
            <w:r>
              <w:rPr>
                <w:rFonts w:ascii="宋体" w:hAnsi="宋体" w:cs="宋体"/>
                <w:kern w:val="0"/>
                <w:szCs w:val="21"/>
                <w:highlight w:val="none"/>
              </w:rPr>
              <w:t>序号</w:t>
            </w:r>
          </w:p>
        </w:tc>
        <w:tc>
          <w:tcPr>
            <w:tcW w:w="2448" w:type="dxa"/>
            <w:gridSpan w:val="2"/>
            <w:tcBorders>
              <w:top w:val="nil"/>
              <w:left w:val="nil"/>
              <w:bottom w:val="single" w:color="auto" w:sz="8" w:space="0"/>
              <w:right w:val="single" w:color="auto" w:sz="8" w:space="0"/>
            </w:tcBorders>
            <w:vAlign w:val="center"/>
          </w:tcPr>
          <w:p w14:paraId="35C47041">
            <w:pPr>
              <w:widowControl/>
              <w:snapToGrid w:val="0"/>
              <w:spacing w:before="100" w:beforeAutospacing="1" w:after="100" w:afterAutospacing="1" w:line="320" w:lineRule="atLeast"/>
              <w:ind w:firstLine="2"/>
              <w:jc w:val="center"/>
              <w:rPr>
                <w:rFonts w:hint="eastAsia" w:ascii="宋体" w:hAnsi="宋体" w:cs="宋体"/>
                <w:kern w:val="0"/>
                <w:szCs w:val="21"/>
                <w:highlight w:val="none"/>
              </w:rPr>
            </w:pPr>
            <w:r>
              <w:rPr>
                <w:rFonts w:ascii="宋体" w:hAnsi="宋体" w:cs="宋体"/>
                <w:kern w:val="0"/>
                <w:szCs w:val="21"/>
                <w:highlight w:val="none"/>
              </w:rPr>
              <w:t>名称</w:t>
            </w:r>
          </w:p>
        </w:tc>
        <w:tc>
          <w:tcPr>
            <w:tcW w:w="2902" w:type="dxa"/>
            <w:gridSpan w:val="3"/>
            <w:tcBorders>
              <w:top w:val="nil"/>
              <w:left w:val="nil"/>
              <w:bottom w:val="single" w:color="auto" w:sz="8" w:space="0"/>
              <w:right w:val="single" w:color="auto" w:sz="8" w:space="0"/>
            </w:tcBorders>
            <w:vAlign w:val="center"/>
          </w:tcPr>
          <w:p w14:paraId="4C134CD9">
            <w:pPr>
              <w:widowControl/>
              <w:snapToGrid w:val="0"/>
              <w:spacing w:before="100" w:beforeAutospacing="1" w:after="100" w:afterAutospacing="1" w:line="320" w:lineRule="atLeast"/>
              <w:ind w:firstLine="2"/>
              <w:jc w:val="center"/>
              <w:rPr>
                <w:rFonts w:hint="eastAsia" w:ascii="宋体" w:hAnsi="宋体" w:cs="宋体"/>
                <w:kern w:val="0"/>
                <w:szCs w:val="21"/>
                <w:highlight w:val="none"/>
              </w:rPr>
            </w:pPr>
            <w:r>
              <w:rPr>
                <w:rFonts w:ascii="宋体" w:hAnsi="宋体" w:cs="宋体"/>
                <w:kern w:val="0"/>
                <w:szCs w:val="21"/>
                <w:highlight w:val="none"/>
              </w:rPr>
              <w:t>货物型号规格、标准及配置等（或者服务内容、标准）</w:t>
            </w:r>
          </w:p>
        </w:tc>
        <w:tc>
          <w:tcPr>
            <w:tcW w:w="863" w:type="dxa"/>
            <w:gridSpan w:val="2"/>
            <w:tcBorders>
              <w:top w:val="nil"/>
              <w:left w:val="nil"/>
              <w:bottom w:val="single" w:color="auto" w:sz="8" w:space="0"/>
              <w:right w:val="single" w:color="auto" w:sz="8" w:space="0"/>
            </w:tcBorders>
            <w:vAlign w:val="center"/>
          </w:tcPr>
          <w:p w14:paraId="1B77F581">
            <w:pPr>
              <w:widowControl/>
              <w:snapToGrid w:val="0"/>
              <w:spacing w:before="100" w:beforeAutospacing="1" w:after="100" w:afterAutospacing="1" w:line="320" w:lineRule="atLeast"/>
              <w:jc w:val="center"/>
              <w:rPr>
                <w:rFonts w:hint="eastAsia" w:ascii="宋体" w:hAnsi="宋体" w:cs="宋体"/>
                <w:kern w:val="0"/>
                <w:szCs w:val="21"/>
                <w:highlight w:val="none"/>
              </w:rPr>
            </w:pPr>
            <w:r>
              <w:rPr>
                <w:rFonts w:ascii="宋体" w:hAnsi="宋体" w:cs="宋体"/>
                <w:kern w:val="0"/>
                <w:szCs w:val="21"/>
                <w:highlight w:val="none"/>
              </w:rPr>
              <w:t>数量</w:t>
            </w:r>
          </w:p>
        </w:tc>
        <w:tc>
          <w:tcPr>
            <w:tcW w:w="1428" w:type="dxa"/>
            <w:tcBorders>
              <w:top w:val="nil"/>
              <w:left w:val="nil"/>
              <w:bottom w:val="single" w:color="auto" w:sz="8" w:space="0"/>
              <w:right w:val="single" w:color="auto" w:sz="8" w:space="0"/>
            </w:tcBorders>
            <w:vAlign w:val="center"/>
          </w:tcPr>
          <w:p w14:paraId="64121314">
            <w:pPr>
              <w:widowControl/>
              <w:snapToGrid w:val="0"/>
              <w:spacing w:before="100" w:beforeAutospacing="1" w:after="100" w:afterAutospacing="1" w:line="320" w:lineRule="atLeast"/>
              <w:ind w:firstLine="2"/>
              <w:jc w:val="center"/>
              <w:rPr>
                <w:rFonts w:hint="eastAsia" w:ascii="宋体" w:hAnsi="宋体" w:cs="宋体"/>
                <w:kern w:val="0"/>
                <w:szCs w:val="21"/>
                <w:highlight w:val="none"/>
              </w:rPr>
            </w:pPr>
            <w:r>
              <w:rPr>
                <w:rFonts w:ascii="宋体" w:hAnsi="宋体" w:cs="宋体"/>
                <w:kern w:val="0"/>
                <w:szCs w:val="21"/>
                <w:highlight w:val="none"/>
              </w:rPr>
              <w:t>金额</w:t>
            </w:r>
          </w:p>
        </w:tc>
      </w:tr>
      <w:tr w14:paraId="58C29A9F">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14:paraId="638DE2F7">
            <w:pPr>
              <w:widowControl/>
              <w:spacing w:before="100" w:beforeAutospacing="1" w:after="100" w:afterAutospacing="1" w:line="240" w:lineRule="atLeast"/>
              <w:jc w:val="center"/>
              <w:rPr>
                <w:rFonts w:hint="eastAsia" w:ascii="宋体" w:hAnsi="宋体" w:cs="宋体"/>
                <w:kern w:val="0"/>
                <w:szCs w:val="21"/>
                <w:highlight w:val="none"/>
              </w:rPr>
            </w:pPr>
          </w:p>
        </w:tc>
        <w:tc>
          <w:tcPr>
            <w:tcW w:w="2448" w:type="dxa"/>
            <w:gridSpan w:val="2"/>
            <w:tcBorders>
              <w:top w:val="nil"/>
              <w:left w:val="nil"/>
              <w:bottom w:val="single" w:color="auto" w:sz="8" w:space="0"/>
              <w:right w:val="single" w:color="auto" w:sz="8" w:space="0"/>
            </w:tcBorders>
            <w:vAlign w:val="center"/>
          </w:tcPr>
          <w:p w14:paraId="55491CA8">
            <w:pPr>
              <w:widowControl/>
              <w:spacing w:before="100" w:beforeAutospacing="1" w:after="100" w:afterAutospacing="1" w:line="240" w:lineRule="atLeast"/>
              <w:jc w:val="center"/>
              <w:rPr>
                <w:rFonts w:hint="eastAsia" w:ascii="宋体" w:hAnsi="宋体" w:cs="宋体"/>
                <w:kern w:val="0"/>
                <w:szCs w:val="21"/>
                <w:highlight w:val="none"/>
              </w:rPr>
            </w:pPr>
          </w:p>
        </w:tc>
        <w:tc>
          <w:tcPr>
            <w:tcW w:w="2902" w:type="dxa"/>
            <w:gridSpan w:val="3"/>
            <w:tcBorders>
              <w:top w:val="nil"/>
              <w:left w:val="nil"/>
              <w:bottom w:val="single" w:color="auto" w:sz="8" w:space="0"/>
              <w:right w:val="single" w:color="auto" w:sz="8" w:space="0"/>
            </w:tcBorders>
            <w:vAlign w:val="center"/>
          </w:tcPr>
          <w:p w14:paraId="70DD4DB1">
            <w:pPr>
              <w:widowControl/>
              <w:spacing w:before="100" w:beforeAutospacing="1" w:after="100" w:afterAutospacing="1" w:line="240" w:lineRule="atLeast"/>
              <w:jc w:val="center"/>
              <w:rPr>
                <w:rFonts w:hint="eastAsia" w:ascii="宋体" w:hAnsi="宋体" w:cs="宋体"/>
                <w:kern w:val="0"/>
                <w:szCs w:val="21"/>
                <w:highlight w:val="none"/>
              </w:rPr>
            </w:pPr>
          </w:p>
        </w:tc>
        <w:tc>
          <w:tcPr>
            <w:tcW w:w="863" w:type="dxa"/>
            <w:gridSpan w:val="2"/>
            <w:tcBorders>
              <w:top w:val="nil"/>
              <w:left w:val="nil"/>
              <w:bottom w:val="single" w:color="auto" w:sz="8" w:space="0"/>
              <w:right w:val="single" w:color="auto" w:sz="8" w:space="0"/>
            </w:tcBorders>
            <w:vAlign w:val="center"/>
          </w:tcPr>
          <w:p w14:paraId="74FA7862">
            <w:pPr>
              <w:widowControl/>
              <w:spacing w:before="100" w:beforeAutospacing="1" w:after="100" w:afterAutospacing="1" w:line="240" w:lineRule="atLeast"/>
              <w:jc w:val="center"/>
              <w:rPr>
                <w:rFonts w:hint="eastAsia" w:ascii="宋体" w:hAnsi="宋体" w:cs="宋体"/>
                <w:kern w:val="0"/>
                <w:szCs w:val="21"/>
                <w:highlight w:val="none"/>
              </w:rPr>
            </w:pPr>
          </w:p>
        </w:tc>
        <w:tc>
          <w:tcPr>
            <w:tcW w:w="1428" w:type="dxa"/>
            <w:tcBorders>
              <w:top w:val="nil"/>
              <w:left w:val="nil"/>
              <w:bottom w:val="single" w:color="auto" w:sz="8" w:space="0"/>
              <w:right w:val="single" w:color="auto" w:sz="8" w:space="0"/>
            </w:tcBorders>
            <w:vAlign w:val="center"/>
          </w:tcPr>
          <w:p w14:paraId="47E935D2">
            <w:pPr>
              <w:widowControl/>
              <w:spacing w:before="100" w:beforeAutospacing="1" w:after="100" w:afterAutospacing="1" w:line="240" w:lineRule="atLeast"/>
              <w:jc w:val="center"/>
              <w:rPr>
                <w:rFonts w:hint="eastAsia" w:ascii="宋体" w:hAnsi="宋体" w:cs="宋体"/>
                <w:kern w:val="0"/>
                <w:szCs w:val="21"/>
                <w:highlight w:val="none"/>
              </w:rPr>
            </w:pPr>
          </w:p>
        </w:tc>
      </w:tr>
      <w:tr w14:paraId="3E9E45EA">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14:paraId="3CB29DBA">
            <w:pPr>
              <w:widowControl/>
              <w:spacing w:before="100" w:beforeAutospacing="1" w:after="100" w:afterAutospacing="1" w:line="240" w:lineRule="atLeast"/>
              <w:jc w:val="center"/>
              <w:rPr>
                <w:rFonts w:hint="eastAsia" w:ascii="宋体" w:hAnsi="宋体" w:cs="宋体"/>
                <w:kern w:val="0"/>
                <w:szCs w:val="21"/>
                <w:highlight w:val="none"/>
              </w:rPr>
            </w:pPr>
          </w:p>
        </w:tc>
        <w:tc>
          <w:tcPr>
            <w:tcW w:w="2448" w:type="dxa"/>
            <w:gridSpan w:val="2"/>
            <w:tcBorders>
              <w:top w:val="nil"/>
              <w:left w:val="nil"/>
              <w:bottom w:val="single" w:color="auto" w:sz="8" w:space="0"/>
              <w:right w:val="single" w:color="auto" w:sz="8" w:space="0"/>
            </w:tcBorders>
            <w:vAlign w:val="center"/>
          </w:tcPr>
          <w:p w14:paraId="2B59CBDA">
            <w:pPr>
              <w:widowControl/>
              <w:spacing w:before="100" w:beforeAutospacing="1" w:after="100" w:afterAutospacing="1" w:line="240" w:lineRule="atLeast"/>
              <w:jc w:val="center"/>
              <w:rPr>
                <w:rFonts w:hint="eastAsia" w:ascii="宋体" w:hAnsi="宋体" w:cs="宋体"/>
                <w:kern w:val="0"/>
                <w:szCs w:val="21"/>
                <w:highlight w:val="none"/>
              </w:rPr>
            </w:pPr>
          </w:p>
        </w:tc>
        <w:tc>
          <w:tcPr>
            <w:tcW w:w="2902" w:type="dxa"/>
            <w:gridSpan w:val="3"/>
            <w:tcBorders>
              <w:top w:val="nil"/>
              <w:left w:val="nil"/>
              <w:bottom w:val="single" w:color="auto" w:sz="8" w:space="0"/>
              <w:right w:val="single" w:color="auto" w:sz="8" w:space="0"/>
            </w:tcBorders>
            <w:vAlign w:val="center"/>
          </w:tcPr>
          <w:p w14:paraId="2EEE3786">
            <w:pPr>
              <w:widowControl/>
              <w:spacing w:before="100" w:beforeAutospacing="1" w:after="100" w:afterAutospacing="1" w:line="240" w:lineRule="atLeast"/>
              <w:jc w:val="center"/>
              <w:rPr>
                <w:rFonts w:hint="eastAsia" w:ascii="宋体" w:hAnsi="宋体" w:cs="宋体"/>
                <w:kern w:val="0"/>
                <w:szCs w:val="21"/>
                <w:highlight w:val="none"/>
              </w:rPr>
            </w:pPr>
          </w:p>
        </w:tc>
        <w:tc>
          <w:tcPr>
            <w:tcW w:w="863" w:type="dxa"/>
            <w:gridSpan w:val="2"/>
            <w:tcBorders>
              <w:top w:val="nil"/>
              <w:left w:val="nil"/>
              <w:bottom w:val="single" w:color="auto" w:sz="8" w:space="0"/>
              <w:right w:val="single" w:color="auto" w:sz="8" w:space="0"/>
            </w:tcBorders>
            <w:vAlign w:val="center"/>
          </w:tcPr>
          <w:p w14:paraId="03D4D48B">
            <w:pPr>
              <w:widowControl/>
              <w:spacing w:before="100" w:beforeAutospacing="1" w:after="100" w:afterAutospacing="1" w:line="240" w:lineRule="atLeast"/>
              <w:jc w:val="center"/>
              <w:rPr>
                <w:rFonts w:hint="eastAsia" w:ascii="宋体" w:hAnsi="宋体" w:cs="宋体"/>
                <w:kern w:val="0"/>
                <w:szCs w:val="21"/>
                <w:highlight w:val="none"/>
              </w:rPr>
            </w:pPr>
          </w:p>
        </w:tc>
        <w:tc>
          <w:tcPr>
            <w:tcW w:w="1428" w:type="dxa"/>
            <w:tcBorders>
              <w:top w:val="nil"/>
              <w:left w:val="nil"/>
              <w:bottom w:val="single" w:color="auto" w:sz="8" w:space="0"/>
              <w:right w:val="single" w:color="auto" w:sz="8" w:space="0"/>
            </w:tcBorders>
            <w:vAlign w:val="center"/>
          </w:tcPr>
          <w:p w14:paraId="16EA8934">
            <w:pPr>
              <w:widowControl/>
              <w:spacing w:before="100" w:beforeAutospacing="1" w:after="100" w:afterAutospacing="1" w:line="240" w:lineRule="atLeast"/>
              <w:jc w:val="center"/>
              <w:rPr>
                <w:rFonts w:hint="eastAsia" w:ascii="宋体" w:hAnsi="宋体" w:cs="宋体"/>
                <w:kern w:val="0"/>
                <w:szCs w:val="21"/>
                <w:highlight w:val="none"/>
              </w:rPr>
            </w:pPr>
          </w:p>
        </w:tc>
      </w:tr>
      <w:tr w14:paraId="209B81AE">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14:paraId="58ECFA6C">
            <w:pPr>
              <w:widowControl/>
              <w:spacing w:before="100" w:beforeAutospacing="1" w:after="100" w:afterAutospacing="1" w:line="240" w:lineRule="atLeast"/>
              <w:jc w:val="center"/>
              <w:rPr>
                <w:rFonts w:hint="eastAsia" w:ascii="宋体" w:hAnsi="宋体" w:cs="宋体"/>
                <w:kern w:val="0"/>
                <w:szCs w:val="21"/>
                <w:highlight w:val="none"/>
              </w:rPr>
            </w:pPr>
          </w:p>
        </w:tc>
        <w:tc>
          <w:tcPr>
            <w:tcW w:w="2448" w:type="dxa"/>
            <w:gridSpan w:val="2"/>
            <w:tcBorders>
              <w:top w:val="nil"/>
              <w:left w:val="nil"/>
              <w:bottom w:val="single" w:color="auto" w:sz="8" w:space="0"/>
              <w:right w:val="single" w:color="auto" w:sz="8" w:space="0"/>
            </w:tcBorders>
            <w:vAlign w:val="center"/>
          </w:tcPr>
          <w:p w14:paraId="164FE7F7">
            <w:pPr>
              <w:widowControl/>
              <w:spacing w:before="100" w:beforeAutospacing="1" w:after="100" w:afterAutospacing="1" w:line="240" w:lineRule="atLeast"/>
              <w:jc w:val="center"/>
              <w:rPr>
                <w:rFonts w:hint="eastAsia" w:ascii="宋体" w:hAnsi="宋体" w:cs="宋体"/>
                <w:kern w:val="0"/>
                <w:szCs w:val="21"/>
                <w:highlight w:val="none"/>
              </w:rPr>
            </w:pPr>
          </w:p>
        </w:tc>
        <w:tc>
          <w:tcPr>
            <w:tcW w:w="2902" w:type="dxa"/>
            <w:gridSpan w:val="3"/>
            <w:tcBorders>
              <w:top w:val="nil"/>
              <w:left w:val="nil"/>
              <w:bottom w:val="single" w:color="auto" w:sz="8" w:space="0"/>
              <w:right w:val="single" w:color="auto" w:sz="8" w:space="0"/>
            </w:tcBorders>
            <w:vAlign w:val="center"/>
          </w:tcPr>
          <w:p w14:paraId="1282A355">
            <w:pPr>
              <w:widowControl/>
              <w:spacing w:before="100" w:beforeAutospacing="1" w:after="100" w:afterAutospacing="1" w:line="240" w:lineRule="atLeast"/>
              <w:jc w:val="center"/>
              <w:rPr>
                <w:rFonts w:hint="eastAsia" w:ascii="宋体" w:hAnsi="宋体" w:cs="宋体"/>
                <w:kern w:val="0"/>
                <w:szCs w:val="21"/>
                <w:highlight w:val="none"/>
              </w:rPr>
            </w:pPr>
          </w:p>
        </w:tc>
        <w:tc>
          <w:tcPr>
            <w:tcW w:w="863" w:type="dxa"/>
            <w:gridSpan w:val="2"/>
            <w:tcBorders>
              <w:top w:val="nil"/>
              <w:left w:val="nil"/>
              <w:bottom w:val="single" w:color="auto" w:sz="8" w:space="0"/>
              <w:right w:val="single" w:color="auto" w:sz="8" w:space="0"/>
            </w:tcBorders>
            <w:vAlign w:val="center"/>
          </w:tcPr>
          <w:p w14:paraId="38C0BAFD">
            <w:pPr>
              <w:widowControl/>
              <w:spacing w:before="100" w:beforeAutospacing="1" w:after="100" w:afterAutospacing="1" w:line="240" w:lineRule="atLeast"/>
              <w:jc w:val="center"/>
              <w:rPr>
                <w:rFonts w:hint="eastAsia" w:ascii="宋体" w:hAnsi="宋体" w:cs="宋体"/>
                <w:kern w:val="0"/>
                <w:szCs w:val="21"/>
                <w:highlight w:val="none"/>
              </w:rPr>
            </w:pPr>
          </w:p>
        </w:tc>
        <w:tc>
          <w:tcPr>
            <w:tcW w:w="1428" w:type="dxa"/>
            <w:tcBorders>
              <w:top w:val="nil"/>
              <w:left w:val="nil"/>
              <w:bottom w:val="single" w:color="auto" w:sz="8" w:space="0"/>
              <w:right w:val="single" w:color="auto" w:sz="8" w:space="0"/>
            </w:tcBorders>
            <w:vAlign w:val="center"/>
          </w:tcPr>
          <w:p w14:paraId="54D23DD9">
            <w:pPr>
              <w:widowControl/>
              <w:spacing w:before="100" w:beforeAutospacing="1" w:after="100" w:afterAutospacing="1" w:line="240" w:lineRule="atLeast"/>
              <w:jc w:val="center"/>
              <w:rPr>
                <w:rFonts w:hint="eastAsia" w:ascii="宋体" w:hAnsi="宋体" w:cs="宋体"/>
                <w:kern w:val="0"/>
                <w:szCs w:val="21"/>
                <w:highlight w:val="none"/>
              </w:rPr>
            </w:pPr>
          </w:p>
        </w:tc>
      </w:tr>
      <w:tr w14:paraId="2C20F89A">
        <w:tblPrEx>
          <w:tblCellMar>
            <w:top w:w="0" w:type="dxa"/>
            <w:left w:w="0" w:type="dxa"/>
            <w:bottom w:w="0" w:type="dxa"/>
            <w:right w:w="0" w:type="dxa"/>
          </w:tblCellMar>
        </w:tblPrEx>
        <w:trPr>
          <w:trHeight w:val="487" w:hRule="atLeast"/>
          <w:jc w:val="center"/>
        </w:trPr>
        <w:tc>
          <w:tcPr>
            <w:tcW w:w="6154" w:type="dxa"/>
            <w:gridSpan w:val="6"/>
            <w:tcBorders>
              <w:top w:val="nil"/>
              <w:left w:val="single" w:color="auto" w:sz="8" w:space="0"/>
              <w:bottom w:val="single" w:color="auto" w:sz="8" w:space="0"/>
              <w:right w:val="single" w:color="auto" w:sz="8" w:space="0"/>
            </w:tcBorders>
            <w:vAlign w:val="center"/>
          </w:tcPr>
          <w:p w14:paraId="08CAAD82">
            <w:pPr>
              <w:widowControl/>
              <w:snapToGrid w:val="0"/>
              <w:spacing w:before="100" w:beforeAutospacing="1" w:after="100" w:afterAutospacing="1" w:line="320" w:lineRule="atLeast"/>
              <w:ind w:firstLine="5"/>
              <w:jc w:val="center"/>
              <w:rPr>
                <w:rFonts w:hint="eastAsia" w:ascii="宋体" w:hAnsi="宋体" w:cs="宋体"/>
                <w:kern w:val="0"/>
                <w:szCs w:val="21"/>
                <w:highlight w:val="none"/>
              </w:rPr>
            </w:pPr>
            <w:r>
              <w:rPr>
                <w:rFonts w:ascii="宋体" w:hAnsi="宋体" w:cs="宋体"/>
                <w:kern w:val="0"/>
                <w:szCs w:val="21"/>
                <w:highlight w:val="none"/>
              </w:rPr>
              <w:t>合 计</w:t>
            </w:r>
          </w:p>
        </w:tc>
        <w:tc>
          <w:tcPr>
            <w:tcW w:w="863" w:type="dxa"/>
            <w:gridSpan w:val="2"/>
            <w:tcBorders>
              <w:top w:val="nil"/>
              <w:left w:val="nil"/>
              <w:bottom w:val="single" w:color="auto" w:sz="8" w:space="0"/>
              <w:right w:val="single" w:color="auto" w:sz="8" w:space="0"/>
            </w:tcBorders>
            <w:vAlign w:val="center"/>
          </w:tcPr>
          <w:p w14:paraId="626EF7AA">
            <w:pPr>
              <w:widowControl/>
              <w:spacing w:before="100" w:beforeAutospacing="1" w:after="100" w:afterAutospacing="1" w:line="240" w:lineRule="atLeast"/>
              <w:jc w:val="center"/>
              <w:rPr>
                <w:rFonts w:hint="eastAsia" w:ascii="宋体" w:hAnsi="宋体" w:cs="宋体"/>
                <w:kern w:val="0"/>
                <w:szCs w:val="21"/>
                <w:highlight w:val="none"/>
              </w:rPr>
            </w:pPr>
          </w:p>
        </w:tc>
        <w:tc>
          <w:tcPr>
            <w:tcW w:w="1428" w:type="dxa"/>
            <w:tcBorders>
              <w:top w:val="nil"/>
              <w:left w:val="nil"/>
              <w:bottom w:val="single" w:color="auto" w:sz="8" w:space="0"/>
              <w:right w:val="single" w:color="auto" w:sz="8" w:space="0"/>
            </w:tcBorders>
            <w:vAlign w:val="center"/>
          </w:tcPr>
          <w:p w14:paraId="562031BD">
            <w:pPr>
              <w:widowControl/>
              <w:spacing w:before="100" w:beforeAutospacing="1" w:after="100" w:afterAutospacing="1" w:line="240" w:lineRule="atLeast"/>
              <w:jc w:val="center"/>
              <w:rPr>
                <w:rFonts w:hint="eastAsia" w:ascii="宋体" w:hAnsi="宋体" w:cs="宋体"/>
                <w:kern w:val="0"/>
                <w:szCs w:val="21"/>
                <w:highlight w:val="none"/>
              </w:rPr>
            </w:pPr>
          </w:p>
        </w:tc>
      </w:tr>
      <w:tr w14:paraId="4F1EFBAF">
        <w:tblPrEx>
          <w:tblCellMar>
            <w:top w:w="0" w:type="dxa"/>
            <w:left w:w="0" w:type="dxa"/>
            <w:bottom w:w="0" w:type="dxa"/>
            <w:right w:w="0" w:type="dxa"/>
          </w:tblCellMar>
        </w:tblPrEx>
        <w:trPr>
          <w:trHeight w:val="641" w:hRule="atLeast"/>
          <w:jc w:val="center"/>
        </w:trPr>
        <w:tc>
          <w:tcPr>
            <w:tcW w:w="8445" w:type="dxa"/>
            <w:gridSpan w:val="9"/>
            <w:tcBorders>
              <w:top w:val="nil"/>
              <w:left w:val="single" w:color="auto" w:sz="8" w:space="0"/>
              <w:bottom w:val="single" w:color="auto" w:sz="8" w:space="0"/>
              <w:right w:val="single" w:color="auto" w:sz="8" w:space="0"/>
            </w:tcBorders>
            <w:vAlign w:val="center"/>
          </w:tcPr>
          <w:p w14:paraId="07EDF6BA">
            <w:pPr>
              <w:widowControl/>
              <w:snapToGrid w:val="0"/>
              <w:spacing w:before="100" w:beforeAutospacing="1" w:after="100" w:afterAutospacing="1" w:line="320" w:lineRule="atLeast"/>
              <w:ind w:firstLine="210" w:firstLineChars="100"/>
              <w:jc w:val="left"/>
              <w:rPr>
                <w:rFonts w:hint="eastAsia" w:ascii="宋体" w:hAnsi="宋体" w:cs="宋体"/>
                <w:kern w:val="0"/>
                <w:szCs w:val="21"/>
                <w:highlight w:val="none"/>
              </w:rPr>
            </w:pPr>
            <w:r>
              <w:rPr>
                <w:rFonts w:ascii="宋体" w:hAnsi="宋体" w:cs="宋体"/>
                <w:kern w:val="0"/>
                <w:szCs w:val="21"/>
                <w:highlight w:val="none"/>
              </w:rPr>
              <w:t xml:space="preserve">合计大写金额： </w:t>
            </w:r>
            <w:r>
              <w:rPr>
                <w:rFonts w:hint="eastAsia" w:ascii="宋体" w:hAnsi="宋体" w:cs="宋体"/>
                <w:kern w:val="0"/>
                <w:szCs w:val="21"/>
                <w:highlight w:val="none"/>
              </w:rPr>
              <w:t xml:space="preserve"> </w:t>
            </w:r>
            <w:r>
              <w:rPr>
                <w:rFonts w:ascii="宋体" w:hAnsi="宋体" w:cs="宋体"/>
                <w:kern w:val="0"/>
                <w:szCs w:val="21"/>
                <w:highlight w:val="none"/>
              </w:rPr>
              <w:t xml:space="preserve">仟 </w:t>
            </w:r>
            <w:r>
              <w:rPr>
                <w:rFonts w:hint="eastAsia" w:ascii="宋体" w:hAnsi="宋体" w:cs="宋体"/>
                <w:kern w:val="0"/>
                <w:szCs w:val="21"/>
                <w:highlight w:val="none"/>
              </w:rPr>
              <w:t xml:space="preserve"> </w:t>
            </w:r>
            <w:r>
              <w:rPr>
                <w:rFonts w:ascii="宋体" w:hAnsi="宋体" w:cs="宋体"/>
                <w:kern w:val="0"/>
                <w:szCs w:val="21"/>
                <w:highlight w:val="none"/>
              </w:rPr>
              <w:t xml:space="preserve">佰 </w:t>
            </w:r>
            <w:r>
              <w:rPr>
                <w:rFonts w:hint="eastAsia" w:ascii="宋体" w:hAnsi="宋体" w:cs="宋体"/>
                <w:kern w:val="0"/>
                <w:szCs w:val="21"/>
                <w:highlight w:val="none"/>
              </w:rPr>
              <w:t xml:space="preserve"> </w:t>
            </w:r>
            <w:r>
              <w:rPr>
                <w:rFonts w:ascii="宋体" w:hAnsi="宋体" w:cs="宋体"/>
                <w:kern w:val="0"/>
                <w:szCs w:val="21"/>
                <w:highlight w:val="none"/>
              </w:rPr>
              <w:t xml:space="preserve">拾 </w:t>
            </w:r>
            <w:r>
              <w:rPr>
                <w:rFonts w:hint="eastAsia" w:ascii="宋体" w:hAnsi="宋体" w:cs="宋体"/>
                <w:kern w:val="0"/>
                <w:szCs w:val="21"/>
                <w:highlight w:val="none"/>
              </w:rPr>
              <w:t xml:space="preserve"> </w:t>
            </w:r>
            <w:r>
              <w:rPr>
                <w:rFonts w:ascii="宋体" w:hAnsi="宋体" w:cs="宋体"/>
                <w:kern w:val="0"/>
                <w:szCs w:val="21"/>
                <w:highlight w:val="none"/>
              </w:rPr>
              <w:t xml:space="preserve">万 </w:t>
            </w:r>
            <w:r>
              <w:rPr>
                <w:rFonts w:hint="eastAsia" w:ascii="宋体" w:hAnsi="宋体" w:cs="宋体"/>
                <w:kern w:val="0"/>
                <w:szCs w:val="21"/>
                <w:highlight w:val="none"/>
              </w:rPr>
              <w:t xml:space="preserve"> </w:t>
            </w:r>
            <w:r>
              <w:rPr>
                <w:rFonts w:ascii="宋体" w:hAnsi="宋体" w:cs="宋体"/>
                <w:kern w:val="0"/>
                <w:szCs w:val="21"/>
                <w:highlight w:val="none"/>
              </w:rPr>
              <w:t xml:space="preserve">仟 </w:t>
            </w:r>
            <w:r>
              <w:rPr>
                <w:rFonts w:hint="eastAsia" w:ascii="宋体" w:hAnsi="宋体" w:cs="宋体"/>
                <w:kern w:val="0"/>
                <w:szCs w:val="21"/>
                <w:highlight w:val="none"/>
              </w:rPr>
              <w:t xml:space="preserve"> </w:t>
            </w:r>
            <w:r>
              <w:rPr>
                <w:rFonts w:ascii="宋体" w:hAnsi="宋体" w:cs="宋体"/>
                <w:kern w:val="0"/>
                <w:szCs w:val="21"/>
                <w:highlight w:val="none"/>
              </w:rPr>
              <w:t xml:space="preserve">佰 </w:t>
            </w:r>
            <w:r>
              <w:rPr>
                <w:rFonts w:hint="eastAsia" w:ascii="宋体" w:hAnsi="宋体" w:cs="宋体"/>
                <w:kern w:val="0"/>
                <w:szCs w:val="21"/>
                <w:highlight w:val="none"/>
              </w:rPr>
              <w:t xml:space="preserve"> </w:t>
            </w:r>
            <w:r>
              <w:rPr>
                <w:rFonts w:ascii="宋体" w:hAnsi="宋体" w:cs="宋体"/>
                <w:kern w:val="0"/>
                <w:szCs w:val="21"/>
                <w:highlight w:val="none"/>
              </w:rPr>
              <w:t xml:space="preserve">拾 </w:t>
            </w:r>
            <w:r>
              <w:rPr>
                <w:rFonts w:hint="eastAsia" w:ascii="宋体" w:hAnsi="宋体" w:cs="宋体"/>
                <w:kern w:val="0"/>
                <w:szCs w:val="21"/>
                <w:highlight w:val="none"/>
              </w:rPr>
              <w:t xml:space="preserve"> </w:t>
            </w:r>
            <w:r>
              <w:rPr>
                <w:rFonts w:ascii="宋体" w:hAnsi="宋体" w:cs="宋体"/>
                <w:kern w:val="0"/>
                <w:szCs w:val="21"/>
                <w:highlight w:val="none"/>
              </w:rPr>
              <w:t>元</w:t>
            </w:r>
          </w:p>
        </w:tc>
      </w:tr>
      <w:tr w14:paraId="4F2D73B8">
        <w:tblPrEx>
          <w:tblCellMar>
            <w:top w:w="0" w:type="dxa"/>
            <w:left w:w="0" w:type="dxa"/>
            <w:bottom w:w="0" w:type="dxa"/>
            <w:right w:w="0" w:type="dxa"/>
          </w:tblCellMar>
        </w:tblPrEx>
        <w:trPr>
          <w:trHeight w:val="641" w:hRule="atLeast"/>
          <w:jc w:val="center"/>
        </w:trPr>
        <w:tc>
          <w:tcPr>
            <w:tcW w:w="1629" w:type="dxa"/>
            <w:gridSpan w:val="2"/>
            <w:tcBorders>
              <w:top w:val="nil"/>
              <w:left w:val="single" w:color="auto" w:sz="8" w:space="0"/>
              <w:bottom w:val="single" w:color="auto" w:sz="8" w:space="0"/>
              <w:right w:val="single" w:color="auto" w:sz="8" w:space="0"/>
            </w:tcBorders>
            <w:vAlign w:val="center"/>
          </w:tcPr>
          <w:p w14:paraId="72AA58AA">
            <w:pPr>
              <w:widowControl/>
              <w:snapToGrid w:val="0"/>
              <w:spacing w:before="100" w:beforeAutospacing="1" w:after="100" w:afterAutospacing="1" w:line="320" w:lineRule="atLeast"/>
              <w:ind w:firstLine="2"/>
              <w:jc w:val="center"/>
              <w:rPr>
                <w:rFonts w:hint="eastAsia" w:ascii="宋体" w:hAnsi="宋体" w:cs="宋体"/>
                <w:kern w:val="0"/>
                <w:szCs w:val="21"/>
                <w:highlight w:val="none"/>
              </w:rPr>
            </w:pPr>
            <w:r>
              <w:rPr>
                <w:rFonts w:ascii="宋体" w:hAnsi="宋体" w:cs="宋体"/>
                <w:kern w:val="0"/>
                <w:szCs w:val="21"/>
                <w:highlight w:val="none"/>
              </w:rPr>
              <w:t>实际供货日期</w:t>
            </w:r>
          </w:p>
        </w:tc>
        <w:tc>
          <w:tcPr>
            <w:tcW w:w="2421" w:type="dxa"/>
            <w:gridSpan w:val="2"/>
            <w:tcBorders>
              <w:top w:val="nil"/>
              <w:left w:val="nil"/>
              <w:bottom w:val="single" w:color="auto" w:sz="8" w:space="0"/>
              <w:right w:val="single" w:color="auto" w:sz="8" w:space="0"/>
            </w:tcBorders>
            <w:vAlign w:val="center"/>
          </w:tcPr>
          <w:p w14:paraId="0C1867C6">
            <w:pPr>
              <w:widowControl/>
              <w:spacing w:before="100" w:beforeAutospacing="1" w:after="100" w:afterAutospacing="1" w:line="240" w:lineRule="atLeast"/>
              <w:jc w:val="center"/>
              <w:rPr>
                <w:rFonts w:hint="eastAsia" w:ascii="宋体" w:hAnsi="宋体" w:cs="宋体"/>
                <w:kern w:val="0"/>
                <w:szCs w:val="21"/>
                <w:highlight w:val="none"/>
              </w:rPr>
            </w:pPr>
          </w:p>
        </w:tc>
        <w:tc>
          <w:tcPr>
            <w:tcW w:w="2282" w:type="dxa"/>
            <w:gridSpan w:val="3"/>
            <w:tcBorders>
              <w:top w:val="nil"/>
              <w:left w:val="nil"/>
              <w:bottom w:val="single" w:color="auto" w:sz="8" w:space="0"/>
              <w:right w:val="single" w:color="auto" w:sz="8" w:space="0"/>
            </w:tcBorders>
            <w:vAlign w:val="center"/>
          </w:tcPr>
          <w:p w14:paraId="1F51CDB4">
            <w:pPr>
              <w:widowControl/>
              <w:snapToGrid w:val="0"/>
              <w:spacing w:before="100" w:beforeAutospacing="1" w:after="100" w:afterAutospacing="1" w:line="320" w:lineRule="atLeast"/>
              <w:ind w:firstLine="46"/>
              <w:jc w:val="center"/>
              <w:rPr>
                <w:rFonts w:hint="eastAsia" w:ascii="宋体" w:hAnsi="宋体" w:cs="宋体"/>
                <w:kern w:val="0"/>
                <w:szCs w:val="21"/>
                <w:highlight w:val="none"/>
              </w:rPr>
            </w:pPr>
            <w:r>
              <w:rPr>
                <w:rFonts w:ascii="宋体" w:hAnsi="宋体" w:cs="宋体"/>
                <w:kern w:val="0"/>
                <w:szCs w:val="21"/>
                <w:highlight w:val="none"/>
              </w:rPr>
              <w:t>合同交货验收日期</w:t>
            </w:r>
          </w:p>
        </w:tc>
        <w:tc>
          <w:tcPr>
            <w:tcW w:w="2113" w:type="dxa"/>
            <w:gridSpan w:val="2"/>
            <w:tcBorders>
              <w:top w:val="nil"/>
              <w:left w:val="nil"/>
              <w:bottom w:val="single" w:color="auto" w:sz="8" w:space="0"/>
              <w:right w:val="single" w:color="auto" w:sz="8" w:space="0"/>
            </w:tcBorders>
            <w:vAlign w:val="center"/>
          </w:tcPr>
          <w:p w14:paraId="204D43C4">
            <w:pPr>
              <w:widowControl/>
              <w:spacing w:before="100" w:beforeAutospacing="1" w:after="100" w:afterAutospacing="1" w:line="240" w:lineRule="atLeast"/>
              <w:jc w:val="center"/>
              <w:rPr>
                <w:rFonts w:hint="eastAsia" w:ascii="宋体" w:hAnsi="宋体" w:cs="宋体"/>
                <w:kern w:val="0"/>
                <w:szCs w:val="21"/>
                <w:highlight w:val="none"/>
              </w:rPr>
            </w:pPr>
          </w:p>
        </w:tc>
      </w:tr>
      <w:tr w14:paraId="6BD3584B">
        <w:tblPrEx>
          <w:tblCellMar>
            <w:top w:w="0" w:type="dxa"/>
            <w:left w:w="0" w:type="dxa"/>
            <w:bottom w:w="0" w:type="dxa"/>
            <w:right w:w="0" w:type="dxa"/>
          </w:tblCellMar>
        </w:tblPrEx>
        <w:trPr>
          <w:trHeight w:val="394" w:hRule="atLeast"/>
          <w:jc w:val="center"/>
        </w:trPr>
        <w:tc>
          <w:tcPr>
            <w:tcW w:w="1629" w:type="dxa"/>
            <w:gridSpan w:val="2"/>
            <w:tcBorders>
              <w:top w:val="nil"/>
              <w:left w:val="single" w:color="auto" w:sz="8" w:space="0"/>
              <w:bottom w:val="single" w:color="auto" w:sz="8" w:space="0"/>
              <w:right w:val="single" w:color="auto" w:sz="8" w:space="0"/>
            </w:tcBorders>
            <w:vAlign w:val="center"/>
          </w:tcPr>
          <w:p w14:paraId="1DBD388E">
            <w:pPr>
              <w:widowControl/>
              <w:spacing w:before="100" w:beforeAutospacing="1" w:after="100" w:afterAutospacing="1" w:line="240" w:lineRule="atLeast"/>
              <w:jc w:val="center"/>
              <w:rPr>
                <w:rFonts w:hint="eastAsia" w:ascii="宋体" w:hAnsi="宋体" w:cs="宋体"/>
                <w:kern w:val="0"/>
                <w:szCs w:val="21"/>
                <w:highlight w:val="none"/>
              </w:rPr>
            </w:pPr>
          </w:p>
        </w:tc>
        <w:tc>
          <w:tcPr>
            <w:tcW w:w="2421" w:type="dxa"/>
            <w:gridSpan w:val="2"/>
            <w:tcBorders>
              <w:top w:val="nil"/>
              <w:left w:val="nil"/>
              <w:bottom w:val="single" w:color="auto" w:sz="8" w:space="0"/>
              <w:right w:val="single" w:color="auto" w:sz="8" w:space="0"/>
            </w:tcBorders>
            <w:vAlign w:val="center"/>
          </w:tcPr>
          <w:p w14:paraId="7F2F69D6">
            <w:pPr>
              <w:widowControl/>
              <w:spacing w:before="100" w:beforeAutospacing="1" w:after="100" w:afterAutospacing="1" w:line="240" w:lineRule="atLeast"/>
              <w:jc w:val="center"/>
              <w:rPr>
                <w:rFonts w:hint="eastAsia" w:ascii="宋体" w:hAnsi="宋体" w:cs="宋体"/>
                <w:kern w:val="0"/>
                <w:szCs w:val="21"/>
                <w:highlight w:val="none"/>
              </w:rPr>
            </w:pPr>
          </w:p>
        </w:tc>
        <w:tc>
          <w:tcPr>
            <w:tcW w:w="2282" w:type="dxa"/>
            <w:gridSpan w:val="3"/>
            <w:tcBorders>
              <w:top w:val="nil"/>
              <w:left w:val="nil"/>
              <w:bottom w:val="single" w:color="auto" w:sz="8" w:space="0"/>
              <w:right w:val="single" w:color="auto" w:sz="8" w:space="0"/>
            </w:tcBorders>
            <w:vAlign w:val="center"/>
          </w:tcPr>
          <w:p w14:paraId="58FC372B">
            <w:pPr>
              <w:widowControl/>
              <w:spacing w:before="100" w:beforeAutospacing="1" w:after="100" w:afterAutospacing="1" w:line="240" w:lineRule="atLeast"/>
              <w:jc w:val="center"/>
              <w:rPr>
                <w:rFonts w:hint="eastAsia" w:ascii="宋体" w:hAnsi="宋体" w:cs="宋体"/>
                <w:kern w:val="0"/>
                <w:szCs w:val="21"/>
                <w:highlight w:val="none"/>
              </w:rPr>
            </w:pPr>
          </w:p>
        </w:tc>
        <w:tc>
          <w:tcPr>
            <w:tcW w:w="2113" w:type="dxa"/>
            <w:gridSpan w:val="2"/>
            <w:tcBorders>
              <w:top w:val="nil"/>
              <w:left w:val="nil"/>
              <w:bottom w:val="single" w:color="auto" w:sz="8" w:space="0"/>
              <w:right w:val="single" w:color="auto" w:sz="8" w:space="0"/>
            </w:tcBorders>
            <w:vAlign w:val="center"/>
          </w:tcPr>
          <w:p w14:paraId="5EDD5359">
            <w:pPr>
              <w:widowControl/>
              <w:spacing w:before="100" w:beforeAutospacing="1" w:after="100" w:afterAutospacing="1" w:line="240" w:lineRule="atLeast"/>
              <w:jc w:val="center"/>
              <w:rPr>
                <w:rFonts w:hint="eastAsia" w:ascii="宋体" w:hAnsi="宋体" w:cs="宋体"/>
                <w:kern w:val="0"/>
                <w:szCs w:val="21"/>
                <w:highlight w:val="none"/>
              </w:rPr>
            </w:pPr>
          </w:p>
        </w:tc>
      </w:tr>
      <w:tr w14:paraId="2827E260">
        <w:tblPrEx>
          <w:tblCellMar>
            <w:top w:w="0" w:type="dxa"/>
            <w:left w:w="0" w:type="dxa"/>
            <w:bottom w:w="0" w:type="dxa"/>
            <w:right w:w="0" w:type="dxa"/>
          </w:tblCellMar>
        </w:tblPrEx>
        <w:trPr>
          <w:trHeight w:val="693" w:hRule="atLeast"/>
          <w:jc w:val="center"/>
        </w:trPr>
        <w:tc>
          <w:tcPr>
            <w:tcW w:w="1629" w:type="dxa"/>
            <w:gridSpan w:val="2"/>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25EF22B8">
            <w:pPr>
              <w:widowControl/>
              <w:snapToGrid w:val="0"/>
              <w:spacing w:before="100" w:beforeAutospacing="1" w:after="100" w:afterAutospacing="1" w:line="320" w:lineRule="atLeast"/>
              <w:jc w:val="left"/>
              <w:rPr>
                <w:rFonts w:hint="eastAsia" w:ascii="宋体" w:hAnsi="宋体" w:cs="宋体"/>
                <w:kern w:val="0"/>
                <w:szCs w:val="21"/>
                <w:highlight w:val="none"/>
              </w:rPr>
            </w:pPr>
            <w:r>
              <w:rPr>
                <w:rFonts w:ascii="宋体" w:hAnsi="宋体" w:cs="宋体"/>
                <w:kern w:val="0"/>
                <w:szCs w:val="21"/>
                <w:highlight w:val="none"/>
              </w:rPr>
              <w:t>验收具体内容</w:t>
            </w:r>
          </w:p>
        </w:tc>
        <w:tc>
          <w:tcPr>
            <w:tcW w:w="6816" w:type="dxa"/>
            <w:gridSpan w:val="7"/>
            <w:tcBorders>
              <w:top w:val="nil"/>
              <w:left w:val="nil"/>
              <w:bottom w:val="single" w:color="auto" w:sz="8" w:space="0"/>
              <w:right w:val="single" w:color="auto" w:sz="8" w:space="0"/>
            </w:tcBorders>
            <w:tcMar>
              <w:top w:w="0" w:type="dxa"/>
              <w:left w:w="108" w:type="dxa"/>
              <w:bottom w:w="0" w:type="dxa"/>
              <w:right w:w="108" w:type="dxa"/>
            </w:tcMar>
            <w:vAlign w:val="center"/>
          </w:tcPr>
          <w:p w14:paraId="6213AEDB">
            <w:pPr>
              <w:widowControl/>
              <w:snapToGrid w:val="0"/>
              <w:spacing w:before="100" w:beforeAutospacing="1" w:after="100" w:afterAutospacing="1" w:line="320" w:lineRule="atLeast"/>
              <w:jc w:val="left"/>
              <w:rPr>
                <w:rFonts w:hint="eastAsia" w:ascii="宋体" w:hAnsi="宋体" w:cs="宋体"/>
                <w:kern w:val="0"/>
                <w:szCs w:val="21"/>
                <w:highlight w:val="none"/>
              </w:rPr>
            </w:pPr>
            <w:r>
              <w:rPr>
                <w:rFonts w:ascii="宋体" w:hAnsi="宋体" w:cs="宋体"/>
                <w:kern w:val="0"/>
                <w:szCs w:val="21"/>
                <w:highlight w:val="none"/>
              </w:rPr>
              <w:t>（应按采购合同、谈判文件、竞标响应文件及验收方案等进行验收；并核对成交供应商在安装调试等方面是否违反合同约定或者服务规范要求、提供的质量保证证明材料是否齐全、应有的配件及附件是否达到合同约定等。可附件)</w:t>
            </w:r>
          </w:p>
        </w:tc>
      </w:tr>
      <w:tr w14:paraId="00FE653C">
        <w:tblPrEx>
          <w:tblCellMar>
            <w:top w:w="0" w:type="dxa"/>
            <w:left w:w="0" w:type="dxa"/>
            <w:bottom w:w="0" w:type="dxa"/>
            <w:right w:w="0" w:type="dxa"/>
          </w:tblCellMar>
        </w:tblPrEx>
        <w:trPr>
          <w:trHeight w:val="870" w:hRule="atLeast"/>
          <w:jc w:val="center"/>
        </w:trPr>
        <w:tc>
          <w:tcPr>
            <w:tcW w:w="1629" w:type="dxa"/>
            <w:gridSpan w:val="2"/>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D24360C">
            <w:pPr>
              <w:widowControl/>
              <w:spacing w:before="100" w:beforeAutospacing="1" w:after="100" w:afterAutospacing="1" w:line="320" w:lineRule="atLeast"/>
              <w:jc w:val="left"/>
              <w:rPr>
                <w:rFonts w:hint="eastAsia" w:ascii="宋体" w:hAnsi="宋体" w:cs="宋体"/>
                <w:kern w:val="0"/>
                <w:szCs w:val="21"/>
                <w:highlight w:val="none"/>
              </w:rPr>
            </w:pPr>
            <w:r>
              <w:rPr>
                <w:rFonts w:ascii="宋体" w:hAnsi="宋体" w:cs="宋体"/>
                <w:kern w:val="0"/>
                <w:szCs w:val="21"/>
                <w:highlight w:val="none"/>
              </w:rPr>
              <w:t>验收小组意见</w:t>
            </w:r>
          </w:p>
        </w:tc>
        <w:tc>
          <w:tcPr>
            <w:tcW w:w="6816" w:type="dxa"/>
            <w:gridSpan w:val="7"/>
            <w:tcBorders>
              <w:top w:val="nil"/>
              <w:left w:val="nil"/>
              <w:bottom w:val="single" w:color="auto" w:sz="8" w:space="0"/>
              <w:right w:val="single" w:color="auto" w:sz="8" w:space="0"/>
            </w:tcBorders>
            <w:vAlign w:val="center"/>
          </w:tcPr>
          <w:p w14:paraId="113A348B">
            <w:pPr>
              <w:widowControl/>
              <w:spacing w:before="100" w:beforeAutospacing="1" w:after="100" w:afterAutospacing="1" w:line="320" w:lineRule="atLeast"/>
              <w:ind w:firstLine="210" w:firstLineChars="100"/>
              <w:jc w:val="left"/>
              <w:rPr>
                <w:rFonts w:hint="eastAsia" w:ascii="宋体" w:hAnsi="宋体" w:cs="宋体"/>
                <w:kern w:val="0"/>
                <w:szCs w:val="21"/>
                <w:highlight w:val="none"/>
              </w:rPr>
            </w:pPr>
            <w:r>
              <w:rPr>
                <w:rFonts w:ascii="宋体" w:hAnsi="宋体" w:cs="宋体"/>
                <w:kern w:val="0"/>
                <w:szCs w:val="21"/>
                <w:highlight w:val="none"/>
              </w:rPr>
              <w:t>验收结论性意见：</w:t>
            </w:r>
          </w:p>
        </w:tc>
      </w:tr>
      <w:tr w14:paraId="4E47B8FC">
        <w:tblPrEx>
          <w:tblCellMar>
            <w:top w:w="0" w:type="dxa"/>
            <w:left w:w="0" w:type="dxa"/>
            <w:bottom w:w="0" w:type="dxa"/>
            <w:right w:w="0" w:type="dxa"/>
          </w:tblCellMar>
        </w:tblPrEx>
        <w:trPr>
          <w:trHeight w:val="607" w:hRule="atLeast"/>
          <w:jc w:val="center"/>
        </w:trPr>
        <w:tc>
          <w:tcPr>
            <w:tcW w:w="1629" w:type="dxa"/>
            <w:gridSpan w:val="2"/>
            <w:vMerge w:val="continue"/>
            <w:tcBorders>
              <w:top w:val="nil"/>
              <w:left w:val="single" w:color="auto" w:sz="8" w:space="0"/>
              <w:bottom w:val="single" w:color="auto" w:sz="8" w:space="0"/>
              <w:right w:val="single" w:color="auto" w:sz="8" w:space="0"/>
            </w:tcBorders>
            <w:vAlign w:val="center"/>
          </w:tcPr>
          <w:p w14:paraId="3A7E4CC5">
            <w:pPr>
              <w:widowControl/>
              <w:jc w:val="left"/>
              <w:rPr>
                <w:rFonts w:hint="eastAsia" w:ascii="宋体" w:hAnsi="宋体" w:cs="宋体"/>
                <w:kern w:val="0"/>
                <w:szCs w:val="21"/>
                <w:highlight w:val="none"/>
              </w:rPr>
            </w:pPr>
          </w:p>
        </w:tc>
        <w:tc>
          <w:tcPr>
            <w:tcW w:w="6816" w:type="dxa"/>
            <w:gridSpan w:val="7"/>
            <w:tcBorders>
              <w:top w:val="nil"/>
              <w:left w:val="nil"/>
              <w:bottom w:val="single" w:color="auto" w:sz="8" w:space="0"/>
              <w:right w:val="single" w:color="auto" w:sz="8" w:space="0"/>
            </w:tcBorders>
            <w:vAlign w:val="center"/>
          </w:tcPr>
          <w:p w14:paraId="1A53EE39">
            <w:pPr>
              <w:widowControl/>
              <w:spacing w:before="100" w:beforeAutospacing="1" w:after="100" w:afterAutospacing="1" w:line="320" w:lineRule="atLeast"/>
              <w:ind w:firstLine="210" w:firstLineChars="100"/>
              <w:jc w:val="left"/>
              <w:rPr>
                <w:rFonts w:hint="eastAsia" w:ascii="宋体" w:hAnsi="宋体" w:cs="宋体"/>
                <w:kern w:val="0"/>
                <w:szCs w:val="21"/>
                <w:highlight w:val="none"/>
              </w:rPr>
            </w:pPr>
            <w:r>
              <w:rPr>
                <w:rFonts w:ascii="宋体" w:hAnsi="宋体" w:cs="宋体"/>
                <w:kern w:val="0"/>
                <w:szCs w:val="21"/>
                <w:highlight w:val="none"/>
              </w:rPr>
              <w:t>有异议的意见和说明理由：</w:t>
            </w:r>
          </w:p>
          <w:p w14:paraId="20E6B8AE">
            <w:pPr>
              <w:widowControl/>
              <w:spacing w:before="100" w:beforeAutospacing="1" w:after="100" w:afterAutospacing="1" w:line="320" w:lineRule="atLeast"/>
              <w:ind w:firstLine="210" w:firstLineChars="100"/>
              <w:jc w:val="left"/>
              <w:rPr>
                <w:rFonts w:hint="eastAsia" w:ascii="宋体" w:hAnsi="宋体" w:cs="宋体"/>
                <w:kern w:val="0"/>
                <w:szCs w:val="21"/>
                <w:highlight w:val="none"/>
              </w:rPr>
            </w:pPr>
            <w:r>
              <w:rPr>
                <w:rFonts w:ascii="宋体" w:hAnsi="宋体" w:cs="宋体"/>
                <w:kern w:val="0"/>
                <w:szCs w:val="21"/>
                <w:highlight w:val="none"/>
              </w:rPr>
              <w:t>签字：</w:t>
            </w:r>
          </w:p>
        </w:tc>
      </w:tr>
      <w:tr w14:paraId="341344AF">
        <w:tblPrEx>
          <w:tblCellMar>
            <w:top w:w="0" w:type="dxa"/>
            <w:left w:w="0" w:type="dxa"/>
            <w:bottom w:w="0" w:type="dxa"/>
            <w:right w:w="0" w:type="dxa"/>
          </w:tblCellMar>
        </w:tblPrEx>
        <w:trPr>
          <w:trHeight w:val="507" w:hRule="atLeast"/>
          <w:jc w:val="center"/>
        </w:trPr>
        <w:tc>
          <w:tcPr>
            <w:tcW w:w="8445" w:type="dxa"/>
            <w:gridSpan w:val="9"/>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0908A38">
            <w:pPr>
              <w:widowControl/>
              <w:spacing w:before="100" w:beforeAutospacing="1" w:after="100" w:afterAutospacing="1" w:line="320" w:lineRule="atLeast"/>
              <w:jc w:val="left"/>
              <w:rPr>
                <w:rFonts w:hint="eastAsia" w:ascii="宋体" w:hAnsi="宋体" w:cs="宋体"/>
                <w:kern w:val="0"/>
                <w:szCs w:val="21"/>
                <w:highlight w:val="none"/>
              </w:rPr>
            </w:pPr>
            <w:r>
              <w:rPr>
                <w:rFonts w:ascii="宋体" w:hAnsi="宋体" w:cs="宋体"/>
                <w:kern w:val="0"/>
                <w:szCs w:val="21"/>
                <w:highlight w:val="none"/>
              </w:rPr>
              <w:t>验收小组成员签字：</w:t>
            </w:r>
          </w:p>
        </w:tc>
      </w:tr>
      <w:tr w14:paraId="3E08DA1A">
        <w:tblPrEx>
          <w:tblCellMar>
            <w:top w:w="0" w:type="dxa"/>
            <w:left w:w="0" w:type="dxa"/>
            <w:bottom w:w="0" w:type="dxa"/>
            <w:right w:w="0" w:type="dxa"/>
          </w:tblCellMar>
        </w:tblPrEx>
        <w:trPr>
          <w:trHeight w:val="736" w:hRule="atLeast"/>
          <w:jc w:val="center"/>
        </w:trPr>
        <w:tc>
          <w:tcPr>
            <w:tcW w:w="8445" w:type="dxa"/>
            <w:gridSpan w:val="9"/>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23ECC35">
            <w:pPr>
              <w:widowControl/>
              <w:spacing w:before="100" w:beforeAutospacing="1" w:after="100" w:afterAutospacing="1" w:line="320" w:lineRule="atLeast"/>
              <w:jc w:val="left"/>
              <w:rPr>
                <w:rFonts w:hint="eastAsia" w:ascii="宋体" w:hAnsi="宋体" w:cs="宋体"/>
                <w:kern w:val="0"/>
                <w:szCs w:val="21"/>
                <w:highlight w:val="none"/>
              </w:rPr>
            </w:pPr>
            <w:r>
              <w:rPr>
                <w:rFonts w:ascii="宋体" w:hAnsi="宋体" w:cs="宋体"/>
                <w:kern w:val="0"/>
                <w:szCs w:val="21"/>
                <w:highlight w:val="none"/>
              </w:rPr>
              <w:t>监督人员或者其他相关人员签字：</w:t>
            </w:r>
          </w:p>
          <w:p w14:paraId="1E2CF6E8">
            <w:pPr>
              <w:widowControl/>
              <w:spacing w:before="100" w:beforeAutospacing="1" w:after="100" w:afterAutospacing="1" w:line="320" w:lineRule="atLeast"/>
              <w:ind w:firstLine="74"/>
              <w:jc w:val="left"/>
              <w:rPr>
                <w:rFonts w:hint="eastAsia" w:ascii="宋体" w:hAnsi="宋体" w:cs="宋体"/>
                <w:kern w:val="0"/>
                <w:szCs w:val="21"/>
                <w:highlight w:val="none"/>
              </w:rPr>
            </w:pPr>
            <w:r>
              <w:rPr>
                <w:rFonts w:ascii="宋体" w:hAnsi="宋体" w:cs="宋体"/>
                <w:kern w:val="0"/>
                <w:szCs w:val="21"/>
                <w:highlight w:val="none"/>
              </w:rPr>
              <w:t>或者受邀机构的意见（盖章）：</w:t>
            </w:r>
          </w:p>
        </w:tc>
      </w:tr>
      <w:tr w14:paraId="025B6D04">
        <w:tblPrEx>
          <w:tblCellMar>
            <w:top w:w="0" w:type="dxa"/>
            <w:left w:w="0" w:type="dxa"/>
            <w:bottom w:w="0" w:type="dxa"/>
            <w:right w:w="0" w:type="dxa"/>
          </w:tblCellMar>
        </w:tblPrEx>
        <w:trPr>
          <w:trHeight w:val="264" w:hRule="atLeast"/>
          <w:jc w:val="center"/>
        </w:trPr>
        <w:tc>
          <w:tcPr>
            <w:tcW w:w="4152" w:type="dxa"/>
            <w:gridSpan w:val="5"/>
            <w:tcBorders>
              <w:top w:val="nil"/>
              <w:left w:val="single" w:color="auto" w:sz="8" w:space="0"/>
              <w:bottom w:val="single" w:color="auto" w:sz="8" w:space="0"/>
              <w:right w:val="nil"/>
            </w:tcBorders>
            <w:tcMar>
              <w:top w:w="0" w:type="dxa"/>
              <w:left w:w="108" w:type="dxa"/>
              <w:bottom w:w="0" w:type="dxa"/>
              <w:right w:w="108" w:type="dxa"/>
            </w:tcMar>
            <w:vAlign w:val="center"/>
          </w:tcPr>
          <w:p w14:paraId="74A3FDA5">
            <w:pPr>
              <w:widowControl/>
              <w:spacing w:before="100" w:beforeAutospacing="1" w:after="100" w:afterAutospacing="1" w:line="320" w:lineRule="atLeast"/>
              <w:jc w:val="left"/>
              <w:rPr>
                <w:rFonts w:hint="eastAsia" w:ascii="宋体" w:hAnsi="宋体" w:cs="宋体"/>
                <w:kern w:val="0"/>
                <w:szCs w:val="21"/>
                <w:highlight w:val="none"/>
              </w:rPr>
            </w:pPr>
            <w:r>
              <w:rPr>
                <w:rFonts w:ascii="宋体" w:hAnsi="宋体" w:cs="宋体"/>
                <w:kern w:val="0"/>
                <w:szCs w:val="21"/>
                <w:highlight w:val="none"/>
              </w:rPr>
              <w:t>成交供应商负责人签字或者盖章：</w:t>
            </w:r>
          </w:p>
          <w:p w14:paraId="524699DA">
            <w:pPr>
              <w:widowControl/>
              <w:spacing w:before="100" w:beforeAutospacing="1" w:after="100" w:afterAutospacing="1" w:line="320" w:lineRule="atLeast"/>
              <w:jc w:val="left"/>
              <w:rPr>
                <w:rFonts w:hint="eastAsia" w:ascii="宋体" w:hAnsi="宋体" w:cs="宋体"/>
                <w:kern w:val="0"/>
                <w:szCs w:val="21"/>
                <w:highlight w:val="none"/>
              </w:rPr>
            </w:pPr>
          </w:p>
          <w:p w14:paraId="79892439">
            <w:pPr>
              <w:widowControl/>
              <w:spacing w:before="100" w:beforeAutospacing="1" w:after="100" w:afterAutospacing="1" w:line="320" w:lineRule="atLeast"/>
              <w:jc w:val="left"/>
              <w:rPr>
                <w:rFonts w:hint="eastAsia" w:ascii="宋体" w:hAnsi="宋体" w:cs="宋体"/>
                <w:kern w:val="0"/>
                <w:szCs w:val="21"/>
                <w:highlight w:val="none"/>
              </w:rPr>
            </w:pPr>
            <w:r>
              <w:rPr>
                <w:rFonts w:ascii="宋体" w:hAnsi="宋体" w:cs="宋体"/>
                <w:kern w:val="0"/>
                <w:szCs w:val="21"/>
                <w:highlight w:val="none"/>
              </w:rPr>
              <w:t>联系电话：</w:t>
            </w:r>
            <w:r>
              <w:rPr>
                <w:rFonts w:hint="eastAsia" w:ascii="宋体" w:hAnsi="宋体" w:cs="宋体"/>
                <w:kern w:val="0"/>
                <w:szCs w:val="21"/>
                <w:highlight w:val="none"/>
              </w:rPr>
              <w:t xml:space="preserve">               </w:t>
            </w:r>
            <w:r>
              <w:rPr>
                <w:rFonts w:ascii="宋体" w:hAnsi="宋体" w:cs="宋体"/>
                <w:kern w:val="0"/>
                <w:szCs w:val="21"/>
                <w:highlight w:val="none"/>
              </w:rPr>
              <w:t xml:space="preserve"> 年</w:t>
            </w:r>
            <w:r>
              <w:rPr>
                <w:rFonts w:hint="eastAsia" w:ascii="宋体" w:hAnsi="宋体" w:cs="宋体"/>
                <w:kern w:val="0"/>
                <w:szCs w:val="21"/>
                <w:highlight w:val="none"/>
              </w:rPr>
              <w:t xml:space="preserve"> </w:t>
            </w:r>
            <w:r>
              <w:rPr>
                <w:rFonts w:ascii="宋体" w:hAnsi="宋体" w:cs="宋体"/>
                <w:kern w:val="0"/>
                <w:szCs w:val="21"/>
                <w:highlight w:val="none"/>
              </w:rPr>
              <w:t xml:space="preserve"> 月 </w:t>
            </w:r>
            <w:r>
              <w:rPr>
                <w:rFonts w:hint="eastAsia" w:ascii="宋体" w:hAnsi="宋体" w:cs="宋体"/>
                <w:kern w:val="0"/>
                <w:szCs w:val="21"/>
                <w:highlight w:val="none"/>
              </w:rPr>
              <w:t xml:space="preserve"> </w:t>
            </w:r>
            <w:r>
              <w:rPr>
                <w:rFonts w:ascii="宋体" w:hAnsi="宋体" w:cs="宋体"/>
                <w:kern w:val="0"/>
                <w:szCs w:val="21"/>
                <w:highlight w:val="none"/>
              </w:rPr>
              <w:t>日</w:t>
            </w:r>
          </w:p>
        </w:tc>
        <w:tc>
          <w:tcPr>
            <w:tcW w:w="4293" w:type="dxa"/>
            <w:gridSpan w:val="4"/>
            <w:tcBorders>
              <w:top w:val="nil"/>
              <w:left w:val="nil"/>
              <w:bottom w:val="single" w:color="auto" w:sz="8" w:space="0"/>
              <w:right w:val="single" w:color="auto" w:sz="8" w:space="0"/>
            </w:tcBorders>
            <w:vAlign w:val="center"/>
          </w:tcPr>
          <w:p w14:paraId="1D3F8B5B">
            <w:pPr>
              <w:widowControl/>
              <w:spacing w:before="100" w:beforeAutospacing="1" w:after="100" w:afterAutospacing="1" w:line="320" w:lineRule="atLeast"/>
              <w:ind w:firstLine="210" w:firstLineChars="100"/>
              <w:jc w:val="left"/>
              <w:rPr>
                <w:rFonts w:hint="eastAsia" w:ascii="宋体" w:hAnsi="宋体" w:cs="宋体"/>
                <w:kern w:val="0"/>
                <w:szCs w:val="21"/>
                <w:highlight w:val="none"/>
              </w:rPr>
            </w:pPr>
            <w:r>
              <w:rPr>
                <w:rFonts w:ascii="宋体" w:hAnsi="宋体" w:cs="宋体"/>
                <w:kern w:val="0"/>
                <w:szCs w:val="21"/>
                <w:highlight w:val="none"/>
              </w:rPr>
              <w:t>采购人或者受托机构的意见（盖章）：</w:t>
            </w:r>
          </w:p>
          <w:p w14:paraId="29D1E439">
            <w:pPr>
              <w:widowControl/>
              <w:spacing w:before="100" w:beforeAutospacing="1" w:after="100" w:afterAutospacing="1" w:line="320" w:lineRule="atLeast"/>
              <w:ind w:firstLine="210" w:firstLineChars="100"/>
              <w:jc w:val="left"/>
              <w:rPr>
                <w:rFonts w:hint="eastAsia" w:ascii="宋体" w:hAnsi="宋体" w:cs="宋体"/>
                <w:kern w:val="0"/>
                <w:szCs w:val="21"/>
                <w:highlight w:val="none"/>
              </w:rPr>
            </w:pPr>
          </w:p>
          <w:p w14:paraId="742D2117">
            <w:pPr>
              <w:widowControl/>
              <w:spacing w:before="100" w:beforeAutospacing="1" w:after="100" w:afterAutospacing="1" w:line="320" w:lineRule="atLeast"/>
              <w:ind w:firstLine="210" w:firstLineChars="100"/>
              <w:jc w:val="left"/>
              <w:rPr>
                <w:rFonts w:hint="eastAsia" w:ascii="宋体" w:hAnsi="宋体" w:cs="宋体"/>
                <w:kern w:val="0"/>
                <w:szCs w:val="21"/>
                <w:highlight w:val="none"/>
              </w:rPr>
            </w:pPr>
            <w:r>
              <w:rPr>
                <w:rFonts w:ascii="宋体" w:hAnsi="宋体" w:cs="宋体"/>
                <w:kern w:val="0"/>
                <w:szCs w:val="21"/>
                <w:highlight w:val="none"/>
              </w:rPr>
              <w:t>联系电话：</w:t>
            </w:r>
            <w:r>
              <w:rPr>
                <w:rFonts w:hint="eastAsia" w:ascii="宋体" w:hAnsi="宋体" w:cs="宋体"/>
                <w:kern w:val="0"/>
                <w:szCs w:val="21"/>
                <w:highlight w:val="none"/>
              </w:rPr>
              <w:t xml:space="preserve">                  </w:t>
            </w:r>
            <w:r>
              <w:rPr>
                <w:rFonts w:ascii="宋体" w:hAnsi="宋体" w:cs="宋体"/>
                <w:kern w:val="0"/>
                <w:szCs w:val="21"/>
                <w:highlight w:val="none"/>
              </w:rPr>
              <w:t>年</w:t>
            </w:r>
            <w:r>
              <w:rPr>
                <w:rFonts w:hint="eastAsia" w:ascii="宋体" w:hAnsi="宋体" w:cs="宋体"/>
                <w:kern w:val="0"/>
                <w:szCs w:val="21"/>
                <w:highlight w:val="none"/>
              </w:rPr>
              <w:t xml:space="preserve"> </w:t>
            </w:r>
            <w:r>
              <w:rPr>
                <w:rFonts w:ascii="宋体" w:hAnsi="宋体" w:cs="宋体"/>
                <w:kern w:val="0"/>
                <w:szCs w:val="21"/>
                <w:highlight w:val="none"/>
              </w:rPr>
              <w:t xml:space="preserve"> 月</w:t>
            </w:r>
            <w:r>
              <w:rPr>
                <w:rFonts w:hint="eastAsia" w:ascii="宋体" w:hAnsi="宋体" w:cs="宋体"/>
                <w:kern w:val="0"/>
                <w:szCs w:val="21"/>
                <w:highlight w:val="none"/>
              </w:rPr>
              <w:t xml:space="preserve"> </w:t>
            </w:r>
            <w:r>
              <w:rPr>
                <w:rFonts w:ascii="宋体" w:hAnsi="宋体" w:cs="宋体"/>
                <w:kern w:val="0"/>
                <w:szCs w:val="21"/>
                <w:highlight w:val="none"/>
              </w:rPr>
              <w:t xml:space="preserve"> 日</w:t>
            </w:r>
          </w:p>
        </w:tc>
      </w:tr>
    </w:tbl>
    <w:p w14:paraId="0871D719">
      <w:pPr>
        <w:pStyle w:val="15"/>
        <w:snapToGrid w:val="0"/>
        <w:ind w:left="840" w:hanging="420"/>
        <w:rPr>
          <w:rFonts w:hint="eastAsia" w:hAnsi="宋体"/>
          <w:highlight w:val="none"/>
        </w:rPr>
      </w:pPr>
      <w:r>
        <w:rPr>
          <w:rFonts w:hAnsi="宋体"/>
          <w:highlight w:val="none"/>
        </w:rPr>
        <w:br w:type="page"/>
      </w:r>
    </w:p>
    <w:p w14:paraId="125586BF">
      <w:pPr>
        <w:pStyle w:val="15"/>
        <w:snapToGrid w:val="0"/>
        <w:ind w:left="1060" w:hanging="640"/>
        <w:rPr>
          <w:rFonts w:hint="eastAsia" w:ascii="黑体" w:hAnsi="黑体" w:eastAsia="黑体" w:cs="黑体"/>
          <w:sz w:val="32"/>
          <w:szCs w:val="32"/>
          <w:highlight w:val="none"/>
        </w:rPr>
      </w:pPr>
    </w:p>
    <w:p w14:paraId="761EFB61">
      <w:pPr>
        <w:pStyle w:val="15"/>
        <w:snapToGrid w:val="0"/>
        <w:ind w:left="1060" w:hanging="640"/>
        <w:rPr>
          <w:rFonts w:hint="eastAsia" w:ascii="黑体" w:hAnsi="黑体" w:eastAsia="黑体" w:cs="黑体"/>
          <w:sz w:val="32"/>
          <w:szCs w:val="32"/>
          <w:highlight w:val="none"/>
        </w:rPr>
      </w:pPr>
      <w:r>
        <w:rPr>
          <w:rFonts w:hint="eastAsia" w:ascii="黑体" w:hAnsi="黑体" w:eastAsia="黑体" w:cs="黑体"/>
          <w:sz w:val="32"/>
          <w:szCs w:val="32"/>
          <w:highlight w:val="none"/>
        </w:rPr>
        <w:t>附件2：</w:t>
      </w:r>
    </w:p>
    <w:p w14:paraId="1D9EBD6D">
      <w:pPr>
        <w:jc w:val="center"/>
        <w:rPr>
          <w:rFonts w:hint="eastAsia" w:ascii="宋体" w:hAnsi="宋体" w:cs="宋体"/>
          <w:b/>
          <w:bCs/>
          <w:sz w:val="32"/>
          <w:szCs w:val="32"/>
          <w:highlight w:val="none"/>
        </w:rPr>
      </w:pPr>
      <w:r>
        <w:rPr>
          <w:rFonts w:hint="eastAsia" w:ascii="宋体" w:hAnsi="宋体" w:cs="宋体"/>
          <w:b/>
          <w:bCs/>
          <w:sz w:val="32"/>
          <w:szCs w:val="32"/>
          <w:highlight w:val="none"/>
        </w:rPr>
        <w:t>政府采购项目履约保证金退付意见书</w:t>
      </w:r>
    </w:p>
    <w:p w14:paraId="6DD5C028">
      <w:pPr>
        <w:jc w:val="center"/>
        <w:rPr>
          <w:rFonts w:hint="eastAsia" w:ascii="黑体" w:hAnsi="黑体" w:eastAsia="黑体"/>
          <w:sz w:val="36"/>
          <w:szCs w:val="36"/>
          <w:highlight w:val="none"/>
        </w:rPr>
      </w:pPr>
      <w:r>
        <w:rPr>
          <w:rFonts w:hint="eastAsia" w:ascii="宋体" w:hAnsi="宋体" w:cs="宋体"/>
          <w:b/>
          <w:bCs/>
          <w:kern w:val="0"/>
          <w:sz w:val="18"/>
          <w:szCs w:val="18"/>
          <w:highlight w:val="none"/>
        </w:rPr>
        <w:t>（本项目如有，可以参考使用）</w:t>
      </w:r>
    </w:p>
    <w:tbl>
      <w:tblPr>
        <w:tblStyle w:val="24"/>
        <w:tblW w:w="88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8009"/>
      </w:tblGrid>
      <w:tr w14:paraId="133B2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15" w:hRule="atLeast"/>
          <w:jc w:val="center"/>
        </w:trPr>
        <w:tc>
          <w:tcPr>
            <w:tcW w:w="817" w:type="dxa"/>
            <w:vMerge w:val="restart"/>
            <w:vAlign w:val="center"/>
          </w:tcPr>
          <w:p w14:paraId="3C39BC43">
            <w:pPr>
              <w:jc w:val="center"/>
              <w:rPr>
                <w:sz w:val="24"/>
                <w:highlight w:val="none"/>
              </w:rPr>
            </w:pPr>
            <w:r>
              <w:rPr>
                <w:rFonts w:hint="eastAsia"/>
                <w:sz w:val="24"/>
                <w:highlight w:val="none"/>
              </w:rPr>
              <w:t>供</w:t>
            </w:r>
          </w:p>
          <w:p w14:paraId="0DF82864">
            <w:pPr>
              <w:jc w:val="center"/>
              <w:rPr>
                <w:sz w:val="24"/>
                <w:highlight w:val="none"/>
              </w:rPr>
            </w:pPr>
            <w:r>
              <w:rPr>
                <w:rFonts w:hint="eastAsia"/>
                <w:sz w:val="24"/>
                <w:highlight w:val="none"/>
              </w:rPr>
              <w:t>应</w:t>
            </w:r>
          </w:p>
          <w:p w14:paraId="043233D6">
            <w:pPr>
              <w:jc w:val="center"/>
              <w:rPr>
                <w:sz w:val="24"/>
                <w:highlight w:val="none"/>
              </w:rPr>
            </w:pPr>
            <w:r>
              <w:rPr>
                <w:rFonts w:hint="eastAsia"/>
                <w:sz w:val="24"/>
                <w:highlight w:val="none"/>
              </w:rPr>
              <w:t>商</w:t>
            </w:r>
          </w:p>
          <w:p w14:paraId="14FB525D">
            <w:pPr>
              <w:jc w:val="center"/>
              <w:rPr>
                <w:sz w:val="24"/>
                <w:highlight w:val="none"/>
              </w:rPr>
            </w:pPr>
            <w:r>
              <w:rPr>
                <w:rFonts w:hint="eastAsia"/>
                <w:sz w:val="24"/>
                <w:highlight w:val="none"/>
              </w:rPr>
              <w:t>申</w:t>
            </w:r>
          </w:p>
          <w:p w14:paraId="0893876A">
            <w:pPr>
              <w:jc w:val="center"/>
              <w:rPr>
                <w:sz w:val="24"/>
                <w:highlight w:val="none"/>
              </w:rPr>
            </w:pPr>
            <w:r>
              <w:rPr>
                <w:rFonts w:hint="eastAsia"/>
                <w:sz w:val="24"/>
                <w:highlight w:val="none"/>
              </w:rPr>
              <w:t>请</w:t>
            </w:r>
          </w:p>
        </w:tc>
        <w:tc>
          <w:tcPr>
            <w:tcW w:w="8009" w:type="dxa"/>
            <w:vAlign w:val="center"/>
          </w:tcPr>
          <w:p w14:paraId="1EBEA7E1">
            <w:pPr>
              <w:rPr>
                <w:sz w:val="24"/>
                <w:highlight w:val="none"/>
              </w:rPr>
            </w:pPr>
            <w:r>
              <w:rPr>
                <w:rFonts w:hint="eastAsia"/>
                <w:sz w:val="24"/>
                <w:highlight w:val="none"/>
              </w:rPr>
              <w:t>项目编号：</w:t>
            </w:r>
          </w:p>
        </w:tc>
      </w:tr>
      <w:tr w14:paraId="0C088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817" w:type="dxa"/>
            <w:vMerge w:val="continue"/>
            <w:vAlign w:val="center"/>
          </w:tcPr>
          <w:p w14:paraId="5FAD0CAC">
            <w:pPr>
              <w:rPr>
                <w:sz w:val="24"/>
                <w:highlight w:val="none"/>
              </w:rPr>
            </w:pPr>
          </w:p>
        </w:tc>
        <w:tc>
          <w:tcPr>
            <w:tcW w:w="8009" w:type="dxa"/>
            <w:vAlign w:val="center"/>
          </w:tcPr>
          <w:p w14:paraId="0CCC132E">
            <w:pPr>
              <w:rPr>
                <w:sz w:val="24"/>
                <w:highlight w:val="none"/>
              </w:rPr>
            </w:pPr>
            <w:r>
              <w:rPr>
                <w:rFonts w:hint="eastAsia"/>
                <w:sz w:val="24"/>
                <w:highlight w:val="none"/>
              </w:rPr>
              <w:t>项目名称：</w:t>
            </w:r>
          </w:p>
        </w:tc>
      </w:tr>
      <w:tr w14:paraId="5098C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17" w:type="dxa"/>
            <w:vMerge w:val="continue"/>
          </w:tcPr>
          <w:p w14:paraId="3E1819B2">
            <w:pPr>
              <w:rPr>
                <w:sz w:val="24"/>
                <w:highlight w:val="none"/>
              </w:rPr>
            </w:pPr>
          </w:p>
        </w:tc>
        <w:tc>
          <w:tcPr>
            <w:tcW w:w="8009" w:type="dxa"/>
          </w:tcPr>
          <w:p w14:paraId="3D9E8F11">
            <w:pPr>
              <w:rPr>
                <w:sz w:val="24"/>
                <w:highlight w:val="none"/>
              </w:rPr>
            </w:pPr>
            <w:r>
              <w:rPr>
                <w:rFonts w:hint="eastAsia"/>
                <w:sz w:val="24"/>
                <w:highlight w:val="none"/>
              </w:rPr>
              <w:t xml:space="preserve">  </w:t>
            </w:r>
          </w:p>
          <w:p w14:paraId="06E34B02">
            <w:pPr>
              <w:ind w:firstLine="480" w:firstLineChars="200"/>
              <w:rPr>
                <w:sz w:val="24"/>
                <w:highlight w:val="none"/>
              </w:rPr>
            </w:pPr>
            <w:r>
              <w:rPr>
                <w:rFonts w:hint="eastAsia"/>
                <w:sz w:val="24"/>
                <w:highlight w:val="none"/>
              </w:rPr>
              <w:t>该项目已于</w:t>
            </w:r>
            <w:r>
              <w:rPr>
                <w:rFonts w:hint="eastAsia"/>
                <w:sz w:val="24"/>
                <w:highlight w:val="none"/>
                <w:u w:val="single"/>
              </w:rPr>
              <w:t xml:space="preserve">       </w:t>
            </w:r>
            <w:r>
              <w:rPr>
                <w:rFonts w:hint="eastAsia"/>
                <w:sz w:val="24"/>
                <w:highlight w:val="none"/>
              </w:rPr>
              <w:t>年</w:t>
            </w:r>
            <w:r>
              <w:rPr>
                <w:rFonts w:hint="eastAsia"/>
                <w:sz w:val="24"/>
                <w:highlight w:val="none"/>
                <w:u w:val="single"/>
              </w:rPr>
              <w:t xml:space="preserve">     </w:t>
            </w:r>
            <w:r>
              <w:rPr>
                <w:rFonts w:hint="eastAsia"/>
                <w:sz w:val="24"/>
                <w:highlight w:val="none"/>
              </w:rPr>
              <w:t>月</w:t>
            </w:r>
            <w:r>
              <w:rPr>
                <w:rFonts w:hint="eastAsia"/>
                <w:sz w:val="24"/>
                <w:highlight w:val="none"/>
                <w:u w:val="single"/>
              </w:rPr>
              <w:t xml:space="preserve">     </w:t>
            </w:r>
            <w:r>
              <w:rPr>
                <w:rFonts w:hint="eastAsia"/>
                <w:sz w:val="24"/>
                <w:highlight w:val="none"/>
              </w:rPr>
              <w:t>日验收并交付。根据合同规定，该项目的履约保证金期限于</w:t>
            </w:r>
            <w:r>
              <w:rPr>
                <w:rFonts w:hint="eastAsia"/>
                <w:sz w:val="24"/>
                <w:highlight w:val="none"/>
                <w:u w:val="single"/>
              </w:rPr>
              <w:t xml:space="preserve">         </w:t>
            </w:r>
            <w:r>
              <w:rPr>
                <w:rFonts w:hint="eastAsia"/>
                <w:sz w:val="24"/>
                <w:highlight w:val="none"/>
              </w:rPr>
              <w:t>年</w:t>
            </w:r>
            <w:r>
              <w:rPr>
                <w:rFonts w:hint="eastAsia"/>
                <w:sz w:val="24"/>
                <w:highlight w:val="none"/>
                <w:u w:val="single"/>
              </w:rPr>
              <w:t xml:space="preserve">        </w:t>
            </w:r>
            <w:r>
              <w:rPr>
                <w:rFonts w:hint="eastAsia"/>
                <w:sz w:val="24"/>
                <w:highlight w:val="none"/>
              </w:rPr>
              <w:t>月</w:t>
            </w:r>
            <w:r>
              <w:rPr>
                <w:rFonts w:hint="eastAsia"/>
                <w:sz w:val="24"/>
                <w:highlight w:val="none"/>
                <w:u w:val="single"/>
              </w:rPr>
              <w:t xml:space="preserve">        </w:t>
            </w:r>
            <w:r>
              <w:rPr>
                <w:rFonts w:hint="eastAsia"/>
                <w:sz w:val="24"/>
                <w:highlight w:val="none"/>
              </w:rPr>
              <w:t>日已满，请将履约保证金</w:t>
            </w:r>
          </w:p>
          <w:p w14:paraId="58C1384F">
            <w:pPr>
              <w:rPr>
                <w:sz w:val="24"/>
                <w:highlight w:val="none"/>
              </w:rPr>
            </w:pPr>
            <w:r>
              <w:rPr>
                <w:rFonts w:hint="eastAsia"/>
                <w:sz w:val="24"/>
                <w:highlight w:val="none"/>
                <w:u w:val="single"/>
              </w:rPr>
              <w:t xml:space="preserve">                                      </w:t>
            </w:r>
            <w:r>
              <w:rPr>
                <w:rFonts w:hint="eastAsia"/>
                <w:sz w:val="24"/>
                <w:highlight w:val="none"/>
              </w:rPr>
              <w:t>（大写）¥</w:t>
            </w:r>
            <w:r>
              <w:rPr>
                <w:rFonts w:hint="eastAsia"/>
                <w:sz w:val="24"/>
                <w:highlight w:val="none"/>
                <w:u w:val="single"/>
              </w:rPr>
              <w:t xml:space="preserve">          </w:t>
            </w:r>
            <w:r>
              <w:rPr>
                <w:rFonts w:hint="eastAsia"/>
                <w:sz w:val="24"/>
                <w:highlight w:val="none"/>
              </w:rPr>
              <w:t>（小写）退付到达以下帐户。</w:t>
            </w:r>
          </w:p>
          <w:p w14:paraId="079A0B77">
            <w:pPr>
              <w:rPr>
                <w:sz w:val="24"/>
                <w:highlight w:val="none"/>
              </w:rPr>
            </w:pPr>
            <w:r>
              <w:rPr>
                <w:rFonts w:hint="eastAsia"/>
                <w:sz w:val="24"/>
                <w:highlight w:val="none"/>
              </w:rPr>
              <w:t>单位名称：</w:t>
            </w:r>
          </w:p>
          <w:p w14:paraId="3BB682C3">
            <w:pPr>
              <w:rPr>
                <w:sz w:val="24"/>
                <w:highlight w:val="none"/>
              </w:rPr>
            </w:pPr>
            <w:r>
              <w:rPr>
                <w:rFonts w:hint="eastAsia"/>
                <w:sz w:val="24"/>
                <w:highlight w:val="none"/>
              </w:rPr>
              <w:t>开户银行：</w:t>
            </w:r>
          </w:p>
          <w:p w14:paraId="63C344F6">
            <w:pPr>
              <w:rPr>
                <w:sz w:val="24"/>
                <w:highlight w:val="none"/>
              </w:rPr>
            </w:pPr>
            <w:r>
              <w:rPr>
                <w:rFonts w:hint="eastAsia"/>
                <w:sz w:val="24"/>
                <w:highlight w:val="none"/>
              </w:rPr>
              <w:t>帐    号：</w:t>
            </w:r>
          </w:p>
          <w:p w14:paraId="55396E34">
            <w:pPr>
              <w:rPr>
                <w:sz w:val="24"/>
                <w:highlight w:val="none"/>
              </w:rPr>
            </w:pPr>
            <w:r>
              <w:rPr>
                <w:rFonts w:hint="eastAsia"/>
                <w:sz w:val="24"/>
                <w:highlight w:val="none"/>
              </w:rPr>
              <w:t>联系人及电话：</w:t>
            </w:r>
          </w:p>
          <w:p w14:paraId="17459CC1">
            <w:pPr>
              <w:rPr>
                <w:sz w:val="24"/>
                <w:highlight w:val="none"/>
              </w:rPr>
            </w:pPr>
          </w:p>
          <w:p w14:paraId="649B661D">
            <w:pPr>
              <w:jc w:val="center"/>
              <w:rPr>
                <w:sz w:val="24"/>
                <w:highlight w:val="none"/>
              </w:rPr>
            </w:pPr>
            <w:r>
              <w:rPr>
                <w:rFonts w:hint="eastAsia"/>
                <w:sz w:val="24"/>
                <w:highlight w:val="none"/>
              </w:rPr>
              <w:t xml:space="preserve">                           供应商公章：</w:t>
            </w:r>
          </w:p>
          <w:p w14:paraId="38A943BF">
            <w:pPr>
              <w:jc w:val="center"/>
              <w:rPr>
                <w:sz w:val="24"/>
                <w:highlight w:val="none"/>
              </w:rPr>
            </w:pPr>
            <w:r>
              <w:rPr>
                <w:rFonts w:hint="eastAsia"/>
                <w:sz w:val="24"/>
                <w:highlight w:val="none"/>
              </w:rPr>
              <w:t xml:space="preserve">                                                年    月    日</w:t>
            </w:r>
          </w:p>
        </w:tc>
      </w:tr>
      <w:tr w14:paraId="4D62C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5" w:hRule="atLeast"/>
          <w:jc w:val="center"/>
        </w:trPr>
        <w:tc>
          <w:tcPr>
            <w:tcW w:w="817" w:type="dxa"/>
            <w:vAlign w:val="center"/>
          </w:tcPr>
          <w:p w14:paraId="113F9555">
            <w:pPr>
              <w:jc w:val="center"/>
              <w:rPr>
                <w:sz w:val="24"/>
                <w:highlight w:val="none"/>
              </w:rPr>
            </w:pPr>
            <w:r>
              <w:rPr>
                <w:rFonts w:hint="eastAsia"/>
                <w:sz w:val="24"/>
                <w:highlight w:val="none"/>
              </w:rPr>
              <w:t>采</w:t>
            </w:r>
          </w:p>
          <w:p w14:paraId="4F509699">
            <w:pPr>
              <w:jc w:val="center"/>
              <w:rPr>
                <w:sz w:val="24"/>
                <w:highlight w:val="none"/>
              </w:rPr>
            </w:pPr>
            <w:r>
              <w:rPr>
                <w:rFonts w:hint="eastAsia"/>
                <w:sz w:val="24"/>
                <w:highlight w:val="none"/>
              </w:rPr>
              <w:t>购</w:t>
            </w:r>
          </w:p>
          <w:p w14:paraId="61AE58AD">
            <w:pPr>
              <w:jc w:val="center"/>
              <w:rPr>
                <w:sz w:val="24"/>
                <w:highlight w:val="none"/>
              </w:rPr>
            </w:pPr>
            <w:r>
              <w:rPr>
                <w:rFonts w:hint="eastAsia"/>
                <w:sz w:val="24"/>
                <w:highlight w:val="none"/>
              </w:rPr>
              <w:t>单</w:t>
            </w:r>
          </w:p>
          <w:p w14:paraId="788CD0AB">
            <w:pPr>
              <w:jc w:val="center"/>
              <w:rPr>
                <w:sz w:val="24"/>
                <w:highlight w:val="none"/>
              </w:rPr>
            </w:pPr>
            <w:r>
              <w:rPr>
                <w:rFonts w:hint="eastAsia"/>
                <w:sz w:val="24"/>
                <w:highlight w:val="none"/>
              </w:rPr>
              <w:t>位</w:t>
            </w:r>
          </w:p>
          <w:p w14:paraId="4D2E1892">
            <w:pPr>
              <w:jc w:val="center"/>
              <w:rPr>
                <w:sz w:val="24"/>
                <w:highlight w:val="none"/>
              </w:rPr>
            </w:pPr>
            <w:r>
              <w:rPr>
                <w:rFonts w:hint="eastAsia"/>
                <w:sz w:val="24"/>
                <w:highlight w:val="none"/>
              </w:rPr>
              <w:t>意</w:t>
            </w:r>
          </w:p>
          <w:p w14:paraId="7C717AF8">
            <w:pPr>
              <w:jc w:val="center"/>
              <w:rPr>
                <w:sz w:val="24"/>
                <w:highlight w:val="none"/>
              </w:rPr>
            </w:pPr>
            <w:r>
              <w:rPr>
                <w:rFonts w:hint="eastAsia"/>
                <w:sz w:val="24"/>
                <w:highlight w:val="none"/>
              </w:rPr>
              <w:t>见</w:t>
            </w:r>
          </w:p>
        </w:tc>
        <w:tc>
          <w:tcPr>
            <w:tcW w:w="8009" w:type="dxa"/>
          </w:tcPr>
          <w:p w14:paraId="28876572">
            <w:pPr>
              <w:rPr>
                <w:sz w:val="24"/>
                <w:highlight w:val="none"/>
              </w:rPr>
            </w:pPr>
          </w:p>
          <w:p w14:paraId="6D4B88DF">
            <w:pPr>
              <w:rPr>
                <w:sz w:val="24"/>
                <w:highlight w:val="none"/>
              </w:rPr>
            </w:pPr>
            <w:r>
              <w:rPr>
                <w:rFonts w:hint="eastAsia"/>
                <w:sz w:val="24"/>
                <w:highlight w:val="none"/>
              </w:rPr>
              <w:t>退付意见：是否同意退付履约保证金及退付金额：</w:t>
            </w:r>
          </w:p>
          <w:p w14:paraId="05CED7A4">
            <w:pPr>
              <w:rPr>
                <w:sz w:val="24"/>
                <w:highlight w:val="none"/>
              </w:rPr>
            </w:pPr>
          </w:p>
          <w:p w14:paraId="6B334F2B">
            <w:pPr>
              <w:rPr>
                <w:sz w:val="24"/>
                <w:highlight w:val="none"/>
              </w:rPr>
            </w:pPr>
          </w:p>
          <w:p w14:paraId="2A712559">
            <w:pPr>
              <w:rPr>
                <w:sz w:val="24"/>
                <w:highlight w:val="none"/>
              </w:rPr>
            </w:pPr>
            <w:r>
              <w:rPr>
                <w:rFonts w:hint="eastAsia"/>
                <w:sz w:val="24"/>
                <w:highlight w:val="none"/>
              </w:rPr>
              <w:t xml:space="preserve">联系人及电话：                                </w:t>
            </w:r>
          </w:p>
          <w:p w14:paraId="51B2A391">
            <w:pPr>
              <w:rPr>
                <w:sz w:val="24"/>
                <w:highlight w:val="none"/>
              </w:rPr>
            </w:pPr>
          </w:p>
          <w:p w14:paraId="4D39E284">
            <w:pPr>
              <w:ind w:firstLine="4560" w:firstLineChars="1900"/>
              <w:rPr>
                <w:sz w:val="24"/>
                <w:highlight w:val="none"/>
              </w:rPr>
            </w:pPr>
            <w:r>
              <w:rPr>
                <w:rFonts w:hint="eastAsia"/>
                <w:sz w:val="24"/>
                <w:highlight w:val="none"/>
              </w:rPr>
              <w:t xml:space="preserve"> 采购单位公章：</w:t>
            </w:r>
          </w:p>
          <w:p w14:paraId="40B3D0EC">
            <w:pPr>
              <w:jc w:val="center"/>
              <w:rPr>
                <w:sz w:val="24"/>
                <w:highlight w:val="none"/>
              </w:rPr>
            </w:pPr>
            <w:r>
              <w:rPr>
                <w:rFonts w:hint="eastAsia"/>
                <w:sz w:val="24"/>
                <w:highlight w:val="none"/>
              </w:rPr>
              <w:t xml:space="preserve">                                                年    月    日</w:t>
            </w:r>
          </w:p>
        </w:tc>
      </w:tr>
      <w:tr w14:paraId="43899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3" w:hRule="atLeast"/>
          <w:jc w:val="center"/>
        </w:trPr>
        <w:tc>
          <w:tcPr>
            <w:tcW w:w="817" w:type="dxa"/>
            <w:vAlign w:val="center"/>
          </w:tcPr>
          <w:p w14:paraId="619D836D">
            <w:pPr>
              <w:jc w:val="center"/>
              <w:rPr>
                <w:sz w:val="24"/>
                <w:highlight w:val="none"/>
              </w:rPr>
            </w:pPr>
            <w:r>
              <w:rPr>
                <w:rFonts w:hint="eastAsia"/>
                <w:sz w:val="24"/>
                <w:highlight w:val="none"/>
              </w:rPr>
              <w:t>财</w:t>
            </w:r>
          </w:p>
          <w:p w14:paraId="72C7D7BE">
            <w:pPr>
              <w:jc w:val="center"/>
              <w:rPr>
                <w:sz w:val="24"/>
                <w:highlight w:val="none"/>
              </w:rPr>
            </w:pPr>
            <w:r>
              <w:rPr>
                <w:rFonts w:hint="eastAsia"/>
                <w:sz w:val="24"/>
                <w:highlight w:val="none"/>
              </w:rPr>
              <w:t>务</w:t>
            </w:r>
          </w:p>
          <w:p w14:paraId="77AC8A7B">
            <w:pPr>
              <w:jc w:val="center"/>
              <w:rPr>
                <w:sz w:val="24"/>
                <w:highlight w:val="none"/>
              </w:rPr>
            </w:pPr>
            <w:r>
              <w:rPr>
                <w:rFonts w:hint="eastAsia"/>
                <w:sz w:val="24"/>
                <w:highlight w:val="none"/>
              </w:rPr>
              <w:t>部</w:t>
            </w:r>
          </w:p>
          <w:p w14:paraId="314997A1">
            <w:pPr>
              <w:jc w:val="center"/>
              <w:rPr>
                <w:sz w:val="24"/>
                <w:highlight w:val="none"/>
              </w:rPr>
            </w:pPr>
            <w:r>
              <w:rPr>
                <w:rFonts w:hint="eastAsia"/>
                <w:sz w:val="24"/>
                <w:highlight w:val="none"/>
              </w:rPr>
              <w:t>门</w:t>
            </w:r>
          </w:p>
          <w:p w14:paraId="6F4ADA92">
            <w:pPr>
              <w:jc w:val="center"/>
              <w:rPr>
                <w:sz w:val="24"/>
                <w:highlight w:val="none"/>
              </w:rPr>
            </w:pPr>
            <w:r>
              <w:rPr>
                <w:rFonts w:hint="eastAsia"/>
                <w:sz w:val="24"/>
                <w:highlight w:val="none"/>
              </w:rPr>
              <w:t>意</w:t>
            </w:r>
          </w:p>
          <w:p w14:paraId="25B00023">
            <w:pPr>
              <w:jc w:val="center"/>
              <w:rPr>
                <w:sz w:val="24"/>
                <w:highlight w:val="none"/>
              </w:rPr>
            </w:pPr>
            <w:r>
              <w:rPr>
                <w:rFonts w:hint="eastAsia"/>
                <w:sz w:val="24"/>
                <w:highlight w:val="none"/>
              </w:rPr>
              <w:t>见</w:t>
            </w:r>
          </w:p>
        </w:tc>
        <w:tc>
          <w:tcPr>
            <w:tcW w:w="8009" w:type="dxa"/>
          </w:tcPr>
          <w:p w14:paraId="6C02042C">
            <w:pPr>
              <w:rPr>
                <w:sz w:val="24"/>
                <w:highlight w:val="none"/>
              </w:rPr>
            </w:pPr>
            <w:r>
              <w:rPr>
                <w:rFonts w:hint="eastAsia"/>
                <w:sz w:val="24"/>
                <w:highlight w:val="none"/>
              </w:rPr>
              <w:t>此表于</w:t>
            </w:r>
            <w:r>
              <w:rPr>
                <w:rFonts w:hint="eastAsia"/>
                <w:sz w:val="24"/>
                <w:highlight w:val="none"/>
                <w:u w:val="single"/>
              </w:rPr>
              <w:t xml:space="preserve">     </w:t>
            </w:r>
            <w:r>
              <w:rPr>
                <w:rFonts w:hint="eastAsia"/>
                <w:sz w:val="24"/>
                <w:highlight w:val="none"/>
              </w:rPr>
              <w:t>年</w:t>
            </w:r>
            <w:r>
              <w:rPr>
                <w:rFonts w:hint="eastAsia"/>
                <w:sz w:val="24"/>
                <w:highlight w:val="none"/>
                <w:u w:val="single"/>
              </w:rPr>
              <w:t xml:space="preserve">     </w:t>
            </w:r>
            <w:r>
              <w:rPr>
                <w:rFonts w:hint="eastAsia"/>
                <w:sz w:val="24"/>
                <w:highlight w:val="none"/>
              </w:rPr>
              <w:t>月</w:t>
            </w:r>
            <w:r>
              <w:rPr>
                <w:rFonts w:hint="eastAsia"/>
                <w:sz w:val="24"/>
                <w:highlight w:val="none"/>
                <w:u w:val="single"/>
              </w:rPr>
              <w:t xml:space="preserve">      </w:t>
            </w:r>
            <w:r>
              <w:rPr>
                <w:rFonts w:hint="eastAsia"/>
                <w:sz w:val="24"/>
                <w:highlight w:val="none"/>
              </w:rPr>
              <w:t>日收到。</w:t>
            </w:r>
          </w:p>
          <w:p w14:paraId="2466F470">
            <w:pPr>
              <w:rPr>
                <w:sz w:val="24"/>
                <w:highlight w:val="none"/>
              </w:rPr>
            </w:pPr>
          </w:p>
          <w:p w14:paraId="1CBC2842">
            <w:pPr>
              <w:rPr>
                <w:sz w:val="24"/>
                <w:highlight w:val="none"/>
              </w:rPr>
            </w:pPr>
            <w:r>
              <w:rPr>
                <w:rFonts w:hint="eastAsia"/>
                <w:sz w:val="24"/>
                <w:highlight w:val="none"/>
              </w:rPr>
              <w:t>会计审核：</w:t>
            </w:r>
          </w:p>
          <w:p w14:paraId="79612EF6">
            <w:pPr>
              <w:rPr>
                <w:sz w:val="24"/>
                <w:highlight w:val="none"/>
              </w:rPr>
            </w:pPr>
          </w:p>
          <w:p w14:paraId="20537C0B">
            <w:pPr>
              <w:rPr>
                <w:sz w:val="24"/>
                <w:highlight w:val="none"/>
              </w:rPr>
            </w:pPr>
            <w:r>
              <w:rPr>
                <w:rFonts w:hint="eastAsia"/>
                <w:sz w:val="24"/>
                <w:highlight w:val="none"/>
              </w:rPr>
              <w:t>财务负责人审核：</w:t>
            </w:r>
          </w:p>
          <w:p w14:paraId="3DCA8265">
            <w:pPr>
              <w:rPr>
                <w:sz w:val="24"/>
                <w:highlight w:val="none"/>
              </w:rPr>
            </w:pPr>
          </w:p>
          <w:p w14:paraId="1CF932B6">
            <w:pPr>
              <w:rPr>
                <w:sz w:val="24"/>
                <w:highlight w:val="none"/>
              </w:rPr>
            </w:pPr>
            <w:r>
              <w:rPr>
                <w:rFonts w:hint="eastAsia"/>
                <w:sz w:val="24"/>
                <w:highlight w:val="none"/>
              </w:rPr>
              <w:t>单位负责人签字：</w:t>
            </w:r>
          </w:p>
          <w:p w14:paraId="1F1B37AD">
            <w:pPr>
              <w:rPr>
                <w:sz w:val="24"/>
                <w:highlight w:val="none"/>
              </w:rPr>
            </w:pPr>
          </w:p>
          <w:p w14:paraId="7233AD3B">
            <w:pPr>
              <w:rPr>
                <w:sz w:val="24"/>
                <w:highlight w:val="none"/>
              </w:rPr>
            </w:pPr>
            <w:r>
              <w:rPr>
                <w:rFonts w:hint="eastAsia"/>
                <w:sz w:val="24"/>
                <w:highlight w:val="none"/>
              </w:rPr>
              <w:t>出纳办理转帐日期：</w:t>
            </w:r>
          </w:p>
        </w:tc>
      </w:tr>
    </w:tbl>
    <w:p w14:paraId="0FAFA3FD">
      <w:pPr>
        <w:pStyle w:val="3"/>
        <w:ind w:left="1" w:firstLine="2" w:firstLineChars="1"/>
        <w:rPr>
          <w:rFonts w:ascii="宋体"/>
          <w:b/>
          <w:bCs/>
          <w:sz w:val="18"/>
          <w:szCs w:val="18"/>
          <w:highlight w:val="none"/>
        </w:rPr>
      </w:pPr>
      <w:r>
        <w:rPr>
          <w:rFonts w:hint="eastAsia" w:ascii="宋体"/>
          <w:b/>
          <w:bCs/>
          <w:sz w:val="18"/>
          <w:szCs w:val="18"/>
          <w:highlight w:val="none"/>
        </w:rPr>
        <w:t>注：供应商凭经采购单位审批的退付意见书到履约保证金收取单位财务部门办理履约保证金退付事宜。</w:t>
      </w:r>
    </w:p>
    <w:p w14:paraId="6032DC8D">
      <w:pPr>
        <w:pStyle w:val="15"/>
        <w:spacing w:line="360" w:lineRule="auto"/>
        <w:ind w:firstLine="402" w:firstLineChars="200"/>
        <w:textAlignment w:val="center"/>
        <w:rPr>
          <w:rFonts w:hint="eastAsia" w:hAnsi="宋体"/>
          <w:b/>
          <w:sz w:val="32"/>
          <w:szCs w:val="32"/>
          <w:highlight w:val="none"/>
        </w:rPr>
      </w:pPr>
      <w:r>
        <w:rPr>
          <w:rFonts w:hAnsi="宋体"/>
          <w:b/>
          <w:highlight w:val="none"/>
        </w:rPr>
        <w:br w:type="page"/>
      </w:r>
    </w:p>
    <w:p w14:paraId="1A43FD8B">
      <w:pPr>
        <w:pStyle w:val="4"/>
        <w:jc w:val="center"/>
        <w:rPr>
          <w:highlight w:val="none"/>
        </w:rPr>
      </w:pPr>
      <w:bookmarkStart w:id="62" w:name="_Toc151675538"/>
      <w:r>
        <w:rPr>
          <w:rFonts w:hint="eastAsia"/>
          <w:highlight w:val="none"/>
        </w:rPr>
        <w:t xml:space="preserve">第三章 </w:t>
      </w:r>
      <w:r>
        <w:rPr>
          <w:highlight w:val="none"/>
        </w:rPr>
        <w:t xml:space="preserve"> </w:t>
      </w:r>
      <w:r>
        <w:rPr>
          <w:rFonts w:hint="eastAsia"/>
          <w:highlight w:val="none"/>
        </w:rPr>
        <w:t>采购需求</w:t>
      </w:r>
      <w:bookmarkEnd w:id="62"/>
    </w:p>
    <w:p w14:paraId="3D627BB0">
      <w:pPr>
        <w:spacing w:line="440" w:lineRule="exact"/>
        <w:jc w:val="center"/>
        <w:rPr>
          <w:rFonts w:hint="eastAsia" w:ascii="宋体" w:hAnsi="宋体"/>
          <w:b/>
          <w:sz w:val="32"/>
          <w:szCs w:val="32"/>
          <w:highlight w:val="none"/>
        </w:rPr>
      </w:pPr>
      <w:r>
        <w:rPr>
          <w:rFonts w:hint="eastAsia" w:ascii="宋体" w:hAnsi="宋体"/>
          <w:b/>
          <w:sz w:val="32"/>
          <w:szCs w:val="32"/>
          <w:highlight w:val="none"/>
        </w:rPr>
        <w:t>采购项目技术规格、参数及要求</w:t>
      </w:r>
    </w:p>
    <w:p w14:paraId="062FDFA4">
      <w:pPr>
        <w:spacing w:line="360" w:lineRule="auto"/>
        <w:rPr>
          <w:rFonts w:ascii="宋体"/>
          <w:szCs w:val="21"/>
          <w:highlight w:val="none"/>
        </w:rPr>
      </w:pPr>
      <w:r>
        <w:rPr>
          <w:rFonts w:hint="eastAsia" w:ascii="宋体"/>
          <w:b/>
          <w:szCs w:val="21"/>
          <w:highlight w:val="none"/>
        </w:rPr>
        <w:t>说明：</w:t>
      </w:r>
    </w:p>
    <w:p w14:paraId="75A33BBD">
      <w:pPr>
        <w:spacing w:line="360" w:lineRule="auto"/>
        <w:ind w:firstLine="437"/>
        <w:rPr>
          <w:rFonts w:ascii="宋体"/>
          <w:b/>
          <w:szCs w:val="21"/>
          <w:highlight w:val="none"/>
        </w:rPr>
      </w:pPr>
      <w:r>
        <w:rPr>
          <w:rFonts w:hint="eastAsia" w:ascii="宋体"/>
          <w:b/>
          <w:bCs/>
          <w:szCs w:val="21"/>
          <w:highlight w:val="none"/>
        </w:rPr>
        <w:t>一、本需求表</w:t>
      </w:r>
      <w:r>
        <w:rPr>
          <w:rFonts w:hint="eastAsia" w:ascii="宋体" w:hAnsi="宋体"/>
          <w:b/>
          <w:szCs w:val="21"/>
          <w:highlight w:val="none"/>
        </w:rPr>
        <w:t>中</w:t>
      </w:r>
      <w:r>
        <w:rPr>
          <w:rFonts w:hint="eastAsia" w:ascii="宋体"/>
          <w:b/>
          <w:szCs w:val="21"/>
          <w:highlight w:val="none"/>
        </w:rPr>
        <w:t>标注“▲”的条款均为实质性要求或条件，供应商必须作出满足或者优于该要求和条件的承诺</w:t>
      </w:r>
      <w:r>
        <w:rPr>
          <w:rFonts w:hint="eastAsia" w:ascii="宋体" w:hAnsi="宋体"/>
          <w:b/>
          <w:szCs w:val="21"/>
          <w:highlight w:val="none"/>
        </w:rPr>
        <w:t>（另有要求的除外）</w:t>
      </w:r>
      <w:r>
        <w:rPr>
          <w:rFonts w:hint="eastAsia" w:ascii="宋体"/>
          <w:b/>
          <w:szCs w:val="21"/>
          <w:highlight w:val="none"/>
        </w:rPr>
        <w:t>，否则响应无效</w:t>
      </w:r>
      <w:r>
        <w:rPr>
          <w:rFonts w:hint="eastAsia" w:ascii="宋体" w:hAnsi="宋体"/>
          <w:b/>
          <w:szCs w:val="21"/>
          <w:highlight w:val="none"/>
        </w:rPr>
        <w:t>。</w:t>
      </w:r>
    </w:p>
    <w:p w14:paraId="1237C576">
      <w:pPr>
        <w:spacing w:line="360" w:lineRule="auto"/>
        <w:ind w:firstLine="437"/>
        <w:rPr>
          <w:rFonts w:ascii="宋体"/>
          <w:b/>
          <w:bCs/>
          <w:szCs w:val="21"/>
          <w:highlight w:val="none"/>
        </w:rPr>
      </w:pPr>
      <w:r>
        <w:rPr>
          <w:rFonts w:hint="eastAsia" w:ascii="宋体"/>
          <w:b/>
          <w:szCs w:val="21"/>
          <w:highlight w:val="none"/>
        </w:rPr>
        <w:t>二、供应商所</w:t>
      </w:r>
      <w:r>
        <w:rPr>
          <w:rFonts w:hint="eastAsia" w:hAnsi="宋体" w:cs="宋体"/>
          <w:b/>
          <w:highlight w:val="none"/>
        </w:rPr>
        <w:t>竞标</w:t>
      </w:r>
      <w:r>
        <w:rPr>
          <w:rFonts w:hint="eastAsia" w:ascii="宋体"/>
          <w:b/>
          <w:szCs w:val="21"/>
          <w:highlight w:val="none"/>
        </w:rPr>
        <w:t>货物或服务如国家有强制性要求的按国家规定执行，若执行标准有修改或更新按最新版本执行。</w:t>
      </w:r>
    </w:p>
    <w:p w14:paraId="009F06D4">
      <w:pPr>
        <w:spacing w:line="360" w:lineRule="auto"/>
        <w:ind w:firstLine="437"/>
        <w:rPr>
          <w:b/>
          <w:highlight w:val="none"/>
        </w:rPr>
      </w:pPr>
      <w:r>
        <w:rPr>
          <w:rFonts w:hint="eastAsia" w:ascii="宋体"/>
          <w:b/>
          <w:bCs/>
          <w:szCs w:val="21"/>
          <w:highlight w:val="none"/>
        </w:rPr>
        <w:t>三、</w:t>
      </w:r>
      <w:r>
        <w:rPr>
          <w:rFonts w:hint="eastAsia" w:ascii="宋体" w:hAnsi="宋体"/>
          <w:b/>
          <w:szCs w:val="21"/>
          <w:highlight w:val="none"/>
        </w:rPr>
        <w:t>采购标的对应的中小企业划分标准所属行业：根据《关于印发中小企业划型标准规定的通知》（工信部联企业〔2011〕300号），本次采购标的属于软件和信息技术服务业。</w:t>
      </w:r>
    </w:p>
    <w:p w14:paraId="6FD5A703">
      <w:pPr>
        <w:spacing w:line="360" w:lineRule="auto"/>
        <w:jc w:val="left"/>
        <w:rPr>
          <w:highlight w:val="none"/>
        </w:rPr>
      </w:pPr>
    </w:p>
    <w:tbl>
      <w:tblPr>
        <w:tblStyle w:val="24"/>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2"/>
        <w:gridCol w:w="1147"/>
        <w:gridCol w:w="821"/>
        <w:gridCol w:w="7484"/>
      </w:tblGrid>
      <w:tr w14:paraId="5C566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7275208A">
            <w:pPr>
              <w:spacing w:line="360" w:lineRule="auto"/>
              <w:jc w:val="center"/>
              <w:rPr>
                <w:b/>
                <w:color w:val="auto"/>
                <w:highlight w:val="none"/>
              </w:rPr>
            </w:pPr>
            <w:r>
              <w:rPr>
                <w:rFonts w:hint="eastAsia" w:ascii="宋体" w:hAnsi="宋体"/>
                <w:b/>
                <w:color w:val="auto"/>
                <w:szCs w:val="21"/>
                <w:highlight w:val="none"/>
              </w:rPr>
              <w:t>项号</w:t>
            </w:r>
          </w:p>
        </w:tc>
        <w:tc>
          <w:tcPr>
            <w:tcW w:w="576" w:type="pct"/>
            <w:tcBorders>
              <w:top w:val="single" w:color="auto" w:sz="4" w:space="0"/>
              <w:left w:val="single" w:color="auto" w:sz="4" w:space="0"/>
              <w:bottom w:val="single" w:color="auto" w:sz="4" w:space="0"/>
              <w:right w:val="single" w:color="auto" w:sz="4" w:space="0"/>
            </w:tcBorders>
            <w:vAlign w:val="center"/>
          </w:tcPr>
          <w:p w14:paraId="126E3CA8">
            <w:pPr>
              <w:spacing w:line="360" w:lineRule="auto"/>
              <w:jc w:val="center"/>
              <w:rPr>
                <w:b/>
                <w:color w:val="auto"/>
                <w:highlight w:val="none"/>
              </w:rPr>
            </w:pPr>
            <w:r>
              <w:rPr>
                <w:rFonts w:hint="eastAsia" w:ascii="宋体" w:hAnsi="宋体"/>
                <w:b/>
                <w:color w:val="auto"/>
                <w:szCs w:val="21"/>
                <w:highlight w:val="none"/>
              </w:rPr>
              <w:t>标的的名称</w:t>
            </w:r>
          </w:p>
        </w:tc>
        <w:tc>
          <w:tcPr>
            <w:tcW w:w="412" w:type="pct"/>
            <w:tcBorders>
              <w:top w:val="single" w:color="auto" w:sz="4" w:space="0"/>
              <w:left w:val="single" w:color="auto" w:sz="4" w:space="0"/>
              <w:bottom w:val="single" w:color="auto" w:sz="4" w:space="0"/>
              <w:right w:val="single" w:color="auto" w:sz="4" w:space="0"/>
            </w:tcBorders>
            <w:vAlign w:val="center"/>
          </w:tcPr>
          <w:p w14:paraId="2A19A983">
            <w:pPr>
              <w:spacing w:line="360" w:lineRule="auto"/>
              <w:jc w:val="center"/>
              <w:rPr>
                <w:b/>
                <w:color w:val="auto"/>
                <w:highlight w:val="none"/>
              </w:rPr>
            </w:pPr>
            <w:r>
              <w:rPr>
                <w:rFonts w:ascii="宋体" w:hAnsi="宋体"/>
                <w:b/>
                <w:color w:val="auto"/>
                <w:szCs w:val="21"/>
                <w:highlight w:val="none"/>
              </w:rPr>
              <w:t>数量</w:t>
            </w:r>
            <w:r>
              <w:rPr>
                <w:rFonts w:hint="eastAsia" w:ascii="宋体" w:hAnsi="宋体"/>
                <w:b/>
                <w:color w:val="auto"/>
                <w:szCs w:val="21"/>
                <w:highlight w:val="none"/>
              </w:rPr>
              <w:t>及单位</w:t>
            </w:r>
          </w:p>
        </w:tc>
        <w:tc>
          <w:tcPr>
            <w:tcW w:w="3758" w:type="pct"/>
            <w:tcBorders>
              <w:top w:val="single" w:color="auto" w:sz="4" w:space="0"/>
              <w:left w:val="single" w:color="auto" w:sz="4" w:space="0"/>
              <w:bottom w:val="single" w:color="auto" w:sz="4" w:space="0"/>
              <w:right w:val="single" w:color="auto" w:sz="4" w:space="0"/>
            </w:tcBorders>
            <w:vAlign w:val="center"/>
          </w:tcPr>
          <w:p w14:paraId="3588CE13">
            <w:pPr>
              <w:spacing w:line="360" w:lineRule="auto"/>
              <w:jc w:val="center"/>
              <w:rPr>
                <w:b/>
                <w:color w:val="auto"/>
                <w:highlight w:val="none"/>
              </w:rPr>
            </w:pPr>
            <w:r>
              <w:rPr>
                <w:rFonts w:hint="eastAsia" w:ascii="宋体" w:hAnsi="宋体"/>
                <w:b/>
                <w:color w:val="auto"/>
                <w:szCs w:val="21"/>
                <w:highlight w:val="none"/>
              </w:rPr>
              <w:t>内容和要求</w:t>
            </w:r>
          </w:p>
        </w:tc>
      </w:tr>
      <w:tr w14:paraId="5DA0C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3" w:type="pct"/>
            <w:tcBorders>
              <w:top w:val="single" w:color="auto" w:sz="4" w:space="0"/>
              <w:left w:val="single" w:color="auto" w:sz="4" w:space="0"/>
              <w:bottom w:val="single" w:color="auto" w:sz="4" w:space="0"/>
              <w:right w:val="single" w:color="auto" w:sz="4" w:space="0"/>
            </w:tcBorders>
            <w:vAlign w:val="center"/>
          </w:tcPr>
          <w:p w14:paraId="7AACA206">
            <w:pPr>
              <w:spacing w:line="360" w:lineRule="auto"/>
              <w:jc w:val="center"/>
              <w:rPr>
                <w:color w:val="auto"/>
                <w:highlight w:val="none"/>
              </w:rPr>
            </w:pPr>
            <w:r>
              <w:rPr>
                <w:rFonts w:hint="eastAsia"/>
                <w:color w:val="auto"/>
                <w:highlight w:val="none"/>
              </w:rPr>
              <w:t>1</w:t>
            </w:r>
          </w:p>
        </w:tc>
        <w:tc>
          <w:tcPr>
            <w:tcW w:w="576" w:type="pct"/>
            <w:tcBorders>
              <w:top w:val="single" w:color="auto" w:sz="4" w:space="0"/>
              <w:left w:val="single" w:color="auto" w:sz="4" w:space="0"/>
              <w:bottom w:val="single" w:color="auto" w:sz="4" w:space="0"/>
              <w:right w:val="single" w:color="auto" w:sz="4" w:space="0"/>
            </w:tcBorders>
            <w:vAlign w:val="center"/>
          </w:tcPr>
          <w:p w14:paraId="4BD0CC12">
            <w:pPr>
              <w:spacing w:line="360" w:lineRule="auto"/>
              <w:jc w:val="center"/>
              <w:rPr>
                <w:rFonts w:hint="eastAsia" w:eastAsia="宋体"/>
                <w:color w:val="auto"/>
                <w:highlight w:val="none"/>
                <w:lang w:eastAsia="zh-CN"/>
              </w:rPr>
            </w:pPr>
            <w:r>
              <w:rPr>
                <w:rFonts w:hint="eastAsia"/>
                <w:color w:val="auto"/>
                <w:highlight w:val="none"/>
                <w:lang w:eastAsia="zh-CN"/>
              </w:rPr>
              <w:t>2026年云平台基础设施运维服务项目（公服区设备运维、软件运维）</w:t>
            </w:r>
          </w:p>
        </w:tc>
        <w:tc>
          <w:tcPr>
            <w:tcW w:w="412" w:type="pct"/>
            <w:tcBorders>
              <w:top w:val="single" w:color="auto" w:sz="4" w:space="0"/>
              <w:left w:val="single" w:color="auto" w:sz="4" w:space="0"/>
              <w:bottom w:val="single" w:color="auto" w:sz="4" w:space="0"/>
              <w:right w:val="single" w:color="auto" w:sz="4" w:space="0"/>
            </w:tcBorders>
            <w:vAlign w:val="center"/>
          </w:tcPr>
          <w:p w14:paraId="2431AD2D">
            <w:pPr>
              <w:spacing w:line="360" w:lineRule="auto"/>
              <w:jc w:val="center"/>
              <w:rPr>
                <w:color w:val="auto"/>
                <w:highlight w:val="none"/>
              </w:rPr>
            </w:pPr>
            <w:r>
              <w:rPr>
                <w:rFonts w:hint="eastAsia" w:ascii="宋体" w:hAnsi="宋体"/>
                <w:color w:val="auto"/>
                <w:szCs w:val="21"/>
                <w:highlight w:val="none"/>
              </w:rPr>
              <w:t>1项</w:t>
            </w:r>
          </w:p>
        </w:tc>
        <w:tc>
          <w:tcPr>
            <w:tcW w:w="3758" w:type="pct"/>
            <w:tcBorders>
              <w:top w:val="single" w:color="auto" w:sz="4" w:space="0"/>
              <w:left w:val="single" w:color="auto" w:sz="4" w:space="0"/>
              <w:bottom w:val="single" w:color="auto" w:sz="4" w:space="0"/>
              <w:right w:val="single" w:color="auto" w:sz="4" w:space="0"/>
            </w:tcBorders>
            <w:vAlign w:val="center"/>
          </w:tcPr>
          <w:p w14:paraId="20CD5AA3">
            <w:pPr>
              <w:pStyle w:val="39"/>
              <w:adjustRightInd w:val="0"/>
              <w:snapToGrid w:val="0"/>
              <w:ind w:left="378" w:leftChars="180"/>
              <w:outlineLvl w:val="1"/>
              <w:rPr>
                <w:rFonts w:hint="eastAsia"/>
                <w:bCs/>
                <w:color w:val="auto"/>
                <w:highlight w:val="none"/>
              </w:rPr>
            </w:pPr>
            <w:r>
              <w:rPr>
                <w:rFonts w:hint="eastAsia"/>
                <w:bCs/>
                <w:color w:val="auto"/>
                <w:highlight w:val="none"/>
              </w:rPr>
              <w:t>（一）公共服务区云平台设备运维需求</w:t>
            </w:r>
          </w:p>
          <w:p w14:paraId="011AD70A">
            <w:pPr>
              <w:pStyle w:val="39"/>
              <w:adjustRightInd w:val="0"/>
              <w:snapToGrid w:val="0"/>
              <w:ind w:firstLine="378" w:firstLineChars="180"/>
              <w:outlineLvl w:val="2"/>
              <w:rPr>
                <w:rFonts w:hint="eastAsia"/>
                <w:bCs/>
                <w:color w:val="auto"/>
                <w:highlight w:val="none"/>
              </w:rPr>
            </w:pPr>
            <w:r>
              <w:rPr>
                <w:rFonts w:hint="eastAsia"/>
                <w:bCs/>
                <w:color w:val="auto"/>
                <w:highlight w:val="none"/>
              </w:rPr>
              <w:t>1.服务器运维需求</w:t>
            </w:r>
          </w:p>
          <w:p w14:paraId="7DB85A78">
            <w:pPr>
              <w:pStyle w:val="39"/>
              <w:adjustRightInd w:val="0"/>
              <w:snapToGrid w:val="0"/>
              <w:ind w:firstLine="378" w:firstLineChars="180"/>
              <w:rPr>
                <w:rFonts w:hint="eastAsia"/>
                <w:bCs/>
                <w:color w:val="auto"/>
                <w:highlight w:val="none"/>
              </w:rPr>
            </w:pPr>
            <w:r>
              <w:rPr>
                <w:rFonts w:hint="eastAsia"/>
                <w:bCs/>
                <w:color w:val="auto"/>
                <w:highlight w:val="none"/>
              </w:rPr>
              <w:t>针对核心业务区云平台中涉及的服务器硬件产品提供运维与技术支持服务。</w:t>
            </w:r>
          </w:p>
          <w:p w14:paraId="2473A482">
            <w:pPr>
              <w:widowControl/>
              <w:numPr>
                <w:ilvl w:val="0"/>
                <w:numId w:val="3"/>
              </w:numPr>
              <w:adjustRightInd w:val="0"/>
              <w:snapToGrid w:val="0"/>
              <w:ind w:firstLine="560"/>
              <w:outlineLvl w:val="3"/>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服务期限</w:t>
            </w:r>
          </w:p>
          <w:p w14:paraId="037AD86F">
            <w:pPr>
              <w:widowControl/>
              <w:adjustRightInd w:val="0"/>
              <w:snapToGrid w:val="0"/>
              <w:ind w:firstLine="378" w:firstLineChars="180"/>
              <w:rPr>
                <w:rFonts w:hint="eastAsia" w:ascii="宋体" w:hAnsi="宋体" w:cs="宋体"/>
                <w:bCs/>
                <w:color w:val="auto"/>
                <w:kern w:val="0"/>
                <w:szCs w:val="21"/>
                <w:highlight w:val="none"/>
              </w:rPr>
            </w:pPr>
            <w:r>
              <w:rPr>
                <w:rFonts w:hint="eastAsia" w:ascii="宋体" w:hAnsi="宋体" w:cs="宋体"/>
                <w:bCs/>
                <w:color w:val="auto"/>
                <w:szCs w:val="21"/>
                <w:highlight w:val="none"/>
              </w:rPr>
              <w:t>提供1年的软硬件保修维护服务</w:t>
            </w:r>
            <w:r>
              <w:rPr>
                <w:rFonts w:hint="eastAsia" w:ascii="宋体" w:hAnsi="宋体" w:cs="宋体"/>
                <w:bCs/>
                <w:color w:val="auto"/>
                <w:kern w:val="0"/>
                <w:szCs w:val="21"/>
                <w:highlight w:val="none"/>
              </w:rPr>
              <w:t>。</w:t>
            </w:r>
          </w:p>
          <w:p w14:paraId="1ACDDF90">
            <w:pPr>
              <w:widowControl/>
              <w:numPr>
                <w:ilvl w:val="0"/>
                <w:numId w:val="3"/>
              </w:numPr>
              <w:adjustRightInd w:val="0"/>
              <w:snapToGrid w:val="0"/>
              <w:ind w:firstLine="560"/>
              <w:outlineLvl w:val="3"/>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提供原厂维修与配件供应</w:t>
            </w:r>
          </w:p>
          <w:p w14:paraId="6706447E">
            <w:pPr>
              <w:widowControl/>
              <w:adjustRightInd w:val="0"/>
              <w:snapToGrid w:val="0"/>
              <w:ind w:firstLine="378" w:firstLineChars="18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服务期间，提供原厂7×24小时技术服务，提供免费硬件原厂现场服务，如更换故障配件、设备未知故障排查修复、升级设备固件版本等</w:t>
            </w:r>
          </w:p>
          <w:p w14:paraId="767E83EA">
            <w:pPr>
              <w:widowControl/>
              <w:numPr>
                <w:ilvl w:val="0"/>
                <w:numId w:val="3"/>
              </w:numPr>
              <w:adjustRightInd w:val="0"/>
              <w:snapToGrid w:val="0"/>
              <w:ind w:firstLine="560"/>
              <w:outlineLvl w:val="3"/>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提供故障处置服务</w:t>
            </w:r>
          </w:p>
          <w:p w14:paraId="6E97A8A8">
            <w:pPr>
              <w:widowControl/>
              <w:adjustRightInd w:val="0"/>
              <w:snapToGrid w:val="0"/>
              <w:ind w:firstLine="56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提供7×24小时故障报修热线电话，设备发生故障时段可拨打热线电话进行故障报修。热线电话需保持畅通，保证7×24小时的故障响应。发生硬件故障或出现故障告警时，致电服务热线报修后30分钟内响应，通过电话进行故障的初步诊断后，尽快到达现场进行维修或备件更换。如需更换备件，必须免费提供设备厂商合法原厂正品备件。</w:t>
            </w:r>
          </w:p>
          <w:p w14:paraId="4B2E3096">
            <w:pPr>
              <w:widowControl/>
              <w:numPr>
                <w:ilvl w:val="0"/>
                <w:numId w:val="3"/>
              </w:numPr>
              <w:adjustRightInd w:val="0"/>
              <w:snapToGrid w:val="0"/>
              <w:ind w:firstLine="560"/>
              <w:outlineLvl w:val="3"/>
              <w:rPr>
                <w:rFonts w:hint="eastAsia" w:ascii="宋体" w:hAnsi="宋体" w:cs="宋体"/>
                <w:bCs/>
                <w:color w:val="auto"/>
                <w:kern w:val="0"/>
                <w:szCs w:val="21"/>
                <w:highlight w:val="none"/>
              </w:rPr>
            </w:pPr>
            <w:r>
              <w:rPr>
                <w:rFonts w:hint="eastAsia" w:ascii="宋体"/>
                <w:b/>
                <w:color w:val="auto"/>
                <w:szCs w:val="21"/>
                <w:highlight w:val="none"/>
              </w:rPr>
              <w:t>▲</w:t>
            </w:r>
            <w:r>
              <w:rPr>
                <w:rFonts w:hint="eastAsia" w:ascii="宋体" w:hAnsi="宋体" w:cs="宋体"/>
                <w:bCs/>
                <w:color w:val="auto"/>
                <w:kern w:val="0"/>
                <w:szCs w:val="21"/>
                <w:highlight w:val="none"/>
              </w:rPr>
              <w:t>提供主动技术支持服务</w:t>
            </w:r>
          </w:p>
          <w:p w14:paraId="460AD890">
            <w:pPr>
              <w:widowControl/>
              <w:adjustRightInd w:val="0"/>
              <w:snapToGrid w:val="0"/>
              <w:ind w:firstLine="56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通过主动运维服务提前发现和解决问题，确保系统7×24小时运行，具体服务内容包括但不限于：系统故障定位和排错、操作系统安装与升级、操作系统补丁的更新、服务器微码升级、系统备份和系统恢复、数据备份和数据恢复、CPU与内存升级扩容、替换故障硬盘、RAID重建、更换电源与风扇等易损件、更换主板和其他故障板卡、更换服务器和磁盘阵列中的各类到期电池、系统参数的调整优化、系统日志的检查和清除、系统盘的镜像检查、双机软件的状态检测、系统目录空间状态使用的监测、系统运行状态的监测、安装新版本Linux系统、在新版本Linux系统上调试系统配置、对已安装的新版本Linux系统进行测试、维保设备（软件）范围内其它软件的升级服务。</w:t>
            </w:r>
          </w:p>
          <w:p w14:paraId="2922DFA2">
            <w:pPr>
              <w:widowControl/>
              <w:numPr>
                <w:ilvl w:val="0"/>
                <w:numId w:val="3"/>
              </w:numPr>
              <w:adjustRightInd w:val="0"/>
              <w:snapToGrid w:val="0"/>
              <w:ind w:firstLine="560"/>
              <w:outlineLvl w:val="3"/>
              <w:rPr>
                <w:rFonts w:hint="eastAsia" w:ascii="宋体" w:hAnsi="宋体" w:cs="宋体"/>
                <w:bCs/>
                <w:color w:val="auto"/>
                <w:kern w:val="0"/>
                <w:szCs w:val="21"/>
                <w:highlight w:val="none"/>
              </w:rPr>
            </w:pPr>
            <w:r>
              <w:rPr>
                <w:rFonts w:hint="eastAsia" w:ascii="宋体"/>
                <w:b/>
                <w:color w:val="auto"/>
                <w:szCs w:val="21"/>
                <w:highlight w:val="none"/>
              </w:rPr>
              <w:t>▲</w:t>
            </w:r>
            <w:r>
              <w:rPr>
                <w:rFonts w:hint="eastAsia" w:ascii="宋体" w:hAnsi="宋体" w:cs="宋体"/>
                <w:bCs/>
                <w:color w:val="auto"/>
                <w:kern w:val="0"/>
                <w:szCs w:val="21"/>
                <w:highlight w:val="none"/>
              </w:rPr>
              <w:t>提供服务器年度维护服务</w:t>
            </w:r>
          </w:p>
          <w:p w14:paraId="39EA2318">
            <w:pPr>
              <w:pStyle w:val="39"/>
              <w:tabs>
                <w:tab w:val="left" w:pos="0"/>
              </w:tabs>
              <w:adjustRightInd w:val="0"/>
              <w:snapToGrid w:val="0"/>
              <w:ind w:firstLine="560"/>
              <w:rPr>
                <w:rFonts w:hint="eastAsia"/>
                <w:bCs/>
                <w:color w:val="auto"/>
                <w:highlight w:val="none"/>
              </w:rPr>
            </w:pPr>
            <w:r>
              <w:rPr>
                <w:rFonts w:hint="eastAsia"/>
                <w:bCs/>
                <w:color w:val="auto"/>
                <w:highlight w:val="none"/>
              </w:rPr>
              <w:t>提供每个季度一次定期上门设备巡检，提前发现故障隐患，减少故障造成的宕机时间。在服务期间，机器硬件的损坏由供应商提供免费更换，采购人不再支付任何其它费用。</w:t>
            </w:r>
          </w:p>
          <w:p w14:paraId="66511001">
            <w:pPr>
              <w:pStyle w:val="39"/>
              <w:adjustRightInd w:val="0"/>
              <w:snapToGrid w:val="0"/>
              <w:ind w:firstLine="378" w:firstLineChars="180"/>
              <w:outlineLvl w:val="2"/>
              <w:rPr>
                <w:rFonts w:hint="eastAsia"/>
                <w:bCs/>
                <w:color w:val="auto"/>
                <w:highlight w:val="none"/>
              </w:rPr>
            </w:pPr>
            <w:r>
              <w:rPr>
                <w:rFonts w:hint="eastAsia"/>
                <w:bCs/>
                <w:color w:val="auto"/>
                <w:highlight w:val="none"/>
              </w:rPr>
              <w:t>2.存储设备运维需求</w:t>
            </w:r>
          </w:p>
          <w:p w14:paraId="4EDFF0B8">
            <w:pPr>
              <w:widowControl/>
              <w:adjustRightInd w:val="0"/>
              <w:snapToGrid w:val="0"/>
              <w:ind w:firstLine="56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针对云平台存储设备提供主动运维服务，提前发现和解决问题，确保系统7×24小时运行。具体服务内容包括但不限于：</w:t>
            </w:r>
          </w:p>
          <w:p w14:paraId="0022B470">
            <w:pPr>
              <w:widowControl/>
              <w:numPr>
                <w:ilvl w:val="0"/>
                <w:numId w:val="4"/>
              </w:numPr>
              <w:tabs>
                <w:tab w:val="left" w:pos="420"/>
                <w:tab w:val="clear" w:pos="0"/>
              </w:tabs>
              <w:adjustRightInd w:val="0"/>
              <w:snapToGrid w:val="0"/>
              <w:ind w:left="0" w:firstLine="425"/>
              <w:rPr>
                <w:rFonts w:hint="eastAsia" w:ascii="宋体" w:hAnsi="宋体" w:cs="宋体"/>
                <w:bCs/>
                <w:color w:val="auto"/>
                <w:kern w:val="0"/>
                <w:szCs w:val="21"/>
                <w:highlight w:val="none"/>
              </w:rPr>
            </w:pPr>
            <w:r>
              <w:rPr>
                <w:rFonts w:hint="eastAsia" w:ascii="宋体" w:hAnsi="宋体" w:cs="宋体"/>
                <w:bCs/>
                <w:color w:val="auto"/>
                <w:kern w:val="0"/>
                <w:szCs w:val="21"/>
                <w:highlight w:val="none"/>
              </w:rPr>
              <w:t>设备故障定位和排错。</w:t>
            </w:r>
          </w:p>
          <w:p w14:paraId="4E70EE40">
            <w:pPr>
              <w:widowControl/>
              <w:numPr>
                <w:ilvl w:val="0"/>
                <w:numId w:val="4"/>
              </w:numPr>
              <w:tabs>
                <w:tab w:val="left" w:pos="420"/>
                <w:tab w:val="clear" w:pos="0"/>
              </w:tabs>
              <w:adjustRightInd w:val="0"/>
              <w:snapToGrid w:val="0"/>
              <w:ind w:left="0" w:firstLine="425"/>
              <w:rPr>
                <w:rFonts w:hint="eastAsia" w:ascii="宋体" w:hAnsi="宋体" w:cs="宋体"/>
                <w:bCs/>
                <w:color w:val="auto"/>
                <w:kern w:val="0"/>
                <w:szCs w:val="21"/>
                <w:highlight w:val="none"/>
              </w:rPr>
            </w:pPr>
            <w:r>
              <w:rPr>
                <w:rFonts w:hint="eastAsia" w:ascii="宋体" w:hAnsi="宋体" w:cs="宋体"/>
                <w:bCs/>
                <w:color w:val="auto"/>
                <w:kern w:val="0"/>
                <w:szCs w:val="21"/>
                <w:highlight w:val="none"/>
              </w:rPr>
              <w:t>设备软件版本升级。</w:t>
            </w:r>
          </w:p>
          <w:p w14:paraId="5D70E49E">
            <w:pPr>
              <w:widowControl/>
              <w:numPr>
                <w:ilvl w:val="0"/>
                <w:numId w:val="4"/>
              </w:numPr>
              <w:tabs>
                <w:tab w:val="left" w:pos="420"/>
                <w:tab w:val="clear" w:pos="0"/>
              </w:tabs>
              <w:adjustRightInd w:val="0"/>
              <w:snapToGrid w:val="0"/>
              <w:ind w:left="0" w:firstLine="425"/>
              <w:rPr>
                <w:rFonts w:hint="eastAsia" w:ascii="宋体" w:hAnsi="宋体" w:cs="宋体"/>
                <w:bCs/>
                <w:color w:val="auto"/>
                <w:kern w:val="0"/>
                <w:szCs w:val="21"/>
                <w:highlight w:val="none"/>
              </w:rPr>
            </w:pPr>
            <w:r>
              <w:rPr>
                <w:rFonts w:hint="eastAsia" w:ascii="宋体" w:hAnsi="宋体" w:cs="宋体"/>
                <w:bCs/>
                <w:color w:val="auto"/>
                <w:kern w:val="0"/>
                <w:szCs w:val="21"/>
                <w:highlight w:val="none"/>
              </w:rPr>
              <w:t>配置状态检测。</w:t>
            </w:r>
          </w:p>
          <w:p w14:paraId="4EFF61AE">
            <w:pPr>
              <w:widowControl/>
              <w:numPr>
                <w:ilvl w:val="0"/>
                <w:numId w:val="4"/>
              </w:numPr>
              <w:tabs>
                <w:tab w:val="left" w:pos="420"/>
                <w:tab w:val="clear" w:pos="0"/>
              </w:tabs>
              <w:adjustRightInd w:val="0"/>
              <w:snapToGrid w:val="0"/>
              <w:ind w:left="0" w:firstLine="425"/>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更换电源与风扇等易损构件。</w:t>
            </w:r>
          </w:p>
          <w:p w14:paraId="365339B6">
            <w:pPr>
              <w:widowControl/>
              <w:numPr>
                <w:ilvl w:val="0"/>
                <w:numId w:val="4"/>
              </w:numPr>
              <w:tabs>
                <w:tab w:val="left" w:pos="420"/>
                <w:tab w:val="clear" w:pos="0"/>
              </w:tabs>
              <w:adjustRightInd w:val="0"/>
              <w:snapToGrid w:val="0"/>
              <w:ind w:left="0" w:firstLine="425"/>
              <w:rPr>
                <w:rFonts w:hint="eastAsia" w:ascii="宋体" w:hAnsi="宋体" w:cs="宋体"/>
                <w:bCs/>
                <w:color w:val="auto"/>
                <w:kern w:val="0"/>
                <w:szCs w:val="21"/>
                <w:highlight w:val="none"/>
              </w:rPr>
            </w:pPr>
            <w:r>
              <w:rPr>
                <w:rFonts w:hint="eastAsia" w:ascii="宋体" w:hAnsi="宋体" w:cs="宋体"/>
                <w:bCs/>
                <w:color w:val="auto"/>
                <w:kern w:val="0"/>
                <w:szCs w:val="21"/>
                <w:highlight w:val="none"/>
              </w:rPr>
              <w:t>系统使用状态检测。</w:t>
            </w:r>
          </w:p>
          <w:p w14:paraId="31D9CB5E">
            <w:pPr>
              <w:widowControl/>
              <w:numPr>
                <w:ilvl w:val="0"/>
                <w:numId w:val="4"/>
              </w:numPr>
              <w:tabs>
                <w:tab w:val="left" w:pos="420"/>
                <w:tab w:val="clear" w:pos="0"/>
              </w:tabs>
              <w:adjustRightInd w:val="0"/>
              <w:snapToGrid w:val="0"/>
              <w:ind w:left="0" w:firstLine="425"/>
              <w:rPr>
                <w:rFonts w:hint="eastAsia" w:ascii="宋体" w:hAnsi="宋体" w:cs="宋体"/>
                <w:bCs/>
                <w:color w:val="auto"/>
                <w:kern w:val="0"/>
                <w:szCs w:val="21"/>
                <w:highlight w:val="none"/>
              </w:rPr>
            </w:pPr>
            <w:r>
              <w:rPr>
                <w:rFonts w:hint="eastAsia" w:ascii="宋体" w:hAnsi="宋体" w:cs="宋体"/>
                <w:bCs/>
                <w:color w:val="auto"/>
                <w:kern w:val="0"/>
                <w:szCs w:val="21"/>
                <w:highlight w:val="none"/>
              </w:rPr>
              <w:t>系统日志分析和监控。</w:t>
            </w:r>
          </w:p>
          <w:p w14:paraId="0B5B9D3C">
            <w:pPr>
              <w:widowControl/>
              <w:numPr>
                <w:ilvl w:val="0"/>
                <w:numId w:val="4"/>
              </w:numPr>
              <w:tabs>
                <w:tab w:val="left" w:pos="420"/>
                <w:tab w:val="clear" w:pos="0"/>
              </w:tabs>
              <w:adjustRightInd w:val="0"/>
              <w:snapToGrid w:val="0"/>
              <w:ind w:left="0" w:firstLine="425"/>
              <w:rPr>
                <w:rFonts w:hint="eastAsia" w:ascii="宋体" w:hAnsi="宋体" w:cs="宋体"/>
                <w:bCs/>
                <w:color w:val="auto"/>
                <w:kern w:val="0"/>
                <w:szCs w:val="21"/>
                <w:highlight w:val="none"/>
              </w:rPr>
            </w:pPr>
            <w:r>
              <w:rPr>
                <w:rFonts w:hint="eastAsia" w:ascii="宋体" w:hAnsi="宋体" w:cs="宋体"/>
                <w:bCs/>
                <w:color w:val="auto"/>
                <w:kern w:val="0"/>
                <w:szCs w:val="21"/>
                <w:highlight w:val="none"/>
              </w:rPr>
              <w:t>为信息中心的存储设备产品提供日常维修与维护服务。</w:t>
            </w:r>
          </w:p>
          <w:p w14:paraId="54ABB03B">
            <w:pPr>
              <w:widowControl/>
              <w:numPr>
                <w:ilvl w:val="0"/>
                <w:numId w:val="4"/>
              </w:numPr>
              <w:tabs>
                <w:tab w:val="left" w:pos="420"/>
                <w:tab w:val="clear" w:pos="0"/>
              </w:tabs>
              <w:adjustRightInd w:val="0"/>
              <w:snapToGrid w:val="0"/>
              <w:ind w:left="0" w:firstLine="425"/>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应急保障方案，综合分析客户数据中心服务器的软硬件配置、应用情况，在第一次巡检后向招标方提供安全、可靠、切实可行的应急方案。</w:t>
            </w:r>
          </w:p>
          <w:p w14:paraId="5994B26E">
            <w:pPr>
              <w:widowControl/>
              <w:numPr>
                <w:ilvl w:val="0"/>
                <w:numId w:val="4"/>
              </w:numPr>
              <w:tabs>
                <w:tab w:val="left" w:pos="420"/>
                <w:tab w:val="clear" w:pos="0"/>
              </w:tabs>
              <w:adjustRightInd w:val="0"/>
              <w:snapToGrid w:val="0"/>
              <w:ind w:left="0" w:firstLine="425"/>
              <w:rPr>
                <w:rFonts w:hint="eastAsia" w:ascii="宋体" w:hAnsi="宋体" w:cs="宋体"/>
                <w:bCs/>
                <w:color w:val="auto"/>
                <w:kern w:val="0"/>
                <w:szCs w:val="21"/>
                <w:highlight w:val="none"/>
              </w:rPr>
            </w:pPr>
            <w:r>
              <w:rPr>
                <w:rFonts w:hint="eastAsia" w:ascii="宋体" w:hAnsi="宋体" w:cs="宋体"/>
                <w:bCs/>
                <w:color w:val="auto"/>
                <w:kern w:val="0"/>
                <w:szCs w:val="21"/>
                <w:highlight w:val="none"/>
              </w:rPr>
              <w:t>为客户的存储管理软件配置与备份策略审核等提供技术支持服务。</w:t>
            </w:r>
          </w:p>
          <w:p w14:paraId="388E0E7D">
            <w:pPr>
              <w:widowControl/>
              <w:numPr>
                <w:ilvl w:val="0"/>
                <w:numId w:val="4"/>
              </w:numPr>
              <w:tabs>
                <w:tab w:val="left" w:pos="420"/>
                <w:tab w:val="clear" w:pos="0"/>
              </w:tabs>
              <w:adjustRightInd w:val="0"/>
              <w:snapToGrid w:val="0"/>
              <w:ind w:left="0" w:firstLine="425"/>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帮助客户对存储系统进行性能分析，包括磁盘读写性能、数据存储备份安全性、I/O性能等。</w:t>
            </w:r>
          </w:p>
          <w:p w14:paraId="3CCE93CC">
            <w:pPr>
              <w:widowControl/>
              <w:numPr>
                <w:ilvl w:val="0"/>
                <w:numId w:val="4"/>
              </w:numPr>
              <w:tabs>
                <w:tab w:val="left" w:pos="420"/>
                <w:tab w:val="clear" w:pos="0"/>
              </w:tabs>
              <w:adjustRightInd w:val="0"/>
              <w:snapToGrid w:val="0"/>
              <w:ind w:left="0" w:firstLine="425"/>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根据客户信息系统发展需求规划新的存储备份系统与容灾系统。</w:t>
            </w:r>
          </w:p>
          <w:p w14:paraId="5C08D066">
            <w:pPr>
              <w:widowControl/>
              <w:numPr>
                <w:ilvl w:val="0"/>
                <w:numId w:val="4"/>
              </w:numPr>
              <w:tabs>
                <w:tab w:val="left" w:pos="420"/>
                <w:tab w:val="clear" w:pos="0"/>
              </w:tabs>
              <w:adjustRightInd w:val="0"/>
              <w:snapToGrid w:val="0"/>
              <w:ind w:left="0" w:firstLine="425"/>
              <w:rPr>
                <w:rFonts w:hint="eastAsia" w:ascii="宋体" w:hAnsi="宋体" w:cs="宋体"/>
                <w:bCs/>
                <w:color w:val="auto"/>
                <w:kern w:val="0"/>
                <w:szCs w:val="21"/>
                <w:highlight w:val="none"/>
              </w:rPr>
            </w:pPr>
            <w:r>
              <w:rPr>
                <w:rFonts w:hint="eastAsia" w:ascii="宋体" w:hAnsi="宋体" w:cs="宋体"/>
                <w:bCs/>
                <w:color w:val="auto"/>
                <w:kern w:val="0"/>
                <w:szCs w:val="21"/>
                <w:highlight w:val="none"/>
              </w:rPr>
              <w:t>为客户提供存储信息生命周期整体规划，保障用户数据的生命力。</w:t>
            </w:r>
          </w:p>
          <w:p w14:paraId="592FCA58">
            <w:pPr>
              <w:pStyle w:val="39"/>
              <w:adjustRightInd w:val="0"/>
              <w:snapToGrid w:val="0"/>
              <w:ind w:firstLine="378" w:firstLineChars="180"/>
              <w:outlineLvl w:val="2"/>
              <w:rPr>
                <w:rFonts w:hint="eastAsia"/>
                <w:bCs/>
                <w:color w:val="auto"/>
                <w:highlight w:val="none"/>
              </w:rPr>
            </w:pPr>
            <w:r>
              <w:rPr>
                <w:rFonts w:hint="eastAsia"/>
                <w:bCs/>
                <w:color w:val="auto"/>
                <w:highlight w:val="none"/>
              </w:rPr>
              <w:t>3.网络设备运维需求</w:t>
            </w:r>
          </w:p>
          <w:p w14:paraId="19728463">
            <w:pPr>
              <w:widowControl/>
              <w:numPr>
                <w:ilvl w:val="0"/>
                <w:numId w:val="5"/>
              </w:numPr>
              <w:tabs>
                <w:tab w:val="left" w:pos="420"/>
                <w:tab w:val="clear" w:pos="0"/>
              </w:tabs>
              <w:adjustRightInd w:val="0"/>
              <w:snapToGrid w:val="0"/>
              <w:ind w:left="0" w:firstLine="425"/>
              <w:outlineLvl w:val="3"/>
              <w:rPr>
                <w:rFonts w:hint="eastAsia" w:ascii="宋体" w:hAnsi="宋体" w:cs="宋体"/>
                <w:bCs/>
                <w:color w:val="auto"/>
                <w:szCs w:val="21"/>
                <w:highlight w:val="none"/>
              </w:rPr>
            </w:pPr>
            <w:r>
              <w:rPr>
                <w:rFonts w:hint="eastAsia" w:ascii="宋体" w:hAnsi="宋体" w:cs="宋体"/>
                <w:bCs/>
                <w:color w:val="auto"/>
                <w:kern w:val="0"/>
                <w:szCs w:val="21"/>
                <w:highlight w:val="none"/>
              </w:rPr>
              <w:t>网络巡检服务</w:t>
            </w:r>
          </w:p>
          <w:p w14:paraId="594D8B73">
            <w:pPr>
              <w:pStyle w:val="39"/>
              <w:adjustRightInd w:val="0"/>
              <w:snapToGrid w:val="0"/>
              <w:ind w:firstLine="378" w:firstLineChars="180"/>
              <w:rPr>
                <w:rFonts w:hint="eastAsia"/>
                <w:bCs/>
                <w:color w:val="auto"/>
                <w:highlight w:val="none"/>
              </w:rPr>
            </w:pPr>
            <w:r>
              <w:rPr>
                <w:rFonts w:hint="eastAsia"/>
                <w:bCs/>
                <w:color w:val="auto"/>
                <w:highlight w:val="none"/>
              </w:rPr>
              <w:t>在维护服务期间，与主机和存储紧密配合，每个季度一次现场巡检服务。</w:t>
            </w:r>
          </w:p>
          <w:p w14:paraId="0EEBB18B">
            <w:pPr>
              <w:widowControl/>
              <w:numPr>
                <w:ilvl w:val="0"/>
                <w:numId w:val="5"/>
              </w:numPr>
              <w:tabs>
                <w:tab w:val="left" w:pos="420"/>
                <w:tab w:val="clear" w:pos="0"/>
              </w:tabs>
              <w:adjustRightInd w:val="0"/>
              <w:snapToGrid w:val="0"/>
              <w:ind w:left="0" w:firstLine="425"/>
              <w:outlineLvl w:val="3"/>
              <w:rPr>
                <w:rFonts w:hint="eastAsia" w:ascii="宋体" w:hAnsi="宋体" w:cs="宋体"/>
                <w:bCs/>
                <w:color w:val="auto"/>
                <w:kern w:val="0"/>
                <w:szCs w:val="21"/>
                <w:highlight w:val="none"/>
              </w:rPr>
            </w:pPr>
            <w:r>
              <w:rPr>
                <w:rFonts w:hint="eastAsia" w:ascii="宋体" w:hAnsi="宋体" w:cs="宋体"/>
                <w:bCs/>
                <w:color w:val="auto"/>
                <w:kern w:val="0"/>
                <w:szCs w:val="21"/>
                <w:highlight w:val="none"/>
              </w:rPr>
              <w:t>网络环境与设备物理状况巡检</w:t>
            </w:r>
          </w:p>
          <w:p w14:paraId="0306D128">
            <w:pPr>
              <w:pStyle w:val="39"/>
              <w:numPr>
                <w:ilvl w:val="0"/>
                <w:numId w:val="6"/>
              </w:numPr>
              <w:adjustRightInd w:val="0"/>
              <w:snapToGrid w:val="0"/>
              <w:ind w:firstLine="420" w:firstLineChars="200"/>
              <w:rPr>
                <w:rFonts w:hint="eastAsia"/>
                <w:bCs/>
                <w:color w:val="auto"/>
                <w:highlight w:val="none"/>
              </w:rPr>
            </w:pPr>
            <w:r>
              <w:rPr>
                <w:rFonts w:hint="eastAsia"/>
                <w:bCs/>
                <w:color w:val="auto"/>
                <w:highlight w:val="none"/>
              </w:rPr>
              <w:t>环境检查巡检。包括UPS电源、地线、空调、散热、物理安全性。</w:t>
            </w:r>
          </w:p>
          <w:p w14:paraId="37928CBA">
            <w:pPr>
              <w:pStyle w:val="39"/>
              <w:numPr>
                <w:ilvl w:val="0"/>
                <w:numId w:val="6"/>
              </w:numPr>
              <w:adjustRightInd w:val="0"/>
              <w:snapToGrid w:val="0"/>
              <w:ind w:firstLine="420" w:firstLineChars="200"/>
              <w:rPr>
                <w:rFonts w:hint="eastAsia"/>
                <w:bCs/>
                <w:color w:val="auto"/>
                <w:highlight w:val="none"/>
              </w:rPr>
            </w:pPr>
            <w:r>
              <w:rPr>
                <w:rFonts w:hint="eastAsia"/>
                <w:bCs/>
                <w:color w:val="auto"/>
                <w:highlight w:val="none"/>
              </w:rPr>
              <w:t>物理状况巡检。包括设备机体、外观、风扇、风道及过滤器、状态指示灯、电源、VIP模块、广域网端口、局域网端口等。</w:t>
            </w:r>
          </w:p>
          <w:p w14:paraId="0C2D80F6">
            <w:pPr>
              <w:widowControl/>
              <w:numPr>
                <w:ilvl w:val="0"/>
                <w:numId w:val="5"/>
              </w:numPr>
              <w:tabs>
                <w:tab w:val="left" w:pos="420"/>
                <w:tab w:val="clear" w:pos="0"/>
              </w:tabs>
              <w:adjustRightInd w:val="0"/>
              <w:snapToGrid w:val="0"/>
              <w:ind w:left="0" w:firstLine="425"/>
              <w:outlineLvl w:val="3"/>
              <w:rPr>
                <w:rFonts w:hint="eastAsia" w:ascii="宋体" w:hAnsi="宋体" w:cs="宋体"/>
                <w:bCs/>
                <w:color w:val="auto"/>
                <w:kern w:val="0"/>
                <w:szCs w:val="21"/>
                <w:highlight w:val="none"/>
              </w:rPr>
            </w:pPr>
            <w:r>
              <w:rPr>
                <w:rFonts w:hint="eastAsia" w:ascii="宋体" w:hAnsi="宋体" w:cs="宋体"/>
                <w:bCs/>
                <w:color w:val="auto"/>
                <w:kern w:val="0"/>
                <w:szCs w:val="21"/>
                <w:highlight w:val="none"/>
              </w:rPr>
              <w:t>硬件部分巡检检查</w:t>
            </w:r>
          </w:p>
          <w:p w14:paraId="48B90920">
            <w:pPr>
              <w:pStyle w:val="39"/>
              <w:numPr>
                <w:ilvl w:val="0"/>
                <w:numId w:val="7"/>
              </w:numPr>
              <w:adjustRightInd w:val="0"/>
              <w:snapToGrid w:val="0"/>
              <w:ind w:firstLine="420" w:firstLineChars="200"/>
              <w:rPr>
                <w:rFonts w:hint="eastAsia"/>
                <w:bCs/>
                <w:color w:val="auto"/>
                <w:highlight w:val="none"/>
              </w:rPr>
            </w:pPr>
            <w:r>
              <w:rPr>
                <w:rFonts w:hint="eastAsia"/>
                <w:bCs/>
                <w:color w:val="auto"/>
                <w:highlight w:val="none"/>
              </w:rPr>
              <w:t>设备连接状况检查；</w:t>
            </w:r>
          </w:p>
          <w:p w14:paraId="7D9FED75">
            <w:pPr>
              <w:pStyle w:val="39"/>
              <w:numPr>
                <w:ilvl w:val="0"/>
                <w:numId w:val="7"/>
              </w:numPr>
              <w:adjustRightInd w:val="0"/>
              <w:snapToGrid w:val="0"/>
              <w:ind w:firstLine="420" w:firstLineChars="200"/>
              <w:rPr>
                <w:rFonts w:hint="eastAsia"/>
                <w:bCs/>
                <w:color w:val="auto"/>
                <w:highlight w:val="none"/>
              </w:rPr>
            </w:pPr>
            <w:r>
              <w:rPr>
                <w:rFonts w:hint="eastAsia"/>
                <w:bCs/>
                <w:color w:val="auto"/>
                <w:highlight w:val="none"/>
              </w:rPr>
              <w:t>设备物理安全（电源冗余、机房环境、线缆）；</w:t>
            </w:r>
          </w:p>
          <w:p w14:paraId="7B65A3BA">
            <w:pPr>
              <w:pStyle w:val="39"/>
              <w:numPr>
                <w:ilvl w:val="0"/>
                <w:numId w:val="7"/>
              </w:numPr>
              <w:adjustRightInd w:val="0"/>
              <w:snapToGrid w:val="0"/>
              <w:ind w:firstLine="420" w:firstLineChars="200"/>
              <w:rPr>
                <w:rFonts w:hint="eastAsia"/>
                <w:bCs/>
                <w:color w:val="auto"/>
                <w:highlight w:val="none"/>
              </w:rPr>
            </w:pPr>
            <w:r>
              <w:rPr>
                <w:rFonts w:hint="eastAsia"/>
                <w:bCs/>
                <w:color w:val="auto"/>
                <w:highlight w:val="none"/>
              </w:rPr>
              <w:t>设备本身冗余性检查，包括引擎的冗余、电源的冗余；</w:t>
            </w:r>
          </w:p>
          <w:p w14:paraId="05470B16">
            <w:pPr>
              <w:pStyle w:val="39"/>
              <w:numPr>
                <w:ilvl w:val="0"/>
                <w:numId w:val="7"/>
              </w:numPr>
              <w:adjustRightInd w:val="0"/>
              <w:snapToGrid w:val="0"/>
              <w:ind w:firstLine="420" w:firstLineChars="200"/>
              <w:rPr>
                <w:rFonts w:hint="eastAsia"/>
                <w:bCs/>
                <w:color w:val="auto"/>
                <w:highlight w:val="none"/>
              </w:rPr>
            </w:pPr>
            <w:r>
              <w:rPr>
                <w:rFonts w:hint="eastAsia"/>
                <w:bCs/>
                <w:color w:val="auto"/>
                <w:highlight w:val="none"/>
              </w:rPr>
              <w:t>设备系统及板卡指示灯状态检查分析；</w:t>
            </w:r>
          </w:p>
          <w:p w14:paraId="11810FDB">
            <w:pPr>
              <w:pStyle w:val="39"/>
              <w:numPr>
                <w:ilvl w:val="0"/>
                <w:numId w:val="7"/>
              </w:numPr>
              <w:adjustRightInd w:val="0"/>
              <w:snapToGrid w:val="0"/>
              <w:ind w:firstLine="420" w:firstLineChars="200"/>
              <w:rPr>
                <w:rFonts w:hint="eastAsia"/>
                <w:bCs/>
                <w:color w:val="auto"/>
                <w:highlight w:val="none"/>
              </w:rPr>
            </w:pPr>
            <w:r>
              <w:rPr>
                <w:rFonts w:hint="eastAsia"/>
                <w:bCs/>
                <w:color w:val="auto"/>
                <w:highlight w:val="none"/>
              </w:rPr>
              <w:t>端口描述，端口安全性，不使用的端口建议关闭，端口性能检查；</w:t>
            </w:r>
          </w:p>
          <w:p w14:paraId="1F49F544">
            <w:pPr>
              <w:pStyle w:val="39"/>
              <w:numPr>
                <w:ilvl w:val="0"/>
                <w:numId w:val="7"/>
              </w:numPr>
              <w:adjustRightInd w:val="0"/>
              <w:snapToGrid w:val="0"/>
              <w:ind w:firstLine="420" w:firstLineChars="200"/>
              <w:rPr>
                <w:rFonts w:hint="eastAsia"/>
                <w:bCs/>
                <w:color w:val="auto"/>
                <w:highlight w:val="none"/>
              </w:rPr>
            </w:pPr>
            <w:r>
              <w:rPr>
                <w:rFonts w:hint="eastAsia"/>
                <w:bCs/>
                <w:color w:val="auto"/>
                <w:highlight w:val="none"/>
              </w:rPr>
              <w:t>电源稳定性和线路检查；</w:t>
            </w:r>
          </w:p>
          <w:p w14:paraId="7352E7B9">
            <w:pPr>
              <w:pStyle w:val="39"/>
              <w:numPr>
                <w:ilvl w:val="0"/>
                <w:numId w:val="7"/>
              </w:numPr>
              <w:adjustRightInd w:val="0"/>
              <w:snapToGrid w:val="0"/>
              <w:ind w:firstLine="420" w:firstLineChars="200"/>
              <w:rPr>
                <w:rFonts w:hint="eastAsia"/>
                <w:bCs/>
                <w:color w:val="auto"/>
                <w:highlight w:val="none"/>
              </w:rPr>
            </w:pPr>
            <w:r>
              <w:rPr>
                <w:rFonts w:hint="eastAsia"/>
                <w:bCs/>
                <w:color w:val="auto"/>
                <w:highlight w:val="none"/>
              </w:rPr>
              <w:t>设备有关的软件、硬件和BUG信息收集；</w:t>
            </w:r>
          </w:p>
          <w:p w14:paraId="4E90A2FC">
            <w:pPr>
              <w:pStyle w:val="39"/>
              <w:numPr>
                <w:ilvl w:val="0"/>
                <w:numId w:val="7"/>
              </w:numPr>
              <w:adjustRightInd w:val="0"/>
              <w:snapToGrid w:val="0"/>
              <w:ind w:firstLine="420" w:firstLineChars="200"/>
              <w:rPr>
                <w:rFonts w:hint="eastAsia"/>
                <w:bCs/>
                <w:color w:val="auto"/>
                <w:highlight w:val="none"/>
              </w:rPr>
            </w:pPr>
            <w:r>
              <w:rPr>
                <w:rFonts w:hint="eastAsia"/>
                <w:bCs/>
                <w:color w:val="auto"/>
                <w:highlight w:val="none"/>
              </w:rPr>
              <w:t>系统运行状态、性能检查和优化，包括CPU利用率、Mem使用率、Buffer分配、Crash分析；</w:t>
            </w:r>
          </w:p>
          <w:p w14:paraId="1DC98447">
            <w:pPr>
              <w:pStyle w:val="39"/>
              <w:numPr>
                <w:ilvl w:val="0"/>
                <w:numId w:val="7"/>
              </w:numPr>
              <w:adjustRightInd w:val="0"/>
              <w:snapToGrid w:val="0"/>
              <w:ind w:firstLine="420" w:firstLineChars="200"/>
              <w:rPr>
                <w:rFonts w:hint="eastAsia"/>
                <w:bCs/>
                <w:color w:val="auto"/>
                <w:highlight w:val="none"/>
              </w:rPr>
            </w:pPr>
            <w:r>
              <w:rPr>
                <w:rFonts w:hint="eastAsia"/>
                <w:bCs/>
                <w:color w:val="auto"/>
                <w:highlight w:val="none"/>
              </w:rPr>
              <w:t>设备扩容服务检查分析与支持；</w:t>
            </w:r>
          </w:p>
          <w:p w14:paraId="56E44C64">
            <w:pPr>
              <w:pStyle w:val="39"/>
              <w:numPr>
                <w:ilvl w:val="0"/>
                <w:numId w:val="7"/>
              </w:numPr>
              <w:adjustRightInd w:val="0"/>
              <w:snapToGrid w:val="0"/>
              <w:ind w:firstLine="420" w:firstLineChars="200"/>
              <w:rPr>
                <w:rFonts w:hint="eastAsia"/>
                <w:bCs/>
                <w:color w:val="auto"/>
                <w:highlight w:val="none"/>
              </w:rPr>
            </w:pPr>
            <w:r>
              <w:rPr>
                <w:rFonts w:hint="eastAsia"/>
                <w:bCs/>
                <w:color w:val="auto"/>
                <w:highlight w:val="none"/>
              </w:rPr>
              <w:t>设备物理检查（包括机体、风扇、风道及过滤器等）与清洁；</w:t>
            </w:r>
          </w:p>
          <w:p w14:paraId="0F5385CD">
            <w:pPr>
              <w:pStyle w:val="39"/>
              <w:numPr>
                <w:ilvl w:val="0"/>
                <w:numId w:val="7"/>
              </w:numPr>
              <w:adjustRightInd w:val="0"/>
              <w:snapToGrid w:val="0"/>
              <w:ind w:firstLine="420" w:firstLineChars="200"/>
              <w:rPr>
                <w:rFonts w:hint="eastAsia"/>
                <w:bCs/>
                <w:color w:val="auto"/>
                <w:highlight w:val="none"/>
              </w:rPr>
            </w:pPr>
            <w:r>
              <w:rPr>
                <w:rFonts w:hint="eastAsia"/>
                <w:bCs/>
                <w:color w:val="auto"/>
                <w:highlight w:val="none"/>
              </w:rPr>
              <w:t>检查如发现损坏的或有隐患的部件及时更换；</w:t>
            </w:r>
          </w:p>
          <w:p w14:paraId="1240CB6A">
            <w:pPr>
              <w:pStyle w:val="39"/>
              <w:numPr>
                <w:ilvl w:val="0"/>
                <w:numId w:val="7"/>
              </w:numPr>
              <w:adjustRightInd w:val="0"/>
              <w:snapToGrid w:val="0"/>
              <w:ind w:firstLine="420" w:firstLineChars="200"/>
              <w:rPr>
                <w:rFonts w:hint="eastAsia"/>
                <w:bCs/>
                <w:color w:val="auto"/>
                <w:highlight w:val="none"/>
              </w:rPr>
            </w:pPr>
            <w:r>
              <w:rPr>
                <w:rFonts w:hint="eastAsia"/>
                <w:bCs/>
                <w:color w:val="auto"/>
                <w:highlight w:val="none"/>
              </w:rPr>
              <w:t>系统硬件运行情况综合分析。</w:t>
            </w:r>
          </w:p>
          <w:p w14:paraId="5AC84EFD">
            <w:pPr>
              <w:widowControl/>
              <w:numPr>
                <w:ilvl w:val="0"/>
                <w:numId w:val="5"/>
              </w:numPr>
              <w:tabs>
                <w:tab w:val="left" w:pos="420"/>
                <w:tab w:val="clear" w:pos="0"/>
              </w:tabs>
              <w:adjustRightInd w:val="0"/>
              <w:snapToGrid w:val="0"/>
              <w:ind w:left="0" w:firstLine="425"/>
              <w:outlineLvl w:val="3"/>
              <w:rPr>
                <w:rFonts w:hint="eastAsia" w:ascii="宋体" w:hAnsi="宋体" w:cs="宋体"/>
                <w:bCs/>
                <w:color w:val="auto"/>
                <w:kern w:val="0"/>
                <w:szCs w:val="21"/>
                <w:highlight w:val="none"/>
              </w:rPr>
            </w:pPr>
            <w:r>
              <w:rPr>
                <w:rFonts w:hint="eastAsia" w:ascii="宋体" w:hAnsi="宋体" w:cs="宋体"/>
                <w:bCs/>
                <w:color w:val="auto"/>
                <w:kern w:val="0"/>
                <w:szCs w:val="21"/>
                <w:highlight w:val="none"/>
              </w:rPr>
              <w:t>软件部分巡检检查</w:t>
            </w:r>
          </w:p>
          <w:p w14:paraId="518B2390">
            <w:pPr>
              <w:pStyle w:val="39"/>
              <w:numPr>
                <w:ilvl w:val="0"/>
                <w:numId w:val="8"/>
              </w:numPr>
              <w:adjustRightInd w:val="0"/>
              <w:snapToGrid w:val="0"/>
              <w:ind w:firstLine="420" w:firstLineChars="200"/>
              <w:rPr>
                <w:rFonts w:hint="eastAsia"/>
                <w:bCs/>
                <w:color w:val="auto"/>
                <w:highlight w:val="none"/>
              </w:rPr>
            </w:pPr>
            <w:r>
              <w:rPr>
                <w:rFonts w:hint="eastAsia"/>
                <w:bCs/>
                <w:color w:val="auto"/>
                <w:highlight w:val="none"/>
              </w:rPr>
              <w:t>网络架构标准化、可扩展性、可用性、可靠性、高性能性、安全性及可管理性等检查；</w:t>
            </w:r>
          </w:p>
          <w:p w14:paraId="61E03B7A">
            <w:pPr>
              <w:pStyle w:val="39"/>
              <w:numPr>
                <w:ilvl w:val="0"/>
                <w:numId w:val="8"/>
              </w:numPr>
              <w:adjustRightInd w:val="0"/>
              <w:snapToGrid w:val="0"/>
              <w:ind w:firstLine="420" w:firstLineChars="200"/>
              <w:rPr>
                <w:rFonts w:hint="eastAsia"/>
                <w:bCs/>
                <w:color w:val="auto"/>
                <w:highlight w:val="none"/>
              </w:rPr>
            </w:pPr>
            <w:r>
              <w:rPr>
                <w:rFonts w:hint="eastAsia"/>
                <w:bCs/>
                <w:color w:val="auto"/>
                <w:highlight w:val="none"/>
              </w:rPr>
              <w:t>系统的使用管理支持及相关升级服务；</w:t>
            </w:r>
          </w:p>
          <w:p w14:paraId="7256B44C">
            <w:pPr>
              <w:pStyle w:val="39"/>
              <w:numPr>
                <w:ilvl w:val="0"/>
                <w:numId w:val="8"/>
              </w:numPr>
              <w:adjustRightInd w:val="0"/>
              <w:snapToGrid w:val="0"/>
              <w:ind w:firstLine="420" w:firstLineChars="200"/>
              <w:rPr>
                <w:rFonts w:hint="eastAsia"/>
                <w:bCs/>
                <w:color w:val="auto"/>
                <w:highlight w:val="none"/>
              </w:rPr>
            </w:pPr>
            <w:r>
              <w:rPr>
                <w:rFonts w:hint="eastAsia"/>
                <w:bCs/>
                <w:color w:val="auto"/>
                <w:highlight w:val="none"/>
              </w:rPr>
              <w:t>检查系统日志分析报告（show Log）以及其他记录文件；</w:t>
            </w:r>
          </w:p>
          <w:p w14:paraId="034FC6EB">
            <w:pPr>
              <w:pStyle w:val="39"/>
              <w:numPr>
                <w:ilvl w:val="0"/>
                <w:numId w:val="8"/>
              </w:numPr>
              <w:adjustRightInd w:val="0"/>
              <w:snapToGrid w:val="0"/>
              <w:ind w:firstLine="420" w:firstLineChars="200"/>
              <w:rPr>
                <w:rFonts w:hint="eastAsia"/>
                <w:bCs/>
                <w:color w:val="auto"/>
                <w:highlight w:val="none"/>
              </w:rPr>
            </w:pPr>
            <w:r>
              <w:rPr>
                <w:rFonts w:hint="eastAsia"/>
                <w:bCs/>
                <w:color w:val="auto"/>
                <w:highlight w:val="none"/>
              </w:rPr>
              <w:t>安全性配置分析；</w:t>
            </w:r>
          </w:p>
          <w:p w14:paraId="268EC9DD">
            <w:pPr>
              <w:pStyle w:val="39"/>
              <w:numPr>
                <w:ilvl w:val="0"/>
                <w:numId w:val="8"/>
              </w:numPr>
              <w:adjustRightInd w:val="0"/>
              <w:snapToGrid w:val="0"/>
              <w:ind w:firstLine="420" w:firstLineChars="200"/>
              <w:rPr>
                <w:rFonts w:hint="eastAsia"/>
                <w:bCs/>
                <w:color w:val="auto"/>
                <w:highlight w:val="none"/>
              </w:rPr>
            </w:pPr>
            <w:r>
              <w:rPr>
                <w:rFonts w:hint="eastAsia"/>
                <w:bCs/>
                <w:color w:val="auto"/>
                <w:highlight w:val="none"/>
              </w:rPr>
              <w:t>管理性配置分析：设备上SNMP、LOGGING设置，NTP配置；</w:t>
            </w:r>
          </w:p>
          <w:p w14:paraId="4EE2E85F">
            <w:pPr>
              <w:pStyle w:val="39"/>
              <w:numPr>
                <w:ilvl w:val="0"/>
                <w:numId w:val="8"/>
              </w:numPr>
              <w:adjustRightInd w:val="0"/>
              <w:snapToGrid w:val="0"/>
              <w:ind w:firstLine="420" w:firstLineChars="200"/>
              <w:rPr>
                <w:rFonts w:hint="eastAsia"/>
                <w:bCs/>
                <w:color w:val="auto"/>
                <w:highlight w:val="none"/>
              </w:rPr>
            </w:pPr>
            <w:r>
              <w:rPr>
                <w:rFonts w:hint="eastAsia"/>
                <w:bCs/>
                <w:color w:val="auto"/>
                <w:highlight w:val="none"/>
              </w:rPr>
              <w:t>网络层：路由分发配置、静态路由配置；</w:t>
            </w:r>
          </w:p>
          <w:p w14:paraId="71F9611F">
            <w:pPr>
              <w:pStyle w:val="39"/>
              <w:numPr>
                <w:ilvl w:val="0"/>
                <w:numId w:val="8"/>
              </w:numPr>
              <w:adjustRightInd w:val="0"/>
              <w:snapToGrid w:val="0"/>
              <w:ind w:firstLine="420" w:firstLineChars="200"/>
              <w:rPr>
                <w:rFonts w:hint="eastAsia"/>
                <w:bCs/>
                <w:color w:val="auto"/>
                <w:highlight w:val="none"/>
              </w:rPr>
            </w:pPr>
            <w:r>
              <w:rPr>
                <w:rFonts w:hint="eastAsia"/>
                <w:bCs/>
                <w:color w:val="auto"/>
                <w:highlight w:val="none"/>
              </w:rPr>
              <w:t>网络系统通讯状态检查；</w:t>
            </w:r>
          </w:p>
          <w:p w14:paraId="070FCF96">
            <w:pPr>
              <w:pStyle w:val="39"/>
              <w:numPr>
                <w:ilvl w:val="0"/>
                <w:numId w:val="8"/>
              </w:numPr>
              <w:adjustRightInd w:val="0"/>
              <w:snapToGrid w:val="0"/>
              <w:ind w:firstLine="420" w:firstLineChars="200"/>
              <w:rPr>
                <w:rFonts w:hint="eastAsia"/>
                <w:bCs/>
                <w:color w:val="auto"/>
                <w:highlight w:val="none"/>
              </w:rPr>
            </w:pPr>
            <w:r>
              <w:rPr>
                <w:rFonts w:hint="eastAsia"/>
                <w:bCs/>
                <w:color w:val="auto"/>
                <w:highlight w:val="none"/>
              </w:rPr>
              <w:t>路由协议学习管理、质量服务（QOS）；</w:t>
            </w:r>
          </w:p>
          <w:p w14:paraId="049B6192">
            <w:pPr>
              <w:pStyle w:val="39"/>
              <w:numPr>
                <w:ilvl w:val="0"/>
                <w:numId w:val="8"/>
              </w:numPr>
              <w:adjustRightInd w:val="0"/>
              <w:snapToGrid w:val="0"/>
              <w:ind w:firstLine="420" w:firstLineChars="200"/>
              <w:rPr>
                <w:rFonts w:hint="eastAsia"/>
                <w:bCs/>
                <w:color w:val="auto"/>
                <w:highlight w:val="none"/>
              </w:rPr>
            </w:pPr>
            <w:r>
              <w:rPr>
                <w:rFonts w:hint="eastAsia"/>
                <w:bCs/>
                <w:color w:val="auto"/>
                <w:highlight w:val="none"/>
              </w:rPr>
              <w:t>检查网络流量、通讯流量控制、网络访问安全、通讯数据类型的转发、VLAN划分等；</w:t>
            </w:r>
          </w:p>
          <w:p w14:paraId="57FADABB">
            <w:pPr>
              <w:pStyle w:val="39"/>
              <w:numPr>
                <w:ilvl w:val="0"/>
                <w:numId w:val="8"/>
              </w:numPr>
              <w:adjustRightInd w:val="0"/>
              <w:snapToGrid w:val="0"/>
              <w:ind w:firstLine="420" w:firstLineChars="200"/>
              <w:rPr>
                <w:rFonts w:hint="eastAsia"/>
                <w:bCs/>
                <w:color w:val="auto"/>
                <w:highlight w:val="none"/>
              </w:rPr>
            </w:pPr>
            <w:r>
              <w:rPr>
                <w:rFonts w:hint="eastAsia"/>
                <w:bCs/>
                <w:color w:val="auto"/>
                <w:highlight w:val="none"/>
              </w:rPr>
              <w:t>当前系统配置采集及系统更改信息归档；</w:t>
            </w:r>
          </w:p>
          <w:p w14:paraId="4DA616B8">
            <w:pPr>
              <w:pStyle w:val="39"/>
              <w:numPr>
                <w:ilvl w:val="0"/>
                <w:numId w:val="8"/>
              </w:numPr>
              <w:adjustRightInd w:val="0"/>
              <w:snapToGrid w:val="0"/>
              <w:ind w:firstLine="420" w:firstLineChars="200"/>
              <w:rPr>
                <w:rFonts w:hint="eastAsia"/>
                <w:bCs/>
                <w:color w:val="auto"/>
                <w:highlight w:val="none"/>
              </w:rPr>
            </w:pPr>
            <w:r>
              <w:rPr>
                <w:rFonts w:hint="eastAsia"/>
                <w:bCs/>
                <w:color w:val="auto"/>
                <w:highlight w:val="none"/>
              </w:rPr>
              <w:t>将发现有隐患的系统问题及时排除；</w:t>
            </w:r>
          </w:p>
          <w:p w14:paraId="77C26210">
            <w:pPr>
              <w:pStyle w:val="39"/>
              <w:numPr>
                <w:ilvl w:val="0"/>
                <w:numId w:val="8"/>
              </w:numPr>
              <w:adjustRightInd w:val="0"/>
              <w:snapToGrid w:val="0"/>
              <w:ind w:firstLine="420" w:firstLineChars="200"/>
              <w:rPr>
                <w:rFonts w:hint="eastAsia"/>
                <w:bCs/>
                <w:color w:val="auto"/>
                <w:highlight w:val="none"/>
              </w:rPr>
            </w:pPr>
            <w:r>
              <w:rPr>
                <w:rFonts w:hint="eastAsia"/>
                <w:bCs/>
                <w:color w:val="auto"/>
                <w:highlight w:val="none"/>
              </w:rPr>
              <w:t>重要事件现场支持服务（例如割接、设备搬迁、现网测试、组网方案等）；</w:t>
            </w:r>
          </w:p>
          <w:p w14:paraId="7738FC1E">
            <w:pPr>
              <w:pStyle w:val="39"/>
              <w:numPr>
                <w:ilvl w:val="0"/>
                <w:numId w:val="8"/>
              </w:numPr>
              <w:adjustRightInd w:val="0"/>
              <w:snapToGrid w:val="0"/>
              <w:ind w:firstLine="420" w:firstLineChars="200"/>
              <w:rPr>
                <w:rFonts w:hint="eastAsia"/>
                <w:bCs/>
                <w:color w:val="auto"/>
                <w:highlight w:val="none"/>
              </w:rPr>
            </w:pPr>
            <w:r>
              <w:rPr>
                <w:rFonts w:hint="eastAsia"/>
                <w:bCs/>
                <w:color w:val="auto"/>
                <w:highlight w:val="none"/>
              </w:rPr>
              <w:t>结合系统软硬件运行状况，进行网络整体拓扑结构化分析。</w:t>
            </w:r>
          </w:p>
          <w:p w14:paraId="602CF1EC">
            <w:pPr>
              <w:widowControl/>
              <w:numPr>
                <w:ilvl w:val="0"/>
                <w:numId w:val="5"/>
              </w:numPr>
              <w:tabs>
                <w:tab w:val="left" w:pos="420"/>
                <w:tab w:val="clear" w:pos="0"/>
              </w:tabs>
              <w:adjustRightInd w:val="0"/>
              <w:snapToGrid w:val="0"/>
              <w:ind w:left="0" w:firstLine="425"/>
              <w:outlineLvl w:val="3"/>
              <w:rPr>
                <w:rFonts w:hint="eastAsia" w:ascii="宋体" w:hAnsi="宋体" w:cs="宋体"/>
                <w:bCs/>
                <w:color w:val="auto"/>
                <w:kern w:val="0"/>
                <w:szCs w:val="21"/>
                <w:highlight w:val="none"/>
              </w:rPr>
            </w:pPr>
            <w:r>
              <w:rPr>
                <w:rFonts w:hint="eastAsia" w:ascii="宋体" w:hAnsi="宋体" w:cs="宋体"/>
                <w:bCs/>
                <w:color w:val="auto"/>
                <w:kern w:val="0"/>
                <w:szCs w:val="21"/>
                <w:highlight w:val="none"/>
              </w:rPr>
              <w:t>网络设备维护服务</w:t>
            </w:r>
          </w:p>
          <w:p w14:paraId="3749E1A5">
            <w:pPr>
              <w:pStyle w:val="39"/>
              <w:adjustRightInd w:val="0"/>
              <w:snapToGrid w:val="0"/>
              <w:ind w:firstLine="378" w:firstLineChars="180"/>
              <w:rPr>
                <w:rFonts w:hint="eastAsia"/>
                <w:bCs/>
                <w:color w:val="auto"/>
                <w:highlight w:val="none"/>
              </w:rPr>
            </w:pPr>
            <w:r>
              <w:rPr>
                <w:rFonts w:hint="eastAsia"/>
                <w:bCs/>
                <w:color w:val="auto"/>
                <w:highlight w:val="none"/>
              </w:rPr>
              <w:t>在系统维护期间，根据中心网络设备的情况与需求，与主机紧密结合，提供7×24小时技术维护服务，服务内容如下：</w:t>
            </w:r>
          </w:p>
          <w:p w14:paraId="28625AE6">
            <w:pPr>
              <w:pStyle w:val="39"/>
              <w:numPr>
                <w:ilvl w:val="0"/>
                <w:numId w:val="9"/>
              </w:numPr>
              <w:adjustRightInd w:val="0"/>
              <w:snapToGrid w:val="0"/>
              <w:ind w:firstLine="420" w:firstLineChars="200"/>
              <w:rPr>
                <w:rFonts w:hint="eastAsia"/>
                <w:bCs/>
                <w:color w:val="auto"/>
                <w:highlight w:val="none"/>
              </w:rPr>
            </w:pPr>
            <w:r>
              <w:rPr>
                <w:rFonts w:hint="eastAsia"/>
                <w:bCs/>
                <w:color w:val="auto"/>
                <w:highlight w:val="none"/>
              </w:rPr>
              <w:t>7×24小时远程或现场故障诊断和排除服务；</w:t>
            </w:r>
          </w:p>
          <w:p w14:paraId="6045E8DE">
            <w:pPr>
              <w:pStyle w:val="39"/>
              <w:numPr>
                <w:ilvl w:val="0"/>
                <w:numId w:val="9"/>
              </w:numPr>
              <w:adjustRightInd w:val="0"/>
              <w:snapToGrid w:val="0"/>
              <w:ind w:firstLine="420" w:firstLineChars="200"/>
              <w:rPr>
                <w:rFonts w:hint="eastAsia"/>
                <w:bCs/>
                <w:color w:val="auto"/>
                <w:highlight w:val="none"/>
              </w:rPr>
            </w:pPr>
            <w:r>
              <w:rPr>
                <w:rFonts w:hint="eastAsia"/>
                <w:bCs/>
                <w:color w:val="auto"/>
                <w:highlight w:val="none"/>
              </w:rPr>
              <w:t>系统在线连接信息咨询服务；</w:t>
            </w:r>
          </w:p>
          <w:p w14:paraId="75037924">
            <w:pPr>
              <w:pStyle w:val="39"/>
              <w:numPr>
                <w:ilvl w:val="0"/>
                <w:numId w:val="9"/>
              </w:numPr>
              <w:adjustRightInd w:val="0"/>
              <w:snapToGrid w:val="0"/>
              <w:ind w:firstLine="420" w:firstLineChars="200"/>
              <w:rPr>
                <w:rFonts w:hint="eastAsia"/>
                <w:bCs/>
                <w:color w:val="auto"/>
                <w:highlight w:val="none"/>
              </w:rPr>
            </w:pPr>
            <w:r>
              <w:rPr>
                <w:rFonts w:hint="eastAsia"/>
                <w:bCs/>
                <w:color w:val="auto"/>
                <w:highlight w:val="none"/>
              </w:rPr>
              <w:t>系统微码的使用管理支持服务；</w:t>
            </w:r>
          </w:p>
          <w:p w14:paraId="214B5AE2">
            <w:pPr>
              <w:pStyle w:val="39"/>
              <w:numPr>
                <w:ilvl w:val="0"/>
                <w:numId w:val="9"/>
              </w:numPr>
              <w:adjustRightInd w:val="0"/>
              <w:snapToGrid w:val="0"/>
              <w:ind w:firstLine="420" w:firstLineChars="200"/>
              <w:rPr>
                <w:rFonts w:hint="eastAsia"/>
                <w:bCs/>
                <w:color w:val="auto"/>
                <w:highlight w:val="none"/>
              </w:rPr>
            </w:pPr>
            <w:r>
              <w:rPr>
                <w:rFonts w:hint="eastAsia"/>
                <w:bCs/>
                <w:color w:val="auto"/>
                <w:highlight w:val="none"/>
              </w:rPr>
              <w:t>软件补丁升级服务（操作系统）；</w:t>
            </w:r>
          </w:p>
          <w:p w14:paraId="62EA4CDE">
            <w:pPr>
              <w:pStyle w:val="39"/>
              <w:numPr>
                <w:ilvl w:val="0"/>
                <w:numId w:val="9"/>
              </w:numPr>
              <w:adjustRightInd w:val="0"/>
              <w:snapToGrid w:val="0"/>
              <w:ind w:firstLine="420" w:firstLineChars="200"/>
              <w:rPr>
                <w:rFonts w:hint="eastAsia"/>
                <w:bCs/>
                <w:color w:val="auto"/>
                <w:highlight w:val="none"/>
              </w:rPr>
            </w:pPr>
            <w:r>
              <w:rPr>
                <w:rFonts w:hint="eastAsia"/>
                <w:bCs/>
                <w:color w:val="auto"/>
                <w:highlight w:val="none"/>
              </w:rPr>
              <w:t>配置文档备份与恢复服务；</w:t>
            </w:r>
          </w:p>
          <w:p w14:paraId="5193C666">
            <w:pPr>
              <w:pStyle w:val="39"/>
              <w:numPr>
                <w:ilvl w:val="0"/>
                <w:numId w:val="9"/>
              </w:numPr>
              <w:adjustRightInd w:val="0"/>
              <w:snapToGrid w:val="0"/>
              <w:ind w:firstLine="420" w:firstLineChars="200"/>
              <w:rPr>
                <w:rFonts w:hint="eastAsia"/>
                <w:bCs/>
                <w:color w:val="auto"/>
                <w:highlight w:val="none"/>
              </w:rPr>
            </w:pPr>
            <w:r>
              <w:rPr>
                <w:rFonts w:hint="eastAsia"/>
                <w:bCs/>
                <w:color w:val="auto"/>
                <w:highlight w:val="none"/>
              </w:rPr>
              <w:t>7×24热线服务；</w:t>
            </w:r>
          </w:p>
          <w:p w14:paraId="2D2F2A85">
            <w:pPr>
              <w:pStyle w:val="39"/>
              <w:numPr>
                <w:ilvl w:val="0"/>
                <w:numId w:val="9"/>
              </w:numPr>
              <w:adjustRightInd w:val="0"/>
              <w:snapToGrid w:val="0"/>
              <w:ind w:firstLine="420" w:firstLineChars="200"/>
              <w:rPr>
                <w:rFonts w:hint="eastAsia"/>
                <w:bCs/>
                <w:color w:val="auto"/>
                <w:highlight w:val="none"/>
              </w:rPr>
            </w:pPr>
            <w:r>
              <w:rPr>
                <w:rFonts w:hint="eastAsia"/>
                <w:bCs/>
                <w:color w:val="auto"/>
                <w:highlight w:val="none"/>
              </w:rPr>
              <w:t>重要事件现场支持服务（例如割接、设备搬迁、现网测试、组网方案等）；</w:t>
            </w:r>
          </w:p>
          <w:p w14:paraId="057F06A3">
            <w:pPr>
              <w:pStyle w:val="39"/>
              <w:numPr>
                <w:ilvl w:val="0"/>
                <w:numId w:val="9"/>
              </w:numPr>
              <w:adjustRightInd w:val="0"/>
              <w:snapToGrid w:val="0"/>
              <w:ind w:firstLine="420" w:firstLineChars="200"/>
              <w:rPr>
                <w:rFonts w:hint="eastAsia"/>
                <w:bCs/>
                <w:color w:val="auto"/>
                <w:highlight w:val="none"/>
              </w:rPr>
            </w:pPr>
            <w:r>
              <w:rPr>
                <w:rFonts w:hint="eastAsia"/>
                <w:bCs/>
                <w:color w:val="auto"/>
                <w:highlight w:val="none"/>
              </w:rPr>
              <w:t>定期的预防性维护；</w:t>
            </w:r>
          </w:p>
          <w:p w14:paraId="752E5847">
            <w:pPr>
              <w:pStyle w:val="39"/>
              <w:numPr>
                <w:ilvl w:val="0"/>
                <w:numId w:val="9"/>
              </w:numPr>
              <w:adjustRightInd w:val="0"/>
              <w:snapToGrid w:val="0"/>
              <w:ind w:firstLine="420" w:firstLineChars="200"/>
              <w:rPr>
                <w:rFonts w:hint="eastAsia"/>
                <w:bCs/>
                <w:color w:val="auto"/>
                <w:highlight w:val="none"/>
              </w:rPr>
            </w:pPr>
            <w:r>
              <w:rPr>
                <w:rFonts w:hint="eastAsia"/>
                <w:bCs/>
                <w:color w:val="auto"/>
                <w:highlight w:val="none"/>
              </w:rPr>
              <w:t>现场备件更换服务；</w:t>
            </w:r>
          </w:p>
          <w:p w14:paraId="0DFD9D6C">
            <w:pPr>
              <w:pStyle w:val="39"/>
              <w:numPr>
                <w:ilvl w:val="0"/>
                <w:numId w:val="9"/>
              </w:numPr>
              <w:adjustRightInd w:val="0"/>
              <w:snapToGrid w:val="0"/>
              <w:ind w:firstLine="420" w:firstLineChars="200"/>
              <w:rPr>
                <w:rFonts w:hint="eastAsia"/>
                <w:bCs/>
                <w:color w:val="auto"/>
                <w:highlight w:val="none"/>
              </w:rPr>
            </w:pPr>
            <w:r>
              <w:rPr>
                <w:rFonts w:hint="eastAsia"/>
                <w:bCs/>
                <w:color w:val="auto"/>
                <w:highlight w:val="none"/>
              </w:rPr>
              <w:t>技术培训服务；</w:t>
            </w:r>
          </w:p>
          <w:p w14:paraId="558CF500">
            <w:pPr>
              <w:pStyle w:val="39"/>
              <w:numPr>
                <w:ilvl w:val="0"/>
                <w:numId w:val="9"/>
              </w:numPr>
              <w:adjustRightInd w:val="0"/>
              <w:snapToGrid w:val="0"/>
              <w:ind w:firstLine="420" w:firstLineChars="200"/>
              <w:rPr>
                <w:rFonts w:hint="eastAsia"/>
                <w:bCs/>
                <w:color w:val="auto"/>
                <w:highlight w:val="none"/>
              </w:rPr>
            </w:pPr>
            <w:r>
              <w:rPr>
                <w:rFonts w:hint="eastAsia"/>
                <w:bCs/>
                <w:color w:val="auto"/>
                <w:highlight w:val="none"/>
              </w:rPr>
              <w:t>协助网络结构优化方案设计服务；</w:t>
            </w:r>
          </w:p>
          <w:p w14:paraId="1B9FE6C1">
            <w:pPr>
              <w:pStyle w:val="39"/>
              <w:numPr>
                <w:ilvl w:val="0"/>
                <w:numId w:val="9"/>
              </w:numPr>
              <w:adjustRightInd w:val="0"/>
              <w:snapToGrid w:val="0"/>
              <w:ind w:firstLine="420" w:firstLineChars="200"/>
              <w:rPr>
                <w:rFonts w:hint="eastAsia"/>
                <w:bCs/>
                <w:color w:val="auto"/>
                <w:highlight w:val="none"/>
              </w:rPr>
            </w:pPr>
            <w:r>
              <w:rPr>
                <w:rFonts w:hint="eastAsia"/>
                <w:bCs/>
                <w:color w:val="auto"/>
                <w:highlight w:val="none"/>
              </w:rPr>
              <w:t>协助网络安全设计及优化系统服务；</w:t>
            </w:r>
          </w:p>
          <w:p w14:paraId="60644736">
            <w:pPr>
              <w:pStyle w:val="39"/>
              <w:numPr>
                <w:ilvl w:val="0"/>
                <w:numId w:val="9"/>
              </w:numPr>
              <w:adjustRightInd w:val="0"/>
              <w:snapToGrid w:val="0"/>
              <w:ind w:firstLine="420" w:firstLineChars="200"/>
              <w:rPr>
                <w:rFonts w:hint="eastAsia"/>
                <w:bCs/>
                <w:color w:val="auto"/>
                <w:highlight w:val="none"/>
              </w:rPr>
            </w:pPr>
            <w:r>
              <w:rPr>
                <w:rFonts w:hint="eastAsia"/>
                <w:bCs/>
                <w:color w:val="auto"/>
                <w:highlight w:val="none"/>
              </w:rPr>
              <w:t>配合中心网络地址空间规划与优化设计服务；</w:t>
            </w:r>
          </w:p>
          <w:p w14:paraId="020CDF4D">
            <w:pPr>
              <w:pStyle w:val="39"/>
              <w:numPr>
                <w:ilvl w:val="0"/>
                <w:numId w:val="9"/>
              </w:numPr>
              <w:adjustRightInd w:val="0"/>
              <w:snapToGrid w:val="0"/>
              <w:ind w:firstLine="420" w:firstLineChars="200"/>
              <w:rPr>
                <w:rFonts w:hint="eastAsia"/>
                <w:bCs/>
                <w:color w:val="auto"/>
                <w:highlight w:val="none"/>
              </w:rPr>
            </w:pPr>
            <w:r>
              <w:rPr>
                <w:rFonts w:hint="eastAsia"/>
                <w:bCs/>
                <w:color w:val="auto"/>
                <w:highlight w:val="none"/>
              </w:rPr>
              <w:t>配合网络系统性能优化设计服务。</w:t>
            </w:r>
          </w:p>
          <w:p w14:paraId="42DF4A0A">
            <w:pPr>
              <w:pStyle w:val="39"/>
              <w:adjustRightInd w:val="0"/>
              <w:snapToGrid w:val="0"/>
              <w:ind w:firstLine="378" w:firstLineChars="180"/>
              <w:outlineLvl w:val="0"/>
              <w:rPr>
                <w:rFonts w:hint="eastAsia"/>
                <w:bCs/>
                <w:color w:val="auto"/>
                <w:highlight w:val="none"/>
              </w:rPr>
            </w:pPr>
            <w:r>
              <w:rPr>
                <w:rFonts w:hint="eastAsia"/>
                <w:bCs/>
                <w:color w:val="auto"/>
                <w:highlight w:val="none"/>
              </w:rPr>
              <w:t>（二）公共服务区云平台软件运维需求</w:t>
            </w:r>
          </w:p>
          <w:p w14:paraId="0B283CE7">
            <w:pPr>
              <w:pStyle w:val="39"/>
              <w:adjustRightInd w:val="0"/>
              <w:snapToGrid w:val="0"/>
              <w:ind w:firstLine="379" w:firstLineChars="180"/>
              <w:rPr>
                <w:rFonts w:hint="eastAsia"/>
                <w:bCs/>
                <w:color w:val="auto"/>
                <w:highlight w:val="none"/>
              </w:rPr>
            </w:pPr>
            <w:r>
              <w:rPr>
                <w:rFonts w:hint="eastAsia"/>
                <w:b/>
                <w:color w:val="auto"/>
                <w:highlight w:val="none"/>
              </w:rPr>
              <w:t>▲</w:t>
            </w:r>
            <w:r>
              <w:rPr>
                <w:rFonts w:hint="eastAsia"/>
                <w:bCs/>
                <w:color w:val="auto"/>
                <w:highlight w:val="none"/>
              </w:rPr>
              <w:t>提供公共服务区云平台软件运维服务，运维人员2人。</w:t>
            </w:r>
          </w:p>
          <w:p w14:paraId="21B5172D">
            <w:pPr>
              <w:pStyle w:val="39"/>
              <w:adjustRightInd w:val="0"/>
              <w:snapToGrid w:val="0"/>
              <w:ind w:firstLine="378" w:firstLineChars="180"/>
              <w:outlineLvl w:val="2"/>
              <w:rPr>
                <w:rFonts w:hint="eastAsia"/>
                <w:bCs/>
                <w:color w:val="auto"/>
                <w:highlight w:val="none"/>
              </w:rPr>
            </w:pPr>
            <w:r>
              <w:rPr>
                <w:rFonts w:hint="eastAsia"/>
                <w:bCs/>
                <w:color w:val="auto"/>
                <w:highlight w:val="none"/>
              </w:rPr>
              <w:t>1.公共服务区云平台运维服务需求</w:t>
            </w:r>
          </w:p>
          <w:p w14:paraId="3B46E819">
            <w:pPr>
              <w:pStyle w:val="39"/>
              <w:adjustRightInd w:val="0"/>
              <w:snapToGrid w:val="0"/>
              <w:ind w:firstLine="378" w:firstLineChars="180"/>
              <w:rPr>
                <w:rFonts w:hint="eastAsia"/>
                <w:bCs/>
                <w:color w:val="auto"/>
                <w:highlight w:val="none"/>
              </w:rPr>
            </w:pPr>
            <w:r>
              <w:rPr>
                <w:rFonts w:hint="eastAsia"/>
                <w:bCs/>
                <w:color w:val="auto"/>
                <w:highlight w:val="none"/>
              </w:rPr>
              <w:t>提供云平台基础运维服务，包括资源运营、平台巡检、平台变更、应急响应、风险治理、权限管控、产品监控、缺陷修复、安全护网和等保测评复评等。</w:t>
            </w:r>
          </w:p>
          <w:p w14:paraId="2A42DD40">
            <w:pPr>
              <w:widowControl/>
              <w:numPr>
                <w:ilvl w:val="0"/>
                <w:numId w:val="10"/>
              </w:numPr>
              <w:tabs>
                <w:tab w:val="left" w:pos="420"/>
                <w:tab w:val="clear" w:pos="0"/>
              </w:tabs>
              <w:adjustRightInd w:val="0"/>
              <w:snapToGrid w:val="0"/>
              <w:ind w:left="0" w:firstLine="425"/>
              <w:outlineLvl w:val="3"/>
              <w:rPr>
                <w:rFonts w:hint="eastAsia" w:ascii="宋体" w:hAnsi="宋体" w:cs="宋体"/>
                <w:bCs/>
                <w:color w:val="auto"/>
                <w:kern w:val="0"/>
                <w:szCs w:val="21"/>
                <w:highlight w:val="none"/>
              </w:rPr>
            </w:pPr>
            <w:r>
              <w:rPr>
                <w:rFonts w:hint="eastAsia" w:ascii="宋体" w:hAnsi="宋体" w:cs="宋体"/>
                <w:bCs/>
                <w:color w:val="auto"/>
                <w:kern w:val="0"/>
                <w:szCs w:val="21"/>
                <w:highlight w:val="none"/>
              </w:rPr>
              <w:t>资源运营</w:t>
            </w:r>
          </w:p>
          <w:p w14:paraId="622EB5BE">
            <w:pPr>
              <w:pStyle w:val="39"/>
              <w:adjustRightInd w:val="0"/>
              <w:snapToGrid w:val="0"/>
              <w:ind w:firstLine="378" w:firstLineChars="180"/>
              <w:rPr>
                <w:rFonts w:hint="eastAsia"/>
                <w:bCs/>
                <w:color w:val="auto"/>
                <w:highlight w:val="none"/>
              </w:rPr>
            </w:pPr>
            <w:r>
              <w:rPr>
                <w:rFonts w:hint="eastAsia"/>
                <w:bCs/>
                <w:color w:val="auto"/>
                <w:highlight w:val="none"/>
              </w:rPr>
              <w:t>通过现场运维人员和远程技术专家提供云平台资源运营工作，充分利用云计算弹性和自动化技术能力，以资源精细化管理提升云资源利用率，有效支撑业务部署和开展。</w:t>
            </w:r>
          </w:p>
          <w:p w14:paraId="34FF1D87">
            <w:pPr>
              <w:widowControl/>
              <w:numPr>
                <w:ilvl w:val="0"/>
                <w:numId w:val="10"/>
              </w:numPr>
              <w:tabs>
                <w:tab w:val="left" w:pos="420"/>
                <w:tab w:val="clear" w:pos="0"/>
              </w:tabs>
              <w:adjustRightInd w:val="0"/>
              <w:snapToGrid w:val="0"/>
              <w:ind w:left="0" w:firstLine="425"/>
              <w:outlineLvl w:val="3"/>
              <w:rPr>
                <w:rFonts w:hint="eastAsia" w:ascii="宋体" w:hAnsi="宋体" w:cs="宋体"/>
                <w:bCs/>
                <w:color w:val="auto"/>
                <w:kern w:val="0"/>
                <w:szCs w:val="21"/>
                <w:highlight w:val="none"/>
              </w:rPr>
            </w:pPr>
            <w:r>
              <w:rPr>
                <w:rFonts w:hint="eastAsia" w:ascii="宋体"/>
                <w:b/>
                <w:color w:val="auto"/>
                <w:szCs w:val="21"/>
                <w:highlight w:val="none"/>
              </w:rPr>
              <w:t>▲</w:t>
            </w:r>
            <w:r>
              <w:rPr>
                <w:rFonts w:hint="eastAsia" w:ascii="宋体" w:hAnsi="宋体" w:cs="宋体"/>
                <w:bCs/>
                <w:color w:val="auto"/>
                <w:kern w:val="0"/>
                <w:szCs w:val="21"/>
                <w:highlight w:val="none"/>
              </w:rPr>
              <w:t>平台巡检</w:t>
            </w:r>
          </w:p>
          <w:p w14:paraId="3A1CA646">
            <w:pPr>
              <w:pStyle w:val="39"/>
              <w:adjustRightInd w:val="0"/>
              <w:snapToGrid w:val="0"/>
              <w:ind w:firstLine="378" w:firstLineChars="180"/>
              <w:rPr>
                <w:rFonts w:hint="eastAsia"/>
                <w:bCs/>
                <w:color w:val="auto"/>
                <w:highlight w:val="none"/>
              </w:rPr>
            </w:pPr>
            <w:r>
              <w:rPr>
                <w:rFonts w:hint="eastAsia"/>
                <w:bCs/>
                <w:color w:val="auto"/>
                <w:highlight w:val="none"/>
              </w:rPr>
              <w:t>通过现场运维人员实施和远程技术专家远程协助进行平台巡检工作，具体包括以下服务内容：基于每日常态化例行化巡检工作，主动发现隐患，预防故障发生，保障平台健康度；保障系统稳定运行、各项服务正常使用，解决系统运行中出现的问题、提供技术支持服务，定期对部署的系统理性巡检，检查日志是否有异常，若出现异常及时处理，检查定时任务是否正常，业务经办是否正常，接口使用是否正常等，确保系统在运行过程中无问题。该项服务工作通过及时识别异常事件，确保云平台产品和业务平稳运行，降低潜在业务风险。</w:t>
            </w:r>
          </w:p>
          <w:p w14:paraId="7823AA49">
            <w:pPr>
              <w:widowControl/>
              <w:numPr>
                <w:ilvl w:val="0"/>
                <w:numId w:val="10"/>
              </w:numPr>
              <w:tabs>
                <w:tab w:val="left" w:pos="420"/>
                <w:tab w:val="clear" w:pos="0"/>
              </w:tabs>
              <w:adjustRightInd w:val="0"/>
              <w:snapToGrid w:val="0"/>
              <w:ind w:left="0" w:firstLine="425"/>
              <w:outlineLvl w:val="3"/>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平台变更</w:t>
            </w:r>
          </w:p>
          <w:p w14:paraId="0B48B114">
            <w:pPr>
              <w:pStyle w:val="39"/>
              <w:adjustRightInd w:val="0"/>
              <w:snapToGrid w:val="0"/>
              <w:ind w:firstLine="378" w:firstLineChars="180"/>
              <w:rPr>
                <w:rFonts w:hint="eastAsia"/>
                <w:bCs/>
                <w:color w:val="auto"/>
                <w:highlight w:val="none"/>
              </w:rPr>
            </w:pPr>
            <w:r>
              <w:rPr>
                <w:rFonts w:hint="eastAsia"/>
                <w:bCs/>
                <w:color w:val="auto"/>
                <w:highlight w:val="none"/>
              </w:rPr>
              <w:t>平台变更服务内容主要包括由现场运维人员编写适配现场环境的变更技术方案，远程技术专家审核变更方案和风险评估，申请采购人授权和提交变更流程。每一个非只读操作都需要通过变更完成，规范变更流程，确保云平台变更安全可控，零重大变更事故。</w:t>
            </w:r>
          </w:p>
          <w:p w14:paraId="7EBDF7CC">
            <w:pPr>
              <w:widowControl/>
              <w:numPr>
                <w:ilvl w:val="0"/>
                <w:numId w:val="10"/>
              </w:numPr>
              <w:tabs>
                <w:tab w:val="left" w:pos="420"/>
                <w:tab w:val="clear" w:pos="0"/>
              </w:tabs>
              <w:adjustRightInd w:val="0"/>
              <w:snapToGrid w:val="0"/>
              <w:ind w:left="0" w:firstLine="425"/>
              <w:outlineLvl w:val="3"/>
              <w:rPr>
                <w:rFonts w:hint="eastAsia" w:ascii="宋体" w:hAnsi="宋体" w:cs="宋体"/>
                <w:bCs/>
                <w:color w:val="auto"/>
                <w:kern w:val="0"/>
                <w:szCs w:val="21"/>
                <w:highlight w:val="none"/>
              </w:rPr>
            </w:pPr>
            <w:r>
              <w:rPr>
                <w:rFonts w:hint="eastAsia" w:ascii="宋体"/>
                <w:b/>
                <w:color w:val="auto"/>
                <w:szCs w:val="21"/>
                <w:highlight w:val="none"/>
              </w:rPr>
              <w:t>▲</w:t>
            </w:r>
            <w:r>
              <w:rPr>
                <w:rFonts w:hint="eastAsia" w:ascii="宋体" w:hAnsi="宋体" w:cs="宋体"/>
                <w:bCs/>
                <w:color w:val="auto"/>
                <w:kern w:val="0"/>
                <w:szCs w:val="21"/>
                <w:highlight w:val="none"/>
              </w:rPr>
              <w:t>应急响应</w:t>
            </w:r>
          </w:p>
          <w:p w14:paraId="58D83B67">
            <w:pPr>
              <w:pStyle w:val="39"/>
              <w:adjustRightInd w:val="0"/>
              <w:snapToGrid w:val="0"/>
              <w:ind w:firstLine="378" w:firstLineChars="180"/>
              <w:rPr>
                <w:rFonts w:hint="eastAsia"/>
                <w:bCs/>
                <w:color w:val="auto"/>
                <w:highlight w:val="none"/>
              </w:rPr>
            </w:pPr>
            <w:r>
              <w:rPr>
                <w:rFonts w:hint="eastAsia"/>
                <w:bCs/>
                <w:color w:val="auto"/>
                <w:highlight w:val="none"/>
              </w:rPr>
              <w:t>应急事件发生后，现场运维人员快速响应并组织应急值班长、项目组关键干系人（项目服务经理、远程技术专家等）、后端技术支持和研发团队，依据应急流程启动应急响应，通过快速定位、隔离、事件解决，最小化业务影响。</w:t>
            </w:r>
          </w:p>
          <w:p w14:paraId="7A6BC6A4">
            <w:pPr>
              <w:widowControl/>
              <w:numPr>
                <w:ilvl w:val="0"/>
                <w:numId w:val="10"/>
              </w:numPr>
              <w:tabs>
                <w:tab w:val="left" w:pos="420"/>
                <w:tab w:val="clear" w:pos="0"/>
              </w:tabs>
              <w:adjustRightInd w:val="0"/>
              <w:snapToGrid w:val="0"/>
              <w:ind w:left="0" w:firstLine="425"/>
              <w:outlineLvl w:val="3"/>
              <w:rPr>
                <w:rFonts w:hint="eastAsia" w:ascii="宋体" w:hAnsi="宋体" w:cs="宋体"/>
                <w:bCs/>
                <w:color w:val="auto"/>
                <w:kern w:val="0"/>
                <w:szCs w:val="21"/>
                <w:highlight w:val="none"/>
              </w:rPr>
            </w:pPr>
            <w:r>
              <w:rPr>
                <w:rFonts w:hint="eastAsia" w:ascii="宋体" w:hAnsi="宋体" w:cs="宋体"/>
                <w:bCs/>
                <w:color w:val="auto"/>
                <w:kern w:val="0"/>
                <w:szCs w:val="21"/>
                <w:highlight w:val="none"/>
              </w:rPr>
              <w:t>风险治理</w:t>
            </w:r>
          </w:p>
          <w:p w14:paraId="13B074D2">
            <w:pPr>
              <w:pStyle w:val="39"/>
              <w:adjustRightInd w:val="0"/>
              <w:snapToGrid w:val="0"/>
              <w:ind w:firstLine="378" w:firstLineChars="180"/>
              <w:rPr>
                <w:rFonts w:hint="eastAsia"/>
                <w:bCs/>
                <w:color w:val="auto"/>
                <w:highlight w:val="none"/>
              </w:rPr>
            </w:pPr>
            <w:r>
              <w:rPr>
                <w:rFonts w:hint="eastAsia"/>
                <w:bCs/>
                <w:color w:val="auto"/>
                <w:highlight w:val="none"/>
              </w:rPr>
              <w:t>现场运维人员通过例行主动风险点治理排查，避免已知风险影响业务，降低业务隐患，提升业务可靠性。经排查后，对属于不涉及风险项进行关闭，如涉及风险项，评估影响并排期组织修复，通过闭环管理已知风险，降低平台脆弱性。</w:t>
            </w:r>
          </w:p>
          <w:p w14:paraId="737E5DD9">
            <w:pPr>
              <w:widowControl/>
              <w:numPr>
                <w:ilvl w:val="0"/>
                <w:numId w:val="10"/>
              </w:numPr>
              <w:tabs>
                <w:tab w:val="left" w:pos="420"/>
                <w:tab w:val="clear" w:pos="0"/>
              </w:tabs>
              <w:adjustRightInd w:val="0"/>
              <w:snapToGrid w:val="0"/>
              <w:ind w:left="0" w:firstLine="425"/>
              <w:outlineLvl w:val="3"/>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权限管控</w:t>
            </w:r>
          </w:p>
          <w:p w14:paraId="51E34B90">
            <w:pPr>
              <w:pStyle w:val="39"/>
              <w:adjustRightInd w:val="0"/>
              <w:snapToGrid w:val="0"/>
              <w:ind w:firstLine="378" w:firstLineChars="180"/>
              <w:rPr>
                <w:rFonts w:hint="eastAsia"/>
                <w:bCs/>
                <w:color w:val="auto"/>
                <w:highlight w:val="none"/>
              </w:rPr>
            </w:pPr>
            <w:r>
              <w:rPr>
                <w:rFonts w:hint="eastAsia"/>
                <w:bCs/>
                <w:color w:val="auto"/>
                <w:highlight w:val="none"/>
              </w:rPr>
              <w:t>权限管控操作由现场运维人员完成，针对云平台关键计算资源、数据库资源、存储资源、大数据资源、安全资源等十余款重点产品和运营控制台各类型账户进行权限管控，并经远程技术专家和研发团队确认，通过落实最小权限原则，防止越权操作与数据泄露。</w:t>
            </w:r>
          </w:p>
          <w:p w14:paraId="17D6A55D">
            <w:pPr>
              <w:widowControl/>
              <w:numPr>
                <w:ilvl w:val="0"/>
                <w:numId w:val="10"/>
              </w:numPr>
              <w:tabs>
                <w:tab w:val="left" w:pos="420"/>
                <w:tab w:val="clear" w:pos="0"/>
              </w:tabs>
              <w:adjustRightInd w:val="0"/>
              <w:snapToGrid w:val="0"/>
              <w:ind w:left="0" w:firstLine="425"/>
              <w:outlineLvl w:val="3"/>
              <w:rPr>
                <w:rFonts w:hint="eastAsia" w:ascii="宋体" w:hAnsi="宋体" w:cs="宋体"/>
                <w:bCs/>
                <w:color w:val="auto"/>
                <w:kern w:val="0"/>
                <w:szCs w:val="21"/>
                <w:highlight w:val="none"/>
              </w:rPr>
            </w:pPr>
            <w:r>
              <w:rPr>
                <w:rFonts w:hint="eastAsia" w:ascii="宋体" w:hAnsi="宋体" w:cs="宋体"/>
                <w:bCs/>
                <w:color w:val="auto"/>
                <w:kern w:val="0"/>
                <w:szCs w:val="21"/>
                <w:highlight w:val="none"/>
              </w:rPr>
              <w:t>产品监控</w:t>
            </w:r>
          </w:p>
          <w:p w14:paraId="2092904B">
            <w:pPr>
              <w:pStyle w:val="39"/>
              <w:adjustRightInd w:val="0"/>
              <w:snapToGrid w:val="0"/>
              <w:ind w:firstLine="378" w:firstLineChars="180"/>
              <w:rPr>
                <w:rFonts w:hint="eastAsia"/>
                <w:bCs/>
                <w:color w:val="auto"/>
                <w:highlight w:val="none"/>
              </w:rPr>
            </w:pPr>
            <w:r>
              <w:rPr>
                <w:rFonts w:hint="eastAsia"/>
                <w:bCs/>
                <w:color w:val="auto"/>
                <w:highlight w:val="none"/>
              </w:rPr>
              <w:t>对全平台进行从底层云产品组件、各类型云产品实例、到上层应用的监控，并且通过开发部署监控工具有效提升监控准确率和运维效率。该项服务工作实现从基础设施到业务指标的全栈可观测性。</w:t>
            </w:r>
          </w:p>
          <w:p w14:paraId="31B646DE">
            <w:pPr>
              <w:widowControl/>
              <w:numPr>
                <w:ilvl w:val="0"/>
                <w:numId w:val="10"/>
              </w:numPr>
              <w:tabs>
                <w:tab w:val="left" w:pos="420"/>
                <w:tab w:val="clear" w:pos="0"/>
              </w:tabs>
              <w:adjustRightInd w:val="0"/>
              <w:snapToGrid w:val="0"/>
              <w:ind w:left="0" w:firstLine="425"/>
              <w:outlineLvl w:val="3"/>
              <w:rPr>
                <w:rFonts w:hint="eastAsia" w:ascii="宋体" w:hAnsi="宋体" w:cs="宋体"/>
                <w:bCs/>
                <w:color w:val="auto"/>
                <w:kern w:val="0"/>
                <w:szCs w:val="21"/>
                <w:highlight w:val="none"/>
              </w:rPr>
            </w:pPr>
            <w:r>
              <w:rPr>
                <w:rFonts w:hint="eastAsia" w:ascii="宋体" w:hAnsi="宋体" w:cs="宋体"/>
                <w:bCs/>
                <w:color w:val="auto"/>
                <w:kern w:val="0"/>
                <w:szCs w:val="21"/>
                <w:highlight w:val="none"/>
              </w:rPr>
              <w:t>缺陷修复</w:t>
            </w:r>
          </w:p>
          <w:p w14:paraId="38C98046">
            <w:pPr>
              <w:pStyle w:val="39"/>
              <w:adjustRightInd w:val="0"/>
              <w:snapToGrid w:val="0"/>
              <w:ind w:firstLine="378" w:firstLineChars="180"/>
              <w:rPr>
                <w:rFonts w:hint="eastAsia"/>
                <w:bCs/>
                <w:color w:val="auto"/>
                <w:highlight w:val="none"/>
              </w:rPr>
            </w:pPr>
            <w:r>
              <w:rPr>
                <w:rFonts w:hint="eastAsia"/>
                <w:bCs/>
                <w:color w:val="auto"/>
                <w:highlight w:val="none"/>
              </w:rPr>
              <w:t>针对云平台产品功能缺陷等内容，及时安排驻场运维跟进修复，提升产品可用性和监控告警准确率，消除已知缺陷引发的业务风险，保障云平台可用性。协助ISV定位各种应用异常或缺陷引发的业务异常，并推动修复，提升业务连续性。该项服务工作对已经上线的系统做好运维支撑服务，对使用过程中出现的缺陷性问题及时修复，确保云平台功能正常运行，确保用户业务能够正常办理。</w:t>
            </w:r>
          </w:p>
          <w:p w14:paraId="254ADE2A">
            <w:pPr>
              <w:widowControl/>
              <w:numPr>
                <w:ilvl w:val="0"/>
                <w:numId w:val="10"/>
              </w:numPr>
              <w:tabs>
                <w:tab w:val="left" w:pos="420"/>
                <w:tab w:val="clear" w:pos="0"/>
              </w:tabs>
              <w:adjustRightInd w:val="0"/>
              <w:snapToGrid w:val="0"/>
              <w:ind w:left="0" w:firstLine="425"/>
              <w:outlineLvl w:val="3"/>
              <w:rPr>
                <w:rFonts w:hint="eastAsia" w:ascii="宋体" w:hAnsi="宋体" w:cs="宋体"/>
                <w:bCs/>
                <w:color w:val="auto"/>
                <w:kern w:val="0"/>
                <w:szCs w:val="21"/>
                <w:highlight w:val="none"/>
              </w:rPr>
            </w:pPr>
            <w:r>
              <w:rPr>
                <w:rFonts w:hint="eastAsia" w:ascii="宋体"/>
                <w:b/>
                <w:color w:val="auto"/>
                <w:szCs w:val="21"/>
                <w:highlight w:val="none"/>
              </w:rPr>
              <w:t>▲</w:t>
            </w:r>
            <w:r>
              <w:rPr>
                <w:rFonts w:hint="eastAsia" w:ascii="宋体" w:hAnsi="宋体" w:cs="宋体"/>
                <w:bCs/>
                <w:color w:val="auto"/>
                <w:kern w:val="0"/>
                <w:szCs w:val="21"/>
                <w:highlight w:val="none"/>
              </w:rPr>
              <w:t>安全护网</w:t>
            </w:r>
          </w:p>
          <w:p w14:paraId="4439B7D7">
            <w:pPr>
              <w:pStyle w:val="39"/>
              <w:adjustRightInd w:val="0"/>
              <w:snapToGrid w:val="0"/>
              <w:ind w:firstLine="378" w:firstLineChars="180"/>
              <w:rPr>
                <w:rFonts w:hint="eastAsia"/>
                <w:bCs/>
                <w:color w:val="auto"/>
                <w:highlight w:val="none"/>
              </w:rPr>
            </w:pPr>
            <w:r>
              <w:rPr>
                <w:rFonts w:hint="eastAsia"/>
                <w:bCs/>
                <w:color w:val="auto"/>
                <w:highlight w:val="none"/>
              </w:rPr>
              <w:t>针对国家和自治区组织的各类型安全护网，安全护网工作开始前提前制定云平台安全护网整体方案，对云平台产品安全能力进行梳理，对已知安全漏洞逐一安排加固修复，及时更新升级安全产品规则库等配置。同时对云平台租户侧应用进行安全评估，协助ISV进行安全加固工作。安全护网期间组织运维人员进行值班保障，进行云平台安全事件监控分析和应急处置。</w:t>
            </w:r>
          </w:p>
          <w:p w14:paraId="754E90FD">
            <w:pPr>
              <w:widowControl/>
              <w:numPr>
                <w:ilvl w:val="0"/>
                <w:numId w:val="10"/>
              </w:numPr>
              <w:tabs>
                <w:tab w:val="left" w:pos="420"/>
                <w:tab w:val="clear" w:pos="0"/>
              </w:tabs>
              <w:adjustRightInd w:val="0"/>
              <w:snapToGrid w:val="0"/>
              <w:ind w:left="0" w:firstLine="425"/>
              <w:outlineLvl w:val="3"/>
              <w:rPr>
                <w:rFonts w:hint="eastAsia" w:ascii="宋体" w:hAnsi="宋体" w:cs="宋体"/>
                <w:bCs/>
                <w:color w:val="auto"/>
                <w:kern w:val="0"/>
                <w:szCs w:val="21"/>
                <w:highlight w:val="none"/>
              </w:rPr>
            </w:pPr>
            <w:r>
              <w:rPr>
                <w:rFonts w:hint="eastAsia" w:ascii="宋体" w:hAnsi="宋体" w:cs="宋体"/>
                <w:bCs/>
                <w:color w:val="auto"/>
                <w:kern w:val="0"/>
                <w:szCs w:val="21"/>
                <w:highlight w:val="none"/>
              </w:rPr>
              <w:t>等保测评复核</w:t>
            </w:r>
          </w:p>
          <w:p w14:paraId="621D2A9A">
            <w:pPr>
              <w:pStyle w:val="39"/>
              <w:adjustRightInd w:val="0"/>
              <w:snapToGrid w:val="0"/>
              <w:ind w:firstLine="378" w:firstLineChars="180"/>
              <w:rPr>
                <w:rFonts w:hint="eastAsia"/>
                <w:bCs/>
                <w:color w:val="auto"/>
                <w:highlight w:val="none"/>
              </w:rPr>
            </w:pPr>
            <w:r>
              <w:rPr>
                <w:rFonts w:hint="eastAsia"/>
                <w:bCs/>
                <w:color w:val="auto"/>
                <w:highlight w:val="none"/>
              </w:rPr>
              <w:t>运维团队协助等保测评方调研云平台，提供答疑和技术支持，配合编写测评报告，提供相关证明材料。针对测评复核结果进行评估，并对异常事项安排修复。该项服务工作确保平台持续满足等保三级要求。每年预计投入4人月工作量。</w:t>
            </w:r>
          </w:p>
          <w:p w14:paraId="13F836FB">
            <w:pPr>
              <w:pStyle w:val="39"/>
              <w:adjustRightInd w:val="0"/>
              <w:snapToGrid w:val="0"/>
              <w:ind w:firstLine="378" w:firstLineChars="180"/>
              <w:outlineLvl w:val="2"/>
              <w:rPr>
                <w:rFonts w:hint="eastAsia"/>
                <w:bCs/>
                <w:color w:val="auto"/>
                <w:highlight w:val="none"/>
              </w:rPr>
            </w:pPr>
            <w:r>
              <w:rPr>
                <w:rFonts w:hint="eastAsia"/>
                <w:bCs/>
                <w:color w:val="auto"/>
                <w:highlight w:val="none"/>
              </w:rPr>
              <w:t>2.公共服务区云平台业务保障服务需求</w:t>
            </w:r>
          </w:p>
          <w:p w14:paraId="3461F747">
            <w:pPr>
              <w:pStyle w:val="39"/>
              <w:adjustRightInd w:val="0"/>
              <w:snapToGrid w:val="0"/>
              <w:ind w:firstLine="378" w:firstLineChars="180"/>
              <w:rPr>
                <w:rFonts w:hint="eastAsia"/>
                <w:bCs/>
                <w:color w:val="auto"/>
                <w:highlight w:val="none"/>
              </w:rPr>
            </w:pPr>
            <w:r>
              <w:rPr>
                <w:rFonts w:hint="eastAsia"/>
                <w:bCs/>
                <w:color w:val="auto"/>
                <w:highlight w:val="none"/>
              </w:rPr>
              <w:t>云平台业务保障服务是基于云平台，面向医保信息平台核心业务连续性和高可用性需求，提供主动式、专业化保障支撑，包括专项重保、咨询答疑、性能优化、中间件专项支持、数据库专项支持、备份策略制定与恢复演练以及故障演练。通过该服务，有效提升系统稳定性、响应效率与容灾能力，确保医保信息平台在重大活动、高峰访问或突发事件期间持续稳定运行，降低运营风险、保障服务质量，支撑医保业务高效、安全、合规开展。</w:t>
            </w:r>
          </w:p>
          <w:p w14:paraId="2D582C32">
            <w:pPr>
              <w:widowControl/>
              <w:numPr>
                <w:ilvl w:val="0"/>
                <w:numId w:val="11"/>
              </w:numPr>
              <w:tabs>
                <w:tab w:val="left" w:pos="420"/>
                <w:tab w:val="clear" w:pos="0"/>
              </w:tabs>
              <w:adjustRightInd w:val="0"/>
              <w:snapToGrid w:val="0"/>
              <w:ind w:left="0" w:firstLine="425"/>
              <w:outlineLvl w:val="3"/>
              <w:rPr>
                <w:rFonts w:hint="eastAsia" w:ascii="宋体" w:hAnsi="宋体" w:cs="宋体"/>
                <w:bCs/>
                <w:color w:val="auto"/>
                <w:kern w:val="0"/>
                <w:szCs w:val="21"/>
                <w:highlight w:val="none"/>
              </w:rPr>
            </w:pPr>
            <w:r>
              <w:rPr>
                <w:rFonts w:hint="eastAsia" w:ascii="宋体"/>
                <w:b/>
                <w:color w:val="auto"/>
                <w:szCs w:val="21"/>
                <w:highlight w:val="none"/>
              </w:rPr>
              <w:t>▲</w:t>
            </w:r>
            <w:r>
              <w:rPr>
                <w:rFonts w:hint="eastAsia" w:ascii="宋体" w:hAnsi="宋体" w:cs="宋体"/>
                <w:bCs/>
                <w:color w:val="auto"/>
                <w:kern w:val="0"/>
                <w:szCs w:val="21"/>
                <w:highlight w:val="none"/>
              </w:rPr>
              <w:t>专项重保</w:t>
            </w:r>
          </w:p>
          <w:p w14:paraId="2AA445FE">
            <w:pPr>
              <w:pStyle w:val="39"/>
              <w:adjustRightInd w:val="0"/>
              <w:snapToGrid w:val="0"/>
              <w:ind w:firstLine="378" w:firstLineChars="180"/>
              <w:rPr>
                <w:rFonts w:hint="eastAsia"/>
                <w:bCs/>
                <w:color w:val="auto"/>
                <w:highlight w:val="none"/>
              </w:rPr>
            </w:pPr>
            <w:r>
              <w:rPr>
                <w:rFonts w:hint="eastAsia"/>
                <w:bCs/>
                <w:color w:val="auto"/>
                <w:highlight w:val="none"/>
              </w:rPr>
              <w:t>现场运维人员联合二线技术专家、后端工单和产品研发团队提供专项保障服务，比如业务系统发版更新上线、重要时间节点（如两会、五一、国庆、年终结算、春节）等制定组织保障阵型、沟通机制、应急措施，并提供值班保障。</w:t>
            </w:r>
          </w:p>
          <w:p w14:paraId="7B1DF437">
            <w:pPr>
              <w:pStyle w:val="39"/>
              <w:adjustRightInd w:val="0"/>
              <w:snapToGrid w:val="0"/>
              <w:ind w:firstLine="378" w:firstLineChars="180"/>
              <w:rPr>
                <w:rFonts w:hint="eastAsia"/>
                <w:bCs/>
                <w:color w:val="auto"/>
                <w:highlight w:val="none"/>
              </w:rPr>
            </w:pPr>
            <w:r>
              <w:rPr>
                <w:rFonts w:hint="eastAsia"/>
                <w:bCs/>
                <w:color w:val="auto"/>
                <w:highlight w:val="none"/>
              </w:rPr>
              <w:t>该项服务工作支撑重大政策上线、节假日、年终结算等关键时期稳定运行。在节假日、跨年度、重大活动等时间点对系统的业务规则、重要参数配置以及数据同步的执行情况进行重点检查，确保平台正常运行。</w:t>
            </w:r>
          </w:p>
          <w:p w14:paraId="472EE51B">
            <w:pPr>
              <w:widowControl/>
              <w:numPr>
                <w:ilvl w:val="0"/>
                <w:numId w:val="11"/>
              </w:numPr>
              <w:tabs>
                <w:tab w:val="left" w:pos="420"/>
                <w:tab w:val="clear" w:pos="0"/>
              </w:tabs>
              <w:adjustRightInd w:val="0"/>
              <w:snapToGrid w:val="0"/>
              <w:ind w:left="0" w:firstLine="425"/>
              <w:outlineLvl w:val="3"/>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咨询答疑</w:t>
            </w:r>
          </w:p>
          <w:p w14:paraId="6D1811DA">
            <w:pPr>
              <w:pStyle w:val="39"/>
              <w:adjustRightInd w:val="0"/>
              <w:snapToGrid w:val="0"/>
              <w:ind w:firstLine="378" w:firstLineChars="180"/>
              <w:rPr>
                <w:rFonts w:hint="eastAsia"/>
                <w:bCs/>
                <w:color w:val="auto"/>
                <w:highlight w:val="none"/>
              </w:rPr>
            </w:pPr>
            <w:r>
              <w:rPr>
                <w:rFonts w:hint="eastAsia"/>
                <w:bCs/>
                <w:color w:val="auto"/>
                <w:highlight w:val="none"/>
              </w:rPr>
              <w:t>驻场运维团队和二线技术专家针对医保局和ISV在云平台产品功能、架构设计等方面提出的操作方法、疑难问题等日常咨询以及需求进行解答，并提供运维实践和产品使用优化。</w:t>
            </w:r>
          </w:p>
          <w:p w14:paraId="4F71B841">
            <w:pPr>
              <w:widowControl/>
              <w:numPr>
                <w:ilvl w:val="0"/>
                <w:numId w:val="11"/>
              </w:numPr>
              <w:tabs>
                <w:tab w:val="left" w:pos="420"/>
                <w:tab w:val="clear" w:pos="0"/>
              </w:tabs>
              <w:adjustRightInd w:val="0"/>
              <w:snapToGrid w:val="0"/>
              <w:ind w:left="0" w:firstLine="425"/>
              <w:outlineLvl w:val="3"/>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性能优化</w:t>
            </w:r>
          </w:p>
          <w:p w14:paraId="58B66A5B">
            <w:pPr>
              <w:pStyle w:val="39"/>
              <w:adjustRightInd w:val="0"/>
              <w:snapToGrid w:val="0"/>
              <w:ind w:firstLine="378" w:firstLineChars="180"/>
              <w:rPr>
                <w:rFonts w:hint="eastAsia"/>
                <w:bCs/>
                <w:color w:val="auto"/>
                <w:highlight w:val="none"/>
              </w:rPr>
            </w:pPr>
            <w:r>
              <w:rPr>
                <w:rFonts w:hint="eastAsia"/>
                <w:bCs/>
                <w:color w:val="auto"/>
                <w:highlight w:val="none"/>
              </w:rPr>
              <w:t>驻场运维团队针对医保局和ISV在云平台产品选型、资源规格、容量评估、应用高可用架构设计、数据库性能优化等方面展开技术交流和业务验证。对平台及系统使用过程中存在响应时间长的模块，及时分析处理，确保平台使用及业务系统的高效流畅。该项服务工作在于持续提升系统响应速度与资源效率。</w:t>
            </w:r>
          </w:p>
          <w:p w14:paraId="691B0F9B">
            <w:pPr>
              <w:widowControl/>
              <w:numPr>
                <w:ilvl w:val="0"/>
                <w:numId w:val="11"/>
              </w:numPr>
              <w:tabs>
                <w:tab w:val="left" w:pos="420"/>
                <w:tab w:val="clear" w:pos="0"/>
              </w:tabs>
              <w:adjustRightInd w:val="0"/>
              <w:snapToGrid w:val="0"/>
              <w:ind w:left="0" w:firstLine="425"/>
              <w:outlineLvl w:val="3"/>
              <w:rPr>
                <w:rFonts w:hint="eastAsia" w:ascii="宋体" w:hAnsi="宋体" w:cs="宋体"/>
                <w:bCs/>
                <w:color w:val="auto"/>
                <w:kern w:val="0"/>
                <w:szCs w:val="21"/>
                <w:highlight w:val="none"/>
              </w:rPr>
            </w:pPr>
            <w:r>
              <w:rPr>
                <w:rFonts w:hint="eastAsia" w:ascii="宋体" w:hAnsi="宋体" w:cs="宋体"/>
                <w:bCs/>
                <w:color w:val="auto"/>
                <w:kern w:val="0"/>
                <w:szCs w:val="21"/>
                <w:highlight w:val="none"/>
              </w:rPr>
              <w:t>中间件专项支持</w:t>
            </w:r>
          </w:p>
          <w:p w14:paraId="4E329263">
            <w:pPr>
              <w:pStyle w:val="39"/>
              <w:adjustRightInd w:val="0"/>
              <w:snapToGrid w:val="0"/>
              <w:ind w:firstLine="378" w:firstLineChars="180"/>
              <w:rPr>
                <w:rFonts w:hint="eastAsia"/>
                <w:bCs/>
                <w:color w:val="auto"/>
                <w:highlight w:val="none"/>
              </w:rPr>
            </w:pPr>
            <w:r>
              <w:rPr>
                <w:rFonts w:hint="eastAsia"/>
                <w:bCs/>
                <w:color w:val="auto"/>
                <w:highlight w:val="none"/>
              </w:rPr>
              <w:t>驻场运维团队针对医保局和ISV在医保HSAF设计场景下的云平台中间件产品使用、EDAS微服务改造实践、灰度发布、应用限流降级、ARMS全链路监控、MQ消费异常、CSB性能提升等十多个场景里提供专家技术服务，配合业务测试验证等工作。及时排查由于系统环境（虚拟机、中间件）出现的问题，快速定位问题并协助对应的厂商解决问题。该项服务工作用于保障消息队列、edas、API网关等中间件的稳定运行。</w:t>
            </w:r>
          </w:p>
          <w:p w14:paraId="0526BB15">
            <w:pPr>
              <w:widowControl/>
              <w:numPr>
                <w:ilvl w:val="0"/>
                <w:numId w:val="11"/>
              </w:numPr>
              <w:tabs>
                <w:tab w:val="left" w:pos="420"/>
                <w:tab w:val="clear" w:pos="0"/>
              </w:tabs>
              <w:adjustRightInd w:val="0"/>
              <w:snapToGrid w:val="0"/>
              <w:ind w:left="0" w:firstLine="425"/>
              <w:outlineLvl w:val="3"/>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数据库专项支持</w:t>
            </w:r>
          </w:p>
          <w:p w14:paraId="39E3C34F">
            <w:pPr>
              <w:pStyle w:val="39"/>
              <w:adjustRightInd w:val="0"/>
              <w:snapToGrid w:val="0"/>
              <w:ind w:firstLine="378" w:firstLineChars="180"/>
              <w:rPr>
                <w:rFonts w:hint="eastAsia"/>
                <w:bCs/>
                <w:color w:val="auto"/>
                <w:highlight w:val="none"/>
              </w:rPr>
            </w:pPr>
            <w:r>
              <w:rPr>
                <w:rFonts w:hint="eastAsia"/>
                <w:bCs/>
                <w:color w:val="auto"/>
                <w:highlight w:val="none"/>
              </w:rPr>
              <w:t>在医保系统中，数据库是基金安全的“账本”，更是千万群众的“生命线”。我们以“零丢失、零中断、零泄露”为准则，构建覆盖“高可用–备份–性能–安全–合规”全维度的数据库治理体系，保医保核心数据库的高可用、高性能、高安全。</w:t>
            </w:r>
          </w:p>
          <w:p w14:paraId="71C88DC1">
            <w:pPr>
              <w:pStyle w:val="39"/>
              <w:adjustRightInd w:val="0"/>
              <w:snapToGrid w:val="0"/>
              <w:ind w:firstLine="378" w:firstLineChars="180"/>
              <w:rPr>
                <w:rFonts w:hint="eastAsia"/>
                <w:bCs/>
                <w:color w:val="auto"/>
                <w:highlight w:val="none"/>
              </w:rPr>
            </w:pPr>
            <w:r>
              <w:rPr>
                <w:rFonts w:hint="eastAsia"/>
                <w:bCs/>
                <w:color w:val="auto"/>
                <w:highlight w:val="none"/>
              </w:rPr>
              <w:t>驻场运维团队针对医保业务重度使用数据库技术场景特点，提供分布式数据库架构设计，产品使用，分库分表、索引优化等方面提供支持。联合ISV共同提升数据库使用和治理能力。确保核心数据库的高可用、高性能、高安全。</w:t>
            </w:r>
          </w:p>
          <w:p w14:paraId="35F32012">
            <w:pPr>
              <w:widowControl/>
              <w:numPr>
                <w:ilvl w:val="0"/>
                <w:numId w:val="11"/>
              </w:numPr>
              <w:tabs>
                <w:tab w:val="left" w:pos="420"/>
                <w:tab w:val="clear" w:pos="0"/>
              </w:tabs>
              <w:adjustRightInd w:val="0"/>
              <w:snapToGrid w:val="0"/>
              <w:ind w:left="0" w:firstLine="425"/>
              <w:outlineLvl w:val="3"/>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备份策略制定与恢复</w:t>
            </w:r>
          </w:p>
          <w:p w14:paraId="4B222F3A">
            <w:pPr>
              <w:pStyle w:val="39"/>
              <w:adjustRightInd w:val="0"/>
              <w:snapToGrid w:val="0"/>
              <w:ind w:firstLine="378" w:firstLineChars="180"/>
              <w:rPr>
                <w:rFonts w:hint="eastAsia"/>
                <w:bCs/>
                <w:color w:val="auto"/>
                <w:highlight w:val="none"/>
              </w:rPr>
            </w:pPr>
            <w:r>
              <w:rPr>
                <w:rFonts w:hint="eastAsia"/>
                <w:bCs/>
                <w:color w:val="auto"/>
                <w:highlight w:val="none"/>
              </w:rPr>
              <w:t>根据云平台资源和业务使用情况，针对例如ecs快照、rds备份、oss备份策略、元数据库备份、云盾审计日志等内容定制合理的备份策略和备份任务优化，并定期进行备份恢复演练，确保数据安全，定期对备份系统和数据进行服务测试，确保主系统出现问题时，备份系统能够及时切换使用。该项服务工作确保数据可安全备份、可安全恢复，满足PRO/RTO要求。</w:t>
            </w:r>
          </w:p>
          <w:p w14:paraId="797A91FE">
            <w:pPr>
              <w:widowControl/>
              <w:numPr>
                <w:ilvl w:val="0"/>
                <w:numId w:val="11"/>
              </w:numPr>
              <w:tabs>
                <w:tab w:val="left" w:pos="420"/>
                <w:tab w:val="clear" w:pos="0"/>
              </w:tabs>
              <w:adjustRightInd w:val="0"/>
              <w:snapToGrid w:val="0"/>
              <w:ind w:left="0" w:firstLine="425"/>
              <w:outlineLvl w:val="3"/>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故障演练</w:t>
            </w:r>
          </w:p>
          <w:p w14:paraId="6E3FB9E0">
            <w:pPr>
              <w:pStyle w:val="39"/>
              <w:adjustRightInd w:val="0"/>
              <w:snapToGrid w:val="0"/>
              <w:ind w:firstLine="378" w:firstLineChars="180"/>
              <w:rPr>
                <w:rFonts w:hint="eastAsia"/>
                <w:bCs/>
                <w:color w:val="auto"/>
                <w:highlight w:val="none"/>
              </w:rPr>
            </w:pPr>
            <w:r>
              <w:rPr>
                <w:rFonts w:hint="eastAsia"/>
                <w:bCs/>
                <w:color w:val="auto"/>
                <w:highlight w:val="none"/>
              </w:rPr>
              <w:t>故障演练服务由驻场运维团队基于全国医保云产品运维最佳实践，贴合医保业务实际场景，针对重点使用产品（例如数据库、中间件、大数据等）、重点业务系统开展常态化定期故障演练。包括产品和场景选择，方案制定、风险评估、演练实施等，并对演练结果进行总结分析，优化故障应急流程。该项服务工作实现提升运维服务能力和业务保障水平的目标，确保云平台功能的可用性，验证高可用与灾备能力，提升应急响应实战水平。</w:t>
            </w:r>
          </w:p>
          <w:p w14:paraId="1DCAC947">
            <w:pPr>
              <w:pStyle w:val="39"/>
              <w:adjustRightInd w:val="0"/>
              <w:snapToGrid w:val="0"/>
              <w:ind w:firstLine="378" w:firstLineChars="180"/>
              <w:rPr>
                <w:rFonts w:hint="eastAsia"/>
                <w:bCs/>
                <w:color w:val="auto"/>
                <w:highlight w:val="none"/>
              </w:rPr>
            </w:pPr>
            <w:r>
              <w:rPr>
                <w:rFonts w:hint="eastAsia"/>
                <w:bCs/>
                <w:color w:val="auto"/>
                <w:highlight w:val="none"/>
              </w:rPr>
              <w:t>（三）成果要求</w:t>
            </w:r>
          </w:p>
          <w:p w14:paraId="079868DC">
            <w:pPr>
              <w:pStyle w:val="39"/>
              <w:adjustRightInd w:val="0"/>
              <w:ind w:firstLine="378" w:firstLineChars="180"/>
              <w:rPr>
                <w:rFonts w:hint="eastAsia"/>
                <w:bCs/>
                <w:color w:val="auto"/>
                <w:highlight w:val="none"/>
              </w:rPr>
            </w:pPr>
            <w:r>
              <w:rPr>
                <w:rFonts w:hint="eastAsia"/>
                <w:bCs/>
                <w:color w:val="auto"/>
                <w:highlight w:val="none"/>
              </w:rPr>
              <w:t>严格执行国家医保局和广西壮族自治区医保局印发的关于医保信息平台运维相关规范和指导文件，在不同时间周期（每月、每季度、每半年、每年）出具交付成果，制定成果文件质量保障措施，确保交付物符合实际需要，文字严谨，数据真实可靠，内容详实，工作成果物包含但不限于以下文件：</w:t>
            </w:r>
          </w:p>
          <w:tbl>
            <w:tblPr>
              <w:tblStyle w:val="24"/>
              <w:tblW w:w="74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9"/>
              <w:gridCol w:w="1079"/>
              <w:gridCol w:w="1055"/>
              <w:gridCol w:w="1694"/>
              <w:gridCol w:w="720"/>
              <w:gridCol w:w="2301"/>
            </w:tblGrid>
            <w:tr w14:paraId="76535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blHeader/>
              </w:trPr>
              <w:tc>
                <w:tcPr>
                  <w:tcW w:w="383" w:type="pct"/>
                  <w:noWrap/>
                  <w:vAlign w:val="center"/>
                </w:tcPr>
                <w:p w14:paraId="7CFB7F02">
                  <w:pPr>
                    <w:pStyle w:val="39"/>
                    <w:adjustRightInd w:val="0"/>
                    <w:snapToGrid w:val="0"/>
                    <w:jc w:val="center"/>
                    <w:rPr>
                      <w:rFonts w:hint="eastAsia"/>
                      <w:bCs/>
                      <w:color w:val="auto"/>
                      <w:highlight w:val="none"/>
                    </w:rPr>
                  </w:pPr>
                  <w:r>
                    <w:rPr>
                      <w:rFonts w:hint="eastAsia"/>
                      <w:bCs/>
                      <w:color w:val="auto"/>
                      <w:highlight w:val="none"/>
                      <w:lang w:bidi="ar"/>
                    </w:rPr>
                    <w:t>序号</w:t>
                  </w:r>
                </w:p>
              </w:tc>
              <w:tc>
                <w:tcPr>
                  <w:tcW w:w="727" w:type="pct"/>
                  <w:noWrap/>
                  <w:vAlign w:val="center"/>
                </w:tcPr>
                <w:p w14:paraId="57446DAE">
                  <w:pPr>
                    <w:pStyle w:val="39"/>
                    <w:adjustRightInd w:val="0"/>
                    <w:snapToGrid w:val="0"/>
                    <w:jc w:val="center"/>
                    <w:rPr>
                      <w:rFonts w:hint="eastAsia"/>
                      <w:bCs/>
                      <w:color w:val="auto"/>
                      <w:highlight w:val="none"/>
                    </w:rPr>
                  </w:pPr>
                  <w:r>
                    <w:rPr>
                      <w:rFonts w:hint="eastAsia"/>
                      <w:bCs/>
                      <w:color w:val="auto"/>
                      <w:highlight w:val="none"/>
                      <w:lang w:bidi="ar"/>
                    </w:rPr>
                    <w:t>类别</w:t>
                  </w:r>
                </w:p>
              </w:tc>
              <w:tc>
                <w:tcPr>
                  <w:tcW w:w="711" w:type="pct"/>
                  <w:noWrap/>
                  <w:vAlign w:val="center"/>
                </w:tcPr>
                <w:p w14:paraId="77309316">
                  <w:pPr>
                    <w:pStyle w:val="39"/>
                    <w:adjustRightInd w:val="0"/>
                    <w:snapToGrid w:val="0"/>
                    <w:jc w:val="center"/>
                    <w:rPr>
                      <w:rFonts w:hint="eastAsia"/>
                      <w:bCs/>
                      <w:color w:val="auto"/>
                      <w:highlight w:val="none"/>
                    </w:rPr>
                  </w:pPr>
                  <w:r>
                    <w:rPr>
                      <w:rFonts w:hint="eastAsia"/>
                      <w:bCs/>
                      <w:color w:val="auto"/>
                      <w:highlight w:val="none"/>
                      <w:lang w:bidi="ar"/>
                    </w:rPr>
                    <w:t>服务分类</w:t>
                  </w:r>
                </w:p>
              </w:tc>
              <w:tc>
                <w:tcPr>
                  <w:tcW w:w="1141" w:type="pct"/>
                  <w:noWrap/>
                  <w:vAlign w:val="center"/>
                </w:tcPr>
                <w:p w14:paraId="1D879BE5">
                  <w:pPr>
                    <w:pStyle w:val="39"/>
                    <w:adjustRightInd w:val="0"/>
                    <w:snapToGrid w:val="0"/>
                    <w:ind w:firstLine="378" w:firstLineChars="180"/>
                    <w:rPr>
                      <w:rFonts w:hint="eastAsia"/>
                      <w:bCs/>
                      <w:color w:val="auto"/>
                      <w:highlight w:val="none"/>
                    </w:rPr>
                  </w:pPr>
                  <w:r>
                    <w:rPr>
                      <w:rFonts w:hint="eastAsia"/>
                      <w:bCs/>
                      <w:color w:val="auto"/>
                      <w:highlight w:val="none"/>
                      <w:lang w:bidi="ar"/>
                    </w:rPr>
                    <w:t>服务内容</w:t>
                  </w:r>
                </w:p>
              </w:tc>
              <w:tc>
                <w:tcPr>
                  <w:tcW w:w="485" w:type="pct"/>
                  <w:noWrap/>
                  <w:vAlign w:val="center"/>
                </w:tcPr>
                <w:p w14:paraId="76745F0E">
                  <w:pPr>
                    <w:pStyle w:val="39"/>
                    <w:adjustRightInd w:val="0"/>
                    <w:snapToGrid w:val="0"/>
                    <w:rPr>
                      <w:rFonts w:hint="eastAsia"/>
                      <w:bCs/>
                      <w:color w:val="auto"/>
                      <w:highlight w:val="none"/>
                    </w:rPr>
                  </w:pPr>
                  <w:r>
                    <w:rPr>
                      <w:rFonts w:hint="eastAsia"/>
                      <w:bCs/>
                      <w:color w:val="auto"/>
                      <w:highlight w:val="none"/>
                      <w:lang w:bidi="ar"/>
                    </w:rPr>
                    <w:t>频次</w:t>
                  </w:r>
                </w:p>
              </w:tc>
              <w:tc>
                <w:tcPr>
                  <w:tcW w:w="1550" w:type="pct"/>
                  <w:noWrap/>
                  <w:vAlign w:val="center"/>
                </w:tcPr>
                <w:p w14:paraId="696F8522">
                  <w:pPr>
                    <w:pStyle w:val="39"/>
                    <w:adjustRightInd w:val="0"/>
                    <w:snapToGrid w:val="0"/>
                    <w:ind w:firstLine="378" w:firstLineChars="180"/>
                    <w:rPr>
                      <w:rFonts w:hint="eastAsia"/>
                      <w:bCs/>
                      <w:color w:val="auto"/>
                      <w:highlight w:val="none"/>
                    </w:rPr>
                  </w:pPr>
                  <w:r>
                    <w:rPr>
                      <w:rFonts w:hint="eastAsia"/>
                      <w:bCs/>
                      <w:color w:val="auto"/>
                      <w:highlight w:val="none"/>
                      <w:lang w:bidi="ar"/>
                    </w:rPr>
                    <w:t>工作交付物</w:t>
                  </w:r>
                </w:p>
              </w:tc>
            </w:tr>
            <w:tr w14:paraId="7A42B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3" w:type="pct"/>
                  <w:vAlign w:val="center"/>
                </w:tcPr>
                <w:p w14:paraId="7716D480">
                  <w:pPr>
                    <w:pStyle w:val="39"/>
                    <w:adjustRightInd w:val="0"/>
                    <w:snapToGrid w:val="0"/>
                    <w:jc w:val="center"/>
                    <w:rPr>
                      <w:rFonts w:hint="eastAsia"/>
                      <w:bCs/>
                      <w:color w:val="auto"/>
                      <w:highlight w:val="none"/>
                    </w:rPr>
                  </w:pPr>
                  <w:r>
                    <w:rPr>
                      <w:rFonts w:hint="eastAsia"/>
                      <w:bCs/>
                      <w:color w:val="auto"/>
                      <w:highlight w:val="none"/>
                      <w:lang w:bidi="ar"/>
                    </w:rPr>
                    <w:t>1</w:t>
                  </w:r>
                </w:p>
              </w:tc>
              <w:tc>
                <w:tcPr>
                  <w:tcW w:w="727" w:type="pct"/>
                  <w:vMerge w:val="restart"/>
                  <w:vAlign w:val="center"/>
                </w:tcPr>
                <w:p w14:paraId="41E31E52">
                  <w:pPr>
                    <w:pStyle w:val="39"/>
                    <w:adjustRightInd w:val="0"/>
                    <w:snapToGrid w:val="0"/>
                    <w:jc w:val="center"/>
                    <w:rPr>
                      <w:rFonts w:hint="eastAsia"/>
                      <w:bCs/>
                      <w:color w:val="auto"/>
                      <w:highlight w:val="none"/>
                    </w:rPr>
                  </w:pPr>
                  <w:r>
                    <w:rPr>
                      <w:rFonts w:hint="eastAsia"/>
                      <w:bCs/>
                      <w:color w:val="auto"/>
                      <w:highlight w:val="none"/>
                      <w:lang w:bidi="ar"/>
                    </w:rPr>
                    <w:t>服务成果</w:t>
                  </w:r>
                </w:p>
              </w:tc>
              <w:tc>
                <w:tcPr>
                  <w:tcW w:w="711" w:type="pct"/>
                  <w:vAlign w:val="center"/>
                </w:tcPr>
                <w:p w14:paraId="410F1850">
                  <w:pPr>
                    <w:pStyle w:val="39"/>
                    <w:adjustRightInd w:val="0"/>
                    <w:snapToGrid w:val="0"/>
                    <w:jc w:val="center"/>
                    <w:rPr>
                      <w:rFonts w:hint="eastAsia"/>
                      <w:bCs/>
                      <w:color w:val="auto"/>
                      <w:highlight w:val="none"/>
                      <w:lang w:bidi="ar"/>
                    </w:rPr>
                  </w:pPr>
                  <w:r>
                    <w:rPr>
                      <w:rFonts w:hint="eastAsia"/>
                      <w:bCs/>
                      <w:color w:val="auto"/>
                      <w:highlight w:val="none"/>
                      <w:lang w:bidi="ar"/>
                    </w:rPr>
                    <w:t>组织管理</w:t>
                  </w:r>
                </w:p>
              </w:tc>
              <w:tc>
                <w:tcPr>
                  <w:tcW w:w="1141" w:type="pct"/>
                  <w:vAlign w:val="center"/>
                </w:tcPr>
                <w:p w14:paraId="7B249DCF">
                  <w:pPr>
                    <w:pStyle w:val="39"/>
                    <w:adjustRightInd w:val="0"/>
                    <w:snapToGrid w:val="0"/>
                    <w:rPr>
                      <w:rFonts w:hint="eastAsia"/>
                      <w:bCs/>
                      <w:color w:val="auto"/>
                      <w:highlight w:val="none"/>
                      <w:lang w:bidi="ar"/>
                    </w:rPr>
                  </w:pPr>
                  <w:r>
                    <w:rPr>
                      <w:rFonts w:hint="eastAsia"/>
                      <w:bCs/>
                      <w:color w:val="auto"/>
                      <w:highlight w:val="none"/>
                      <w:lang w:bidi="ar"/>
                    </w:rPr>
                    <w:t>运维实施方案</w:t>
                  </w:r>
                </w:p>
              </w:tc>
              <w:tc>
                <w:tcPr>
                  <w:tcW w:w="485" w:type="pct"/>
                  <w:vAlign w:val="center"/>
                </w:tcPr>
                <w:p w14:paraId="46C70BDB">
                  <w:pPr>
                    <w:pStyle w:val="39"/>
                    <w:adjustRightInd w:val="0"/>
                    <w:snapToGrid w:val="0"/>
                    <w:rPr>
                      <w:rFonts w:hint="eastAsia"/>
                      <w:bCs/>
                      <w:color w:val="auto"/>
                      <w:highlight w:val="none"/>
                      <w:lang w:bidi="ar"/>
                    </w:rPr>
                  </w:pPr>
                  <w:r>
                    <w:rPr>
                      <w:rFonts w:hint="eastAsia"/>
                      <w:bCs/>
                      <w:color w:val="auto"/>
                      <w:highlight w:val="none"/>
                      <w:lang w:bidi="ar"/>
                    </w:rPr>
                    <w:t>一次性</w:t>
                  </w:r>
                </w:p>
              </w:tc>
              <w:tc>
                <w:tcPr>
                  <w:tcW w:w="1550" w:type="pct"/>
                  <w:vAlign w:val="center"/>
                </w:tcPr>
                <w:p w14:paraId="5D1E9B8F">
                  <w:pPr>
                    <w:pStyle w:val="39"/>
                    <w:adjustRightInd w:val="0"/>
                    <w:snapToGrid w:val="0"/>
                    <w:rPr>
                      <w:rFonts w:hint="eastAsia"/>
                      <w:bCs/>
                      <w:color w:val="auto"/>
                      <w:highlight w:val="none"/>
                      <w:lang w:bidi="ar"/>
                    </w:rPr>
                  </w:pPr>
                  <w:r>
                    <w:rPr>
                      <w:rFonts w:hint="eastAsia"/>
                      <w:bCs/>
                      <w:color w:val="auto"/>
                      <w:highlight w:val="none"/>
                      <w:lang w:bidi="ar"/>
                    </w:rPr>
                    <w:t>《系统运维实施方案》</w:t>
                  </w:r>
                </w:p>
              </w:tc>
            </w:tr>
            <w:tr w14:paraId="494A3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3" w:type="pct"/>
                  <w:vAlign w:val="center"/>
                </w:tcPr>
                <w:p w14:paraId="6C59BE9B">
                  <w:pPr>
                    <w:pStyle w:val="39"/>
                    <w:adjustRightInd w:val="0"/>
                    <w:snapToGrid w:val="0"/>
                    <w:jc w:val="center"/>
                    <w:rPr>
                      <w:rFonts w:hint="eastAsia"/>
                      <w:bCs/>
                      <w:color w:val="auto"/>
                      <w:highlight w:val="none"/>
                      <w:lang w:bidi="ar"/>
                    </w:rPr>
                  </w:pPr>
                  <w:r>
                    <w:rPr>
                      <w:rFonts w:hint="eastAsia"/>
                      <w:bCs/>
                      <w:color w:val="auto"/>
                      <w:highlight w:val="none"/>
                      <w:lang w:bidi="ar"/>
                    </w:rPr>
                    <w:t>2</w:t>
                  </w:r>
                </w:p>
              </w:tc>
              <w:tc>
                <w:tcPr>
                  <w:tcW w:w="727" w:type="pct"/>
                  <w:vMerge w:val="continue"/>
                  <w:vAlign w:val="center"/>
                </w:tcPr>
                <w:p w14:paraId="49F23785">
                  <w:pPr>
                    <w:pStyle w:val="39"/>
                    <w:adjustRightInd w:val="0"/>
                    <w:snapToGrid w:val="0"/>
                    <w:ind w:firstLine="378" w:firstLineChars="180"/>
                    <w:rPr>
                      <w:rFonts w:hint="eastAsia"/>
                      <w:bCs/>
                      <w:color w:val="auto"/>
                      <w:highlight w:val="none"/>
                      <w:lang w:bidi="ar"/>
                    </w:rPr>
                  </w:pPr>
                </w:p>
              </w:tc>
              <w:tc>
                <w:tcPr>
                  <w:tcW w:w="711" w:type="pct"/>
                  <w:vAlign w:val="center"/>
                </w:tcPr>
                <w:p w14:paraId="6C48C2DA">
                  <w:pPr>
                    <w:pStyle w:val="39"/>
                    <w:adjustRightInd w:val="0"/>
                    <w:snapToGrid w:val="0"/>
                    <w:jc w:val="center"/>
                    <w:rPr>
                      <w:rFonts w:hint="eastAsia"/>
                      <w:bCs/>
                      <w:color w:val="auto"/>
                      <w:highlight w:val="none"/>
                      <w:lang w:bidi="ar"/>
                    </w:rPr>
                  </w:pPr>
                  <w:r>
                    <w:rPr>
                      <w:rFonts w:hint="eastAsia"/>
                      <w:bCs/>
                      <w:color w:val="auto"/>
                      <w:highlight w:val="none"/>
                      <w:lang w:bidi="ar"/>
                    </w:rPr>
                    <w:t>组织管理</w:t>
                  </w:r>
                </w:p>
              </w:tc>
              <w:tc>
                <w:tcPr>
                  <w:tcW w:w="1141" w:type="pct"/>
                  <w:vAlign w:val="center"/>
                </w:tcPr>
                <w:p w14:paraId="3E6827B9">
                  <w:pPr>
                    <w:pStyle w:val="39"/>
                    <w:adjustRightInd w:val="0"/>
                    <w:snapToGrid w:val="0"/>
                    <w:rPr>
                      <w:rFonts w:hint="eastAsia"/>
                      <w:bCs/>
                      <w:color w:val="auto"/>
                      <w:highlight w:val="none"/>
                      <w:lang w:bidi="ar"/>
                    </w:rPr>
                  </w:pPr>
                  <w:r>
                    <w:rPr>
                      <w:rFonts w:hint="eastAsia"/>
                      <w:bCs/>
                      <w:color w:val="auto"/>
                      <w:highlight w:val="none"/>
                      <w:lang w:bidi="ar"/>
                    </w:rPr>
                    <w:t>运维人员分工</w:t>
                  </w:r>
                </w:p>
              </w:tc>
              <w:tc>
                <w:tcPr>
                  <w:tcW w:w="485" w:type="pct"/>
                  <w:vAlign w:val="center"/>
                </w:tcPr>
                <w:p w14:paraId="3CC8A7DE">
                  <w:pPr>
                    <w:pStyle w:val="39"/>
                    <w:adjustRightInd w:val="0"/>
                    <w:snapToGrid w:val="0"/>
                    <w:rPr>
                      <w:rFonts w:hint="eastAsia"/>
                      <w:bCs/>
                      <w:color w:val="auto"/>
                      <w:highlight w:val="none"/>
                      <w:lang w:bidi="ar"/>
                    </w:rPr>
                  </w:pPr>
                  <w:r>
                    <w:rPr>
                      <w:rFonts w:hint="eastAsia"/>
                      <w:bCs/>
                      <w:color w:val="auto"/>
                      <w:highlight w:val="none"/>
                      <w:lang w:bidi="ar"/>
                    </w:rPr>
                    <w:t>一次性</w:t>
                  </w:r>
                </w:p>
              </w:tc>
              <w:tc>
                <w:tcPr>
                  <w:tcW w:w="1550" w:type="pct"/>
                  <w:vAlign w:val="center"/>
                </w:tcPr>
                <w:p w14:paraId="78DCCA4F">
                  <w:pPr>
                    <w:pStyle w:val="39"/>
                    <w:adjustRightInd w:val="0"/>
                    <w:snapToGrid w:val="0"/>
                    <w:rPr>
                      <w:rFonts w:hint="eastAsia"/>
                      <w:bCs/>
                      <w:color w:val="auto"/>
                      <w:highlight w:val="none"/>
                      <w:lang w:bidi="ar"/>
                    </w:rPr>
                  </w:pPr>
                  <w:r>
                    <w:rPr>
                      <w:rFonts w:hint="eastAsia"/>
                      <w:bCs/>
                      <w:color w:val="auto"/>
                      <w:highlight w:val="none"/>
                      <w:lang w:bidi="ar"/>
                    </w:rPr>
                    <w:t>《运维团队职责分工表》</w:t>
                  </w:r>
                </w:p>
              </w:tc>
            </w:tr>
            <w:tr w14:paraId="4DFB6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3" w:type="pct"/>
                  <w:vAlign w:val="center"/>
                </w:tcPr>
                <w:p w14:paraId="3E3995E4">
                  <w:pPr>
                    <w:pStyle w:val="39"/>
                    <w:adjustRightInd w:val="0"/>
                    <w:snapToGrid w:val="0"/>
                    <w:jc w:val="center"/>
                    <w:rPr>
                      <w:rFonts w:hint="eastAsia"/>
                      <w:bCs/>
                      <w:color w:val="auto"/>
                      <w:highlight w:val="none"/>
                    </w:rPr>
                  </w:pPr>
                  <w:r>
                    <w:rPr>
                      <w:rFonts w:hint="eastAsia"/>
                      <w:bCs/>
                      <w:color w:val="auto"/>
                      <w:highlight w:val="none"/>
                    </w:rPr>
                    <w:t>3</w:t>
                  </w:r>
                </w:p>
              </w:tc>
              <w:tc>
                <w:tcPr>
                  <w:tcW w:w="727" w:type="pct"/>
                  <w:vMerge w:val="continue"/>
                  <w:vAlign w:val="center"/>
                </w:tcPr>
                <w:p w14:paraId="42382525">
                  <w:pPr>
                    <w:pStyle w:val="39"/>
                    <w:adjustRightInd w:val="0"/>
                    <w:snapToGrid w:val="0"/>
                    <w:ind w:firstLine="378" w:firstLineChars="180"/>
                    <w:rPr>
                      <w:rFonts w:hint="eastAsia"/>
                      <w:bCs/>
                      <w:color w:val="auto"/>
                      <w:highlight w:val="none"/>
                    </w:rPr>
                  </w:pPr>
                </w:p>
              </w:tc>
              <w:tc>
                <w:tcPr>
                  <w:tcW w:w="711" w:type="pct"/>
                  <w:vAlign w:val="center"/>
                </w:tcPr>
                <w:p w14:paraId="7EF5C3B2">
                  <w:pPr>
                    <w:pStyle w:val="39"/>
                    <w:adjustRightInd w:val="0"/>
                    <w:snapToGrid w:val="0"/>
                    <w:jc w:val="center"/>
                    <w:rPr>
                      <w:rFonts w:hint="eastAsia"/>
                      <w:bCs/>
                      <w:color w:val="auto"/>
                      <w:highlight w:val="none"/>
                    </w:rPr>
                  </w:pPr>
                  <w:r>
                    <w:rPr>
                      <w:rFonts w:hint="eastAsia"/>
                      <w:bCs/>
                      <w:color w:val="auto"/>
                      <w:highlight w:val="none"/>
                    </w:rPr>
                    <w:t>运行测试</w:t>
                  </w:r>
                </w:p>
              </w:tc>
              <w:tc>
                <w:tcPr>
                  <w:tcW w:w="1141" w:type="pct"/>
                  <w:vAlign w:val="center"/>
                </w:tcPr>
                <w:p w14:paraId="356179E7">
                  <w:pPr>
                    <w:pStyle w:val="39"/>
                    <w:adjustRightInd w:val="0"/>
                    <w:snapToGrid w:val="0"/>
                    <w:rPr>
                      <w:rFonts w:hint="eastAsia"/>
                      <w:bCs/>
                      <w:color w:val="auto"/>
                      <w:highlight w:val="none"/>
                    </w:rPr>
                  </w:pPr>
                  <w:r>
                    <w:rPr>
                      <w:rFonts w:hint="eastAsia"/>
                      <w:bCs/>
                      <w:color w:val="auto"/>
                      <w:highlight w:val="none"/>
                    </w:rPr>
                    <w:t>系统运行分析</w:t>
                  </w:r>
                </w:p>
              </w:tc>
              <w:tc>
                <w:tcPr>
                  <w:tcW w:w="485" w:type="pct"/>
                  <w:vAlign w:val="center"/>
                </w:tcPr>
                <w:p w14:paraId="778E5EAB">
                  <w:pPr>
                    <w:pStyle w:val="39"/>
                    <w:adjustRightInd w:val="0"/>
                    <w:snapToGrid w:val="0"/>
                    <w:rPr>
                      <w:rFonts w:hint="eastAsia"/>
                      <w:bCs/>
                      <w:color w:val="auto"/>
                      <w:highlight w:val="none"/>
                    </w:rPr>
                  </w:pPr>
                  <w:r>
                    <w:rPr>
                      <w:rFonts w:hint="eastAsia"/>
                      <w:bCs/>
                      <w:color w:val="auto"/>
                      <w:highlight w:val="none"/>
                    </w:rPr>
                    <w:t>每季度</w:t>
                  </w:r>
                </w:p>
              </w:tc>
              <w:tc>
                <w:tcPr>
                  <w:tcW w:w="1550" w:type="pct"/>
                  <w:vAlign w:val="center"/>
                </w:tcPr>
                <w:p w14:paraId="2BD2B877">
                  <w:pPr>
                    <w:pStyle w:val="39"/>
                    <w:adjustRightInd w:val="0"/>
                    <w:snapToGrid w:val="0"/>
                    <w:rPr>
                      <w:rFonts w:hint="eastAsia"/>
                      <w:bCs/>
                      <w:color w:val="auto"/>
                      <w:highlight w:val="none"/>
                      <w:lang w:bidi="ar"/>
                    </w:rPr>
                  </w:pPr>
                  <w:r>
                    <w:rPr>
                      <w:rFonts w:hint="eastAsia"/>
                      <w:bCs/>
                      <w:color w:val="auto"/>
                      <w:highlight w:val="none"/>
                      <w:lang w:bidi="ar"/>
                    </w:rPr>
                    <w:t>《系统运行分析报告》</w:t>
                  </w:r>
                </w:p>
              </w:tc>
            </w:tr>
            <w:tr w14:paraId="4FC7C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3" w:type="pct"/>
                  <w:vAlign w:val="center"/>
                </w:tcPr>
                <w:p w14:paraId="40CDC503">
                  <w:pPr>
                    <w:pStyle w:val="39"/>
                    <w:adjustRightInd w:val="0"/>
                    <w:snapToGrid w:val="0"/>
                    <w:jc w:val="center"/>
                    <w:rPr>
                      <w:rFonts w:hint="eastAsia"/>
                      <w:bCs/>
                      <w:color w:val="auto"/>
                      <w:highlight w:val="none"/>
                    </w:rPr>
                  </w:pPr>
                  <w:r>
                    <w:rPr>
                      <w:rFonts w:hint="eastAsia"/>
                      <w:bCs/>
                      <w:color w:val="auto"/>
                      <w:highlight w:val="none"/>
                    </w:rPr>
                    <w:t>4</w:t>
                  </w:r>
                </w:p>
              </w:tc>
              <w:tc>
                <w:tcPr>
                  <w:tcW w:w="727" w:type="pct"/>
                  <w:vMerge w:val="continue"/>
                  <w:vAlign w:val="center"/>
                </w:tcPr>
                <w:p w14:paraId="310BD17E">
                  <w:pPr>
                    <w:pStyle w:val="39"/>
                    <w:adjustRightInd w:val="0"/>
                    <w:snapToGrid w:val="0"/>
                    <w:ind w:firstLine="378" w:firstLineChars="180"/>
                    <w:rPr>
                      <w:rFonts w:hint="eastAsia"/>
                      <w:bCs/>
                      <w:color w:val="auto"/>
                      <w:highlight w:val="none"/>
                    </w:rPr>
                  </w:pPr>
                </w:p>
              </w:tc>
              <w:tc>
                <w:tcPr>
                  <w:tcW w:w="711" w:type="pct"/>
                  <w:vAlign w:val="center"/>
                </w:tcPr>
                <w:p w14:paraId="2D709A9A">
                  <w:pPr>
                    <w:pStyle w:val="39"/>
                    <w:adjustRightInd w:val="0"/>
                    <w:snapToGrid w:val="0"/>
                    <w:jc w:val="center"/>
                    <w:rPr>
                      <w:rFonts w:hint="eastAsia"/>
                      <w:bCs/>
                      <w:color w:val="auto"/>
                      <w:highlight w:val="none"/>
                    </w:rPr>
                  </w:pPr>
                  <w:r>
                    <w:rPr>
                      <w:rFonts w:hint="eastAsia"/>
                      <w:bCs/>
                      <w:color w:val="auto"/>
                      <w:highlight w:val="none"/>
                      <w:lang w:bidi="ar"/>
                    </w:rPr>
                    <w:t>系统运维</w:t>
                  </w:r>
                </w:p>
              </w:tc>
              <w:tc>
                <w:tcPr>
                  <w:tcW w:w="1141" w:type="pct"/>
                  <w:vAlign w:val="center"/>
                </w:tcPr>
                <w:p w14:paraId="53E7D8E4">
                  <w:pPr>
                    <w:pStyle w:val="39"/>
                    <w:adjustRightInd w:val="0"/>
                    <w:snapToGrid w:val="0"/>
                    <w:rPr>
                      <w:rFonts w:hint="eastAsia"/>
                      <w:bCs/>
                      <w:color w:val="auto"/>
                      <w:highlight w:val="none"/>
                    </w:rPr>
                  </w:pPr>
                  <w:r>
                    <w:rPr>
                      <w:rFonts w:hint="eastAsia"/>
                      <w:bCs/>
                      <w:color w:val="auto"/>
                      <w:highlight w:val="none"/>
                      <w:lang w:bidi="ar"/>
                    </w:rPr>
                    <w:t>日常巡检与监控</w:t>
                  </w:r>
                </w:p>
              </w:tc>
              <w:tc>
                <w:tcPr>
                  <w:tcW w:w="485" w:type="pct"/>
                  <w:vAlign w:val="center"/>
                </w:tcPr>
                <w:p w14:paraId="00787F98">
                  <w:pPr>
                    <w:pStyle w:val="39"/>
                    <w:adjustRightInd w:val="0"/>
                    <w:snapToGrid w:val="0"/>
                    <w:rPr>
                      <w:rFonts w:hint="eastAsia"/>
                      <w:bCs/>
                      <w:color w:val="auto"/>
                      <w:highlight w:val="none"/>
                    </w:rPr>
                  </w:pPr>
                  <w:r>
                    <w:rPr>
                      <w:rFonts w:hint="eastAsia"/>
                      <w:bCs/>
                      <w:color w:val="auto"/>
                      <w:highlight w:val="none"/>
                      <w:lang w:bidi="ar"/>
                    </w:rPr>
                    <w:t>每周/次</w:t>
                  </w:r>
                </w:p>
              </w:tc>
              <w:tc>
                <w:tcPr>
                  <w:tcW w:w="1550" w:type="pct"/>
                  <w:vAlign w:val="center"/>
                </w:tcPr>
                <w:p w14:paraId="29C398C0">
                  <w:pPr>
                    <w:pStyle w:val="39"/>
                    <w:adjustRightInd w:val="0"/>
                    <w:snapToGrid w:val="0"/>
                    <w:rPr>
                      <w:rFonts w:hint="eastAsia"/>
                      <w:bCs/>
                      <w:color w:val="auto"/>
                      <w:highlight w:val="none"/>
                      <w:lang w:bidi="ar"/>
                    </w:rPr>
                  </w:pPr>
                  <w:r>
                    <w:rPr>
                      <w:rFonts w:hint="eastAsia"/>
                      <w:bCs/>
                      <w:color w:val="auto"/>
                      <w:highlight w:val="none"/>
                      <w:lang w:bidi="ar"/>
                    </w:rPr>
                    <w:t>《系统运维巡检报告》</w:t>
                  </w:r>
                </w:p>
              </w:tc>
            </w:tr>
            <w:tr w14:paraId="4C7E8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3" w:type="pct"/>
                  <w:vAlign w:val="center"/>
                </w:tcPr>
                <w:p w14:paraId="3F7E865A">
                  <w:pPr>
                    <w:pStyle w:val="39"/>
                    <w:adjustRightInd w:val="0"/>
                    <w:snapToGrid w:val="0"/>
                    <w:jc w:val="center"/>
                    <w:rPr>
                      <w:rFonts w:hint="eastAsia"/>
                      <w:bCs/>
                      <w:color w:val="auto"/>
                      <w:highlight w:val="none"/>
                    </w:rPr>
                  </w:pPr>
                  <w:r>
                    <w:rPr>
                      <w:rFonts w:hint="eastAsia"/>
                      <w:bCs/>
                      <w:color w:val="auto"/>
                      <w:highlight w:val="none"/>
                    </w:rPr>
                    <w:t>5</w:t>
                  </w:r>
                </w:p>
              </w:tc>
              <w:tc>
                <w:tcPr>
                  <w:tcW w:w="727" w:type="pct"/>
                  <w:vMerge w:val="continue"/>
                  <w:vAlign w:val="center"/>
                </w:tcPr>
                <w:p w14:paraId="73F4EEE1">
                  <w:pPr>
                    <w:pStyle w:val="39"/>
                    <w:adjustRightInd w:val="0"/>
                    <w:snapToGrid w:val="0"/>
                    <w:ind w:firstLine="378" w:firstLineChars="180"/>
                    <w:rPr>
                      <w:rFonts w:hint="eastAsia"/>
                      <w:bCs/>
                      <w:color w:val="auto"/>
                      <w:highlight w:val="none"/>
                    </w:rPr>
                  </w:pPr>
                </w:p>
              </w:tc>
              <w:tc>
                <w:tcPr>
                  <w:tcW w:w="711" w:type="pct"/>
                  <w:vAlign w:val="center"/>
                </w:tcPr>
                <w:p w14:paraId="167D12D2">
                  <w:pPr>
                    <w:pStyle w:val="39"/>
                    <w:adjustRightInd w:val="0"/>
                    <w:snapToGrid w:val="0"/>
                    <w:jc w:val="center"/>
                    <w:rPr>
                      <w:rFonts w:hint="eastAsia"/>
                      <w:bCs/>
                      <w:color w:val="auto"/>
                      <w:highlight w:val="none"/>
                    </w:rPr>
                  </w:pPr>
                  <w:r>
                    <w:rPr>
                      <w:rFonts w:hint="eastAsia"/>
                      <w:bCs/>
                      <w:color w:val="auto"/>
                      <w:highlight w:val="none"/>
                      <w:lang w:bidi="ar"/>
                    </w:rPr>
                    <w:t>质量保障</w:t>
                  </w:r>
                </w:p>
              </w:tc>
              <w:tc>
                <w:tcPr>
                  <w:tcW w:w="1141" w:type="pct"/>
                  <w:vAlign w:val="center"/>
                </w:tcPr>
                <w:p w14:paraId="5747B71D">
                  <w:pPr>
                    <w:pStyle w:val="39"/>
                    <w:adjustRightInd w:val="0"/>
                    <w:snapToGrid w:val="0"/>
                    <w:rPr>
                      <w:rFonts w:hint="eastAsia"/>
                      <w:bCs/>
                      <w:color w:val="auto"/>
                      <w:highlight w:val="none"/>
                    </w:rPr>
                  </w:pPr>
                  <w:r>
                    <w:rPr>
                      <w:rFonts w:hint="eastAsia"/>
                      <w:bCs/>
                      <w:color w:val="auto"/>
                      <w:highlight w:val="none"/>
                      <w:lang w:bidi="ar"/>
                    </w:rPr>
                    <w:t>运维质量分析</w:t>
                  </w:r>
                </w:p>
              </w:tc>
              <w:tc>
                <w:tcPr>
                  <w:tcW w:w="485" w:type="pct"/>
                  <w:vAlign w:val="center"/>
                </w:tcPr>
                <w:p w14:paraId="7548AF8B">
                  <w:pPr>
                    <w:pStyle w:val="39"/>
                    <w:adjustRightInd w:val="0"/>
                    <w:snapToGrid w:val="0"/>
                    <w:rPr>
                      <w:rFonts w:hint="eastAsia"/>
                      <w:bCs/>
                      <w:color w:val="auto"/>
                      <w:highlight w:val="none"/>
                    </w:rPr>
                  </w:pPr>
                  <w:r>
                    <w:rPr>
                      <w:rFonts w:hint="eastAsia"/>
                      <w:bCs/>
                      <w:color w:val="auto"/>
                      <w:highlight w:val="none"/>
                      <w:lang w:bidi="ar"/>
                    </w:rPr>
                    <w:t>季度/次</w:t>
                  </w:r>
                </w:p>
              </w:tc>
              <w:tc>
                <w:tcPr>
                  <w:tcW w:w="1550" w:type="pct"/>
                  <w:vAlign w:val="center"/>
                </w:tcPr>
                <w:p w14:paraId="008369CD">
                  <w:pPr>
                    <w:pStyle w:val="39"/>
                    <w:adjustRightInd w:val="0"/>
                    <w:snapToGrid w:val="0"/>
                    <w:rPr>
                      <w:rFonts w:hint="eastAsia"/>
                      <w:bCs/>
                      <w:color w:val="auto"/>
                      <w:highlight w:val="none"/>
                      <w:lang w:bidi="ar"/>
                    </w:rPr>
                  </w:pPr>
                  <w:r>
                    <w:rPr>
                      <w:rFonts w:hint="eastAsia"/>
                      <w:bCs/>
                      <w:color w:val="auto"/>
                      <w:highlight w:val="none"/>
                      <w:lang w:bidi="ar"/>
                    </w:rPr>
                    <w:t>《运维质量分析报告》</w:t>
                  </w:r>
                </w:p>
              </w:tc>
            </w:tr>
            <w:tr w14:paraId="14BFC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0" w:hRule="atLeast"/>
              </w:trPr>
              <w:tc>
                <w:tcPr>
                  <w:tcW w:w="383" w:type="pct"/>
                  <w:vAlign w:val="center"/>
                </w:tcPr>
                <w:p w14:paraId="2DD3943B">
                  <w:pPr>
                    <w:pStyle w:val="39"/>
                    <w:adjustRightInd w:val="0"/>
                    <w:snapToGrid w:val="0"/>
                    <w:jc w:val="center"/>
                    <w:rPr>
                      <w:rFonts w:hint="eastAsia"/>
                      <w:bCs/>
                      <w:color w:val="auto"/>
                      <w:highlight w:val="none"/>
                    </w:rPr>
                  </w:pPr>
                  <w:r>
                    <w:rPr>
                      <w:rFonts w:hint="eastAsia"/>
                      <w:bCs/>
                      <w:color w:val="auto"/>
                      <w:highlight w:val="none"/>
                    </w:rPr>
                    <w:t>6</w:t>
                  </w:r>
                </w:p>
              </w:tc>
              <w:tc>
                <w:tcPr>
                  <w:tcW w:w="727" w:type="pct"/>
                  <w:vMerge w:val="continue"/>
                  <w:vAlign w:val="center"/>
                </w:tcPr>
                <w:p w14:paraId="28EA5521">
                  <w:pPr>
                    <w:pStyle w:val="39"/>
                    <w:adjustRightInd w:val="0"/>
                    <w:snapToGrid w:val="0"/>
                    <w:ind w:firstLine="378" w:firstLineChars="180"/>
                    <w:rPr>
                      <w:rFonts w:hint="eastAsia"/>
                      <w:bCs/>
                      <w:color w:val="auto"/>
                      <w:highlight w:val="none"/>
                    </w:rPr>
                  </w:pPr>
                </w:p>
              </w:tc>
              <w:tc>
                <w:tcPr>
                  <w:tcW w:w="711" w:type="pct"/>
                  <w:vAlign w:val="center"/>
                </w:tcPr>
                <w:p w14:paraId="40D0A795">
                  <w:pPr>
                    <w:pStyle w:val="39"/>
                    <w:adjustRightInd w:val="0"/>
                    <w:snapToGrid w:val="0"/>
                    <w:jc w:val="center"/>
                    <w:rPr>
                      <w:rFonts w:hint="eastAsia"/>
                      <w:bCs/>
                      <w:color w:val="auto"/>
                      <w:highlight w:val="none"/>
                      <w:lang w:bidi="ar"/>
                    </w:rPr>
                  </w:pPr>
                  <w:r>
                    <w:rPr>
                      <w:rFonts w:hint="eastAsia"/>
                      <w:bCs/>
                      <w:color w:val="auto"/>
                      <w:highlight w:val="none"/>
                      <w:lang w:bidi="ar"/>
                    </w:rPr>
                    <w:t>故障处理报告</w:t>
                  </w:r>
                </w:p>
              </w:tc>
              <w:tc>
                <w:tcPr>
                  <w:tcW w:w="1141" w:type="pct"/>
                  <w:vAlign w:val="center"/>
                </w:tcPr>
                <w:p w14:paraId="1FB9DBBE">
                  <w:pPr>
                    <w:pStyle w:val="39"/>
                    <w:adjustRightInd w:val="0"/>
                    <w:snapToGrid w:val="0"/>
                    <w:rPr>
                      <w:rFonts w:hint="eastAsia"/>
                      <w:bCs/>
                      <w:color w:val="auto"/>
                      <w:highlight w:val="none"/>
                      <w:lang w:bidi="ar"/>
                    </w:rPr>
                  </w:pPr>
                  <w:r>
                    <w:rPr>
                      <w:rFonts w:hint="eastAsia"/>
                      <w:bCs/>
                      <w:color w:val="auto"/>
                      <w:highlight w:val="none"/>
                      <w:lang w:bidi="ar"/>
                    </w:rPr>
                    <w:t>故障处理报告</w:t>
                  </w:r>
                </w:p>
              </w:tc>
              <w:tc>
                <w:tcPr>
                  <w:tcW w:w="485" w:type="pct"/>
                  <w:vAlign w:val="center"/>
                </w:tcPr>
                <w:p w14:paraId="382FCEFB">
                  <w:pPr>
                    <w:pStyle w:val="39"/>
                    <w:adjustRightInd w:val="0"/>
                    <w:snapToGrid w:val="0"/>
                    <w:rPr>
                      <w:rFonts w:hint="eastAsia"/>
                      <w:bCs/>
                      <w:color w:val="auto"/>
                      <w:highlight w:val="none"/>
                      <w:lang w:bidi="ar"/>
                    </w:rPr>
                  </w:pPr>
                  <w:r>
                    <w:rPr>
                      <w:rFonts w:hint="eastAsia"/>
                      <w:bCs/>
                      <w:color w:val="auto"/>
                      <w:highlight w:val="none"/>
                      <w:lang w:bidi="ar"/>
                    </w:rPr>
                    <w:t>月/次</w:t>
                  </w:r>
                </w:p>
              </w:tc>
              <w:tc>
                <w:tcPr>
                  <w:tcW w:w="1550" w:type="pct"/>
                  <w:vAlign w:val="center"/>
                </w:tcPr>
                <w:p w14:paraId="1D244D8D">
                  <w:pPr>
                    <w:pStyle w:val="39"/>
                    <w:adjustRightInd w:val="0"/>
                    <w:snapToGrid w:val="0"/>
                    <w:rPr>
                      <w:rFonts w:hint="eastAsia"/>
                      <w:bCs/>
                      <w:color w:val="auto"/>
                      <w:highlight w:val="none"/>
                      <w:lang w:bidi="ar"/>
                    </w:rPr>
                  </w:pPr>
                  <w:r>
                    <w:rPr>
                      <w:rFonts w:hint="eastAsia"/>
                      <w:bCs/>
                      <w:color w:val="auto"/>
                      <w:highlight w:val="none"/>
                      <w:lang w:bidi="ar"/>
                    </w:rPr>
                    <w:t>《系统运维故障处理报告》</w:t>
                  </w:r>
                </w:p>
              </w:tc>
            </w:tr>
            <w:tr w14:paraId="0E7C8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3" w:type="pct"/>
                  <w:vAlign w:val="center"/>
                </w:tcPr>
                <w:p w14:paraId="1D9959D2">
                  <w:pPr>
                    <w:pStyle w:val="39"/>
                    <w:adjustRightInd w:val="0"/>
                    <w:snapToGrid w:val="0"/>
                    <w:jc w:val="center"/>
                    <w:rPr>
                      <w:rFonts w:hint="eastAsia"/>
                      <w:bCs/>
                      <w:color w:val="auto"/>
                      <w:highlight w:val="none"/>
                      <w:lang w:bidi="ar"/>
                    </w:rPr>
                  </w:pPr>
                  <w:r>
                    <w:rPr>
                      <w:rFonts w:hint="eastAsia"/>
                      <w:bCs/>
                      <w:color w:val="auto"/>
                      <w:highlight w:val="none"/>
                      <w:lang w:bidi="ar"/>
                    </w:rPr>
                    <w:t>7</w:t>
                  </w:r>
                </w:p>
              </w:tc>
              <w:tc>
                <w:tcPr>
                  <w:tcW w:w="727" w:type="pct"/>
                  <w:vMerge w:val="continue"/>
                  <w:vAlign w:val="center"/>
                </w:tcPr>
                <w:p w14:paraId="1F179E24">
                  <w:pPr>
                    <w:pStyle w:val="39"/>
                    <w:adjustRightInd w:val="0"/>
                    <w:snapToGrid w:val="0"/>
                    <w:ind w:firstLine="378" w:firstLineChars="180"/>
                    <w:rPr>
                      <w:rFonts w:hint="eastAsia"/>
                      <w:bCs/>
                      <w:color w:val="auto"/>
                      <w:highlight w:val="none"/>
                    </w:rPr>
                  </w:pPr>
                </w:p>
              </w:tc>
              <w:tc>
                <w:tcPr>
                  <w:tcW w:w="711" w:type="pct"/>
                  <w:vAlign w:val="center"/>
                </w:tcPr>
                <w:p w14:paraId="681A7E2D">
                  <w:pPr>
                    <w:pStyle w:val="39"/>
                    <w:adjustRightInd w:val="0"/>
                    <w:snapToGrid w:val="0"/>
                    <w:jc w:val="center"/>
                    <w:rPr>
                      <w:rFonts w:hint="eastAsia"/>
                      <w:bCs/>
                      <w:color w:val="auto"/>
                      <w:highlight w:val="none"/>
                      <w:lang w:bidi="ar"/>
                    </w:rPr>
                  </w:pPr>
                  <w:r>
                    <w:rPr>
                      <w:rFonts w:hint="eastAsia"/>
                      <w:bCs/>
                      <w:color w:val="auto"/>
                      <w:highlight w:val="none"/>
                      <w:lang w:bidi="ar"/>
                    </w:rPr>
                    <w:t>策略管理</w:t>
                  </w:r>
                </w:p>
              </w:tc>
              <w:tc>
                <w:tcPr>
                  <w:tcW w:w="1141" w:type="pct"/>
                  <w:vAlign w:val="center"/>
                </w:tcPr>
                <w:p w14:paraId="5B677FE7">
                  <w:pPr>
                    <w:pStyle w:val="39"/>
                    <w:adjustRightInd w:val="0"/>
                    <w:snapToGrid w:val="0"/>
                    <w:rPr>
                      <w:rFonts w:hint="eastAsia"/>
                      <w:bCs/>
                      <w:color w:val="auto"/>
                      <w:highlight w:val="none"/>
                      <w:lang w:bidi="ar"/>
                    </w:rPr>
                  </w:pPr>
                  <w:r>
                    <w:rPr>
                      <w:rFonts w:hint="eastAsia"/>
                      <w:bCs/>
                      <w:color w:val="auto"/>
                      <w:highlight w:val="none"/>
                      <w:lang w:bidi="ar"/>
                    </w:rPr>
                    <w:t>策略配置方案</w:t>
                  </w:r>
                </w:p>
              </w:tc>
              <w:tc>
                <w:tcPr>
                  <w:tcW w:w="485" w:type="pct"/>
                  <w:vAlign w:val="center"/>
                </w:tcPr>
                <w:p w14:paraId="2CA2AEEA">
                  <w:pPr>
                    <w:pStyle w:val="39"/>
                    <w:adjustRightInd w:val="0"/>
                    <w:snapToGrid w:val="0"/>
                    <w:rPr>
                      <w:rFonts w:hint="eastAsia"/>
                      <w:bCs/>
                      <w:color w:val="auto"/>
                      <w:highlight w:val="none"/>
                      <w:lang w:bidi="ar"/>
                    </w:rPr>
                  </w:pPr>
                  <w:r>
                    <w:rPr>
                      <w:rFonts w:hint="eastAsia"/>
                      <w:bCs/>
                      <w:color w:val="auto"/>
                      <w:highlight w:val="none"/>
                      <w:lang w:bidi="ar"/>
                    </w:rPr>
                    <w:t>季度/次</w:t>
                  </w:r>
                </w:p>
              </w:tc>
              <w:tc>
                <w:tcPr>
                  <w:tcW w:w="1550" w:type="pct"/>
                  <w:vAlign w:val="center"/>
                </w:tcPr>
                <w:p w14:paraId="781D135B">
                  <w:pPr>
                    <w:pStyle w:val="39"/>
                    <w:adjustRightInd w:val="0"/>
                    <w:snapToGrid w:val="0"/>
                    <w:rPr>
                      <w:rFonts w:hint="eastAsia"/>
                      <w:bCs/>
                      <w:color w:val="auto"/>
                      <w:highlight w:val="none"/>
                      <w:lang w:bidi="ar"/>
                    </w:rPr>
                  </w:pPr>
                  <w:r>
                    <w:rPr>
                      <w:rFonts w:hint="eastAsia"/>
                      <w:bCs/>
                      <w:color w:val="auto"/>
                      <w:highlight w:val="none"/>
                      <w:lang w:bidi="ar"/>
                    </w:rPr>
                    <w:t>《策略配置方案》</w:t>
                  </w:r>
                </w:p>
              </w:tc>
            </w:tr>
          </w:tbl>
          <w:p w14:paraId="5B581815">
            <w:pPr>
              <w:pStyle w:val="39"/>
              <w:adjustRightInd w:val="0"/>
              <w:snapToGrid w:val="0"/>
              <w:rPr>
                <w:rFonts w:hint="eastAsia"/>
                <w:color w:val="auto"/>
                <w:highlight w:val="none"/>
              </w:rPr>
            </w:pPr>
          </w:p>
        </w:tc>
      </w:tr>
      <w:tr w14:paraId="7FA24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7B68D437">
            <w:pPr>
              <w:spacing w:line="360" w:lineRule="auto"/>
              <w:rPr>
                <w:rFonts w:ascii="新宋体" w:eastAsia="新宋体"/>
                <w:b/>
                <w:color w:val="auto"/>
                <w:szCs w:val="21"/>
                <w:highlight w:val="none"/>
              </w:rPr>
            </w:pPr>
            <w:r>
              <w:rPr>
                <w:rFonts w:hint="eastAsia" w:ascii="宋体" w:hAnsi="宋体"/>
                <w:color w:val="auto"/>
                <w:szCs w:val="21"/>
                <w:highlight w:val="none"/>
              </w:rPr>
              <w:t>▲</w:t>
            </w:r>
            <w:r>
              <w:rPr>
                <w:rFonts w:hint="eastAsia" w:ascii="新宋体" w:eastAsia="新宋体"/>
                <w:b/>
                <w:color w:val="auto"/>
                <w:szCs w:val="21"/>
                <w:highlight w:val="none"/>
              </w:rPr>
              <w:t>商务条款</w:t>
            </w:r>
          </w:p>
        </w:tc>
      </w:tr>
      <w:tr w14:paraId="135F51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241" w:type="pct"/>
            <w:gridSpan w:val="3"/>
            <w:tcBorders>
              <w:top w:val="single" w:color="auto" w:sz="4" w:space="0"/>
              <w:left w:val="single" w:color="auto" w:sz="4" w:space="0"/>
              <w:bottom w:val="single" w:color="auto" w:sz="4" w:space="0"/>
              <w:right w:val="single" w:color="auto" w:sz="4" w:space="0"/>
            </w:tcBorders>
            <w:vAlign w:val="center"/>
          </w:tcPr>
          <w:p w14:paraId="10C32060">
            <w:pPr>
              <w:spacing w:line="360" w:lineRule="auto"/>
              <w:rPr>
                <w:rFonts w:hint="eastAsia" w:ascii="宋体" w:hAnsi="宋体"/>
                <w:b/>
                <w:color w:val="auto"/>
                <w:szCs w:val="21"/>
                <w:highlight w:val="none"/>
              </w:rPr>
            </w:pPr>
            <w:r>
              <w:rPr>
                <w:rFonts w:hint="eastAsia" w:ascii="宋体" w:hAnsi="宋体"/>
                <w:color w:val="auto"/>
                <w:szCs w:val="21"/>
                <w:highlight w:val="none"/>
              </w:rPr>
              <w:t>（一）合同签订期限</w:t>
            </w:r>
          </w:p>
        </w:tc>
        <w:tc>
          <w:tcPr>
            <w:tcW w:w="3758" w:type="pct"/>
            <w:tcBorders>
              <w:top w:val="single" w:color="auto" w:sz="4" w:space="0"/>
              <w:left w:val="single" w:color="auto" w:sz="4" w:space="0"/>
              <w:bottom w:val="single" w:color="auto" w:sz="4" w:space="0"/>
              <w:right w:val="single" w:color="auto" w:sz="4" w:space="0"/>
            </w:tcBorders>
            <w:vAlign w:val="center"/>
          </w:tcPr>
          <w:p w14:paraId="28BDC5F0">
            <w:pPr>
              <w:spacing w:line="360" w:lineRule="auto"/>
              <w:rPr>
                <w:rFonts w:hint="eastAsia" w:ascii="宋体" w:hAnsi="宋体"/>
                <w:b/>
                <w:color w:val="auto"/>
                <w:szCs w:val="21"/>
                <w:highlight w:val="none"/>
              </w:rPr>
            </w:pPr>
            <w:r>
              <w:rPr>
                <w:rFonts w:hint="eastAsia" w:ascii="宋体" w:hAnsi="宋体"/>
                <w:color w:val="auto"/>
                <w:szCs w:val="21"/>
                <w:highlight w:val="none"/>
              </w:rPr>
              <w:t>自成交通知书发出之日起25个日历日内。</w:t>
            </w:r>
          </w:p>
        </w:tc>
      </w:tr>
      <w:tr w14:paraId="396D35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241" w:type="pct"/>
            <w:gridSpan w:val="3"/>
            <w:tcBorders>
              <w:top w:val="single" w:color="auto" w:sz="4" w:space="0"/>
              <w:left w:val="single" w:color="auto" w:sz="4" w:space="0"/>
              <w:bottom w:val="single" w:color="auto" w:sz="4" w:space="0"/>
              <w:right w:val="single" w:color="auto" w:sz="4" w:space="0"/>
            </w:tcBorders>
            <w:vAlign w:val="center"/>
          </w:tcPr>
          <w:p w14:paraId="4AC534CC">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（二）报价要求</w:t>
            </w:r>
          </w:p>
        </w:tc>
        <w:tc>
          <w:tcPr>
            <w:tcW w:w="3758" w:type="pct"/>
            <w:tcBorders>
              <w:top w:val="single" w:color="auto" w:sz="4" w:space="0"/>
              <w:left w:val="single" w:color="auto" w:sz="4" w:space="0"/>
              <w:bottom w:val="single" w:color="auto" w:sz="4" w:space="0"/>
              <w:right w:val="single" w:color="auto" w:sz="4" w:space="0"/>
            </w:tcBorders>
            <w:vAlign w:val="center"/>
          </w:tcPr>
          <w:p w14:paraId="0A874589">
            <w:pPr>
              <w:spacing w:line="360" w:lineRule="auto"/>
              <w:rPr>
                <w:rFonts w:hint="eastAsia" w:ascii="宋体" w:hAnsi="宋体"/>
                <w:color w:val="auto"/>
                <w:szCs w:val="21"/>
                <w:highlight w:val="none"/>
              </w:rPr>
            </w:pPr>
            <w:r>
              <w:rPr>
                <w:rFonts w:hint="eastAsia" w:ascii="宋体" w:hAnsi="宋体"/>
                <w:color w:val="auto"/>
                <w:szCs w:val="21"/>
                <w:highlight w:val="none"/>
              </w:rPr>
              <w:t>本服务项目报价为人民币含税价，总价包干，合同履行过程中，采购人不再支付任何费用。包括但不限于：</w:t>
            </w:r>
          </w:p>
          <w:p w14:paraId="028360EE">
            <w:pPr>
              <w:spacing w:line="360" w:lineRule="auto"/>
              <w:rPr>
                <w:rFonts w:hint="eastAsia" w:ascii="宋体" w:hAnsi="宋体"/>
                <w:color w:val="auto"/>
                <w:szCs w:val="21"/>
                <w:highlight w:val="none"/>
              </w:rPr>
            </w:pPr>
            <w:r>
              <w:rPr>
                <w:rFonts w:hint="eastAsia" w:ascii="宋体" w:hAnsi="宋体"/>
                <w:color w:val="auto"/>
                <w:szCs w:val="21"/>
                <w:highlight w:val="none"/>
              </w:rPr>
              <w:t>1.服务的费用，包括技术支持、培训、运维服务、驻场服务（如有）、交通费、差旅费、住宿费、伙食费、通讯费等；</w:t>
            </w:r>
          </w:p>
          <w:p w14:paraId="052A3ADE">
            <w:pPr>
              <w:spacing w:line="360" w:lineRule="auto"/>
              <w:rPr>
                <w:rFonts w:hint="eastAsia" w:ascii="宋体" w:hAnsi="宋体"/>
                <w:color w:val="auto"/>
                <w:szCs w:val="21"/>
                <w:highlight w:val="none"/>
              </w:rPr>
            </w:pPr>
            <w:r>
              <w:rPr>
                <w:rFonts w:hint="eastAsia" w:ascii="宋体" w:hAnsi="宋体"/>
                <w:color w:val="auto"/>
                <w:szCs w:val="21"/>
                <w:highlight w:val="none"/>
              </w:rPr>
              <w:t>2.必要的代理服务费、保险费用和各项税金；</w:t>
            </w:r>
          </w:p>
          <w:p w14:paraId="4021172A">
            <w:pPr>
              <w:spacing w:line="360" w:lineRule="auto"/>
              <w:rPr>
                <w:rFonts w:hint="eastAsia" w:ascii="宋体" w:hAnsi="宋体"/>
                <w:color w:val="auto"/>
                <w:szCs w:val="21"/>
                <w:highlight w:val="none"/>
              </w:rPr>
            </w:pPr>
            <w:r>
              <w:rPr>
                <w:rFonts w:hint="eastAsia" w:ascii="宋体" w:hAnsi="宋体"/>
                <w:color w:val="auto"/>
                <w:szCs w:val="21"/>
                <w:highlight w:val="none"/>
              </w:rPr>
              <w:t>3.服务时所需的备品和备件的费用；</w:t>
            </w:r>
          </w:p>
          <w:p w14:paraId="50827FC9">
            <w:pPr>
              <w:spacing w:line="360" w:lineRule="auto"/>
              <w:rPr>
                <w:rFonts w:hint="eastAsia" w:ascii="宋体" w:hAnsi="宋体"/>
                <w:color w:val="auto"/>
                <w:szCs w:val="21"/>
                <w:highlight w:val="none"/>
              </w:rPr>
            </w:pPr>
            <w:r>
              <w:rPr>
                <w:rFonts w:hint="eastAsia" w:ascii="宋体" w:hAnsi="宋体"/>
                <w:color w:val="auto"/>
                <w:szCs w:val="21"/>
                <w:highlight w:val="none"/>
              </w:rPr>
              <w:t>4.根据合同规定，履行合同可能产生的其他费用。</w:t>
            </w:r>
          </w:p>
        </w:tc>
      </w:tr>
      <w:tr w14:paraId="391AC3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241" w:type="pct"/>
            <w:gridSpan w:val="3"/>
            <w:tcBorders>
              <w:top w:val="single" w:color="auto" w:sz="4" w:space="0"/>
              <w:left w:val="single" w:color="auto" w:sz="4" w:space="0"/>
              <w:bottom w:val="single" w:color="auto" w:sz="4" w:space="0"/>
              <w:right w:val="single" w:color="auto" w:sz="4" w:space="0"/>
            </w:tcBorders>
            <w:vAlign w:val="center"/>
          </w:tcPr>
          <w:p w14:paraId="2DA10CC1">
            <w:pPr>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（三）服务期限和地点</w:t>
            </w:r>
          </w:p>
        </w:tc>
        <w:tc>
          <w:tcPr>
            <w:tcW w:w="3758" w:type="pct"/>
            <w:tcBorders>
              <w:top w:val="single" w:color="auto" w:sz="4" w:space="0"/>
              <w:left w:val="single" w:color="auto" w:sz="4" w:space="0"/>
              <w:bottom w:val="single" w:color="auto" w:sz="4" w:space="0"/>
              <w:right w:val="single" w:color="auto" w:sz="4" w:space="0"/>
            </w:tcBorders>
            <w:vAlign w:val="center"/>
          </w:tcPr>
          <w:p w14:paraId="1673118C">
            <w:pPr>
              <w:spacing w:line="360" w:lineRule="auto"/>
              <w:rPr>
                <w:rFonts w:hint="eastAsia" w:ascii="宋体" w:hAnsi="宋体" w:cs="宋体"/>
                <w:bCs/>
                <w:color w:val="auto"/>
                <w:kern w:val="0"/>
                <w:szCs w:val="21"/>
                <w:highlight w:val="none"/>
              </w:rPr>
            </w:pPr>
            <w:r>
              <w:rPr>
                <w:rFonts w:hint="eastAsia" w:ascii="宋体" w:hAnsi="宋体"/>
                <w:color w:val="auto"/>
                <w:szCs w:val="21"/>
                <w:highlight w:val="none"/>
              </w:rPr>
              <w:t>合同履约期限：提供1年的软硬件保修维护服务。</w:t>
            </w:r>
          </w:p>
          <w:p w14:paraId="5774DBA2">
            <w:pPr>
              <w:spacing w:line="360" w:lineRule="auto"/>
              <w:rPr>
                <w:rFonts w:hint="eastAsia" w:ascii="宋体" w:hAnsi="宋体"/>
                <w:color w:val="auto"/>
                <w:szCs w:val="21"/>
                <w:highlight w:val="none"/>
              </w:rPr>
            </w:pPr>
            <w:r>
              <w:rPr>
                <w:rFonts w:hint="eastAsia" w:ascii="宋体" w:hAnsi="宋体"/>
                <w:color w:val="auto"/>
                <w:szCs w:val="21"/>
                <w:highlight w:val="none"/>
              </w:rPr>
              <w:t>地点：采购人指定地点。</w:t>
            </w:r>
          </w:p>
        </w:tc>
      </w:tr>
      <w:tr w14:paraId="107354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241" w:type="pct"/>
            <w:gridSpan w:val="3"/>
            <w:tcBorders>
              <w:top w:val="single" w:color="auto" w:sz="4" w:space="0"/>
              <w:left w:val="single" w:color="auto" w:sz="4" w:space="0"/>
              <w:bottom w:val="single" w:color="auto" w:sz="4" w:space="0"/>
              <w:right w:val="single" w:color="auto" w:sz="4" w:space="0"/>
            </w:tcBorders>
            <w:vAlign w:val="center"/>
          </w:tcPr>
          <w:p w14:paraId="52C6E8F6">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（四）服务要求</w:t>
            </w:r>
          </w:p>
        </w:tc>
        <w:tc>
          <w:tcPr>
            <w:tcW w:w="3758" w:type="pct"/>
            <w:tcBorders>
              <w:top w:val="single" w:color="auto" w:sz="4" w:space="0"/>
              <w:left w:val="single" w:color="auto" w:sz="4" w:space="0"/>
              <w:bottom w:val="single" w:color="auto" w:sz="4" w:space="0"/>
              <w:right w:val="single" w:color="auto" w:sz="4" w:space="0"/>
            </w:tcBorders>
            <w:vAlign w:val="center"/>
          </w:tcPr>
          <w:p w14:paraId="33E3F518">
            <w:pPr>
              <w:spacing w:line="360" w:lineRule="auto"/>
              <w:rPr>
                <w:rFonts w:hint="eastAsia"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w:t>
            </w:r>
            <w:r>
              <w:rPr>
                <w:rFonts w:ascii="宋体" w:hAnsi="宋体"/>
                <w:color w:val="auto"/>
                <w:szCs w:val="21"/>
                <w:highlight w:val="none"/>
              </w:rPr>
              <w:t>成交供应商须确保响应文件中的拟投入本项目实施人员信息真实、有效。成交供应商须按照本采购文件的要求，严格、高效、诚信地组织好此次服务项目，不得将项目非法分包或转包给任何单位和个人，否则采购人有权即刻终止合同，所有经济损失和责任由供应商承担。</w:t>
            </w:r>
          </w:p>
          <w:p w14:paraId="4B3E5762">
            <w:pPr>
              <w:spacing w:line="360" w:lineRule="auto"/>
              <w:rPr>
                <w:rFonts w:hint="eastAsia"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w:t>
            </w:r>
            <w:r>
              <w:rPr>
                <w:rFonts w:ascii="宋体" w:hAnsi="宋体"/>
                <w:color w:val="auto"/>
                <w:szCs w:val="21"/>
                <w:highlight w:val="none"/>
              </w:rPr>
              <w:t>未经采购人允许，成交供应商不得使用或者以其他方式给任何第三方提供本项目的相关信息数据。</w:t>
            </w:r>
          </w:p>
          <w:p w14:paraId="31AB3740">
            <w:pPr>
              <w:spacing w:line="360" w:lineRule="auto"/>
              <w:rPr>
                <w:rFonts w:hint="eastAsia"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w:t>
            </w:r>
            <w:r>
              <w:rPr>
                <w:rFonts w:ascii="宋体" w:hAnsi="宋体"/>
                <w:color w:val="auto"/>
                <w:szCs w:val="21"/>
                <w:highlight w:val="none"/>
              </w:rPr>
              <w:t>成交供应商须根据自身条件及能力参加本次采购活动，如供应商恶意低价成交后，无力承担本项目，或者不能按合同约定完成，导致采购人无法完成本次项目采购，造成的后果由成交供应商承担（包括但不仅限于处以与本项目预算同等金额罚金，登报申明消除影响等）。</w:t>
            </w:r>
          </w:p>
        </w:tc>
      </w:tr>
      <w:tr w14:paraId="3B32CE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241" w:type="pct"/>
            <w:gridSpan w:val="3"/>
            <w:tcBorders>
              <w:top w:val="single" w:color="auto" w:sz="4" w:space="0"/>
              <w:left w:val="single" w:color="auto" w:sz="4" w:space="0"/>
              <w:bottom w:val="single" w:color="auto" w:sz="4" w:space="0"/>
              <w:right w:val="single" w:color="auto" w:sz="4" w:space="0"/>
            </w:tcBorders>
            <w:vAlign w:val="center"/>
          </w:tcPr>
          <w:p w14:paraId="33746927">
            <w:pPr>
              <w:spacing w:line="360" w:lineRule="auto"/>
              <w:rPr>
                <w:rFonts w:hint="eastAsia" w:ascii="宋体" w:hAnsi="宋体"/>
                <w:color w:val="auto"/>
                <w:szCs w:val="21"/>
                <w:highlight w:val="none"/>
              </w:rPr>
            </w:pPr>
            <w:r>
              <w:rPr>
                <w:rFonts w:hint="eastAsia" w:ascii="宋体" w:hAnsi="宋体"/>
                <w:color w:val="auto"/>
                <w:szCs w:val="21"/>
                <w:highlight w:val="none"/>
              </w:rPr>
              <w:t>（五）付款方式</w:t>
            </w:r>
          </w:p>
        </w:tc>
        <w:tc>
          <w:tcPr>
            <w:tcW w:w="3758" w:type="pct"/>
            <w:tcBorders>
              <w:top w:val="single" w:color="auto" w:sz="4" w:space="0"/>
              <w:left w:val="single" w:color="auto" w:sz="4" w:space="0"/>
              <w:bottom w:val="single" w:color="auto" w:sz="4" w:space="0"/>
              <w:right w:val="single" w:color="auto" w:sz="4" w:space="0"/>
            </w:tcBorders>
            <w:vAlign w:val="center"/>
          </w:tcPr>
          <w:p w14:paraId="13F2DCB4">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1.</w:t>
            </w:r>
            <w:r>
              <w:rPr>
                <w:rFonts w:hint="eastAsia"/>
                <w:color w:val="auto"/>
                <w:highlight w:val="none"/>
              </w:rPr>
              <w:t xml:space="preserve"> </w:t>
            </w:r>
            <w:r>
              <w:rPr>
                <w:rFonts w:hint="eastAsia" w:ascii="宋体" w:hAnsi="宋体"/>
                <w:color w:val="auto"/>
                <w:szCs w:val="21"/>
                <w:highlight w:val="none"/>
              </w:rPr>
              <w:t>完成合同签订后，采购人自收到成交供应商提供的相应金额发票后15个工作日内，采购人向成交供应商支付合同总金额的30%；</w:t>
            </w:r>
          </w:p>
          <w:p w14:paraId="6709AF91">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2.</w:t>
            </w:r>
            <w:r>
              <w:rPr>
                <w:rFonts w:hint="eastAsia"/>
                <w:color w:val="auto"/>
                <w:highlight w:val="none"/>
              </w:rPr>
              <w:t xml:space="preserve"> </w:t>
            </w:r>
            <w:r>
              <w:rPr>
                <w:rFonts w:hint="eastAsia" w:ascii="宋体" w:hAnsi="宋体"/>
                <w:color w:val="auto"/>
                <w:szCs w:val="21"/>
                <w:highlight w:val="none"/>
              </w:rPr>
              <w:t>服务期满50%周期后，采购人自收到成交供应商提供的相应金额发票后15个工作日内，采购人向成交供应商支付合同总金额的50%。</w:t>
            </w:r>
          </w:p>
          <w:p w14:paraId="79A14722">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3.</w:t>
            </w:r>
            <w:r>
              <w:rPr>
                <w:rFonts w:hint="eastAsia"/>
                <w:color w:val="auto"/>
                <w:highlight w:val="none"/>
              </w:rPr>
              <w:t xml:space="preserve"> </w:t>
            </w:r>
            <w:r>
              <w:rPr>
                <w:rFonts w:hint="eastAsia" w:ascii="宋体" w:hAnsi="宋体"/>
                <w:color w:val="auto"/>
                <w:szCs w:val="21"/>
                <w:highlight w:val="none"/>
              </w:rPr>
              <w:t>完成项目验收后，采购人自收到成交供应商提供相应金额发票后15个工作日内，采购人向成交供应商支付合同总金额的20%。</w:t>
            </w:r>
          </w:p>
        </w:tc>
      </w:tr>
      <w:tr w14:paraId="1E41A1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241" w:type="pct"/>
            <w:gridSpan w:val="3"/>
            <w:tcBorders>
              <w:top w:val="single" w:color="auto" w:sz="4" w:space="0"/>
              <w:left w:val="single" w:color="auto" w:sz="4" w:space="0"/>
              <w:bottom w:val="single" w:color="auto" w:sz="4" w:space="0"/>
              <w:right w:val="single" w:color="auto" w:sz="4" w:space="0"/>
            </w:tcBorders>
            <w:vAlign w:val="center"/>
          </w:tcPr>
          <w:p w14:paraId="27179560">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（六）其他</w:t>
            </w:r>
          </w:p>
        </w:tc>
        <w:tc>
          <w:tcPr>
            <w:tcW w:w="3758" w:type="pct"/>
            <w:tcBorders>
              <w:top w:val="single" w:color="auto" w:sz="4" w:space="0"/>
              <w:left w:val="single" w:color="auto" w:sz="4" w:space="0"/>
              <w:right w:val="single" w:color="auto" w:sz="4" w:space="0"/>
            </w:tcBorders>
            <w:vAlign w:val="center"/>
          </w:tcPr>
          <w:p w14:paraId="4ECA56BF">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1、验收要求</w:t>
            </w:r>
          </w:p>
          <w:p w14:paraId="436EB32E">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（1）严格按照《关于印发广西壮族自治区政府采购项目履约验收管理办法的通知》[桂财采〔2015〕22号]以及《财政部关于进一步加强政府采购需求和履约验收管理的指导意见》[财库〔2016〕205号]规定执行。</w:t>
            </w:r>
          </w:p>
          <w:p w14:paraId="08DCC4BB">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（2）其它按合同条款的约定。</w:t>
            </w:r>
          </w:p>
          <w:p w14:paraId="1873E552">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3）合同履行过程中，采购人根据成交供应商所提供的技术服务，对照采购文件要求及成交供应商响应文件承诺进行检验并记录，发现成交供应商在响应文件中有弄虚作假的行为，或在响应文件中针对技术、商务条款有虚假响应情况的，采购人将终止合同或不予验收，并追究成交供应商的责任，由此带来的一切损失由成交供应商自行承担。</w:t>
            </w:r>
          </w:p>
          <w:p w14:paraId="313134C9">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2、知识产权</w:t>
            </w:r>
          </w:p>
          <w:p w14:paraId="47C2CD20">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（1）采购人在中华人民共和国境内使用供应商提供的服务时免受第三方提出的侵犯其专利权或其它知识产权的起诉。如果第三方提出侵权指控，成交供应商应承担由此而引起的一切法律责任和费用。</w:t>
            </w:r>
          </w:p>
          <w:p w14:paraId="174410C1">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（2）保密要求：成交供应商在项目实施过程中，必须对本项目所有项目信息以及接触到的材料予以保密，未经采购人书面许可，成交供应商不得以任何形式向第三方透露本项目的任何内容。</w:t>
            </w:r>
          </w:p>
          <w:p w14:paraId="29438492">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（3）供应商必须自行实施、维护本项目，不得转让或转包。</w:t>
            </w:r>
          </w:p>
        </w:tc>
      </w:tr>
    </w:tbl>
    <w:p w14:paraId="56D676D1">
      <w:pPr>
        <w:jc w:val="left"/>
        <w:rPr>
          <w:highlight w:val="none"/>
        </w:rPr>
      </w:pPr>
      <w:r>
        <w:rPr>
          <w:highlight w:val="none"/>
        </w:rPr>
        <w:br w:type="page"/>
      </w:r>
    </w:p>
    <w:p w14:paraId="7C991A52">
      <w:pPr>
        <w:spacing w:line="428" w:lineRule="exact"/>
        <w:ind w:left="119"/>
        <w:rPr>
          <w:rFonts w:hint="eastAsia" w:ascii="黑体" w:hAnsi="黑体" w:eastAsia="黑体" w:cs="黑体"/>
          <w:sz w:val="32"/>
          <w:szCs w:val="32"/>
          <w:highlight w:val="none"/>
        </w:rPr>
      </w:pPr>
      <w:r>
        <w:rPr>
          <w:rFonts w:hint="eastAsia" w:ascii="黑体" w:hAnsi="黑体" w:eastAsia="黑体" w:cs="黑体"/>
          <w:sz w:val="32"/>
          <w:szCs w:val="32"/>
          <w:highlight w:val="none"/>
        </w:rPr>
        <w:t>附件：</w:t>
      </w:r>
    </w:p>
    <w:p w14:paraId="1893B94C">
      <w:pPr>
        <w:spacing w:line="528" w:lineRule="exact"/>
        <w:jc w:val="center"/>
        <w:rPr>
          <w:rFonts w:hint="eastAsia" w:ascii="微软雅黑" w:hAnsi="微软雅黑" w:eastAsia="微软雅黑" w:cs="微软雅黑"/>
          <w:sz w:val="40"/>
          <w:szCs w:val="40"/>
          <w:highlight w:val="none"/>
        </w:rPr>
      </w:pPr>
      <w:r>
        <w:rPr>
          <w:rFonts w:hint="eastAsia" w:ascii="微软雅黑" w:hAnsi="微软雅黑" w:eastAsia="微软雅黑" w:cs="微软雅黑"/>
          <w:sz w:val="40"/>
          <w:szCs w:val="40"/>
          <w:highlight w:val="none"/>
        </w:rPr>
        <w:t>中小微企业划型标准</w:t>
      </w:r>
    </w:p>
    <w:tbl>
      <w:tblPr>
        <w:tblStyle w:val="24"/>
        <w:tblW w:w="9962" w:type="dxa"/>
        <w:tblInd w:w="0" w:type="dxa"/>
        <w:tblLayout w:type="fixed"/>
        <w:tblCellMar>
          <w:top w:w="0" w:type="dxa"/>
          <w:left w:w="108" w:type="dxa"/>
          <w:bottom w:w="0" w:type="dxa"/>
          <w:right w:w="108" w:type="dxa"/>
        </w:tblCellMar>
      </w:tblPr>
      <w:tblGrid>
        <w:gridCol w:w="1948"/>
        <w:gridCol w:w="1656"/>
        <w:gridCol w:w="1490"/>
        <w:gridCol w:w="1917"/>
        <w:gridCol w:w="1797"/>
        <w:gridCol w:w="1154"/>
      </w:tblGrid>
      <w:tr w14:paraId="1C3418E8">
        <w:tblPrEx>
          <w:tblCellMar>
            <w:top w:w="0" w:type="dxa"/>
            <w:left w:w="108" w:type="dxa"/>
            <w:bottom w:w="0" w:type="dxa"/>
            <w:right w:w="108" w:type="dxa"/>
          </w:tblCellMar>
        </w:tblPrEx>
        <w:trPr>
          <w:trHeight w:val="285" w:hRule="atLeast"/>
        </w:trPr>
        <w:tc>
          <w:tcPr>
            <w:tcW w:w="1948" w:type="dxa"/>
            <w:tcBorders>
              <w:top w:val="single" w:color="auto" w:sz="4" w:space="0"/>
              <w:left w:val="single" w:color="auto" w:sz="4" w:space="0"/>
              <w:bottom w:val="single" w:color="auto" w:sz="4" w:space="0"/>
              <w:right w:val="single" w:color="auto" w:sz="4" w:space="0"/>
            </w:tcBorders>
            <w:vAlign w:val="center"/>
          </w:tcPr>
          <w:p w14:paraId="763855AC">
            <w:pPr>
              <w:widowControl/>
              <w:jc w:val="center"/>
              <w:rPr>
                <w:rFonts w:hint="eastAsia" w:ascii="仿宋_GB2312" w:hAnsi="仿宋" w:eastAsia="仿宋_GB2312" w:cs="宋体"/>
                <w:b/>
                <w:kern w:val="0"/>
                <w:sz w:val="24"/>
                <w:highlight w:val="none"/>
              </w:rPr>
            </w:pPr>
            <w:r>
              <w:rPr>
                <w:rFonts w:hint="eastAsia" w:ascii="微软雅黑" w:hAnsi="微软雅黑" w:eastAsia="微软雅黑" w:cs="微软雅黑"/>
                <w:b/>
                <w:kern w:val="0"/>
                <w:sz w:val="24"/>
                <w:highlight w:val="none"/>
              </w:rPr>
              <w:t>行业</w:t>
            </w:r>
            <w:r>
              <w:rPr>
                <w:rFonts w:hint="eastAsia" w:ascii="___WRD_EMBED_SUB_45" w:hAnsi="___WRD_EMBED_SUB_45" w:eastAsia="___WRD_EMBED_SUB_45" w:cs="___WRD_EMBED_SUB_45"/>
                <w:b/>
                <w:kern w:val="0"/>
                <w:sz w:val="24"/>
                <w:highlight w:val="none"/>
              </w:rPr>
              <w:t>名称</w:t>
            </w:r>
          </w:p>
        </w:tc>
        <w:tc>
          <w:tcPr>
            <w:tcW w:w="1656" w:type="dxa"/>
            <w:tcBorders>
              <w:top w:val="single" w:color="auto" w:sz="4" w:space="0"/>
              <w:left w:val="nil"/>
              <w:bottom w:val="single" w:color="auto" w:sz="4" w:space="0"/>
              <w:right w:val="single" w:color="auto" w:sz="4" w:space="0"/>
            </w:tcBorders>
            <w:vAlign w:val="center"/>
          </w:tcPr>
          <w:p w14:paraId="6A3BA91C">
            <w:pPr>
              <w:widowControl/>
              <w:jc w:val="center"/>
              <w:rPr>
                <w:rFonts w:hint="eastAsia" w:ascii="仿宋_GB2312" w:hAnsi="仿宋" w:eastAsia="仿宋_GB2312" w:cs="宋体"/>
                <w:b/>
                <w:kern w:val="0"/>
                <w:sz w:val="24"/>
                <w:highlight w:val="none"/>
              </w:rPr>
            </w:pPr>
            <w:r>
              <w:rPr>
                <w:rFonts w:hint="eastAsia" w:ascii="微软雅黑" w:hAnsi="微软雅黑" w:eastAsia="微软雅黑" w:cs="微软雅黑"/>
                <w:b/>
                <w:kern w:val="0"/>
                <w:sz w:val="24"/>
                <w:highlight w:val="none"/>
              </w:rPr>
              <w:t>指标</w:t>
            </w:r>
            <w:r>
              <w:rPr>
                <w:rFonts w:hint="eastAsia" w:ascii="___WRD_EMBED_SUB_45" w:hAnsi="___WRD_EMBED_SUB_45" w:eastAsia="___WRD_EMBED_SUB_45" w:cs="___WRD_EMBED_SUB_45"/>
                <w:b/>
                <w:kern w:val="0"/>
                <w:sz w:val="24"/>
                <w:highlight w:val="none"/>
              </w:rPr>
              <w:t>名称</w:t>
            </w:r>
          </w:p>
        </w:tc>
        <w:tc>
          <w:tcPr>
            <w:tcW w:w="1490" w:type="dxa"/>
            <w:tcBorders>
              <w:top w:val="single" w:color="auto" w:sz="4" w:space="0"/>
              <w:left w:val="nil"/>
              <w:bottom w:val="single" w:color="auto" w:sz="4" w:space="0"/>
              <w:right w:val="single" w:color="auto" w:sz="4" w:space="0"/>
            </w:tcBorders>
            <w:vAlign w:val="center"/>
          </w:tcPr>
          <w:p w14:paraId="0DD37A4E">
            <w:pPr>
              <w:widowControl/>
              <w:jc w:val="center"/>
              <w:rPr>
                <w:rFonts w:hint="eastAsia" w:ascii="仿宋_GB2312" w:hAnsi="仿宋" w:eastAsia="仿宋_GB2312" w:cs="宋体"/>
                <w:b/>
                <w:kern w:val="0"/>
                <w:sz w:val="24"/>
                <w:highlight w:val="none"/>
              </w:rPr>
            </w:pPr>
            <w:r>
              <w:rPr>
                <w:rFonts w:hint="eastAsia" w:ascii="微软雅黑" w:hAnsi="微软雅黑" w:eastAsia="微软雅黑" w:cs="微软雅黑"/>
                <w:b/>
                <w:kern w:val="0"/>
                <w:sz w:val="24"/>
                <w:highlight w:val="none"/>
              </w:rPr>
              <w:t>计量单位</w:t>
            </w:r>
          </w:p>
        </w:tc>
        <w:tc>
          <w:tcPr>
            <w:tcW w:w="1917" w:type="dxa"/>
            <w:tcBorders>
              <w:top w:val="single" w:color="auto" w:sz="4" w:space="0"/>
              <w:left w:val="nil"/>
              <w:bottom w:val="single" w:color="auto" w:sz="4" w:space="0"/>
              <w:right w:val="single" w:color="auto" w:sz="4" w:space="0"/>
            </w:tcBorders>
            <w:vAlign w:val="center"/>
          </w:tcPr>
          <w:p w14:paraId="0507C1BB">
            <w:pPr>
              <w:widowControl/>
              <w:jc w:val="center"/>
              <w:rPr>
                <w:rFonts w:hint="eastAsia" w:ascii="仿宋_GB2312" w:hAnsi="仿宋" w:eastAsia="仿宋_GB2312" w:cs="宋体"/>
                <w:b/>
                <w:kern w:val="0"/>
                <w:sz w:val="24"/>
                <w:highlight w:val="none"/>
              </w:rPr>
            </w:pPr>
            <w:r>
              <w:rPr>
                <w:rFonts w:hint="eastAsia" w:ascii="微软雅黑" w:hAnsi="微软雅黑" w:eastAsia="微软雅黑" w:cs="微软雅黑"/>
                <w:b/>
                <w:kern w:val="0"/>
                <w:sz w:val="24"/>
                <w:highlight w:val="none"/>
              </w:rPr>
              <w:t>中型</w:t>
            </w:r>
          </w:p>
        </w:tc>
        <w:tc>
          <w:tcPr>
            <w:tcW w:w="1797" w:type="dxa"/>
            <w:tcBorders>
              <w:top w:val="single" w:color="auto" w:sz="4" w:space="0"/>
              <w:left w:val="nil"/>
              <w:bottom w:val="single" w:color="auto" w:sz="4" w:space="0"/>
              <w:right w:val="single" w:color="auto" w:sz="4" w:space="0"/>
            </w:tcBorders>
            <w:vAlign w:val="center"/>
          </w:tcPr>
          <w:p w14:paraId="159FC9AD">
            <w:pPr>
              <w:widowControl/>
              <w:jc w:val="center"/>
              <w:rPr>
                <w:rFonts w:hint="eastAsia" w:ascii="仿宋_GB2312" w:hAnsi="仿宋" w:eastAsia="仿宋_GB2312" w:cs="宋体"/>
                <w:b/>
                <w:kern w:val="0"/>
                <w:sz w:val="24"/>
                <w:highlight w:val="none"/>
              </w:rPr>
            </w:pPr>
            <w:r>
              <w:rPr>
                <w:rFonts w:hint="eastAsia" w:ascii="微软雅黑" w:hAnsi="微软雅黑" w:eastAsia="微软雅黑" w:cs="微软雅黑"/>
                <w:b/>
                <w:kern w:val="0"/>
                <w:sz w:val="24"/>
                <w:highlight w:val="none"/>
              </w:rPr>
              <w:t>小型</w:t>
            </w:r>
          </w:p>
        </w:tc>
        <w:tc>
          <w:tcPr>
            <w:tcW w:w="1154" w:type="dxa"/>
            <w:tcBorders>
              <w:top w:val="single" w:color="auto" w:sz="4" w:space="0"/>
              <w:left w:val="nil"/>
              <w:bottom w:val="single" w:color="auto" w:sz="4" w:space="0"/>
              <w:right w:val="single" w:color="auto" w:sz="4" w:space="0"/>
            </w:tcBorders>
            <w:vAlign w:val="center"/>
          </w:tcPr>
          <w:p w14:paraId="2E08A1CE">
            <w:pPr>
              <w:widowControl/>
              <w:jc w:val="center"/>
              <w:rPr>
                <w:rFonts w:hint="eastAsia" w:ascii="仿宋_GB2312" w:hAnsi="仿宋" w:eastAsia="仿宋_GB2312" w:cs="宋体"/>
                <w:b/>
                <w:kern w:val="0"/>
                <w:sz w:val="24"/>
                <w:highlight w:val="none"/>
              </w:rPr>
            </w:pPr>
            <w:r>
              <w:rPr>
                <w:rFonts w:hint="eastAsia" w:ascii="微软雅黑" w:hAnsi="微软雅黑" w:eastAsia="微软雅黑" w:cs="微软雅黑"/>
                <w:b/>
                <w:kern w:val="0"/>
                <w:sz w:val="24"/>
                <w:highlight w:val="none"/>
              </w:rPr>
              <w:t>微型</w:t>
            </w:r>
          </w:p>
        </w:tc>
      </w:tr>
      <w:tr w14:paraId="3ACB54DE">
        <w:tblPrEx>
          <w:tblCellMar>
            <w:top w:w="0" w:type="dxa"/>
            <w:left w:w="108" w:type="dxa"/>
            <w:bottom w:w="0" w:type="dxa"/>
            <w:right w:w="108" w:type="dxa"/>
          </w:tblCellMar>
        </w:tblPrEx>
        <w:trPr>
          <w:trHeight w:val="225" w:hRule="atLeast"/>
        </w:trPr>
        <w:tc>
          <w:tcPr>
            <w:tcW w:w="1948" w:type="dxa"/>
            <w:tcBorders>
              <w:top w:val="nil"/>
              <w:left w:val="single" w:color="auto" w:sz="4" w:space="0"/>
              <w:bottom w:val="single" w:color="auto" w:sz="4" w:space="0"/>
              <w:right w:val="single" w:color="auto" w:sz="4" w:space="0"/>
            </w:tcBorders>
            <w:vAlign w:val="bottom"/>
          </w:tcPr>
          <w:p w14:paraId="15AC312F">
            <w:pPr>
              <w:widowControl/>
              <w:jc w:val="center"/>
              <w:rPr>
                <w:rFonts w:hint="eastAsia" w:ascii="仿宋_GB2312" w:hAnsi="仿宋" w:eastAsia="仿宋_GB2312" w:cs="宋体"/>
                <w:b/>
                <w:bCs/>
                <w:kern w:val="0"/>
                <w:sz w:val="18"/>
                <w:szCs w:val="18"/>
                <w:highlight w:val="none"/>
              </w:rPr>
            </w:pPr>
            <w:r>
              <w:rPr>
                <w:rFonts w:hint="eastAsia" w:ascii="微软雅黑" w:hAnsi="微软雅黑" w:eastAsia="微软雅黑" w:cs="微软雅黑"/>
                <w:b/>
                <w:bCs/>
                <w:kern w:val="0"/>
                <w:sz w:val="18"/>
                <w:szCs w:val="18"/>
                <w:highlight w:val="none"/>
              </w:rPr>
              <w:t>农、林、牧、渔</w:t>
            </w:r>
          </w:p>
        </w:tc>
        <w:tc>
          <w:tcPr>
            <w:tcW w:w="1656" w:type="dxa"/>
            <w:tcBorders>
              <w:top w:val="nil"/>
              <w:left w:val="nil"/>
              <w:bottom w:val="single" w:color="auto" w:sz="4" w:space="0"/>
              <w:right w:val="single" w:color="auto" w:sz="4" w:space="0"/>
            </w:tcBorders>
            <w:vAlign w:val="center"/>
          </w:tcPr>
          <w:p w14:paraId="09E794B2">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营业收入</w:t>
            </w:r>
            <w:r>
              <w:rPr>
                <w:rFonts w:hint="eastAsia" w:ascii="___WRD_EMBED_SUB_45" w:hAnsi="___WRD_EMBED_SUB_45" w:eastAsia="___WRD_EMBED_SUB_45" w:cs="___WRD_EMBED_SUB_45"/>
                <w:kern w:val="0"/>
                <w:sz w:val="18"/>
                <w:szCs w:val="18"/>
                <w:highlight w:val="none"/>
              </w:rPr>
              <w:t>（</w:t>
            </w:r>
            <w:r>
              <w:rPr>
                <w:rFonts w:hint="eastAsia" w:ascii="仿宋_GB2312" w:hAnsi="仿宋" w:eastAsia="仿宋_GB2312" w:cs="宋体"/>
                <w:kern w:val="0"/>
                <w:sz w:val="18"/>
                <w:szCs w:val="18"/>
                <w:highlight w:val="none"/>
              </w:rPr>
              <w:t>Y）</w:t>
            </w:r>
          </w:p>
        </w:tc>
        <w:tc>
          <w:tcPr>
            <w:tcW w:w="1490" w:type="dxa"/>
            <w:tcBorders>
              <w:top w:val="nil"/>
              <w:left w:val="nil"/>
              <w:bottom w:val="single" w:color="auto" w:sz="4" w:space="0"/>
              <w:right w:val="single" w:color="auto" w:sz="4" w:space="0"/>
            </w:tcBorders>
            <w:vAlign w:val="center"/>
          </w:tcPr>
          <w:p w14:paraId="1440221F">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万元</w:t>
            </w:r>
          </w:p>
        </w:tc>
        <w:tc>
          <w:tcPr>
            <w:tcW w:w="1917" w:type="dxa"/>
            <w:tcBorders>
              <w:top w:val="nil"/>
              <w:left w:val="nil"/>
              <w:bottom w:val="single" w:color="auto" w:sz="4" w:space="0"/>
              <w:right w:val="single" w:color="auto" w:sz="4" w:space="0"/>
            </w:tcBorders>
            <w:vAlign w:val="center"/>
          </w:tcPr>
          <w:p w14:paraId="7B69AE3D">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20000</w:t>
            </w:r>
          </w:p>
        </w:tc>
        <w:tc>
          <w:tcPr>
            <w:tcW w:w="1797" w:type="dxa"/>
            <w:tcBorders>
              <w:top w:val="nil"/>
              <w:left w:val="nil"/>
              <w:bottom w:val="single" w:color="auto" w:sz="4" w:space="0"/>
              <w:right w:val="single" w:color="auto" w:sz="4" w:space="0"/>
            </w:tcBorders>
            <w:vAlign w:val="center"/>
          </w:tcPr>
          <w:p w14:paraId="204E5618">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500</w:t>
            </w:r>
          </w:p>
        </w:tc>
        <w:tc>
          <w:tcPr>
            <w:tcW w:w="1154" w:type="dxa"/>
            <w:tcBorders>
              <w:top w:val="nil"/>
              <w:left w:val="nil"/>
              <w:bottom w:val="single" w:color="auto" w:sz="4" w:space="0"/>
              <w:right w:val="single" w:color="auto" w:sz="4" w:space="0"/>
            </w:tcBorders>
            <w:vAlign w:val="center"/>
          </w:tcPr>
          <w:p w14:paraId="78499AFA">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50</w:t>
            </w:r>
          </w:p>
        </w:tc>
      </w:tr>
      <w:tr w14:paraId="01B970E5">
        <w:tblPrEx>
          <w:tblCellMar>
            <w:top w:w="0" w:type="dxa"/>
            <w:left w:w="108" w:type="dxa"/>
            <w:bottom w:w="0" w:type="dxa"/>
            <w:right w:w="108" w:type="dxa"/>
          </w:tblCellMar>
        </w:tblPrEx>
        <w:trPr>
          <w:trHeight w:val="225" w:hRule="atLeast"/>
        </w:trPr>
        <w:tc>
          <w:tcPr>
            <w:tcW w:w="1948" w:type="dxa"/>
            <w:vMerge w:val="restart"/>
            <w:tcBorders>
              <w:top w:val="nil"/>
              <w:left w:val="single" w:color="auto" w:sz="4" w:space="0"/>
              <w:bottom w:val="single" w:color="auto" w:sz="4" w:space="0"/>
              <w:right w:val="single" w:color="auto" w:sz="4" w:space="0"/>
            </w:tcBorders>
            <w:vAlign w:val="bottom"/>
          </w:tcPr>
          <w:p w14:paraId="25839FCB">
            <w:pPr>
              <w:widowControl/>
              <w:jc w:val="center"/>
              <w:rPr>
                <w:rFonts w:hint="eastAsia" w:ascii="仿宋_GB2312" w:hAnsi="仿宋" w:eastAsia="仿宋_GB2312" w:cs="宋体"/>
                <w:b/>
                <w:bCs/>
                <w:kern w:val="0"/>
                <w:sz w:val="18"/>
                <w:szCs w:val="18"/>
                <w:highlight w:val="none"/>
              </w:rPr>
            </w:pPr>
            <w:r>
              <w:rPr>
                <w:rFonts w:hint="eastAsia" w:ascii="微软雅黑" w:hAnsi="微软雅黑" w:eastAsia="微软雅黑" w:cs="微软雅黑"/>
                <w:b/>
                <w:bCs/>
                <w:kern w:val="0"/>
                <w:sz w:val="18"/>
                <w:szCs w:val="18"/>
                <w:highlight w:val="none"/>
              </w:rPr>
              <w:t>工业</w:t>
            </w:r>
          </w:p>
        </w:tc>
        <w:tc>
          <w:tcPr>
            <w:tcW w:w="1656" w:type="dxa"/>
            <w:tcBorders>
              <w:top w:val="nil"/>
              <w:left w:val="nil"/>
              <w:bottom w:val="single" w:color="auto" w:sz="4" w:space="0"/>
              <w:right w:val="single" w:color="auto" w:sz="4" w:space="0"/>
            </w:tcBorders>
            <w:vAlign w:val="center"/>
          </w:tcPr>
          <w:p w14:paraId="4595EBBD">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从业</w:t>
            </w:r>
            <w:r>
              <w:rPr>
                <w:rFonts w:hint="eastAsia" w:ascii="___WRD_EMBED_SUB_45" w:hAnsi="___WRD_EMBED_SUB_45" w:eastAsia="___WRD_EMBED_SUB_45" w:cs="___WRD_EMBED_SUB_45"/>
                <w:kern w:val="0"/>
                <w:sz w:val="18"/>
                <w:szCs w:val="18"/>
                <w:highlight w:val="none"/>
              </w:rPr>
              <w:t>人</w:t>
            </w:r>
            <w:r>
              <w:rPr>
                <w:rFonts w:hint="eastAsia" w:ascii="微软雅黑" w:hAnsi="微软雅黑" w:eastAsia="微软雅黑" w:cs="微软雅黑"/>
                <w:kern w:val="0"/>
                <w:sz w:val="18"/>
                <w:szCs w:val="18"/>
                <w:highlight w:val="none"/>
              </w:rPr>
              <w:t>员</w:t>
            </w:r>
            <w:r>
              <w:rPr>
                <w:rFonts w:hint="eastAsia" w:ascii="___WRD_EMBED_SUB_45" w:hAnsi="___WRD_EMBED_SUB_45" w:eastAsia="___WRD_EMBED_SUB_45" w:cs="___WRD_EMBED_SUB_45"/>
                <w:kern w:val="0"/>
                <w:sz w:val="18"/>
                <w:szCs w:val="18"/>
                <w:highlight w:val="none"/>
              </w:rPr>
              <w:t>（</w:t>
            </w:r>
            <w:r>
              <w:rPr>
                <w:rFonts w:hint="eastAsia" w:ascii="仿宋_GB2312" w:hAnsi="仿宋" w:eastAsia="仿宋_GB2312" w:cs="宋体"/>
                <w:kern w:val="0"/>
                <w:sz w:val="18"/>
                <w:szCs w:val="18"/>
                <w:highlight w:val="none"/>
              </w:rPr>
              <w:t>X）</w:t>
            </w:r>
          </w:p>
        </w:tc>
        <w:tc>
          <w:tcPr>
            <w:tcW w:w="1490" w:type="dxa"/>
            <w:tcBorders>
              <w:top w:val="nil"/>
              <w:left w:val="nil"/>
              <w:bottom w:val="single" w:color="auto" w:sz="4" w:space="0"/>
              <w:right w:val="single" w:color="auto" w:sz="4" w:space="0"/>
            </w:tcBorders>
            <w:vAlign w:val="center"/>
          </w:tcPr>
          <w:p w14:paraId="238185F5">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917" w:type="dxa"/>
            <w:tcBorders>
              <w:top w:val="nil"/>
              <w:left w:val="nil"/>
              <w:bottom w:val="single" w:color="auto" w:sz="4" w:space="0"/>
              <w:right w:val="single" w:color="auto" w:sz="4" w:space="0"/>
            </w:tcBorders>
            <w:vAlign w:val="center"/>
          </w:tcPr>
          <w:p w14:paraId="3AFCC8BE">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300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1000</w:t>
            </w:r>
          </w:p>
        </w:tc>
        <w:tc>
          <w:tcPr>
            <w:tcW w:w="1797" w:type="dxa"/>
            <w:tcBorders>
              <w:top w:val="nil"/>
              <w:left w:val="nil"/>
              <w:bottom w:val="single" w:color="auto" w:sz="4" w:space="0"/>
              <w:right w:val="single" w:color="auto" w:sz="4" w:space="0"/>
            </w:tcBorders>
            <w:vAlign w:val="center"/>
          </w:tcPr>
          <w:p w14:paraId="0EADF878">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300</w:t>
            </w:r>
          </w:p>
        </w:tc>
        <w:tc>
          <w:tcPr>
            <w:tcW w:w="1154" w:type="dxa"/>
            <w:tcBorders>
              <w:top w:val="nil"/>
              <w:left w:val="nil"/>
              <w:bottom w:val="single" w:color="auto" w:sz="4" w:space="0"/>
              <w:right w:val="single" w:color="auto" w:sz="4" w:space="0"/>
            </w:tcBorders>
            <w:vAlign w:val="center"/>
          </w:tcPr>
          <w:p w14:paraId="4321C618">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20</w:t>
            </w:r>
          </w:p>
        </w:tc>
      </w:tr>
      <w:tr w14:paraId="3FACC1CE">
        <w:tblPrEx>
          <w:tblCellMar>
            <w:top w:w="0" w:type="dxa"/>
            <w:left w:w="108" w:type="dxa"/>
            <w:bottom w:w="0" w:type="dxa"/>
            <w:right w:w="108" w:type="dxa"/>
          </w:tblCellMar>
        </w:tblPrEx>
        <w:trPr>
          <w:trHeight w:val="225" w:hRule="atLeast"/>
        </w:trPr>
        <w:tc>
          <w:tcPr>
            <w:tcW w:w="1948" w:type="dxa"/>
            <w:vMerge w:val="continue"/>
            <w:tcBorders>
              <w:top w:val="nil"/>
              <w:left w:val="single" w:color="auto" w:sz="4" w:space="0"/>
              <w:bottom w:val="single" w:color="auto" w:sz="4" w:space="0"/>
              <w:right w:val="single" w:color="auto" w:sz="4" w:space="0"/>
            </w:tcBorders>
            <w:vAlign w:val="center"/>
          </w:tcPr>
          <w:p w14:paraId="422CC36E">
            <w:pPr>
              <w:widowControl/>
              <w:jc w:val="left"/>
              <w:rPr>
                <w:rFonts w:hint="eastAsia" w:ascii="仿宋_GB2312" w:hAnsi="仿宋" w:eastAsia="仿宋_GB2312" w:cs="宋体"/>
                <w:b/>
                <w:bCs/>
                <w:kern w:val="0"/>
                <w:sz w:val="18"/>
                <w:szCs w:val="18"/>
                <w:highlight w:val="none"/>
              </w:rPr>
            </w:pPr>
          </w:p>
        </w:tc>
        <w:tc>
          <w:tcPr>
            <w:tcW w:w="1656" w:type="dxa"/>
            <w:tcBorders>
              <w:top w:val="nil"/>
              <w:left w:val="nil"/>
              <w:bottom w:val="single" w:color="auto" w:sz="4" w:space="0"/>
              <w:right w:val="single" w:color="auto" w:sz="4" w:space="0"/>
            </w:tcBorders>
            <w:vAlign w:val="center"/>
          </w:tcPr>
          <w:p w14:paraId="4A521C51">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营业收入</w:t>
            </w:r>
            <w:r>
              <w:rPr>
                <w:rFonts w:hint="eastAsia" w:ascii="___WRD_EMBED_SUB_45" w:hAnsi="___WRD_EMBED_SUB_45" w:eastAsia="___WRD_EMBED_SUB_45" w:cs="___WRD_EMBED_SUB_45"/>
                <w:kern w:val="0"/>
                <w:sz w:val="18"/>
                <w:szCs w:val="18"/>
                <w:highlight w:val="none"/>
              </w:rPr>
              <w:t>（</w:t>
            </w:r>
            <w:r>
              <w:rPr>
                <w:rFonts w:hint="eastAsia" w:ascii="仿宋_GB2312" w:hAnsi="仿宋" w:eastAsia="仿宋_GB2312" w:cs="宋体"/>
                <w:kern w:val="0"/>
                <w:sz w:val="18"/>
                <w:szCs w:val="18"/>
                <w:highlight w:val="none"/>
              </w:rPr>
              <w:t>Y）</w:t>
            </w:r>
          </w:p>
        </w:tc>
        <w:tc>
          <w:tcPr>
            <w:tcW w:w="1490" w:type="dxa"/>
            <w:tcBorders>
              <w:top w:val="nil"/>
              <w:left w:val="nil"/>
              <w:bottom w:val="single" w:color="auto" w:sz="4" w:space="0"/>
              <w:right w:val="single" w:color="auto" w:sz="4" w:space="0"/>
            </w:tcBorders>
            <w:vAlign w:val="center"/>
          </w:tcPr>
          <w:p w14:paraId="4B153999">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万元</w:t>
            </w:r>
          </w:p>
        </w:tc>
        <w:tc>
          <w:tcPr>
            <w:tcW w:w="1917" w:type="dxa"/>
            <w:tcBorders>
              <w:top w:val="nil"/>
              <w:left w:val="nil"/>
              <w:bottom w:val="single" w:color="auto" w:sz="4" w:space="0"/>
              <w:right w:val="single" w:color="auto" w:sz="4" w:space="0"/>
            </w:tcBorders>
            <w:vAlign w:val="center"/>
          </w:tcPr>
          <w:p w14:paraId="084F8B30">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40000</w:t>
            </w:r>
          </w:p>
        </w:tc>
        <w:tc>
          <w:tcPr>
            <w:tcW w:w="1797" w:type="dxa"/>
            <w:tcBorders>
              <w:top w:val="nil"/>
              <w:left w:val="nil"/>
              <w:bottom w:val="single" w:color="auto" w:sz="4" w:space="0"/>
              <w:right w:val="single" w:color="auto" w:sz="4" w:space="0"/>
            </w:tcBorders>
            <w:vAlign w:val="center"/>
          </w:tcPr>
          <w:p w14:paraId="6E9B536D">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300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2000</w:t>
            </w:r>
          </w:p>
        </w:tc>
        <w:tc>
          <w:tcPr>
            <w:tcW w:w="1154" w:type="dxa"/>
            <w:tcBorders>
              <w:top w:val="nil"/>
              <w:left w:val="nil"/>
              <w:bottom w:val="single" w:color="auto" w:sz="4" w:space="0"/>
              <w:right w:val="single" w:color="auto" w:sz="4" w:space="0"/>
            </w:tcBorders>
            <w:vAlign w:val="center"/>
          </w:tcPr>
          <w:p w14:paraId="57DC7621">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300</w:t>
            </w:r>
          </w:p>
        </w:tc>
      </w:tr>
      <w:tr w14:paraId="108D277D">
        <w:tblPrEx>
          <w:tblCellMar>
            <w:top w:w="0" w:type="dxa"/>
            <w:left w:w="108" w:type="dxa"/>
            <w:bottom w:w="0" w:type="dxa"/>
            <w:right w:w="108" w:type="dxa"/>
          </w:tblCellMar>
        </w:tblPrEx>
        <w:trPr>
          <w:trHeight w:val="225" w:hRule="atLeast"/>
        </w:trPr>
        <w:tc>
          <w:tcPr>
            <w:tcW w:w="1948" w:type="dxa"/>
            <w:vMerge w:val="restart"/>
            <w:tcBorders>
              <w:top w:val="nil"/>
              <w:left w:val="single" w:color="auto" w:sz="4" w:space="0"/>
              <w:bottom w:val="single" w:color="auto" w:sz="4" w:space="0"/>
              <w:right w:val="single" w:color="auto" w:sz="4" w:space="0"/>
            </w:tcBorders>
            <w:vAlign w:val="bottom"/>
          </w:tcPr>
          <w:p w14:paraId="6193D24D">
            <w:pPr>
              <w:widowControl/>
              <w:jc w:val="center"/>
              <w:rPr>
                <w:rFonts w:hint="eastAsia"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建</w:t>
            </w:r>
            <w:r>
              <w:rPr>
                <w:rFonts w:hint="eastAsia" w:ascii="微软雅黑" w:hAnsi="微软雅黑" w:eastAsia="微软雅黑" w:cs="微软雅黑"/>
                <w:b/>
                <w:bCs/>
                <w:kern w:val="0"/>
                <w:sz w:val="18"/>
                <w:szCs w:val="18"/>
                <w:highlight w:val="none"/>
              </w:rPr>
              <w:t>筑业</w:t>
            </w:r>
          </w:p>
        </w:tc>
        <w:tc>
          <w:tcPr>
            <w:tcW w:w="1656" w:type="dxa"/>
            <w:tcBorders>
              <w:top w:val="nil"/>
              <w:left w:val="nil"/>
              <w:bottom w:val="single" w:color="auto" w:sz="4" w:space="0"/>
              <w:right w:val="single" w:color="auto" w:sz="4" w:space="0"/>
            </w:tcBorders>
            <w:vAlign w:val="center"/>
          </w:tcPr>
          <w:p w14:paraId="7EF7C556">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营业收入</w:t>
            </w:r>
            <w:r>
              <w:rPr>
                <w:rFonts w:hint="eastAsia" w:ascii="___WRD_EMBED_SUB_45" w:hAnsi="___WRD_EMBED_SUB_45" w:eastAsia="___WRD_EMBED_SUB_45" w:cs="___WRD_EMBED_SUB_45"/>
                <w:kern w:val="0"/>
                <w:sz w:val="18"/>
                <w:szCs w:val="18"/>
                <w:highlight w:val="none"/>
              </w:rPr>
              <w:t>（</w:t>
            </w:r>
            <w:r>
              <w:rPr>
                <w:rFonts w:hint="eastAsia" w:ascii="仿宋_GB2312" w:hAnsi="仿宋" w:eastAsia="仿宋_GB2312" w:cs="宋体"/>
                <w:kern w:val="0"/>
                <w:sz w:val="18"/>
                <w:szCs w:val="18"/>
                <w:highlight w:val="none"/>
              </w:rPr>
              <w:t>Y）</w:t>
            </w:r>
          </w:p>
        </w:tc>
        <w:tc>
          <w:tcPr>
            <w:tcW w:w="1490" w:type="dxa"/>
            <w:tcBorders>
              <w:top w:val="nil"/>
              <w:left w:val="nil"/>
              <w:bottom w:val="single" w:color="auto" w:sz="4" w:space="0"/>
              <w:right w:val="single" w:color="auto" w:sz="4" w:space="0"/>
            </w:tcBorders>
            <w:vAlign w:val="center"/>
          </w:tcPr>
          <w:p w14:paraId="025A6DA1">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万元</w:t>
            </w:r>
          </w:p>
        </w:tc>
        <w:tc>
          <w:tcPr>
            <w:tcW w:w="1917" w:type="dxa"/>
            <w:tcBorders>
              <w:top w:val="nil"/>
              <w:left w:val="nil"/>
              <w:bottom w:val="single" w:color="auto" w:sz="4" w:space="0"/>
              <w:right w:val="single" w:color="auto" w:sz="4" w:space="0"/>
            </w:tcBorders>
            <w:vAlign w:val="center"/>
          </w:tcPr>
          <w:p w14:paraId="622C76DA">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6000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80000</w:t>
            </w:r>
          </w:p>
        </w:tc>
        <w:tc>
          <w:tcPr>
            <w:tcW w:w="1797" w:type="dxa"/>
            <w:tcBorders>
              <w:top w:val="nil"/>
              <w:left w:val="nil"/>
              <w:bottom w:val="single" w:color="auto" w:sz="4" w:space="0"/>
              <w:right w:val="single" w:color="auto" w:sz="4" w:space="0"/>
            </w:tcBorders>
            <w:vAlign w:val="center"/>
          </w:tcPr>
          <w:p w14:paraId="5ED88055">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300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6000</w:t>
            </w:r>
          </w:p>
        </w:tc>
        <w:tc>
          <w:tcPr>
            <w:tcW w:w="1154" w:type="dxa"/>
            <w:tcBorders>
              <w:top w:val="nil"/>
              <w:left w:val="nil"/>
              <w:bottom w:val="single" w:color="auto" w:sz="4" w:space="0"/>
              <w:right w:val="single" w:color="auto" w:sz="4" w:space="0"/>
            </w:tcBorders>
            <w:vAlign w:val="center"/>
          </w:tcPr>
          <w:p w14:paraId="32C02661">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300</w:t>
            </w:r>
          </w:p>
        </w:tc>
      </w:tr>
      <w:tr w14:paraId="7DD3E9E3">
        <w:tblPrEx>
          <w:tblCellMar>
            <w:top w:w="0" w:type="dxa"/>
            <w:left w:w="108" w:type="dxa"/>
            <w:bottom w:w="0" w:type="dxa"/>
            <w:right w:w="108" w:type="dxa"/>
          </w:tblCellMar>
        </w:tblPrEx>
        <w:trPr>
          <w:trHeight w:val="225" w:hRule="atLeast"/>
        </w:trPr>
        <w:tc>
          <w:tcPr>
            <w:tcW w:w="1948" w:type="dxa"/>
            <w:vMerge w:val="continue"/>
            <w:tcBorders>
              <w:top w:val="nil"/>
              <w:left w:val="single" w:color="auto" w:sz="4" w:space="0"/>
              <w:bottom w:val="single" w:color="auto" w:sz="4" w:space="0"/>
              <w:right w:val="single" w:color="auto" w:sz="4" w:space="0"/>
            </w:tcBorders>
            <w:vAlign w:val="center"/>
          </w:tcPr>
          <w:p w14:paraId="1230AE7F">
            <w:pPr>
              <w:widowControl/>
              <w:jc w:val="left"/>
              <w:rPr>
                <w:rFonts w:hint="eastAsia" w:ascii="仿宋_GB2312" w:hAnsi="仿宋" w:eastAsia="仿宋_GB2312" w:cs="宋体"/>
                <w:b/>
                <w:bCs/>
                <w:kern w:val="0"/>
                <w:sz w:val="18"/>
                <w:szCs w:val="18"/>
                <w:highlight w:val="none"/>
              </w:rPr>
            </w:pPr>
          </w:p>
        </w:tc>
        <w:tc>
          <w:tcPr>
            <w:tcW w:w="1656" w:type="dxa"/>
            <w:tcBorders>
              <w:top w:val="nil"/>
              <w:left w:val="nil"/>
              <w:bottom w:val="single" w:color="auto" w:sz="4" w:space="0"/>
              <w:right w:val="single" w:color="auto" w:sz="4" w:space="0"/>
            </w:tcBorders>
            <w:vAlign w:val="center"/>
          </w:tcPr>
          <w:p w14:paraId="70A2E792">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资产总额</w:t>
            </w:r>
            <w:r>
              <w:rPr>
                <w:rFonts w:hint="eastAsia" w:ascii="___WRD_EMBED_SUB_45" w:hAnsi="___WRD_EMBED_SUB_45" w:eastAsia="___WRD_EMBED_SUB_45" w:cs="___WRD_EMBED_SUB_45"/>
                <w:kern w:val="0"/>
                <w:sz w:val="18"/>
                <w:szCs w:val="18"/>
                <w:highlight w:val="none"/>
              </w:rPr>
              <w:t>（</w:t>
            </w:r>
            <w:r>
              <w:rPr>
                <w:rFonts w:hint="eastAsia" w:ascii="仿宋_GB2312" w:hAnsi="仿宋" w:eastAsia="仿宋_GB2312" w:cs="宋体"/>
                <w:kern w:val="0"/>
                <w:sz w:val="18"/>
                <w:szCs w:val="18"/>
                <w:highlight w:val="none"/>
              </w:rPr>
              <w:t>Z）</w:t>
            </w:r>
          </w:p>
        </w:tc>
        <w:tc>
          <w:tcPr>
            <w:tcW w:w="1490" w:type="dxa"/>
            <w:tcBorders>
              <w:top w:val="nil"/>
              <w:left w:val="nil"/>
              <w:bottom w:val="single" w:color="auto" w:sz="4" w:space="0"/>
              <w:right w:val="single" w:color="auto" w:sz="4" w:space="0"/>
            </w:tcBorders>
            <w:vAlign w:val="center"/>
          </w:tcPr>
          <w:p w14:paraId="349AB70A">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万元</w:t>
            </w:r>
          </w:p>
        </w:tc>
        <w:tc>
          <w:tcPr>
            <w:tcW w:w="1917" w:type="dxa"/>
            <w:tcBorders>
              <w:top w:val="nil"/>
              <w:left w:val="nil"/>
              <w:bottom w:val="single" w:color="auto" w:sz="4" w:space="0"/>
              <w:right w:val="single" w:color="auto" w:sz="4" w:space="0"/>
            </w:tcBorders>
            <w:vAlign w:val="center"/>
          </w:tcPr>
          <w:p w14:paraId="2E6CBCCC">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Z</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80000</w:t>
            </w:r>
          </w:p>
        </w:tc>
        <w:tc>
          <w:tcPr>
            <w:tcW w:w="1797" w:type="dxa"/>
            <w:tcBorders>
              <w:top w:val="nil"/>
              <w:left w:val="nil"/>
              <w:bottom w:val="single" w:color="auto" w:sz="4" w:space="0"/>
              <w:right w:val="single" w:color="auto" w:sz="4" w:space="0"/>
            </w:tcBorders>
            <w:vAlign w:val="center"/>
          </w:tcPr>
          <w:p w14:paraId="1C93A080">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300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Z</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5000</w:t>
            </w:r>
          </w:p>
        </w:tc>
        <w:tc>
          <w:tcPr>
            <w:tcW w:w="1154" w:type="dxa"/>
            <w:tcBorders>
              <w:top w:val="nil"/>
              <w:left w:val="nil"/>
              <w:bottom w:val="single" w:color="auto" w:sz="4" w:space="0"/>
              <w:right w:val="single" w:color="auto" w:sz="4" w:space="0"/>
            </w:tcBorders>
            <w:vAlign w:val="center"/>
          </w:tcPr>
          <w:p w14:paraId="6680FF6D">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Z</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300</w:t>
            </w:r>
          </w:p>
        </w:tc>
      </w:tr>
      <w:tr w14:paraId="444428BA">
        <w:tblPrEx>
          <w:tblCellMar>
            <w:top w:w="0" w:type="dxa"/>
            <w:left w:w="108" w:type="dxa"/>
            <w:bottom w:w="0" w:type="dxa"/>
            <w:right w:w="108" w:type="dxa"/>
          </w:tblCellMar>
        </w:tblPrEx>
        <w:trPr>
          <w:trHeight w:val="225" w:hRule="atLeast"/>
        </w:trPr>
        <w:tc>
          <w:tcPr>
            <w:tcW w:w="1948" w:type="dxa"/>
            <w:vMerge w:val="restart"/>
            <w:tcBorders>
              <w:top w:val="nil"/>
              <w:left w:val="single" w:color="auto" w:sz="4" w:space="0"/>
              <w:bottom w:val="single" w:color="auto" w:sz="4" w:space="0"/>
              <w:right w:val="single" w:color="auto" w:sz="4" w:space="0"/>
            </w:tcBorders>
            <w:vAlign w:val="bottom"/>
          </w:tcPr>
          <w:p w14:paraId="45C09BE1">
            <w:pPr>
              <w:widowControl/>
              <w:jc w:val="center"/>
              <w:rPr>
                <w:rFonts w:hint="eastAsia" w:ascii="仿宋_GB2312" w:hAnsi="仿宋" w:eastAsia="仿宋_GB2312" w:cs="宋体"/>
                <w:b/>
                <w:bCs/>
                <w:kern w:val="0"/>
                <w:sz w:val="18"/>
                <w:szCs w:val="18"/>
                <w:highlight w:val="none"/>
              </w:rPr>
            </w:pPr>
            <w:r>
              <w:rPr>
                <w:rFonts w:hint="eastAsia" w:ascii="微软雅黑" w:hAnsi="微软雅黑" w:eastAsia="微软雅黑" w:cs="微软雅黑"/>
                <w:b/>
                <w:bCs/>
                <w:kern w:val="0"/>
                <w:sz w:val="18"/>
                <w:szCs w:val="18"/>
                <w:highlight w:val="none"/>
              </w:rPr>
              <w:t>批发业</w:t>
            </w:r>
          </w:p>
        </w:tc>
        <w:tc>
          <w:tcPr>
            <w:tcW w:w="1656" w:type="dxa"/>
            <w:tcBorders>
              <w:top w:val="nil"/>
              <w:left w:val="nil"/>
              <w:bottom w:val="single" w:color="auto" w:sz="4" w:space="0"/>
              <w:right w:val="single" w:color="auto" w:sz="4" w:space="0"/>
            </w:tcBorders>
            <w:vAlign w:val="center"/>
          </w:tcPr>
          <w:p w14:paraId="0928EEAB">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从业</w:t>
            </w:r>
            <w:r>
              <w:rPr>
                <w:rFonts w:hint="eastAsia" w:ascii="___WRD_EMBED_SUB_45" w:hAnsi="___WRD_EMBED_SUB_45" w:eastAsia="___WRD_EMBED_SUB_45" w:cs="___WRD_EMBED_SUB_45"/>
                <w:kern w:val="0"/>
                <w:sz w:val="18"/>
                <w:szCs w:val="18"/>
                <w:highlight w:val="none"/>
              </w:rPr>
              <w:t>人</w:t>
            </w:r>
            <w:r>
              <w:rPr>
                <w:rFonts w:hint="eastAsia" w:ascii="微软雅黑" w:hAnsi="微软雅黑" w:eastAsia="微软雅黑" w:cs="微软雅黑"/>
                <w:kern w:val="0"/>
                <w:sz w:val="18"/>
                <w:szCs w:val="18"/>
                <w:highlight w:val="none"/>
              </w:rPr>
              <w:t>员</w:t>
            </w:r>
            <w:r>
              <w:rPr>
                <w:rFonts w:hint="eastAsia" w:ascii="___WRD_EMBED_SUB_45" w:hAnsi="___WRD_EMBED_SUB_45" w:eastAsia="___WRD_EMBED_SUB_45" w:cs="___WRD_EMBED_SUB_45"/>
                <w:kern w:val="0"/>
                <w:sz w:val="18"/>
                <w:szCs w:val="18"/>
                <w:highlight w:val="none"/>
              </w:rPr>
              <w:t>（</w:t>
            </w:r>
            <w:r>
              <w:rPr>
                <w:rFonts w:hint="eastAsia" w:ascii="仿宋_GB2312" w:hAnsi="仿宋" w:eastAsia="仿宋_GB2312" w:cs="宋体"/>
                <w:kern w:val="0"/>
                <w:sz w:val="18"/>
                <w:szCs w:val="18"/>
                <w:highlight w:val="none"/>
              </w:rPr>
              <w:t>X）</w:t>
            </w:r>
          </w:p>
        </w:tc>
        <w:tc>
          <w:tcPr>
            <w:tcW w:w="1490" w:type="dxa"/>
            <w:tcBorders>
              <w:top w:val="nil"/>
              <w:left w:val="nil"/>
              <w:bottom w:val="single" w:color="auto" w:sz="4" w:space="0"/>
              <w:right w:val="single" w:color="auto" w:sz="4" w:space="0"/>
            </w:tcBorders>
            <w:vAlign w:val="center"/>
          </w:tcPr>
          <w:p w14:paraId="0258C721">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917" w:type="dxa"/>
            <w:tcBorders>
              <w:top w:val="nil"/>
              <w:left w:val="nil"/>
              <w:bottom w:val="single" w:color="auto" w:sz="4" w:space="0"/>
              <w:right w:val="single" w:color="auto" w:sz="4" w:space="0"/>
            </w:tcBorders>
            <w:vAlign w:val="center"/>
          </w:tcPr>
          <w:p w14:paraId="22DBE886">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200</w:t>
            </w:r>
          </w:p>
        </w:tc>
        <w:tc>
          <w:tcPr>
            <w:tcW w:w="1797" w:type="dxa"/>
            <w:tcBorders>
              <w:top w:val="nil"/>
              <w:left w:val="nil"/>
              <w:bottom w:val="single" w:color="auto" w:sz="4" w:space="0"/>
              <w:right w:val="single" w:color="auto" w:sz="4" w:space="0"/>
            </w:tcBorders>
            <w:vAlign w:val="center"/>
          </w:tcPr>
          <w:p w14:paraId="6974249C">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20</w:t>
            </w:r>
          </w:p>
        </w:tc>
        <w:tc>
          <w:tcPr>
            <w:tcW w:w="1154" w:type="dxa"/>
            <w:tcBorders>
              <w:top w:val="nil"/>
              <w:left w:val="nil"/>
              <w:bottom w:val="single" w:color="auto" w:sz="4" w:space="0"/>
              <w:right w:val="single" w:color="auto" w:sz="4" w:space="0"/>
            </w:tcBorders>
            <w:vAlign w:val="center"/>
          </w:tcPr>
          <w:p w14:paraId="27AD73E7">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5</w:t>
            </w:r>
          </w:p>
        </w:tc>
      </w:tr>
      <w:tr w14:paraId="41E69A01">
        <w:tblPrEx>
          <w:tblCellMar>
            <w:top w:w="0" w:type="dxa"/>
            <w:left w:w="108" w:type="dxa"/>
            <w:bottom w:w="0" w:type="dxa"/>
            <w:right w:w="108" w:type="dxa"/>
          </w:tblCellMar>
        </w:tblPrEx>
        <w:trPr>
          <w:trHeight w:val="225" w:hRule="atLeast"/>
        </w:trPr>
        <w:tc>
          <w:tcPr>
            <w:tcW w:w="1948" w:type="dxa"/>
            <w:vMerge w:val="continue"/>
            <w:tcBorders>
              <w:top w:val="nil"/>
              <w:left w:val="single" w:color="auto" w:sz="4" w:space="0"/>
              <w:bottom w:val="single" w:color="auto" w:sz="4" w:space="0"/>
              <w:right w:val="single" w:color="auto" w:sz="4" w:space="0"/>
            </w:tcBorders>
            <w:vAlign w:val="center"/>
          </w:tcPr>
          <w:p w14:paraId="05DB502D">
            <w:pPr>
              <w:widowControl/>
              <w:jc w:val="left"/>
              <w:rPr>
                <w:rFonts w:hint="eastAsia" w:ascii="仿宋_GB2312" w:hAnsi="仿宋" w:eastAsia="仿宋_GB2312" w:cs="宋体"/>
                <w:b/>
                <w:bCs/>
                <w:kern w:val="0"/>
                <w:sz w:val="18"/>
                <w:szCs w:val="18"/>
                <w:highlight w:val="none"/>
              </w:rPr>
            </w:pPr>
          </w:p>
        </w:tc>
        <w:tc>
          <w:tcPr>
            <w:tcW w:w="1656" w:type="dxa"/>
            <w:tcBorders>
              <w:top w:val="nil"/>
              <w:left w:val="nil"/>
              <w:bottom w:val="single" w:color="auto" w:sz="4" w:space="0"/>
              <w:right w:val="single" w:color="auto" w:sz="4" w:space="0"/>
            </w:tcBorders>
            <w:vAlign w:val="center"/>
          </w:tcPr>
          <w:p w14:paraId="499F7157">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营业收入</w:t>
            </w:r>
            <w:r>
              <w:rPr>
                <w:rFonts w:hint="eastAsia" w:ascii="___WRD_EMBED_SUB_45" w:hAnsi="___WRD_EMBED_SUB_45" w:eastAsia="___WRD_EMBED_SUB_45" w:cs="___WRD_EMBED_SUB_45"/>
                <w:kern w:val="0"/>
                <w:sz w:val="18"/>
                <w:szCs w:val="18"/>
                <w:highlight w:val="none"/>
              </w:rPr>
              <w:t>（</w:t>
            </w:r>
            <w:r>
              <w:rPr>
                <w:rFonts w:hint="eastAsia" w:ascii="仿宋_GB2312" w:hAnsi="仿宋" w:eastAsia="仿宋_GB2312" w:cs="宋体"/>
                <w:kern w:val="0"/>
                <w:sz w:val="18"/>
                <w:szCs w:val="18"/>
                <w:highlight w:val="none"/>
              </w:rPr>
              <w:t>Y）</w:t>
            </w:r>
          </w:p>
        </w:tc>
        <w:tc>
          <w:tcPr>
            <w:tcW w:w="1490" w:type="dxa"/>
            <w:tcBorders>
              <w:top w:val="nil"/>
              <w:left w:val="nil"/>
              <w:bottom w:val="single" w:color="auto" w:sz="4" w:space="0"/>
              <w:right w:val="single" w:color="auto" w:sz="4" w:space="0"/>
            </w:tcBorders>
            <w:vAlign w:val="center"/>
          </w:tcPr>
          <w:p w14:paraId="04CBE9C8">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万元</w:t>
            </w:r>
          </w:p>
        </w:tc>
        <w:tc>
          <w:tcPr>
            <w:tcW w:w="1917" w:type="dxa"/>
            <w:tcBorders>
              <w:top w:val="nil"/>
              <w:left w:val="nil"/>
              <w:bottom w:val="single" w:color="auto" w:sz="4" w:space="0"/>
              <w:right w:val="single" w:color="auto" w:sz="4" w:space="0"/>
            </w:tcBorders>
            <w:vAlign w:val="center"/>
          </w:tcPr>
          <w:p w14:paraId="1DD44299">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40000</w:t>
            </w:r>
          </w:p>
        </w:tc>
        <w:tc>
          <w:tcPr>
            <w:tcW w:w="1797" w:type="dxa"/>
            <w:tcBorders>
              <w:top w:val="nil"/>
              <w:left w:val="nil"/>
              <w:bottom w:val="single" w:color="auto" w:sz="4" w:space="0"/>
              <w:right w:val="single" w:color="auto" w:sz="4" w:space="0"/>
            </w:tcBorders>
            <w:vAlign w:val="center"/>
          </w:tcPr>
          <w:p w14:paraId="730BB01C">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5000</w:t>
            </w:r>
          </w:p>
        </w:tc>
        <w:tc>
          <w:tcPr>
            <w:tcW w:w="1154" w:type="dxa"/>
            <w:tcBorders>
              <w:top w:val="nil"/>
              <w:left w:val="nil"/>
              <w:bottom w:val="single" w:color="auto" w:sz="4" w:space="0"/>
              <w:right w:val="single" w:color="auto" w:sz="4" w:space="0"/>
            </w:tcBorders>
            <w:vAlign w:val="center"/>
          </w:tcPr>
          <w:p w14:paraId="22701BC8">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1000</w:t>
            </w:r>
          </w:p>
        </w:tc>
      </w:tr>
      <w:tr w14:paraId="3217D155">
        <w:tblPrEx>
          <w:tblCellMar>
            <w:top w:w="0" w:type="dxa"/>
            <w:left w:w="108" w:type="dxa"/>
            <w:bottom w:w="0" w:type="dxa"/>
            <w:right w:w="108" w:type="dxa"/>
          </w:tblCellMar>
        </w:tblPrEx>
        <w:trPr>
          <w:trHeight w:val="225" w:hRule="atLeast"/>
        </w:trPr>
        <w:tc>
          <w:tcPr>
            <w:tcW w:w="1948" w:type="dxa"/>
            <w:vMerge w:val="restart"/>
            <w:tcBorders>
              <w:top w:val="nil"/>
              <w:left w:val="single" w:color="auto" w:sz="4" w:space="0"/>
              <w:bottom w:val="single" w:color="auto" w:sz="4" w:space="0"/>
              <w:right w:val="single" w:color="auto" w:sz="4" w:space="0"/>
            </w:tcBorders>
            <w:vAlign w:val="bottom"/>
          </w:tcPr>
          <w:p w14:paraId="46AEE3BE">
            <w:pPr>
              <w:widowControl/>
              <w:jc w:val="center"/>
              <w:rPr>
                <w:rFonts w:hint="eastAsia" w:ascii="仿宋_GB2312" w:hAnsi="仿宋" w:eastAsia="仿宋_GB2312" w:cs="宋体"/>
                <w:b/>
                <w:bCs/>
                <w:kern w:val="0"/>
                <w:sz w:val="18"/>
                <w:szCs w:val="18"/>
                <w:highlight w:val="none"/>
              </w:rPr>
            </w:pPr>
            <w:r>
              <w:rPr>
                <w:rFonts w:hint="eastAsia" w:ascii="微软雅黑" w:hAnsi="微软雅黑" w:eastAsia="微软雅黑" w:cs="微软雅黑"/>
                <w:b/>
                <w:bCs/>
                <w:kern w:val="0"/>
                <w:sz w:val="18"/>
                <w:szCs w:val="18"/>
                <w:highlight w:val="none"/>
              </w:rPr>
              <w:t>零售业</w:t>
            </w:r>
          </w:p>
        </w:tc>
        <w:tc>
          <w:tcPr>
            <w:tcW w:w="1656" w:type="dxa"/>
            <w:tcBorders>
              <w:top w:val="nil"/>
              <w:left w:val="nil"/>
              <w:bottom w:val="single" w:color="auto" w:sz="4" w:space="0"/>
              <w:right w:val="single" w:color="auto" w:sz="4" w:space="0"/>
            </w:tcBorders>
            <w:vAlign w:val="center"/>
          </w:tcPr>
          <w:p w14:paraId="3E63BF86">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从业</w:t>
            </w:r>
            <w:r>
              <w:rPr>
                <w:rFonts w:hint="eastAsia" w:ascii="___WRD_EMBED_SUB_45" w:hAnsi="___WRD_EMBED_SUB_45" w:eastAsia="___WRD_EMBED_SUB_45" w:cs="___WRD_EMBED_SUB_45"/>
                <w:kern w:val="0"/>
                <w:sz w:val="18"/>
                <w:szCs w:val="18"/>
                <w:highlight w:val="none"/>
              </w:rPr>
              <w:t>人</w:t>
            </w:r>
            <w:r>
              <w:rPr>
                <w:rFonts w:hint="eastAsia" w:ascii="微软雅黑" w:hAnsi="微软雅黑" w:eastAsia="微软雅黑" w:cs="微软雅黑"/>
                <w:kern w:val="0"/>
                <w:sz w:val="18"/>
                <w:szCs w:val="18"/>
                <w:highlight w:val="none"/>
              </w:rPr>
              <w:t>员</w:t>
            </w:r>
            <w:r>
              <w:rPr>
                <w:rFonts w:hint="eastAsia" w:ascii="___WRD_EMBED_SUB_45" w:hAnsi="___WRD_EMBED_SUB_45" w:eastAsia="___WRD_EMBED_SUB_45" w:cs="___WRD_EMBED_SUB_45"/>
                <w:kern w:val="0"/>
                <w:sz w:val="18"/>
                <w:szCs w:val="18"/>
                <w:highlight w:val="none"/>
              </w:rPr>
              <w:t>（</w:t>
            </w:r>
            <w:r>
              <w:rPr>
                <w:rFonts w:hint="eastAsia" w:ascii="仿宋_GB2312" w:hAnsi="仿宋" w:eastAsia="仿宋_GB2312" w:cs="宋体"/>
                <w:kern w:val="0"/>
                <w:sz w:val="18"/>
                <w:szCs w:val="18"/>
                <w:highlight w:val="none"/>
              </w:rPr>
              <w:t>X）</w:t>
            </w:r>
          </w:p>
        </w:tc>
        <w:tc>
          <w:tcPr>
            <w:tcW w:w="1490" w:type="dxa"/>
            <w:tcBorders>
              <w:top w:val="nil"/>
              <w:left w:val="nil"/>
              <w:bottom w:val="single" w:color="auto" w:sz="4" w:space="0"/>
              <w:right w:val="single" w:color="auto" w:sz="4" w:space="0"/>
            </w:tcBorders>
            <w:vAlign w:val="center"/>
          </w:tcPr>
          <w:p w14:paraId="13B746CF">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917" w:type="dxa"/>
            <w:tcBorders>
              <w:top w:val="nil"/>
              <w:left w:val="nil"/>
              <w:bottom w:val="single" w:color="auto" w:sz="4" w:space="0"/>
              <w:right w:val="single" w:color="auto" w:sz="4" w:space="0"/>
            </w:tcBorders>
            <w:vAlign w:val="center"/>
          </w:tcPr>
          <w:p w14:paraId="79241F7B">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300</w:t>
            </w:r>
          </w:p>
        </w:tc>
        <w:tc>
          <w:tcPr>
            <w:tcW w:w="1797" w:type="dxa"/>
            <w:tcBorders>
              <w:top w:val="nil"/>
              <w:left w:val="nil"/>
              <w:bottom w:val="single" w:color="auto" w:sz="4" w:space="0"/>
              <w:right w:val="single" w:color="auto" w:sz="4" w:space="0"/>
            </w:tcBorders>
            <w:vAlign w:val="center"/>
          </w:tcPr>
          <w:p w14:paraId="79D898EE">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50</w:t>
            </w:r>
          </w:p>
        </w:tc>
        <w:tc>
          <w:tcPr>
            <w:tcW w:w="1154" w:type="dxa"/>
            <w:tcBorders>
              <w:top w:val="nil"/>
              <w:left w:val="nil"/>
              <w:bottom w:val="single" w:color="auto" w:sz="4" w:space="0"/>
              <w:right w:val="single" w:color="auto" w:sz="4" w:space="0"/>
            </w:tcBorders>
            <w:vAlign w:val="center"/>
          </w:tcPr>
          <w:p w14:paraId="056FEE5B">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w:t>
            </w:r>
          </w:p>
        </w:tc>
      </w:tr>
      <w:tr w14:paraId="47733677">
        <w:tblPrEx>
          <w:tblCellMar>
            <w:top w:w="0" w:type="dxa"/>
            <w:left w:w="108" w:type="dxa"/>
            <w:bottom w:w="0" w:type="dxa"/>
            <w:right w:w="108" w:type="dxa"/>
          </w:tblCellMar>
        </w:tblPrEx>
        <w:trPr>
          <w:trHeight w:val="225" w:hRule="atLeast"/>
        </w:trPr>
        <w:tc>
          <w:tcPr>
            <w:tcW w:w="1948" w:type="dxa"/>
            <w:vMerge w:val="continue"/>
            <w:tcBorders>
              <w:top w:val="nil"/>
              <w:left w:val="single" w:color="auto" w:sz="4" w:space="0"/>
              <w:bottom w:val="single" w:color="auto" w:sz="4" w:space="0"/>
              <w:right w:val="single" w:color="auto" w:sz="4" w:space="0"/>
            </w:tcBorders>
            <w:vAlign w:val="center"/>
          </w:tcPr>
          <w:p w14:paraId="56C66D2A">
            <w:pPr>
              <w:widowControl/>
              <w:jc w:val="left"/>
              <w:rPr>
                <w:rFonts w:hint="eastAsia" w:ascii="仿宋_GB2312" w:hAnsi="仿宋" w:eastAsia="仿宋_GB2312" w:cs="宋体"/>
                <w:b/>
                <w:bCs/>
                <w:kern w:val="0"/>
                <w:sz w:val="18"/>
                <w:szCs w:val="18"/>
                <w:highlight w:val="none"/>
              </w:rPr>
            </w:pPr>
          </w:p>
        </w:tc>
        <w:tc>
          <w:tcPr>
            <w:tcW w:w="1656" w:type="dxa"/>
            <w:tcBorders>
              <w:top w:val="nil"/>
              <w:left w:val="nil"/>
              <w:bottom w:val="single" w:color="auto" w:sz="4" w:space="0"/>
              <w:right w:val="single" w:color="auto" w:sz="4" w:space="0"/>
            </w:tcBorders>
            <w:vAlign w:val="center"/>
          </w:tcPr>
          <w:p w14:paraId="1556C272">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营业收入</w:t>
            </w:r>
            <w:r>
              <w:rPr>
                <w:rFonts w:hint="eastAsia" w:ascii="___WRD_EMBED_SUB_45" w:hAnsi="___WRD_EMBED_SUB_45" w:eastAsia="___WRD_EMBED_SUB_45" w:cs="___WRD_EMBED_SUB_45"/>
                <w:kern w:val="0"/>
                <w:sz w:val="18"/>
                <w:szCs w:val="18"/>
                <w:highlight w:val="none"/>
              </w:rPr>
              <w:t>（</w:t>
            </w:r>
            <w:r>
              <w:rPr>
                <w:rFonts w:hint="eastAsia" w:ascii="仿宋_GB2312" w:hAnsi="仿宋" w:eastAsia="仿宋_GB2312" w:cs="宋体"/>
                <w:kern w:val="0"/>
                <w:sz w:val="18"/>
                <w:szCs w:val="18"/>
                <w:highlight w:val="none"/>
              </w:rPr>
              <w:t>Y）</w:t>
            </w:r>
          </w:p>
        </w:tc>
        <w:tc>
          <w:tcPr>
            <w:tcW w:w="1490" w:type="dxa"/>
            <w:tcBorders>
              <w:top w:val="nil"/>
              <w:left w:val="nil"/>
              <w:bottom w:val="single" w:color="auto" w:sz="4" w:space="0"/>
              <w:right w:val="single" w:color="auto" w:sz="4" w:space="0"/>
            </w:tcBorders>
            <w:vAlign w:val="center"/>
          </w:tcPr>
          <w:p w14:paraId="3C6E4F41">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万元</w:t>
            </w:r>
          </w:p>
        </w:tc>
        <w:tc>
          <w:tcPr>
            <w:tcW w:w="1917" w:type="dxa"/>
            <w:tcBorders>
              <w:top w:val="nil"/>
              <w:left w:val="nil"/>
              <w:bottom w:val="single" w:color="auto" w:sz="4" w:space="0"/>
              <w:right w:val="single" w:color="auto" w:sz="4" w:space="0"/>
            </w:tcBorders>
            <w:vAlign w:val="center"/>
          </w:tcPr>
          <w:p w14:paraId="6EE34129">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20000</w:t>
            </w:r>
          </w:p>
        </w:tc>
        <w:tc>
          <w:tcPr>
            <w:tcW w:w="1797" w:type="dxa"/>
            <w:tcBorders>
              <w:top w:val="nil"/>
              <w:left w:val="nil"/>
              <w:bottom w:val="single" w:color="auto" w:sz="4" w:space="0"/>
              <w:right w:val="single" w:color="auto" w:sz="4" w:space="0"/>
            </w:tcBorders>
            <w:vAlign w:val="center"/>
          </w:tcPr>
          <w:p w14:paraId="1F47A5DA">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500</w:t>
            </w:r>
          </w:p>
        </w:tc>
        <w:tc>
          <w:tcPr>
            <w:tcW w:w="1154" w:type="dxa"/>
            <w:tcBorders>
              <w:top w:val="nil"/>
              <w:left w:val="nil"/>
              <w:bottom w:val="single" w:color="auto" w:sz="4" w:space="0"/>
              <w:right w:val="single" w:color="auto" w:sz="4" w:space="0"/>
            </w:tcBorders>
            <w:vAlign w:val="center"/>
          </w:tcPr>
          <w:p w14:paraId="1AB25BAA">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100</w:t>
            </w:r>
          </w:p>
        </w:tc>
      </w:tr>
      <w:tr w14:paraId="6F8FEF73">
        <w:tblPrEx>
          <w:tblCellMar>
            <w:top w:w="0" w:type="dxa"/>
            <w:left w:w="108" w:type="dxa"/>
            <w:bottom w:w="0" w:type="dxa"/>
            <w:right w:w="108" w:type="dxa"/>
          </w:tblCellMar>
        </w:tblPrEx>
        <w:trPr>
          <w:trHeight w:val="225" w:hRule="atLeast"/>
        </w:trPr>
        <w:tc>
          <w:tcPr>
            <w:tcW w:w="1948" w:type="dxa"/>
            <w:vMerge w:val="restart"/>
            <w:tcBorders>
              <w:top w:val="nil"/>
              <w:left w:val="single" w:color="auto" w:sz="4" w:space="0"/>
              <w:bottom w:val="single" w:color="auto" w:sz="4" w:space="0"/>
              <w:right w:val="single" w:color="auto" w:sz="4" w:space="0"/>
            </w:tcBorders>
            <w:vAlign w:val="bottom"/>
          </w:tcPr>
          <w:p w14:paraId="29FD456E">
            <w:pPr>
              <w:widowControl/>
              <w:jc w:val="center"/>
              <w:rPr>
                <w:rFonts w:hint="eastAsia" w:ascii="仿宋_GB2312" w:hAnsi="仿宋" w:eastAsia="仿宋_GB2312" w:cs="宋体"/>
                <w:b/>
                <w:bCs/>
                <w:kern w:val="0"/>
                <w:sz w:val="18"/>
                <w:szCs w:val="18"/>
                <w:highlight w:val="none"/>
              </w:rPr>
            </w:pPr>
            <w:r>
              <w:rPr>
                <w:rFonts w:hint="eastAsia" w:ascii="微软雅黑" w:hAnsi="微软雅黑" w:eastAsia="微软雅黑" w:cs="微软雅黑"/>
                <w:b/>
                <w:bCs/>
                <w:kern w:val="0"/>
                <w:sz w:val="18"/>
                <w:szCs w:val="18"/>
                <w:highlight w:val="none"/>
              </w:rPr>
              <w:t>交通运输业</w:t>
            </w:r>
          </w:p>
        </w:tc>
        <w:tc>
          <w:tcPr>
            <w:tcW w:w="1656" w:type="dxa"/>
            <w:tcBorders>
              <w:top w:val="nil"/>
              <w:left w:val="nil"/>
              <w:bottom w:val="single" w:color="auto" w:sz="4" w:space="0"/>
              <w:right w:val="single" w:color="auto" w:sz="4" w:space="0"/>
            </w:tcBorders>
            <w:vAlign w:val="center"/>
          </w:tcPr>
          <w:p w14:paraId="745D4A66">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从业</w:t>
            </w:r>
            <w:r>
              <w:rPr>
                <w:rFonts w:hint="eastAsia" w:ascii="___WRD_EMBED_SUB_45" w:hAnsi="___WRD_EMBED_SUB_45" w:eastAsia="___WRD_EMBED_SUB_45" w:cs="___WRD_EMBED_SUB_45"/>
                <w:kern w:val="0"/>
                <w:sz w:val="18"/>
                <w:szCs w:val="18"/>
                <w:highlight w:val="none"/>
              </w:rPr>
              <w:t>人</w:t>
            </w:r>
            <w:r>
              <w:rPr>
                <w:rFonts w:hint="eastAsia" w:ascii="微软雅黑" w:hAnsi="微软雅黑" w:eastAsia="微软雅黑" w:cs="微软雅黑"/>
                <w:kern w:val="0"/>
                <w:sz w:val="18"/>
                <w:szCs w:val="18"/>
                <w:highlight w:val="none"/>
              </w:rPr>
              <w:t>员</w:t>
            </w:r>
            <w:r>
              <w:rPr>
                <w:rFonts w:hint="eastAsia" w:ascii="___WRD_EMBED_SUB_45" w:hAnsi="___WRD_EMBED_SUB_45" w:eastAsia="___WRD_EMBED_SUB_45" w:cs="___WRD_EMBED_SUB_45"/>
                <w:kern w:val="0"/>
                <w:sz w:val="18"/>
                <w:szCs w:val="18"/>
                <w:highlight w:val="none"/>
              </w:rPr>
              <w:t>（</w:t>
            </w:r>
            <w:r>
              <w:rPr>
                <w:rFonts w:hint="eastAsia" w:ascii="仿宋_GB2312" w:hAnsi="仿宋" w:eastAsia="仿宋_GB2312" w:cs="宋体"/>
                <w:kern w:val="0"/>
                <w:sz w:val="18"/>
                <w:szCs w:val="18"/>
                <w:highlight w:val="none"/>
              </w:rPr>
              <w:t>X）</w:t>
            </w:r>
          </w:p>
        </w:tc>
        <w:tc>
          <w:tcPr>
            <w:tcW w:w="1490" w:type="dxa"/>
            <w:tcBorders>
              <w:top w:val="nil"/>
              <w:left w:val="nil"/>
              <w:bottom w:val="single" w:color="auto" w:sz="4" w:space="0"/>
              <w:right w:val="single" w:color="auto" w:sz="4" w:space="0"/>
            </w:tcBorders>
            <w:vAlign w:val="center"/>
          </w:tcPr>
          <w:p w14:paraId="39FC2929">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917" w:type="dxa"/>
            <w:tcBorders>
              <w:top w:val="nil"/>
              <w:left w:val="nil"/>
              <w:bottom w:val="single" w:color="auto" w:sz="4" w:space="0"/>
              <w:right w:val="single" w:color="auto" w:sz="4" w:space="0"/>
            </w:tcBorders>
            <w:vAlign w:val="center"/>
          </w:tcPr>
          <w:p w14:paraId="19C3D859">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300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1000</w:t>
            </w:r>
          </w:p>
        </w:tc>
        <w:tc>
          <w:tcPr>
            <w:tcW w:w="1797" w:type="dxa"/>
            <w:tcBorders>
              <w:top w:val="nil"/>
              <w:left w:val="nil"/>
              <w:bottom w:val="single" w:color="auto" w:sz="4" w:space="0"/>
              <w:right w:val="single" w:color="auto" w:sz="4" w:space="0"/>
            </w:tcBorders>
            <w:vAlign w:val="center"/>
          </w:tcPr>
          <w:p w14:paraId="094F88A1">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300</w:t>
            </w:r>
          </w:p>
        </w:tc>
        <w:tc>
          <w:tcPr>
            <w:tcW w:w="1154" w:type="dxa"/>
            <w:tcBorders>
              <w:top w:val="nil"/>
              <w:left w:val="nil"/>
              <w:bottom w:val="single" w:color="auto" w:sz="4" w:space="0"/>
              <w:right w:val="single" w:color="auto" w:sz="4" w:space="0"/>
            </w:tcBorders>
            <w:vAlign w:val="center"/>
          </w:tcPr>
          <w:p w14:paraId="4B39481A">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20</w:t>
            </w:r>
          </w:p>
        </w:tc>
      </w:tr>
      <w:tr w14:paraId="0351684B">
        <w:tblPrEx>
          <w:tblCellMar>
            <w:top w:w="0" w:type="dxa"/>
            <w:left w:w="108" w:type="dxa"/>
            <w:bottom w:w="0" w:type="dxa"/>
            <w:right w:w="108" w:type="dxa"/>
          </w:tblCellMar>
        </w:tblPrEx>
        <w:trPr>
          <w:trHeight w:val="225" w:hRule="atLeast"/>
        </w:trPr>
        <w:tc>
          <w:tcPr>
            <w:tcW w:w="1948" w:type="dxa"/>
            <w:vMerge w:val="continue"/>
            <w:tcBorders>
              <w:top w:val="nil"/>
              <w:left w:val="single" w:color="auto" w:sz="4" w:space="0"/>
              <w:bottom w:val="single" w:color="auto" w:sz="4" w:space="0"/>
              <w:right w:val="single" w:color="auto" w:sz="4" w:space="0"/>
            </w:tcBorders>
            <w:vAlign w:val="center"/>
          </w:tcPr>
          <w:p w14:paraId="7FE1FF17">
            <w:pPr>
              <w:widowControl/>
              <w:jc w:val="left"/>
              <w:rPr>
                <w:rFonts w:hint="eastAsia" w:ascii="仿宋_GB2312" w:hAnsi="仿宋" w:eastAsia="仿宋_GB2312" w:cs="宋体"/>
                <w:b/>
                <w:bCs/>
                <w:kern w:val="0"/>
                <w:sz w:val="18"/>
                <w:szCs w:val="18"/>
                <w:highlight w:val="none"/>
              </w:rPr>
            </w:pPr>
          </w:p>
        </w:tc>
        <w:tc>
          <w:tcPr>
            <w:tcW w:w="1656" w:type="dxa"/>
            <w:tcBorders>
              <w:top w:val="nil"/>
              <w:left w:val="nil"/>
              <w:bottom w:val="single" w:color="auto" w:sz="4" w:space="0"/>
              <w:right w:val="single" w:color="auto" w:sz="4" w:space="0"/>
            </w:tcBorders>
            <w:vAlign w:val="center"/>
          </w:tcPr>
          <w:p w14:paraId="1C04205A">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营业收入</w:t>
            </w:r>
            <w:r>
              <w:rPr>
                <w:rFonts w:hint="eastAsia" w:ascii="___WRD_EMBED_SUB_45" w:hAnsi="___WRD_EMBED_SUB_45" w:eastAsia="___WRD_EMBED_SUB_45" w:cs="___WRD_EMBED_SUB_45"/>
                <w:kern w:val="0"/>
                <w:sz w:val="18"/>
                <w:szCs w:val="18"/>
                <w:highlight w:val="none"/>
              </w:rPr>
              <w:t>（</w:t>
            </w:r>
            <w:r>
              <w:rPr>
                <w:rFonts w:hint="eastAsia" w:ascii="仿宋_GB2312" w:hAnsi="仿宋" w:eastAsia="仿宋_GB2312" w:cs="宋体"/>
                <w:kern w:val="0"/>
                <w:sz w:val="18"/>
                <w:szCs w:val="18"/>
                <w:highlight w:val="none"/>
              </w:rPr>
              <w:t>Y）</w:t>
            </w:r>
          </w:p>
        </w:tc>
        <w:tc>
          <w:tcPr>
            <w:tcW w:w="1490" w:type="dxa"/>
            <w:tcBorders>
              <w:top w:val="nil"/>
              <w:left w:val="nil"/>
              <w:bottom w:val="single" w:color="auto" w:sz="4" w:space="0"/>
              <w:right w:val="single" w:color="auto" w:sz="4" w:space="0"/>
            </w:tcBorders>
            <w:vAlign w:val="center"/>
          </w:tcPr>
          <w:p w14:paraId="6559CE12">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万元</w:t>
            </w:r>
          </w:p>
        </w:tc>
        <w:tc>
          <w:tcPr>
            <w:tcW w:w="1917" w:type="dxa"/>
            <w:tcBorders>
              <w:top w:val="nil"/>
              <w:left w:val="nil"/>
              <w:bottom w:val="single" w:color="auto" w:sz="4" w:space="0"/>
              <w:right w:val="single" w:color="auto" w:sz="4" w:space="0"/>
            </w:tcBorders>
            <w:vAlign w:val="center"/>
          </w:tcPr>
          <w:p w14:paraId="41437D47">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3000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30000</w:t>
            </w:r>
          </w:p>
        </w:tc>
        <w:tc>
          <w:tcPr>
            <w:tcW w:w="1797" w:type="dxa"/>
            <w:tcBorders>
              <w:top w:val="nil"/>
              <w:left w:val="nil"/>
              <w:bottom w:val="single" w:color="auto" w:sz="4" w:space="0"/>
              <w:right w:val="single" w:color="auto" w:sz="4" w:space="0"/>
            </w:tcBorders>
            <w:vAlign w:val="center"/>
          </w:tcPr>
          <w:p w14:paraId="5529E67B">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3000</w:t>
            </w:r>
          </w:p>
        </w:tc>
        <w:tc>
          <w:tcPr>
            <w:tcW w:w="1154" w:type="dxa"/>
            <w:tcBorders>
              <w:top w:val="nil"/>
              <w:left w:val="nil"/>
              <w:bottom w:val="single" w:color="auto" w:sz="4" w:space="0"/>
              <w:right w:val="single" w:color="auto" w:sz="4" w:space="0"/>
            </w:tcBorders>
            <w:vAlign w:val="center"/>
          </w:tcPr>
          <w:p w14:paraId="437BE6C8">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200</w:t>
            </w:r>
          </w:p>
        </w:tc>
      </w:tr>
      <w:tr w14:paraId="4427AEFB">
        <w:tblPrEx>
          <w:tblCellMar>
            <w:top w:w="0" w:type="dxa"/>
            <w:left w:w="108" w:type="dxa"/>
            <w:bottom w:w="0" w:type="dxa"/>
            <w:right w:w="108" w:type="dxa"/>
          </w:tblCellMar>
        </w:tblPrEx>
        <w:trPr>
          <w:trHeight w:val="225" w:hRule="atLeast"/>
        </w:trPr>
        <w:tc>
          <w:tcPr>
            <w:tcW w:w="1948" w:type="dxa"/>
            <w:vMerge w:val="restart"/>
            <w:tcBorders>
              <w:top w:val="nil"/>
              <w:left w:val="single" w:color="auto" w:sz="4" w:space="0"/>
              <w:bottom w:val="single" w:color="auto" w:sz="4" w:space="0"/>
              <w:right w:val="single" w:color="auto" w:sz="4" w:space="0"/>
            </w:tcBorders>
            <w:vAlign w:val="bottom"/>
          </w:tcPr>
          <w:p w14:paraId="651AAC5B">
            <w:pPr>
              <w:widowControl/>
              <w:jc w:val="center"/>
              <w:rPr>
                <w:rFonts w:hint="eastAsia" w:ascii="仿宋_GB2312" w:hAnsi="仿宋" w:eastAsia="仿宋_GB2312" w:cs="宋体"/>
                <w:b/>
                <w:bCs/>
                <w:kern w:val="0"/>
                <w:sz w:val="18"/>
                <w:szCs w:val="18"/>
                <w:highlight w:val="none"/>
              </w:rPr>
            </w:pPr>
            <w:r>
              <w:rPr>
                <w:rFonts w:hint="eastAsia" w:ascii="微软雅黑" w:hAnsi="微软雅黑" w:eastAsia="微软雅黑" w:cs="微软雅黑"/>
                <w:b/>
                <w:bCs/>
                <w:kern w:val="0"/>
                <w:sz w:val="18"/>
                <w:szCs w:val="18"/>
                <w:highlight w:val="none"/>
              </w:rPr>
              <w:t>仓储业</w:t>
            </w:r>
          </w:p>
        </w:tc>
        <w:tc>
          <w:tcPr>
            <w:tcW w:w="1656" w:type="dxa"/>
            <w:tcBorders>
              <w:top w:val="nil"/>
              <w:left w:val="nil"/>
              <w:bottom w:val="single" w:color="auto" w:sz="4" w:space="0"/>
              <w:right w:val="single" w:color="auto" w:sz="4" w:space="0"/>
            </w:tcBorders>
            <w:vAlign w:val="center"/>
          </w:tcPr>
          <w:p w14:paraId="4B531838">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从业</w:t>
            </w:r>
            <w:r>
              <w:rPr>
                <w:rFonts w:hint="eastAsia" w:ascii="___WRD_EMBED_SUB_45" w:hAnsi="___WRD_EMBED_SUB_45" w:eastAsia="___WRD_EMBED_SUB_45" w:cs="___WRD_EMBED_SUB_45"/>
                <w:kern w:val="0"/>
                <w:sz w:val="18"/>
                <w:szCs w:val="18"/>
                <w:highlight w:val="none"/>
              </w:rPr>
              <w:t>人</w:t>
            </w:r>
            <w:r>
              <w:rPr>
                <w:rFonts w:hint="eastAsia" w:ascii="微软雅黑" w:hAnsi="微软雅黑" w:eastAsia="微软雅黑" w:cs="微软雅黑"/>
                <w:kern w:val="0"/>
                <w:sz w:val="18"/>
                <w:szCs w:val="18"/>
                <w:highlight w:val="none"/>
              </w:rPr>
              <w:t>员</w:t>
            </w:r>
            <w:r>
              <w:rPr>
                <w:rFonts w:hint="eastAsia" w:ascii="仿宋_GB2312" w:hAnsi="仿宋" w:eastAsia="仿宋_GB2312" w:cs="宋体"/>
                <w:kern w:val="0"/>
                <w:sz w:val="18"/>
                <w:szCs w:val="18"/>
                <w:highlight w:val="none"/>
              </w:rPr>
              <w:t>（X）</w:t>
            </w:r>
          </w:p>
        </w:tc>
        <w:tc>
          <w:tcPr>
            <w:tcW w:w="1490" w:type="dxa"/>
            <w:tcBorders>
              <w:top w:val="nil"/>
              <w:left w:val="nil"/>
              <w:bottom w:val="single" w:color="auto" w:sz="4" w:space="0"/>
              <w:right w:val="single" w:color="auto" w:sz="4" w:space="0"/>
            </w:tcBorders>
            <w:vAlign w:val="center"/>
          </w:tcPr>
          <w:p w14:paraId="4DD5022C">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917" w:type="dxa"/>
            <w:tcBorders>
              <w:top w:val="nil"/>
              <w:left w:val="nil"/>
              <w:bottom w:val="single" w:color="auto" w:sz="4" w:space="0"/>
              <w:right w:val="single" w:color="auto" w:sz="4" w:space="0"/>
            </w:tcBorders>
            <w:vAlign w:val="center"/>
          </w:tcPr>
          <w:p w14:paraId="7FC1260D">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200</w:t>
            </w:r>
          </w:p>
        </w:tc>
        <w:tc>
          <w:tcPr>
            <w:tcW w:w="1797" w:type="dxa"/>
            <w:tcBorders>
              <w:top w:val="nil"/>
              <w:left w:val="nil"/>
              <w:bottom w:val="single" w:color="auto" w:sz="4" w:space="0"/>
              <w:right w:val="single" w:color="auto" w:sz="4" w:space="0"/>
            </w:tcBorders>
            <w:vAlign w:val="center"/>
          </w:tcPr>
          <w:p w14:paraId="2FDDB949">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100</w:t>
            </w:r>
          </w:p>
        </w:tc>
        <w:tc>
          <w:tcPr>
            <w:tcW w:w="1154" w:type="dxa"/>
            <w:tcBorders>
              <w:top w:val="nil"/>
              <w:left w:val="nil"/>
              <w:bottom w:val="single" w:color="auto" w:sz="4" w:space="0"/>
              <w:right w:val="single" w:color="auto" w:sz="4" w:space="0"/>
            </w:tcBorders>
            <w:vAlign w:val="center"/>
          </w:tcPr>
          <w:p w14:paraId="6819E309">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20</w:t>
            </w:r>
          </w:p>
        </w:tc>
      </w:tr>
      <w:tr w14:paraId="4B1D2600">
        <w:tblPrEx>
          <w:tblCellMar>
            <w:top w:w="0" w:type="dxa"/>
            <w:left w:w="108" w:type="dxa"/>
            <w:bottom w:w="0" w:type="dxa"/>
            <w:right w:w="108" w:type="dxa"/>
          </w:tblCellMar>
        </w:tblPrEx>
        <w:trPr>
          <w:trHeight w:val="225" w:hRule="atLeast"/>
        </w:trPr>
        <w:tc>
          <w:tcPr>
            <w:tcW w:w="1948" w:type="dxa"/>
            <w:vMerge w:val="continue"/>
            <w:tcBorders>
              <w:top w:val="nil"/>
              <w:left w:val="single" w:color="auto" w:sz="4" w:space="0"/>
              <w:bottom w:val="single" w:color="auto" w:sz="4" w:space="0"/>
              <w:right w:val="single" w:color="auto" w:sz="4" w:space="0"/>
            </w:tcBorders>
            <w:vAlign w:val="center"/>
          </w:tcPr>
          <w:p w14:paraId="41709D70">
            <w:pPr>
              <w:widowControl/>
              <w:jc w:val="left"/>
              <w:rPr>
                <w:rFonts w:hint="eastAsia" w:ascii="仿宋_GB2312" w:hAnsi="仿宋" w:eastAsia="仿宋_GB2312" w:cs="宋体"/>
                <w:b/>
                <w:bCs/>
                <w:kern w:val="0"/>
                <w:sz w:val="18"/>
                <w:szCs w:val="18"/>
                <w:highlight w:val="none"/>
              </w:rPr>
            </w:pPr>
          </w:p>
        </w:tc>
        <w:tc>
          <w:tcPr>
            <w:tcW w:w="1656" w:type="dxa"/>
            <w:tcBorders>
              <w:top w:val="nil"/>
              <w:left w:val="nil"/>
              <w:bottom w:val="single" w:color="auto" w:sz="4" w:space="0"/>
              <w:right w:val="single" w:color="auto" w:sz="4" w:space="0"/>
            </w:tcBorders>
            <w:vAlign w:val="center"/>
          </w:tcPr>
          <w:p w14:paraId="1854ABC1">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营业收入</w:t>
            </w:r>
            <w:r>
              <w:rPr>
                <w:rFonts w:hint="eastAsia" w:ascii="___WRD_EMBED_SUB_45" w:hAnsi="___WRD_EMBED_SUB_45" w:eastAsia="___WRD_EMBED_SUB_45" w:cs="___WRD_EMBED_SUB_45"/>
                <w:kern w:val="0"/>
                <w:sz w:val="18"/>
                <w:szCs w:val="18"/>
                <w:highlight w:val="none"/>
              </w:rPr>
              <w:t>（</w:t>
            </w:r>
            <w:r>
              <w:rPr>
                <w:rFonts w:hint="eastAsia" w:ascii="仿宋_GB2312" w:hAnsi="仿宋" w:eastAsia="仿宋_GB2312" w:cs="宋体"/>
                <w:kern w:val="0"/>
                <w:sz w:val="18"/>
                <w:szCs w:val="18"/>
                <w:highlight w:val="none"/>
              </w:rPr>
              <w:t>Y）</w:t>
            </w:r>
          </w:p>
        </w:tc>
        <w:tc>
          <w:tcPr>
            <w:tcW w:w="1490" w:type="dxa"/>
            <w:tcBorders>
              <w:top w:val="nil"/>
              <w:left w:val="nil"/>
              <w:bottom w:val="single" w:color="auto" w:sz="4" w:space="0"/>
              <w:right w:val="single" w:color="auto" w:sz="4" w:space="0"/>
            </w:tcBorders>
            <w:vAlign w:val="center"/>
          </w:tcPr>
          <w:p w14:paraId="034DCB55">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万元</w:t>
            </w:r>
          </w:p>
        </w:tc>
        <w:tc>
          <w:tcPr>
            <w:tcW w:w="1917" w:type="dxa"/>
            <w:tcBorders>
              <w:top w:val="nil"/>
              <w:left w:val="nil"/>
              <w:bottom w:val="single" w:color="auto" w:sz="4" w:space="0"/>
              <w:right w:val="single" w:color="auto" w:sz="4" w:space="0"/>
            </w:tcBorders>
            <w:vAlign w:val="center"/>
          </w:tcPr>
          <w:p w14:paraId="5A7E228A">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30000</w:t>
            </w:r>
          </w:p>
        </w:tc>
        <w:tc>
          <w:tcPr>
            <w:tcW w:w="1797" w:type="dxa"/>
            <w:tcBorders>
              <w:top w:val="nil"/>
              <w:left w:val="nil"/>
              <w:bottom w:val="single" w:color="auto" w:sz="4" w:space="0"/>
              <w:right w:val="single" w:color="auto" w:sz="4" w:space="0"/>
            </w:tcBorders>
            <w:vAlign w:val="center"/>
          </w:tcPr>
          <w:p w14:paraId="33FFFDD9">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1000</w:t>
            </w:r>
          </w:p>
        </w:tc>
        <w:tc>
          <w:tcPr>
            <w:tcW w:w="1154" w:type="dxa"/>
            <w:tcBorders>
              <w:top w:val="nil"/>
              <w:left w:val="nil"/>
              <w:bottom w:val="single" w:color="auto" w:sz="4" w:space="0"/>
              <w:right w:val="single" w:color="auto" w:sz="4" w:space="0"/>
            </w:tcBorders>
            <w:vAlign w:val="center"/>
          </w:tcPr>
          <w:p w14:paraId="7EBA4605">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100</w:t>
            </w:r>
          </w:p>
        </w:tc>
      </w:tr>
      <w:tr w14:paraId="747B380B">
        <w:tblPrEx>
          <w:tblCellMar>
            <w:top w:w="0" w:type="dxa"/>
            <w:left w:w="108" w:type="dxa"/>
            <w:bottom w:w="0" w:type="dxa"/>
            <w:right w:w="108" w:type="dxa"/>
          </w:tblCellMar>
        </w:tblPrEx>
        <w:trPr>
          <w:trHeight w:val="225" w:hRule="atLeast"/>
        </w:trPr>
        <w:tc>
          <w:tcPr>
            <w:tcW w:w="1948" w:type="dxa"/>
            <w:vMerge w:val="restart"/>
            <w:tcBorders>
              <w:top w:val="nil"/>
              <w:left w:val="single" w:color="auto" w:sz="4" w:space="0"/>
              <w:bottom w:val="single" w:color="auto" w:sz="4" w:space="0"/>
              <w:right w:val="single" w:color="auto" w:sz="4" w:space="0"/>
            </w:tcBorders>
            <w:vAlign w:val="bottom"/>
          </w:tcPr>
          <w:p w14:paraId="3847B554">
            <w:pPr>
              <w:widowControl/>
              <w:jc w:val="center"/>
              <w:rPr>
                <w:rFonts w:hint="eastAsia" w:ascii="仿宋_GB2312" w:hAnsi="仿宋" w:eastAsia="仿宋_GB2312" w:cs="宋体"/>
                <w:b/>
                <w:bCs/>
                <w:kern w:val="0"/>
                <w:sz w:val="18"/>
                <w:szCs w:val="18"/>
                <w:highlight w:val="none"/>
              </w:rPr>
            </w:pPr>
            <w:r>
              <w:rPr>
                <w:rFonts w:hint="eastAsia" w:ascii="微软雅黑" w:hAnsi="微软雅黑" w:eastAsia="微软雅黑" w:cs="微软雅黑"/>
                <w:b/>
                <w:bCs/>
                <w:kern w:val="0"/>
                <w:sz w:val="18"/>
                <w:szCs w:val="18"/>
                <w:highlight w:val="none"/>
              </w:rPr>
              <w:t>邮政业</w:t>
            </w:r>
          </w:p>
        </w:tc>
        <w:tc>
          <w:tcPr>
            <w:tcW w:w="1656" w:type="dxa"/>
            <w:tcBorders>
              <w:top w:val="nil"/>
              <w:left w:val="nil"/>
              <w:bottom w:val="single" w:color="auto" w:sz="4" w:space="0"/>
              <w:right w:val="single" w:color="auto" w:sz="4" w:space="0"/>
            </w:tcBorders>
            <w:vAlign w:val="center"/>
          </w:tcPr>
          <w:p w14:paraId="32041D80">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从业</w:t>
            </w:r>
            <w:r>
              <w:rPr>
                <w:rFonts w:hint="eastAsia" w:ascii="仿宋_GB2312" w:hAnsi="仿宋" w:eastAsia="仿宋_GB2312" w:cs="宋体"/>
                <w:kern w:val="0"/>
                <w:sz w:val="18"/>
                <w:szCs w:val="18"/>
                <w:highlight w:val="none"/>
              </w:rPr>
              <w:t>人</w:t>
            </w:r>
            <w:r>
              <w:rPr>
                <w:rFonts w:hint="eastAsia" w:ascii="微软雅黑" w:hAnsi="微软雅黑" w:eastAsia="微软雅黑" w:cs="微软雅黑"/>
                <w:kern w:val="0"/>
                <w:sz w:val="18"/>
                <w:szCs w:val="18"/>
                <w:highlight w:val="none"/>
              </w:rPr>
              <w:t>员</w:t>
            </w:r>
            <w:r>
              <w:rPr>
                <w:rFonts w:hint="eastAsia" w:ascii="___WRD_EMBED_SUB_45" w:hAnsi="___WRD_EMBED_SUB_45" w:eastAsia="___WRD_EMBED_SUB_45" w:cs="___WRD_EMBED_SUB_45"/>
                <w:kern w:val="0"/>
                <w:sz w:val="18"/>
                <w:szCs w:val="18"/>
                <w:highlight w:val="none"/>
              </w:rPr>
              <w:t>（</w:t>
            </w:r>
            <w:r>
              <w:rPr>
                <w:rFonts w:hint="eastAsia" w:ascii="仿宋_GB2312" w:hAnsi="仿宋" w:eastAsia="仿宋_GB2312" w:cs="宋体"/>
                <w:kern w:val="0"/>
                <w:sz w:val="18"/>
                <w:szCs w:val="18"/>
                <w:highlight w:val="none"/>
              </w:rPr>
              <w:t>X）</w:t>
            </w:r>
          </w:p>
        </w:tc>
        <w:tc>
          <w:tcPr>
            <w:tcW w:w="1490" w:type="dxa"/>
            <w:tcBorders>
              <w:top w:val="nil"/>
              <w:left w:val="nil"/>
              <w:bottom w:val="single" w:color="auto" w:sz="4" w:space="0"/>
              <w:right w:val="single" w:color="auto" w:sz="4" w:space="0"/>
            </w:tcBorders>
            <w:vAlign w:val="center"/>
          </w:tcPr>
          <w:p w14:paraId="62EC8400">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917" w:type="dxa"/>
            <w:tcBorders>
              <w:top w:val="nil"/>
              <w:left w:val="nil"/>
              <w:bottom w:val="single" w:color="auto" w:sz="4" w:space="0"/>
              <w:right w:val="single" w:color="auto" w:sz="4" w:space="0"/>
            </w:tcBorders>
            <w:vAlign w:val="center"/>
          </w:tcPr>
          <w:p w14:paraId="2690DF4D">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300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1000</w:t>
            </w:r>
          </w:p>
        </w:tc>
        <w:tc>
          <w:tcPr>
            <w:tcW w:w="1797" w:type="dxa"/>
            <w:tcBorders>
              <w:top w:val="nil"/>
              <w:left w:val="nil"/>
              <w:bottom w:val="single" w:color="auto" w:sz="4" w:space="0"/>
              <w:right w:val="single" w:color="auto" w:sz="4" w:space="0"/>
            </w:tcBorders>
            <w:vAlign w:val="center"/>
          </w:tcPr>
          <w:p w14:paraId="1ED344A6">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300</w:t>
            </w:r>
          </w:p>
        </w:tc>
        <w:tc>
          <w:tcPr>
            <w:tcW w:w="1154" w:type="dxa"/>
            <w:tcBorders>
              <w:top w:val="nil"/>
              <w:left w:val="nil"/>
              <w:bottom w:val="single" w:color="auto" w:sz="4" w:space="0"/>
              <w:right w:val="single" w:color="auto" w:sz="4" w:space="0"/>
            </w:tcBorders>
            <w:vAlign w:val="center"/>
          </w:tcPr>
          <w:p w14:paraId="29FD4635">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20</w:t>
            </w:r>
          </w:p>
        </w:tc>
      </w:tr>
      <w:tr w14:paraId="37CECF74">
        <w:tblPrEx>
          <w:tblCellMar>
            <w:top w:w="0" w:type="dxa"/>
            <w:left w:w="108" w:type="dxa"/>
            <w:bottom w:w="0" w:type="dxa"/>
            <w:right w:w="108" w:type="dxa"/>
          </w:tblCellMar>
        </w:tblPrEx>
        <w:trPr>
          <w:trHeight w:val="225" w:hRule="atLeast"/>
        </w:trPr>
        <w:tc>
          <w:tcPr>
            <w:tcW w:w="1948" w:type="dxa"/>
            <w:vMerge w:val="continue"/>
            <w:tcBorders>
              <w:top w:val="nil"/>
              <w:left w:val="single" w:color="auto" w:sz="4" w:space="0"/>
              <w:bottom w:val="single" w:color="auto" w:sz="4" w:space="0"/>
              <w:right w:val="single" w:color="auto" w:sz="4" w:space="0"/>
            </w:tcBorders>
            <w:vAlign w:val="center"/>
          </w:tcPr>
          <w:p w14:paraId="3621E134">
            <w:pPr>
              <w:widowControl/>
              <w:jc w:val="left"/>
              <w:rPr>
                <w:rFonts w:hint="eastAsia" w:ascii="仿宋_GB2312" w:hAnsi="仿宋" w:eastAsia="仿宋_GB2312" w:cs="宋体"/>
                <w:b/>
                <w:bCs/>
                <w:kern w:val="0"/>
                <w:sz w:val="18"/>
                <w:szCs w:val="18"/>
                <w:highlight w:val="none"/>
              </w:rPr>
            </w:pPr>
          </w:p>
        </w:tc>
        <w:tc>
          <w:tcPr>
            <w:tcW w:w="1656" w:type="dxa"/>
            <w:tcBorders>
              <w:top w:val="nil"/>
              <w:left w:val="nil"/>
              <w:bottom w:val="single" w:color="auto" w:sz="4" w:space="0"/>
              <w:right w:val="single" w:color="auto" w:sz="4" w:space="0"/>
            </w:tcBorders>
            <w:vAlign w:val="center"/>
          </w:tcPr>
          <w:p w14:paraId="4CC94E3F">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营业收入</w:t>
            </w:r>
            <w:r>
              <w:rPr>
                <w:rFonts w:hint="eastAsia" w:ascii="___WRD_EMBED_SUB_45" w:hAnsi="___WRD_EMBED_SUB_45" w:eastAsia="___WRD_EMBED_SUB_45" w:cs="___WRD_EMBED_SUB_45"/>
                <w:kern w:val="0"/>
                <w:sz w:val="18"/>
                <w:szCs w:val="18"/>
                <w:highlight w:val="none"/>
              </w:rPr>
              <w:t>（</w:t>
            </w:r>
            <w:r>
              <w:rPr>
                <w:rFonts w:hint="eastAsia" w:ascii="仿宋_GB2312" w:hAnsi="仿宋" w:eastAsia="仿宋_GB2312" w:cs="宋体"/>
                <w:kern w:val="0"/>
                <w:sz w:val="18"/>
                <w:szCs w:val="18"/>
                <w:highlight w:val="none"/>
              </w:rPr>
              <w:t>Y）</w:t>
            </w:r>
          </w:p>
        </w:tc>
        <w:tc>
          <w:tcPr>
            <w:tcW w:w="1490" w:type="dxa"/>
            <w:tcBorders>
              <w:top w:val="nil"/>
              <w:left w:val="nil"/>
              <w:bottom w:val="single" w:color="auto" w:sz="4" w:space="0"/>
              <w:right w:val="single" w:color="auto" w:sz="4" w:space="0"/>
            </w:tcBorders>
            <w:vAlign w:val="center"/>
          </w:tcPr>
          <w:p w14:paraId="61CBB63A">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万元</w:t>
            </w:r>
          </w:p>
        </w:tc>
        <w:tc>
          <w:tcPr>
            <w:tcW w:w="1917" w:type="dxa"/>
            <w:tcBorders>
              <w:top w:val="nil"/>
              <w:left w:val="nil"/>
              <w:bottom w:val="single" w:color="auto" w:sz="4" w:space="0"/>
              <w:right w:val="single" w:color="auto" w:sz="4" w:space="0"/>
            </w:tcBorders>
            <w:vAlign w:val="center"/>
          </w:tcPr>
          <w:p w14:paraId="5F1ACC20">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30000</w:t>
            </w:r>
          </w:p>
        </w:tc>
        <w:tc>
          <w:tcPr>
            <w:tcW w:w="1797" w:type="dxa"/>
            <w:tcBorders>
              <w:top w:val="nil"/>
              <w:left w:val="nil"/>
              <w:bottom w:val="single" w:color="auto" w:sz="4" w:space="0"/>
              <w:right w:val="single" w:color="auto" w:sz="4" w:space="0"/>
            </w:tcBorders>
            <w:vAlign w:val="center"/>
          </w:tcPr>
          <w:p w14:paraId="2215C789">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2000</w:t>
            </w:r>
          </w:p>
        </w:tc>
        <w:tc>
          <w:tcPr>
            <w:tcW w:w="1154" w:type="dxa"/>
            <w:tcBorders>
              <w:top w:val="nil"/>
              <w:left w:val="nil"/>
              <w:bottom w:val="single" w:color="auto" w:sz="4" w:space="0"/>
              <w:right w:val="single" w:color="auto" w:sz="4" w:space="0"/>
            </w:tcBorders>
            <w:vAlign w:val="center"/>
          </w:tcPr>
          <w:p w14:paraId="3894996D">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100</w:t>
            </w:r>
          </w:p>
        </w:tc>
      </w:tr>
      <w:tr w14:paraId="7E880628">
        <w:tblPrEx>
          <w:tblCellMar>
            <w:top w:w="0" w:type="dxa"/>
            <w:left w:w="108" w:type="dxa"/>
            <w:bottom w:w="0" w:type="dxa"/>
            <w:right w:w="108" w:type="dxa"/>
          </w:tblCellMar>
        </w:tblPrEx>
        <w:trPr>
          <w:trHeight w:val="225" w:hRule="atLeast"/>
        </w:trPr>
        <w:tc>
          <w:tcPr>
            <w:tcW w:w="1948" w:type="dxa"/>
            <w:vMerge w:val="restart"/>
            <w:tcBorders>
              <w:top w:val="nil"/>
              <w:left w:val="single" w:color="auto" w:sz="4" w:space="0"/>
              <w:bottom w:val="single" w:color="auto" w:sz="4" w:space="0"/>
              <w:right w:val="single" w:color="auto" w:sz="4" w:space="0"/>
            </w:tcBorders>
            <w:vAlign w:val="bottom"/>
          </w:tcPr>
          <w:p w14:paraId="13F95B5A">
            <w:pPr>
              <w:widowControl/>
              <w:jc w:val="center"/>
              <w:rPr>
                <w:rFonts w:hint="eastAsia" w:ascii="仿宋_GB2312" w:hAnsi="仿宋" w:eastAsia="仿宋_GB2312" w:cs="宋体"/>
                <w:b/>
                <w:bCs/>
                <w:kern w:val="0"/>
                <w:sz w:val="18"/>
                <w:szCs w:val="18"/>
                <w:highlight w:val="none"/>
              </w:rPr>
            </w:pPr>
            <w:r>
              <w:rPr>
                <w:rFonts w:hint="eastAsia" w:ascii="微软雅黑" w:hAnsi="微软雅黑" w:eastAsia="微软雅黑" w:cs="微软雅黑"/>
                <w:b/>
                <w:bCs/>
                <w:kern w:val="0"/>
                <w:sz w:val="18"/>
                <w:szCs w:val="18"/>
                <w:highlight w:val="none"/>
              </w:rPr>
              <w:t>住宿业</w:t>
            </w:r>
          </w:p>
        </w:tc>
        <w:tc>
          <w:tcPr>
            <w:tcW w:w="1656" w:type="dxa"/>
            <w:tcBorders>
              <w:top w:val="nil"/>
              <w:left w:val="nil"/>
              <w:bottom w:val="single" w:color="auto" w:sz="4" w:space="0"/>
              <w:right w:val="single" w:color="auto" w:sz="4" w:space="0"/>
            </w:tcBorders>
            <w:vAlign w:val="center"/>
          </w:tcPr>
          <w:p w14:paraId="603246BD">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从业</w:t>
            </w:r>
            <w:r>
              <w:rPr>
                <w:rFonts w:hint="eastAsia" w:ascii="___WRD_EMBED_SUB_45" w:hAnsi="___WRD_EMBED_SUB_45" w:eastAsia="___WRD_EMBED_SUB_45" w:cs="___WRD_EMBED_SUB_45"/>
                <w:kern w:val="0"/>
                <w:sz w:val="18"/>
                <w:szCs w:val="18"/>
                <w:highlight w:val="none"/>
              </w:rPr>
              <w:t>人</w:t>
            </w:r>
            <w:r>
              <w:rPr>
                <w:rFonts w:hint="eastAsia" w:ascii="微软雅黑" w:hAnsi="微软雅黑" w:eastAsia="微软雅黑" w:cs="微软雅黑"/>
                <w:kern w:val="0"/>
                <w:sz w:val="18"/>
                <w:szCs w:val="18"/>
                <w:highlight w:val="none"/>
              </w:rPr>
              <w:t>员</w:t>
            </w:r>
            <w:r>
              <w:rPr>
                <w:rFonts w:hint="eastAsia" w:ascii="___WRD_EMBED_SUB_45" w:hAnsi="___WRD_EMBED_SUB_45" w:eastAsia="___WRD_EMBED_SUB_45" w:cs="___WRD_EMBED_SUB_45"/>
                <w:kern w:val="0"/>
                <w:sz w:val="18"/>
                <w:szCs w:val="18"/>
                <w:highlight w:val="none"/>
              </w:rPr>
              <w:t>（</w:t>
            </w:r>
            <w:r>
              <w:rPr>
                <w:rFonts w:hint="eastAsia" w:ascii="仿宋_GB2312" w:hAnsi="仿宋" w:eastAsia="仿宋_GB2312" w:cs="宋体"/>
                <w:kern w:val="0"/>
                <w:sz w:val="18"/>
                <w:szCs w:val="18"/>
                <w:highlight w:val="none"/>
              </w:rPr>
              <w:t>X）</w:t>
            </w:r>
          </w:p>
        </w:tc>
        <w:tc>
          <w:tcPr>
            <w:tcW w:w="1490" w:type="dxa"/>
            <w:tcBorders>
              <w:top w:val="nil"/>
              <w:left w:val="nil"/>
              <w:bottom w:val="single" w:color="auto" w:sz="4" w:space="0"/>
              <w:right w:val="single" w:color="auto" w:sz="4" w:space="0"/>
            </w:tcBorders>
            <w:vAlign w:val="center"/>
          </w:tcPr>
          <w:p w14:paraId="03D09F99">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917" w:type="dxa"/>
            <w:tcBorders>
              <w:top w:val="nil"/>
              <w:left w:val="nil"/>
              <w:bottom w:val="single" w:color="auto" w:sz="4" w:space="0"/>
              <w:right w:val="single" w:color="auto" w:sz="4" w:space="0"/>
            </w:tcBorders>
            <w:vAlign w:val="center"/>
          </w:tcPr>
          <w:p w14:paraId="75876960">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300</w:t>
            </w:r>
          </w:p>
        </w:tc>
        <w:tc>
          <w:tcPr>
            <w:tcW w:w="1797" w:type="dxa"/>
            <w:tcBorders>
              <w:top w:val="nil"/>
              <w:left w:val="nil"/>
              <w:bottom w:val="single" w:color="auto" w:sz="4" w:space="0"/>
              <w:right w:val="single" w:color="auto" w:sz="4" w:space="0"/>
            </w:tcBorders>
            <w:vAlign w:val="center"/>
          </w:tcPr>
          <w:p w14:paraId="66E27BF0">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100</w:t>
            </w:r>
          </w:p>
        </w:tc>
        <w:tc>
          <w:tcPr>
            <w:tcW w:w="1154" w:type="dxa"/>
            <w:tcBorders>
              <w:top w:val="nil"/>
              <w:left w:val="nil"/>
              <w:bottom w:val="single" w:color="auto" w:sz="4" w:space="0"/>
              <w:right w:val="single" w:color="auto" w:sz="4" w:space="0"/>
            </w:tcBorders>
            <w:vAlign w:val="center"/>
          </w:tcPr>
          <w:p w14:paraId="19B98DF7">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w:t>
            </w:r>
          </w:p>
        </w:tc>
      </w:tr>
      <w:tr w14:paraId="357F66B7">
        <w:tblPrEx>
          <w:tblCellMar>
            <w:top w:w="0" w:type="dxa"/>
            <w:left w:w="108" w:type="dxa"/>
            <w:bottom w:w="0" w:type="dxa"/>
            <w:right w:w="108" w:type="dxa"/>
          </w:tblCellMar>
        </w:tblPrEx>
        <w:trPr>
          <w:trHeight w:val="225" w:hRule="atLeast"/>
        </w:trPr>
        <w:tc>
          <w:tcPr>
            <w:tcW w:w="1948" w:type="dxa"/>
            <w:vMerge w:val="continue"/>
            <w:tcBorders>
              <w:top w:val="nil"/>
              <w:left w:val="single" w:color="auto" w:sz="4" w:space="0"/>
              <w:bottom w:val="single" w:color="auto" w:sz="4" w:space="0"/>
              <w:right w:val="single" w:color="auto" w:sz="4" w:space="0"/>
            </w:tcBorders>
            <w:vAlign w:val="center"/>
          </w:tcPr>
          <w:p w14:paraId="43612D09">
            <w:pPr>
              <w:widowControl/>
              <w:jc w:val="left"/>
              <w:rPr>
                <w:rFonts w:hint="eastAsia" w:ascii="仿宋_GB2312" w:hAnsi="仿宋" w:eastAsia="仿宋_GB2312" w:cs="宋体"/>
                <w:b/>
                <w:bCs/>
                <w:kern w:val="0"/>
                <w:sz w:val="18"/>
                <w:szCs w:val="18"/>
                <w:highlight w:val="none"/>
              </w:rPr>
            </w:pPr>
          </w:p>
        </w:tc>
        <w:tc>
          <w:tcPr>
            <w:tcW w:w="1656" w:type="dxa"/>
            <w:tcBorders>
              <w:top w:val="nil"/>
              <w:left w:val="nil"/>
              <w:bottom w:val="single" w:color="auto" w:sz="4" w:space="0"/>
              <w:right w:val="single" w:color="auto" w:sz="4" w:space="0"/>
            </w:tcBorders>
            <w:vAlign w:val="center"/>
          </w:tcPr>
          <w:p w14:paraId="02097988">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营业收入</w:t>
            </w:r>
            <w:r>
              <w:rPr>
                <w:rFonts w:hint="eastAsia" w:ascii="___WRD_EMBED_SUB_45" w:hAnsi="___WRD_EMBED_SUB_45" w:eastAsia="___WRD_EMBED_SUB_45" w:cs="___WRD_EMBED_SUB_45"/>
                <w:kern w:val="0"/>
                <w:sz w:val="18"/>
                <w:szCs w:val="18"/>
                <w:highlight w:val="none"/>
              </w:rPr>
              <w:t>（</w:t>
            </w:r>
            <w:r>
              <w:rPr>
                <w:rFonts w:hint="eastAsia" w:ascii="仿宋_GB2312" w:hAnsi="仿宋" w:eastAsia="仿宋_GB2312" w:cs="宋体"/>
                <w:kern w:val="0"/>
                <w:sz w:val="18"/>
                <w:szCs w:val="18"/>
                <w:highlight w:val="none"/>
              </w:rPr>
              <w:t>Y）</w:t>
            </w:r>
          </w:p>
        </w:tc>
        <w:tc>
          <w:tcPr>
            <w:tcW w:w="1490" w:type="dxa"/>
            <w:tcBorders>
              <w:top w:val="nil"/>
              <w:left w:val="nil"/>
              <w:bottom w:val="single" w:color="auto" w:sz="4" w:space="0"/>
              <w:right w:val="single" w:color="auto" w:sz="4" w:space="0"/>
            </w:tcBorders>
            <w:vAlign w:val="center"/>
          </w:tcPr>
          <w:p w14:paraId="4087FFEB">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万元</w:t>
            </w:r>
          </w:p>
        </w:tc>
        <w:tc>
          <w:tcPr>
            <w:tcW w:w="1917" w:type="dxa"/>
            <w:tcBorders>
              <w:top w:val="nil"/>
              <w:left w:val="nil"/>
              <w:bottom w:val="single" w:color="auto" w:sz="4" w:space="0"/>
              <w:right w:val="single" w:color="auto" w:sz="4" w:space="0"/>
            </w:tcBorders>
            <w:vAlign w:val="center"/>
          </w:tcPr>
          <w:p w14:paraId="3C71A5FA">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10000</w:t>
            </w:r>
          </w:p>
        </w:tc>
        <w:tc>
          <w:tcPr>
            <w:tcW w:w="1797" w:type="dxa"/>
            <w:tcBorders>
              <w:top w:val="nil"/>
              <w:left w:val="nil"/>
              <w:bottom w:val="single" w:color="auto" w:sz="4" w:space="0"/>
              <w:right w:val="single" w:color="auto" w:sz="4" w:space="0"/>
            </w:tcBorders>
            <w:vAlign w:val="center"/>
          </w:tcPr>
          <w:p w14:paraId="6EF93CDD">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2000</w:t>
            </w:r>
          </w:p>
        </w:tc>
        <w:tc>
          <w:tcPr>
            <w:tcW w:w="1154" w:type="dxa"/>
            <w:tcBorders>
              <w:top w:val="nil"/>
              <w:left w:val="nil"/>
              <w:bottom w:val="single" w:color="auto" w:sz="4" w:space="0"/>
              <w:right w:val="single" w:color="auto" w:sz="4" w:space="0"/>
            </w:tcBorders>
            <w:vAlign w:val="center"/>
          </w:tcPr>
          <w:p w14:paraId="6AA0CA57">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100</w:t>
            </w:r>
          </w:p>
        </w:tc>
      </w:tr>
      <w:tr w14:paraId="349FCEFD">
        <w:tblPrEx>
          <w:tblCellMar>
            <w:top w:w="0" w:type="dxa"/>
            <w:left w:w="108" w:type="dxa"/>
            <w:bottom w:w="0" w:type="dxa"/>
            <w:right w:w="108" w:type="dxa"/>
          </w:tblCellMar>
        </w:tblPrEx>
        <w:trPr>
          <w:trHeight w:val="225" w:hRule="atLeast"/>
        </w:trPr>
        <w:tc>
          <w:tcPr>
            <w:tcW w:w="1948" w:type="dxa"/>
            <w:vMerge w:val="restart"/>
            <w:tcBorders>
              <w:top w:val="nil"/>
              <w:left w:val="single" w:color="auto" w:sz="4" w:space="0"/>
              <w:bottom w:val="single" w:color="auto" w:sz="4" w:space="0"/>
              <w:right w:val="single" w:color="auto" w:sz="4" w:space="0"/>
            </w:tcBorders>
            <w:vAlign w:val="bottom"/>
          </w:tcPr>
          <w:p w14:paraId="73943EAA">
            <w:pPr>
              <w:widowControl/>
              <w:jc w:val="center"/>
              <w:rPr>
                <w:rFonts w:hint="eastAsia" w:ascii="仿宋_GB2312" w:hAnsi="仿宋" w:eastAsia="仿宋_GB2312" w:cs="宋体"/>
                <w:b/>
                <w:bCs/>
                <w:kern w:val="0"/>
                <w:sz w:val="18"/>
                <w:szCs w:val="18"/>
                <w:highlight w:val="none"/>
              </w:rPr>
            </w:pPr>
            <w:r>
              <w:rPr>
                <w:rFonts w:hint="eastAsia" w:ascii="微软雅黑" w:hAnsi="微软雅黑" w:eastAsia="微软雅黑" w:cs="微软雅黑"/>
                <w:b/>
                <w:bCs/>
                <w:kern w:val="0"/>
                <w:sz w:val="18"/>
                <w:szCs w:val="18"/>
                <w:highlight w:val="none"/>
              </w:rPr>
              <w:t>餐饮业</w:t>
            </w:r>
          </w:p>
        </w:tc>
        <w:tc>
          <w:tcPr>
            <w:tcW w:w="1656" w:type="dxa"/>
            <w:tcBorders>
              <w:top w:val="nil"/>
              <w:left w:val="nil"/>
              <w:bottom w:val="single" w:color="auto" w:sz="4" w:space="0"/>
              <w:right w:val="single" w:color="auto" w:sz="4" w:space="0"/>
            </w:tcBorders>
            <w:vAlign w:val="center"/>
          </w:tcPr>
          <w:p w14:paraId="1934E4D7">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从业</w:t>
            </w:r>
            <w:r>
              <w:rPr>
                <w:rFonts w:hint="eastAsia" w:ascii="___WRD_EMBED_SUB_45" w:hAnsi="___WRD_EMBED_SUB_45" w:eastAsia="___WRD_EMBED_SUB_45" w:cs="___WRD_EMBED_SUB_45"/>
                <w:kern w:val="0"/>
                <w:sz w:val="18"/>
                <w:szCs w:val="18"/>
                <w:highlight w:val="none"/>
              </w:rPr>
              <w:t>人</w:t>
            </w:r>
            <w:r>
              <w:rPr>
                <w:rFonts w:hint="eastAsia" w:ascii="微软雅黑" w:hAnsi="微软雅黑" w:eastAsia="微软雅黑" w:cs="微软雅黑"/>
                <w:kern w:val="0"/>
                <w:sz w:val="18"/>
                <w:szCs w:val="18"/>
                <w:highlight w:val="none"/>
              </w:rPr>
              <w:t>员</w:t>
            </w:r>
            <w:r>
              <w:rPr>
                <w:rFonts w:hint="eastAsia" w:ascii="___WRD_EMBED_SUB_45" w:hAnsi="___WRD_EMBED_SUB_45" w:eastAsia="___WRD_EMBED_SUB_45" w:cs="___WRD_EMBED_SUB_45"/>
                <w:kern w:val="0"/>
                <w:sz w:val="18"/>
                <w:szCs w:val="18"/>
                <w:highlight w:val="none"/>
              </w:rPr>
              <w:t>（</w:t>
            </w:r>
            <w:r>
              <w:rPr>
                <w:rFonts w:hint="eastAsia" w:ascii="仿宋_GB2312" w:hAnsi="仿宋" w:eastAsia="仿宋_GB2312" w:cs="宋体"/>
                <w:kern w:val="0"/>
                <w:sz w:val="18"/>
                <w:szCs w:val="18"/>
                <w:highlight w:val="none"/>
              </w:rPr>
              <w:t>X）</w:t>
            </w:r>
          </w:p>
        </w:tc>
        <w:tc>
          <w:tcPr>
            <w:tcW w:w="1490" w:type="dxa"/>
            <w:tcBorders>
              <w:top w:val="nil"/>
              <w:left w:val="nil"/>
              <w:bottom w:val="single" w:color="auto" w:sz="4" w:space="0"/>
              <w:right w:val="single" w:color="auto" w:sz="4" w:space="0"/>
            </w:tcBorders>
            <w:vAlign w:val="center"/>
          </w:tcPr>
          <w:p w14:paraId="1D3BC0EF">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917" w:type="dxa"/>
            <w:tcBorders>
              <w:top w:val="nil"/>
              <w:left w:val="nil"/>
              <w:bottom w:val="single" w:color="auto" w:sz="4" w:space="0"/>
              <w:right w:val="single" w:color="auto" w:sz="4" w:space="0"/>
            </w:tcBorders>
            <w:vAlign w:val="center"/>
          </w:tcPr>
          <w:p w14:paraId="1865467A">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300</w:t>
            </w:r>
          </w:p>
        </w:tc>
        <w:tc>
          <w:tcPr>
            <w:tcW w:w="1797" w:type="dxa"/>
            <w:tcBorders>
              <w:top w:val="nil"/>
              <w:left w:val="nil"/>
              <w:bottom w:val="single" w:color="auto" w:sz="4" w:space="0"/>
              <w:right w:val="single" w:color="auto" w:sz="4" w:space="0"/>
            </w:tcBorders>
            <w:vAlign w:val="center"/>
          </w:tcPr>
          <w:p w14:paraId="004D6BE6">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100</w:t>
            </w:r>
          </w:p>
        </w:tc>
        <w:tc>
          <w:tcPr>
            <w:tcW w:w="1154" w:type="dxa"/>
            <w:tcBorders>
              <w:top w:val="nil"/>
              <w:left w:val="nil"/>
              <w:bottom w:val="single" w:color="auto" w:sz="4" w:space="0"/>
              <w:right w:val="single" w:color="auto" w:sz="4" w:space="0"/>
            </w:tcBorders>
            <w:vAlign w:val="center"/>
          </w:tcPr>
          <w:p w14:paraId="35310529">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w:t>
            </w:r>
          </w:p>
        </w:tc>
      </w:tr>
      <w:tr w14:paraId="128ADAA2">
        <w:tblPrEx>
          <w:tblCellMar>
            <w:top w:w="0" w:type="dxa"/>
            <w:left w:w="108" w:type="dxa"/>
            <w:bottom w:w="0" w:type="dxa"/>
            <w:right w:w="108" w:type="dxa"/>
          </w:tblCellMar>
        </w:tblPrEx>
        <w:trPr>
          <w:trHeight w:val="225" w:hRule="atLeast"/>
        </w:trPr>
        <w:tc>
          <w:tcPr>
            <w:tcW w:w="1948" w:type="dxa"/>
            <w:vMerge w:val="continue"/>
            <w:tcBorders>
              <w:top w:val="nil"/>
              <w:left w:val="single" w:color="auto" w:sz="4" w:space="0"/>
              <w:bottom w:val="single" w:color="auto" w:sz="4" w:space="0"/>
              <w:right w:val="single" w:color="auto" w:sz="4" w:space="0"/>
            </w:tcBorders>
            <w:vAlign w:val="center"/>
          </w:tcPr>
          <w:p w14:paraId="71D480A5">
            <w:pPr>
              <w:widowControl/>
              <w:jc w:val="left"/>
              <w:rPr>
                <w:rFonts w:hint="eastAsia" w:ascii="仿宋_GB2312" w:hAnsi="仿宋" w:eastAsia="仿宋_GB2312" w:cs="宋体"/>
                <w:b/>
                <w:bCs/>
                <w:kern w:val="0"/>
                <w:sz w:val="18"/>
                <w:szCs w:val="18"/>
                <w:highlight w:val="none"/>
              </w:rPr>
            </w:pPr>
          </w:p>
        </w:tc>
        <w:tc>
          <w:tcPr>
            <w:tcW w:w="1656" w:type="dxa"/>
            <w:tcBorders>
              <w:top w:val="nil"/>
              <w:left w:val="nil"/>
              <w:bottom w:val="single" w:color="auto" w:sz="4" w:space="0"/>
              <w:right w:val="single" w:color="auto" w:sz="4" w:space="0"/>
            </w:tcBorders>
            <w:vAlign w:val="center"/>
          </w:tcPr>
          <w:p w14:paraId="005837C0">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营业收入</w:t>
            </w:r>
            <w:r>
              <w:rPr>
                <w:rFonts w:hint="eastAsia" w:ascii="___WRD_EMBED_SUB_45" w:hAnsi="___WRD_EMBED_SUB_45" w:eastAsia="___WRD_EMBED_SUB_45" w:cs="___WRD_EMBED_SUB_45"/>
                <w:kern w:val="0"/>
                <w:sz w:val="18"/>
                <w:szCs w:val="18"/>
                <w:highlight w:val="none"/>
              </w:rPr>
              <w:t>（</w:t>
            </w:r>
            <w:r>
              <w:rPr>
                <w:rFonts w:hint="eastAsia" w:ascii="仿宋_GB2312" w:hAnsi="仿宋" w:eastAsia="仿宋_GB2312" w:cs="宋体"/>
                <w:kern w:val="0"/>
                <w:sz w:val="18"/>
                <w:szCs w:val="18"/>
                <w:highlight w:val="none"/>
              </w:rPr>
              <w:t>Y）</w:t>
            </w:r>
          </w:p>
        </w:tc>
        <w:tc>
          <w:tcPr>
            <w:tcW w:w="1490" w:type="dxa"/>
            <w:tcBorders>
              <w:top w:val="nil"/>
              <w:left w:val="nil"/>
              <w:bottom w:val="single" w:color="auto" w:sz="4" w:space="0"/>
              <w:right w:val="single" w:color="auto" w:sz="4" w:space="0"/>
            </w:tcBorders>
            <w:vAlign w:val="center"/>
          </w:tcPr>
          <w:p w14:paraId="535F7353">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万元</w:t>
            </w:r>
          </w:p>
        </w:tc>
        <w:tc>
          <w:tcPr>
            <w:tcW w:w="1917" w:type="dxa"/>
            <w:tcBorders>
              <w:top w:val="nil"/>
              <w:left w:val="nil"/>
              <w:bottom w:val="single" w:color="auto" w:sz="4" w:space="0"/>
              <w:right w:val="single" w:color="auto" w:sz="4" w:space="0"/>
            </w:tcBorders>
            <w:vAlign w:val="center"/>
          </w:tcPr>
          <w:p w14:paraId="0FD8284C">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10000</w:t>
            </w:r>
          </w:p>
        </w:tc>
        <w:tc>
          <w:tcPr>
            <w:tcW w:w="1797" w:type="dxa"/>
            <w:tcBorders>
              <w:top w:val="nil"/>
              <w:left w:val="nil"/>
              <w:bottom w:val="single" w:color="auto" w:sz="4" w:space="0"/>
              <w:right w:val="single" w:color="auto" w:sz="4" w:space="0"/>
            </w:tcBorders>
            <w:vAlign w:val="center"/>
          </w:tcPr>
          <w:p w14:paraId="728EB81C">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2000</w:t>
            </w:r>
          </w:p>
        </w:tc>
        <w:tc>
          <w:tcPr>
            <w:tcW w:w="1154" w:type="dxa"/>
            <w:tcBorders>
              <w:top w:val="nil"/>
              <w:left w:val="nil"/>
              <w:bottom w:val="single" w:color="auto" w:sz="4" w:space="0"/>
              <w:right w:val="single" w:color="auto" w:sz="4" w:space="0"/>
            </w:tcBorders>
            <w:vAlign w:val="center"/>
          </w:tcPr>
          <w:p w14:paraId="6839F578">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100</w:t>
            </w:r>
          </w:p>
        </w:tc>
      </w:tr>
      <w:tr w14:paraId="280EBC14">
        <w:tblPrEx>
          <w:tblCellMar>
            <w:top w:w="0" w:type="dxa"/>
            <w:left w:w="108" w:type="dxa"/>
            <w:bottom w:w="0" w:type="dxa"/>
            <w:right w:w="108" w:type="dxa"/>
          </w:tblCellMar>
        </w:tblPrEx>
        <w:trPr>
          <w:trHeight w:val="225" w:hRule="atLeast"/>
        </w:trPr>
        <w:tc>
          <w:tcPr>
            <w:tcW w:w="1948" w:type="dxa"/>
            <w:vMerge w:val="restart"/>
            <w:tcBorders>
              <w:top w:val="nil"/>
              <w:left w:val="single" w:color="auto" w:sz="4" w:space="0"/>
              <w:bottom w:val="single" w:color="auto" w:sz="4" w:space="0"/>
              <w:right w:val="single" w:color="auto" w:sz="4" w:space="0"/>
            </w:tcBorders>
            <w:vAlign w:val="bottom"/>
          </w:tcPr>
          <w:p w14:paraId="73F22AC0">
            <w:pPr>
              <w:widowControl/>
              <w:jc w:val="center"/>
              <w:rPr>
                <w:rFonts w:hint="eastAsia" w:ascii="仿宋_GB2312" w:hAnsi="仿宋" w:eastAsia="仿宋_GB2312" w:cs="宋体"/>
                <w:b/>
                <w:bCs/>
                <w:kern w:val="0"/>
                <w:sz w:val="18"/>
                <w:szCs w:val="18"/>
                <w:highlight w:val="none"/>
              </w:rPr>
            </w:pPr>
            <w:r>
              <w:rPr>
                <w:rFonts w:hint="eastAsia" w:ascii="微软雅黑" w:hAnsi="微软雅黑" w:eastAsia="微软雅黑" w:cs="微软雅黑"/>
                <w:b/>
                <w:bCs/>
                <w:kern w:val="0"/>
                <w:sz w:val="18"/>
                <w:szCs w:val="18"/>
                <w:highlight w:val="none"/>
              </w:rPr>
              <w:t>信息传输业</w:t>
            </w:r>
          </w:p>
        </w:tc>
        <w:tc>
          <w:tcPr>
            <w:tcW w:w="1656" w:type="dxa"/>
            <w:tcBorders>
              <w:top w:val="nil"/>
              <w:left w:val="nil"/>
              <w:bottom w:val="single" w:color="auto" w:sz="4" w:space="0"/>
              <w:right w:val="single" w:color="auto" w:sz="4" w:space="0"/>
            </w:tcBorders>
            <w:vAlign w:val="center"/>
          </w:tcPr>
          <w:p w14:paraId="2C5F06E8">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从业</w:t>
            </w:r>
            <w:r>
              <w:rPr>
                <w:rFonts w:hint="eastAsia" w:ascii="___WRD_EMBED_SUB_45" w:hAnsi="___WRD_EMBED_SUB_45" w:eastAsia="___WRD_EMBED_SUB_45" w:cs="___WRD_EMBED_SUB_45"/>
                <w:kern w:val="0"/>
                <w:sz w:val="18"/>
                <w:szCs w:val="18"/>
                <w:highlight w:val="none"/>
              </w:rPr>
              <w:t>人</w:t>
            </w:r>
            <w:r>
              <w:rPr>
                <w:rFonts w:hint="eastAsia" w:ascii="微软雅黑" w:hAnsi="微软雅黑" w:eastAsia="微软雅黑" w:cs="微软雅黑"/>
                <w:kern w:val="0"/>
                <w:sz w:val="18"/>
                <w:szCs w:val="18"/>
                <w:highlight w:val="none"/>
              </w:rPr>
              <w:t>员</w:t>
            </w:r>
            <w:r>
              <w:rPr>
                <w:rFonts w:hint="eastAsia" w:ascii="___WRD_EMBED_SUB_45" w:hAnsi="___WRD_EMBED_SUB_45" w:eastAsia="___WRD_EMBED_SUB_45" w:cs="___WRD_EMBED_SUB_45"/>
                <w:kern w:val="0"/>
                <w:sz w:val="18"/>
                <w:szCs w:val="18"/>
                <w:highlight w:val="none"/>
              </w:rPr>
              <w:t>（</w:t>
            </w:r>
            <w:r>
              <w:rPr>
                <w:rFonts w:hint="eastAsia" w:ascii="仿宋_GB2312" w:hAnsi="仿宋" w:eastAsia="仿宋_GB2312" w:cs="宋体"/>
                <w:kern w:val="0"/>
                <w:sz w:val="18"/>
                <w:szCs w:val="18"/>
                <w:highlight w:val="none"/>
              </w:rPr>
              <w:t>X）</w:t>
            </w:r>
          </w:p>
        </w:tc>
        <w:tc>
          <w:tcPr>
            <w:tcW w:w="1490" w:type="dxa"/>
            <w:tcBorders>
              <w:top w:val="nil"/>
              <w:left w:val="nil"/>
              <w:bottom w:val="single" w:color="auto" w:sz="4" w:space="0"/>
              <w:right w:val="single" w:color="auto" w:sz="4" w:space="0"/>
            </w:tcBorders>
            <w:vAlign w:val="center"/>
          </w:tcPr>
          <w:p w14:paraId="5498AF32">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917" w:type="dxa"/>
            <w:tcBorders>
              <w:top w:val="nil"/>
              <w:left w:val="nil"/>
              <w:bottom w:val="single" w:color="auto" w:sz="4" w:space="0"/>
              <w:right w:val="single" w:color="auto" w:sz="4" w:space="0"/>
            </w:tcBorders>
            <w:vAlign w:val="center"/>
          </w:tcPr>
          <w:p w14:paraId="008604DC">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2000</w:t>
            </w:r>
          </w:p>
        </w:tc>
        <w:tc>
          <w:tcPr>
            <w:tcW w:w="1797" w:type="dxa"/>
            <w:tcBorders>
              <w:top w:val="nil"/>
              <w:left w:val="nil"/>
              <w:bottom w:val="single" w:color="auto" w:sz="4" w:space="0"/>
              <w:right w:val="single" w:color="auto" w:sz="4" w:space="0"/>
            </w:tcBorders>
            <w:vAlign w:val="center"/>
          </w:tcPr>
          <w:p w14:paraId="30750A6B">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100</w:t>
            </w:r>
          </w:p>
        </w:tc>
        <w:tc>
          <w:tcPr>
            <w:tcW w:w="1154" w:type="dxa"/>
            <w:tcBorders>
              <w:top w:val="nil"/>
              <w:left w:val="nil"/>
              <w:bottom w:val="single" w:color="auto" w:sz="4" w:space="0"/>
              <w:right w:val="single" w:color="auto" w:sz="4" w:space="0"/>
            </w:tcBorders>
            <w:vAlign w:val="center"/>
          </w:tcPr>
          <w:p w14:paraId="151D81F1">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w:t>
            </w:r>
          </w:p>
        </w:tc>
      </w:tr>
      <w:tr w14:paraId="0AA42FC0">
        <w:tblPrEx>
          <w:tblCellMar>
            <w:top w:w="0" w:type="dxa"/>
            <w:left w:w="108" w:type="dxa"/>
            <w:bottom w:w="0" w:type="dxa"/>
            <w:right w:w="108" w:type="dxa"/>
          </w:tblCellMar>
        </w:tblPrEx>
        <w:trPr>
          <w:trHeight w:val="225" w:hRule="atLeast"/>
        </w:trPr>
        <w:tc>
          <w:tcPr>
            <w:tcW w:w="1948" w:type="dxa"/>
            <w:vMerge w:val="continue"/>
            <w:tcBorders>
              <w:top w:val="nil"/>
              <w:left w:val="single" w:color="auto" w:sz="4" w:space="0"/>
              <w:bottom w:val="single" w:color="auto" w:sz="4" w:space="0"/>
              <w:right w:val="single" w:color="auto" w:sz="4" w:space="0"/>
            </w:tcBorders>
            <w:vAlign w:val="center"/>
          </w:tcPr>
          <w:p w14:paraId="58520BF7">
            <w:pPr>
              <w:widowControl/>
              <w:jc w:val="left"/>
              <w:rPr>
                <w:rFonts w:hint="eastAsia" w:ascii="仿宋_GB2312" w:hAnsi="仿宋" w:eastAsia="仿宋_GB2312" w:cs="宋体"/>
                <w:b/>
                <w:bCs/>
                <w:kern w:val="0"/>
                <w:sz w:val="18"/>
                <w:szCs w:val="18"/>
                <w:highlight w:val="none"/>
              </w:rPr>
            </w:pPr>
          </w:p>
        </w:tc>
        <w:tc>
          <w:tcPr>
            <w:tcW w:w="1656" w:type="dxa"/>
            <w:tcBorders>
              <w:top w:val="nil"/>
              <w:left w:val="nil"/>
              <w:bottom w:val="single" w:color="auto" w:sz="4" w:space="0"/>
              <w:right w:val="single" w:color="auto" w:sz="4" w:space="0"/>
            </w:tcBorders>
            <w:vAlign w:val="center"/>
          </w:tcPr>
          <w:p w14:paraId="5EA1E9DE">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营业收入</w:t>
            </w:r>
            <w:r>
              <w:rPr>
                <w:rFonts w:hint="eastAsia" w:ascii="___WRD_EMBED_SUB_45" w:hAnsi="___WRD_EMBED_SUB_45" w:eastAsia="___WRD_EMBED_SUB_45" w:cs="___WRD_EMBED_SUB_45"/>
                <w:kern w:val="0"/>
                <w:sz w:val="18"/>
                <w:szCs w:val="18"/>
                <w:highlight w:val="none"/>
              </w:rPr>
              <w:t>（</w:t>
            </w:r>
            <w:r>
              <w:rPr>
                <w:rFonts w:hint="eastAsia" w:ascii="仿宋_GB2312" w:hAnsi="仿宋" w:eastAsia="仿宋_GB2312" w:cs="宋体"/>
                <w:kern w:val="0"/>
                <w:sz w:val="18"/>
                <w:szCs w:val="18"/>
                <w:highlight w:val="none"/>
              </w:rPr>
              <w:t>Y）</w:t>
            </w:r>
          </w:p>
        </w:tc>
        <w:tc>
          <w:tcPr>
            <w:tcW w:w="1490" w:type="dxa"/>
            <w:tcBorders>
              <w:top w:val="nil"/>
              <w:left w:val="nil"/>
              <w:bottom w:val="single" w:color="auto" w:sz="4" w:space="0"/>
              <w:right w:val="single" w:color="auto" w:sz="4" w:space="0"/>
            </w:tcBorders>
            <w:vAlign w:val="center"/>
          </w:tcPr>
          <w:p w14:paraId="0495D7CC">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万元</w:t>
            </w:r>
          </w:p>
        </w:tc>
        <w:tc>
          <w:tcPr>
            <w:tcW w:w="1917" w:type="dxa"/>
            <w:tcBorders>
              <w:top w:val="nil"/>
              <w:left w:val="nil"/>
              <w:bottom w:val="single" w:color="auto" w:sz="4" w:space="0"/>
              <w:right w:val="single" w:color="auto" w:sz="4" w:space="0"/>
            </w:tcBorders>
            <w:vAlign w:val="center"/>
          </w:tcPr>
          <w:p w14:paraId="0384610A">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100000</w:t>
            </w:r>
          </w:p>
        </w:tc>
        <w:tc>
          <w:tcPr>
            <w:tcW w:w="1797" w:type="dxa"/>
            <w:tcBorders>
              <w:top w:val="nil"/>
              <w:left w:val="nil"/>
              <w:bottom w:val="single" w:color="auto" w:sz="4" w:space="0"/>
              <w:right w:val="single" w:color="auto" w:sz="4" w:space="0"/>
            </w:tcBorders>
            <w:vAlign w:val="center"/>
          </w:tcPr>
          <w:p w14:paraId="088B6B64">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1000</w:t>
            </w:r>
          </w:p>
        </w:tc>
        <w:tc>
          <w:tcPr>
            <w:tcW w:w="1154" w:type="dxa"/>
            <w:tcBorders>
              <w:top w:val="nil"/>
              <w:left w:val="nil"/>
              <w:bottom w:val="single" w:color="auto" w:sz="4" w:space="0"/>
              <w:right w:val="single" w:color="auto" w:sz="4" w:space="0"/>
            </w:tcBorders>
            <w:vAlign w:val="center"/>
          </w:tcPr>
          <w:p w14:paraId="67A39BFD">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100</w:t>
            </w:r>
          </w:p>
        </w:tc>
      </w:tr>
      <w:tr w14:paraId="73E16065">
        <w:tblPrEx>
          <w:tblCellMar>
            <w:top w:w="0" w:type="dxa"/>
            <w:left w:w="108" w:type="dxa"/>
            <w:bottom w:w="0" w:type="dxa"/>
            <w:right w:w="108" w:type="dxa"/>
          </w:tblCellMar>
        </w:tblPrEx>
        <w:trPr>
          <w:trHeight w:val="225" w:hRule="atLeast"/>
        </w:trPr>
        <w:tc>
          <w:tcPr>
            <w:tcW w:w="1948" w:type="dxa"/>
            <w:vMerge w:val="restart"/>
            <w:tcBorders>
              <w:top w:val="nil"/>
              <w:left w:val="single" w:color="auto" w:sz="4" w:space="0"/>
              <w:bottom w:val="single" w:color="auto" w:sz="4" w:space="0"/>
              <w:right w:val="single" w:color="auto" w:sz="4" w:space="0"/>
            </w:tcBorders>
            <w:vAlign w:val="bottom"/>
          </w:tcPr>
          <w:p w14:paraId="57C88F5F">
            <w:pPr>
              <w:widowControl/>
              <w:jc w:val="center"/>
              <w:rPr>
                <w:rFonts w:hint="eastAsia" w:ascii="仿宋_GB2312" w:hAnsi="仿宋" w:eastAsia="仿宋_GB2312" w:cs="宋体"/>
                <w:b/>
                <w:bCs/>
                <w:kern w:val="0"/>
                <w:sz w:val="18"/>
                <w:szCs w:val="18"/>
                <w:highlight w:val="none"/>
              </w:rPr>
            </w:pPr>
            <w:r>
              <w:rPr>
                <w:rFonts w:hint="eastAsia" w:ascii="微软雅黑" w:hAnsi="微软雅黑" w:eastAsia="微软雅黑" w:cs="微软雅黑"/>
                <w:b/>
                <w:bCs/>
                <w:kern w:val="0"/>
                <w:sz w:val="18"/>
                <w:szCs w:val="18"/>
                <w:highlight w:val="none"/>
              </w:rPr>
              <w:t>软件和信息技术服务业</w:t>
            </w:r>
          </w:p>
        </w:tc>
        <w:tc>
          <w:tcPr>
            <w:tcW w:w="1656" w:type="dxa"/>
            <w:tcBorders>
              <w:top w:val="nil"/>
              <w:left w:val="nil"/>
              <w:bottom w:val="single" w:color="auto" w:sz="4" w:space="0"/>
              <w:right w:val="single" w:color="auto" w:sz="4" w:space="0"/>
            </w:tcBorders>
            <w:vAlign w:val="center"/>
          </w:tcPr>
          <w:p w14:paraId="4431194F">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从业</w:t>
            </w:r>
            <w:r>
              <w:rPr>
                <w:rFonts w:hint="eastAsia" w:ascii="___WRD_EMBED_SUB_45" w:hAnsi="___WRD_EMBED_SUB_45" w:eastAsia="___WRD_EMBED_SUB_45" w:cs="___WRD_EMBED_SUB_45"/>
                <w:kern w:val="0"/>
                <w:sz w:val="18"/>
                <w:szCs w:val="18"/>
                <w:highlight w:val="none"/>
              </w:rPr>
              <w:t>人</w:t>
            </w:r>
            <w:r>
              <w:rPr>
                <w:rFonts w:hint="eastAsia" w:ascii="微软雅黑" w:hAnsi="微软雅黑" w:eastAsia="微软雅黑" w:cs="微软雅黑"/>
                <w:kern w:val="0"/>
                <w:sz w:val="18"/>
                <w:szCs w:val="18"/>
                <w:highlight w:val="none"/>
              </w:rPr>
              <w:t>员</w:t>
            </w:r>
            <w:r>
              <w:rPr>
                <w:rFonts w:hint="eastAsia" w:ascii="___WRD_EMBED_SUB_45" w:hAnsi="___WRD_EMBED_SUB_45" w:eastAsia="___WRD_EMBED_SUB_45" w:cs="___WRD_EMBED_SUB_45"/>
                <w:kern w:val="0"/>
                <w:sz w:val="18"/>
                <w:szCs w:val="18"/>
                <w:highlight w:val="none"/>
              </w:rPr>
              <w:t>（</w:t>
            </w:r>
            <w:r>
              <w:rPr>
                <w:rFonts w:hint="eastAsia" w:ascii="仿宋_GB2312" w:hAnsi="仿宋" w:eastAsia="仿宋_GB2312" w:cs="宋体"/>
                <w:kern w:val="0"/>
                <w:sz w:val="18"/>
                <w:szCs w:val="18"/>
                <w:highlight w:val="none"/>
              </w:rPr>
              <w:t>X）</w:t>
            </w:r>
          </w:p>
        </w:tc>
        <w:tc>
          <w:tcPr>
            <w:tcW w:w="1490" w:type="dxa"/>
            <w:tcBorders>
              <w:top w:val="nil"/>
              <w:left w:val="nil"/>
              <w:bottom w:val="single" w:color="auto" w:sz="4" w:space="0"/>
              <w:right w:val="single" w:color="auto" w:sz="4" w:space="0"/>
            </w:tcBorders>
            <w:vAlign w:val="center"/>
          </w:tcPr>
          <w:p w14:paraId="2AA4D7D3">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917" w:type="dxa"/>
            <w:tcBorders>
              <w:top w:val="nil"/>
              <w:left w:val="nil"/>
              <w:bottom w:val="single" w:color="auto" w:sz="4" w:space="0"/>
              <w:right w:val="single" w:color="auto" w:sz="4" w:space="0"/>
            </w:tcBorders>
            <w:vAlign w:val="center"/>
          </w:tcPr>
          <w:p w14:paraId="10F87141">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300</w:t>
            </w:r>
          </w:p>
        </w:tc>
        <w:tc>
          <w:tcPr>
            <w:tcW w:w="1797" w:type="dxa"/>
            <w:tcBorders>
              <w:top w:val="nil"/>
              <w:left w:val="nil"/>
              <w:bottom w:val="single" w:color="auto" w:sz="4" w:space="0"/>
              <w:right w:val="single" w:color="auto" w:sz="4" w:space="0"/>
            </w:tcBorders>
            <w:vAlign w:val="center"/>
          </w:tcPr>
          <w:p w14:paraId="261D758D">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100</w:t>
            </w:r>
          </w:p>
        </w:tc>
        <w:tc>
          <w:tcPr>
            <w:tcW w:w="1154" w:type="dxa"/>
            <w:tcBorders>
              <w:top w:val="nil"/>
              <w:left w:val="nil"/>
              <w:bottom w:val="single" w:color="auto" w:sz="4" w:space="0"/>
              <w:right w:val="single" w:color="auto" w:sz="4" w:space="0"/>
            </w:tcBorders>
            <w:vAlign w:val="center"/>
          </w:tcPr>
          <w:p w14:paraId="533358C5">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w:t>
            </w:r>
          </w:p>
        </w:tc>
      </w:tr>
      <w:tr w14:paraId="018B0587">
        <w:tblPrEx>
          <w:tblCellMar>
            <w:top w:w="0" w:type="dxa"/>
            <w:left w:w="108" w:type="dxa"/>
            <w:bottom w:w="0" w:type="dxa"/>
            <w:right w:w="108" w:type="dxa"/>
          </w:tblCellMar>
        </w:tblPrEx>
        <w:trPr>
          <w:trHeight w:val="225" w:hRule="atLeast"/>
        </w:trPr>
        <w:tc>
          <w:tcPr>
            <w:tcW w:w="1948" w:type="dxa"/>
            <w:vMerge w:val="continue"/>
            <w:tcBorders>
              <w:top w:val="nil"/>
              <w:left w:val="single" w:color="auto" w:sz="4" w:space="0"/>
              <w:bottom w:val="single" w:color="auto" w:sz="4" w:space="0"/>
              <w:right w:val="single" w:color="auto" w:sz="4" w:space="0"/>
            </w:tcBorders>
            <w:vAlign w:val="center"/>
          </w:tcPr>
          <w:p w14:paraId="283BF2F0">
            <w:pPr>
              <w:widowControl/>
              <w:jc w:val="left"/>
              <w:rPr>
                <w:rFonts w:hint="eastAsia" w:ascii="仿宋_GB2312" w:hAnsi="仿宋" w:eastAsia="仿宋_GB2312" w:cs="宋体"/>
                <w:b/>
                <w:bCs/>
                <w:kern w:val="0"/>
                <w:sz w:val="18"/>
                <w:szCs w:val="18"/>
                <w:highlight w:val="none"/>
              </w:rPr>
            </w:pPr>
          </w:p>
        </w:tc>
        <w:tc>
          <w:tcPr>
            <w:tcW w:w="1656" w:type="dxa"/>
            <w:tcBorders>
              <w:top w:val="nil"/>
              <w:left w:val="nil"/>
              <w:bottom w:val="single" w:color="auto" w:sz="4" w:space="0"/>
              <w:right w:val="single" w:color="auto" w:sz="4" w:space="0"/>
            </w:tcBorders>
            <w:vAlign w:val="center"/>
          </w:tcPr>
          <w:p w14:paraId="1EE39890">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营业收入</w:t>
            </w:r>
            <w:r>
              <w:rPr>
                <w:rFonts w:hint="eastAsia" w:ascii="___WRD_EMBED_SUB_45" w:hAnsi="___WRD_EMBED_SUB_45" w:eastAsia="___WRD_EMBED_SUB_45" w:cs="___WRD_EMBED_SUB_45"/>
                <w:kern w:val="0"/>
                <w:sz w:val="18"/>
                <w:szCs w:val="18"/>
                <w:highlight w:val="none"/>
              </w:rPr>
              <w:t>（</w:t>
            </w:r>
            <w:r>
              <w:rPr>
                <w:rFonts w:hint="eastAsia" w:ascii="仿宋_GB2312" w:hAnsi="仿宋" w:eastAsia="仿宋_GB2312" w:cs="宋体"/>
                <w:kern w:val="0"/>
                <w:sz w:val="18"/>
                <w:szCs w:val="18"/>
                <w:highlight w:val="none"/>
              </w:rPr>
              <w:t>Y）</w:t>
            </w:r>
          </w:p>
        </w:tc>
        <w:tc>
          <w:tcPr>
            <w:tcW w:w="1490" w:type="dxa"/>
            <w:tcBorders>
              <w:top w:val="nil"/>
              <w:left w:val="nil"/>
              <w:bottom w:val="single" w:color="auto" w:sz="4" w:space="0"/>
              <w:right w:val="single" w:color="auto" w:sz="4" w:space="0"/>
            </w:tcBorders>
            <w:vAlign w:val="center"/>
          </w:tcPr>
          <w:p w14:paraId="1C6088B5">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万元</w:t>
            </w:r>
          </w:p>
        </w:tc>
        <w:tc>
          <w:tcPr>
            <w:tcW w:w="1917" w:type="dxa"/>
            <w:tcBorders>
              <w:top w:val="nil"/>
              <w:left w:val="nil"/>
              <w:bottom w:val="single" w:color="auto" w:sz="4" w:space="0"/>
              <w:right w:val="single" w:color="auto" w:sz="4" w:space="0"/>
            </w:tcBorders>
            <w:vAlign w:val="center"/>
          </w:tcPr>
          <w:p w14:paraId="3E694AAA">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10000</w:t>
            </w:r>
          </w:p>
        </w:tc>
        <w:tc>
          <w:tcPr>
            <w:tcW w:w="1797" w:type="dxa"/>
            <w:tcBorders>
              <w:top w:val="nil"/>
              <w:left w:val="nil"/>
              <w:bottom w:val="single" w:color="auto" w:sz="4" w:space="0"/>
              <w:right w:val="single" w:color="auto" w:sz="4" w:space="0"/>
            </w:tcBorders>
            <w:vAlign w:val="center"/>
          </w:tcPr>
          <w:p w14:paraId="68623D76">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1000</w:t>
            </w:r>
          </w:p>
        </w:tc>
        <w:tc>
          <w:tcPr>
            <w:tcW w:w="1154" w:type="dxa"/>
            <w:tcBorders>
              <w:top w:val="nil"/>
              <w:left w:val="nil"/>
              <w:bottom w:val="single" w:color="auto" w:sz="4" w:space="0"/>
              <w:right w:val="single" w:color="auto" w:sz="4" w:space="0"/>
            </w:tcBorders>
            <w:vAlign w:val="center"/>
          </w:tcPr>
          <w:p w14:paraId="1BDCD2AD">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50</w:t>
            </w:r>
          </w:p>
        </w:tc>
      </w:tr>
      <w:tr w14:paraId="327FEDC2">
        <w:tblPrEx>
          <w:tblCellMar>
            <w:top w:w="0" w:type="dxa"/>
            <w:left w:w="108" w:type="dxa"/>
            <w:bottom w:w="0" w:type="dxa"/>
            <w:right w:w="108" w:type="dxa"/>
          </w:tblCellMar>
        </w:tblPrEx>
        <w:trPr>
          <w:trHeight w:val="225" w:hRule="atLeast"/>
        </w:trPr>
        <w:tc>
          <w:tcPr>
            <w:tcW w:w="1948" w:type="dxa"/>
            <w:vMerge w:val="restart"/>
            <w:tcBorders>
              <w:top w:val="nil"/>
              <w:left w:val="single" w:color="auto" w:sz="4" w:space="0"/>
              <w:bottom w:val="single" w:color="auto" w:sz="4" w:space="0"/>
              <w:right w:val="single" w:color="auto" w:sz="4" w:space="0"/>
            </w:tcBorders>
            <w:vAlign w:val="bottom"/>
          </w:tcPr>
          <w:p w14:paraId="4D5FB4E1">
            <w:pPr>
              <w:widowControl/>
              <w:jc w:val="center"/>
              <w:rPr>
                <w:rFonts w:hint="eastAsia" w:ascii="仿宋_GB2312" w:hAnsi="仿宋" w:eastAsia="仿宋_GB2312" w:cs="宋体"/>
                <w:b/>
                <w:bCs/>
                <w:kern w:val="0"/>
                <w:sz w:val="18"/>
                <w:szCs w:val="18"/>
                <w:highlight w:val="none"/>
              </w:rPr>
            </w:pPr>
            <w:r>
              <w:rPr>
                <w:rFonts w:hint="eastAsia" w:ascii="微软雅黑" w:hAnsi="微软雅黑" w:eastAsia="微软雅黑" w:cs="微软雅黑"/>
                <w:b/>
                <w:bCs/>
                <w:kern w:val="0"/>
                <w:sz w:val="18"/>
                <w:szCs w:val="18"/>
                <w:highlight w:val="none"/>
              </w:rPr>
              <w:t>房地产开发经营</w:t>
            </w:r>
          </w:p>
        </w:tc>
        <w:tc>
          <w:tcPr>
            <w:tcW w:w="1656" w:type="dxa"/>
            <w:tcBorders>
              <w:top w:val="nil"/>
              <w:left w:val="nil"/>
              <w:bottom w:val="single" w:color="auto" w:sz="4" w:space="0"/>
              <w:right w:val="single" w:color="auto" w:sz="4" w:space="0"/>
            </w:tcBorders>
            <w:vAlign w:val="center"/>
          </w:tcPr>
          <w:p w14:paraId="6BAAF55A">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营业收入</w:t>
            </w:r>
            <w:r>
              <w:rPr>
                <w:rFonts w:hint="eastAsia" w:ascii="___WRD_EMBED_SUB_45" w:hAnsi="___WRD_EMBED_SUB_45" w:eastAsia="___WRD_EMBED_SUB_45" w:cs="___WRD_EMBED_SUB_45"/>
                <w:kern w:val="0"/>
                <w:sz w:val="18"/>
                <w:szCs w:val="18"/>
                <w:highlight w:val="none"/>
              </w:rPr>
              <w:t>（</w:t>
            </w:r>
            <w:r>
              <w:rPr>
                <w:rFonts w:hint="eastAsia" w:ascii="仿宋_GB2312" w:hAnsi="仿宋" w:eastAsia="仿宋_GB2312" w:cs="宋体"/>
                <w:kern w:val="0"/>
                <w:sz w:val="18"/>
                <w:szCs w:val="18"/>
                <w:highlight w:val="none"/>
              </w:rPr>
              <w:t>Y）</w:t>
            </w:r>
          </w:p>
        </w:tc>
        <w:tc>
          <w:tcPr>
            <w:tcW w:w="1490" w:type="dxa"/>
            <w:tcBorders>
              <w:top w:val="nil"/>
              <w:left w:val="nil"/>
              <w:bottom w:val="single" w:color="auto" w:sz="4" w:space="0"/>
              <w:right w:val="single" w:color="auto" w:sz="4" w:space="0"/>
            </w:tcBorders>
            <w:vAlign w:val="center"/>
          </w:tcPr>
          <w:p w14:paraId="18936C4B">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万元</w:t>
            </w:r>
          </w:p>
        </w:tc>
        <w:tc>
          <w:tcPr>
            <w:tcW w:w="1917" w:type="dxa"/>
            <w:tcBorders>
              <w:top w:val="nil"/>
              <w:left w:val="nil"/>
              <w:bottom w:val="single" w:color="auto" w:sz="4" w:space="0"/>
              <w:right w:val="single" w:color="auto" w:sz="4" w:space="0"/>
            </w:tcBorders>
            <w:vAlign w:val="center"/>
          </w:tcPr>
          <w:p w14:paraId="6AAE309E">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200000</w:t>
            </w:r>
          </w:p>
        </w:tc>
        <w:tc>
          <w:tcPr>
            <w:tcW w:w="1797" w:type="dxa"/>
            <w:tcBorders>
              <w:top w:val="nil"/>
              <w:left w:val="nil"/>
              <w:bottom w:val="single" w:color="auto" w:sz="4" w:space="0"/>
              <w:right w:val="single" w:color="auto" w:sz="4" w:space="0"/>
            </w:tcBorders>
            <w:vAlign w:val="center"/>
          </w:tcPr>
          <w:p w14:paraId="378C0028">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1000</w:t>
            </w:r>
          </w:p>
        </w:tc>
        <w:tc>
          <w:tcPr>
            <w:tcW w:w="1154" w:type="dxa"/>
            <w:tcBorders>
              <w:top w:val="nil"/>
              <w:left w:val="nil"/>
              <w:bottom w:val="single" w:color="auto" w:sz="4" w:space="0"/>
              <w:right w:val="single" w:color="auto" w:sz="4" w:space="0"/>
            </w:tcBorders>
            <w:vAlign w:val="center"/>
          </w:tcPr>
          <w:p w14:paraId="10EEC172">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100</w:t>
            </w:r>
          </w:p>
        </w:tc>
      </w:tr>
      <w:tr w14:paraId="430F00C6">
        <w:tblPrEx>
          <w:tblCellMar>
            <w:top w:w="0" w:type="dxa"/>
            <w:left w:w="108" w:type="dxa"/>
            <w:bottom w:w="0" w:type="dxa"/>
            <w:right w:w="108" w:type="dxa"/>
          </w:tblCellMar>
        </w:tblPrEx>
        <w:trPr>
          <w:trHeight w:val="225" w:hRule="atLeast"/>
        </w:trPr>
        <w:tc>
          <w:tcPr>
            <w:tcW w:w="1948" w:type="dxa"/>
            <w:vMerge w:val="continue"/>
            <w:tcBorders>
              <w:top w:val="nil"/>
              <w:left w:val="single" w:color="auto" w:sz="4" w:space="0"/>
              <w:bottom w:val="single" w:color="auto" w:sz="4" w:space="0"/>
              <w:right w:val="single" w:color="auto" w:sz="4" w:space="0"/>
            </w:tcBorders>
            <w:vAlign w:val="center"/>
          </w:tcPr>
          <w:p w14:paraId="70D0FFEB">
            <w:pPr>
              <w:widowControl/>
              <w:jc w:val="left"/>
              <w:rPr>
                <w:rFonts w:hint="eastAsia" w:ascii="仿宋_GB2312" w:hAnsi="仿宋" w:eastAsia="仿宋_GB2312" w:cs="宋体"/>
                <w:b/>
                <w:bCs/>
                <w:kern w:val="0"/>
                <w:sz w:val="18"/>
                <w:szCs w:val="18"/>
                <w:highlight w:val="none"/>
              </w:rPr>
            </w:pPr>
          </w:p>
        </w:tc>
        <w:tc>
          <w:tcPr>
            <w:tcW w:w="1656" w:type="dxa"/>
            <w:tcBorders>
              <w:top w:val="nil"/>
              <w:left w:val="nil"/>
              <w:bottom w:val="single" w:color="auto" w:sz="4" w:space="0"/>
              <w:right w:val="single" w:color="auto" w:sz="4" w:space="0"/>
            </w:tcBorders>
            <w:vAlign w:val="center"/>
          </w:tcPr>
          <w:p w14:paraId="1CF6CF69">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资产总额</w:t>
            </w:r>
            <w:r>
              <w:rPr>
                <w:rFonts w:hint="eastAsia" w:ascii="___WRD_EMBED_SUB_45" w:hAnsi="___WRD_EMBED_SUB_45" w:eastAsia="___WRD_EMBED_SUB_45" w:cs="___WRD_EMBED_SUB_45"/>
                <w:kern w:val="0"/>
                <w:sz w:val="18"/>
                <w:szCs w:val="18"/>
                <w:highlight w:val="none"/>
              </w:rPr>
              <w:t>（</w:t>
            </w:r>
            <w:r>
              <w:rPr>
                <w:rFonts w:hint="eastAsia" w:ascii="仿宋_GB2312" w:hAnsi="仿宋" w:eastAsia="仿宋_GB2312" w:cs="宋体"/>
                <w:kern w:val="0"/>
                <w:sz w:val="18"/>
                <w:szCs w:val="18"/>
                <w:highlight w:val="none"/>
              </w:rPr>
              <w:t>Z）</w:t>
            </w:r>
          </w:p>
        </w:tc>
        <w:tc>
          <w:tcPr>
            <w:tcW w:w="1490" w:type="dxa"/>
            <w:tcBorders>
              <w:top w:val="nil"/>
              <w:left w:val="nil"/>
              <w:bottom w:val="single" w:color="auto" w:sz="4" w:space="0"/>
              <w:right w:val="single" w:color="auto" w:sz="4" w:space="0"/>
            </w:tcBorders>
            <w:vAlign w:val="center"/>
          </w:tcPr>
          <w:p w14:paraId="437FBE7E">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万元</w:t>
            </w:r>
          </w:p>
        </w:tc>
        <w:tc>
          <w:tcPr>
            <w:tcW w:w="1917" w:type="dxa"/>
            <w:tcBorders>
              <w:top w:val="nil"/>
              <w:left w:val="nil"/>
              <w:bottom w:val="single" w:color="auto" w:sz="4" w:space="0"/>
              <w:right w:val="single" w:color="auto" w:sz="4" w:space="0"/>
            </w:tcBorders>
            <w:vAlign w:val="center"/>
          </w:tcPr>
          <w:p w14:paraId="16BBCF54">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Z</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10000</w:t>
            </w:r>
          </w:p>
        </w:tc>
        <w:tc>
          <w:tcPr>
            <w:tcW w:w="1797" w:type="dxa"/>
            <w:tcBorders>
              <w:top w:val="nil"/>
              <w:left w:val="nil"/>
              <w:bottom w:val="single" w:color="auto" w:sz="4" w:space="0"/>
              <w:right w:val="single" w:color="auto" w:sz="4" w:space="0"/>
            </w:tcBorders>
            <w:vAlign w:val="center"/>
          </w:tcPr>
          <w:p w14:paraId="3E0D7E0A">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5000</w:t>
            </w:r>
          </w:p>
        </w:tc>
        <w:tc>
          <w:tcPr>
            <w:tcW w:w="1154" w:type="dxa"/>
            <w:tcBorders>
              <w:top w:val="nil"/>
              <w:left w:val="nil"/>
              <w:bottom w:val="single" w:color="auto" w:sz="4" w:space="0"/>
              <w:right w:val="single" w:color="auto" w:sz="4" w:space="0"/>
            </w:tcBorders>
            <w:vAlign w:val="center"/>
          </w:tcPr>
          <w:p w14:paraId="26A92C23">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2000</w:t>
            </w:r>
          </w:p>
        </w:tc>
      </w:tr>
      <w:tr w14:paraId="5CCB57CA">
        <w:tblPrEx>
          <w:tblCellMar>
            <w:top w:w="0" w:type="dxa"/>
            <w:left w:w="108" w:type="dxa"/>
            <w:bottom w:w="0" w:type="dxa"/>
            <w:right w:w="108" w:type="dxa"/>
          </w:tblCellMar>
        </w:tblPrEx>
        <w:trPr>
          <w:trHeight w:val="225" w:hRule="atLeast"/>
        </w:trPr>
        <w:tc>
          <w:tcPr>
            <w:tcW w:w="1948" w:type="dxa"/>
            <w:vMerge w:val="restart"/>
            <w:tcBorders>
              <w:top w:val="nil"/>
              <w:left w:val="single" w:color="auto" w:sz="4" w:space="0"/>
              <w:bottom w:val="single" w:color="auto" w:sz="4" w:space="0"/>
              <w:right w:val="single" w:color="auto" w:sz="4" w:space="0"/>
            </w:tcBorders>
            <w:vAlign w:val="bottom"/>
          </w:tcPr>
          <w:p w14:paraId="319D7F67">
            <w:pPr>
              <w:widowControl/>
              <w:jc w:val="center"/>
              <w:rPr>
                <w:rFonts w:hint="eastAsia" w:ascii="仿宋_GB2312" w:hAnsi="仿宋" w:eastAsia="仿宋_GB2312" w:cs="宋体"/>
                <w:b/>
                <w:bCs/>
                <w:kern w:val="0"/>
                <w:sz w:val="18"/>
                <w:szCs w:val="18"/>
                <w:highlight w:val="none"/>
              </w:rPr>
            </w:pPr>
            <w:r>
              <w:rPr>
                <w:rFonts w:hint="eastAsia" w:ascii="微软雅黑" w:hAnsi="微软雅黑" w:eastAsia="微软雅黑" w:cs="微软雅黑"/>
                <w:b/>
                <w:bCs/>
                <w:kern w:val="0"/>
                <w:sz w:val="18"/>
                <w:szCs w:val="18"/>
                <w:highlight w:val="none"/>
              </w:rPr>
              <w:t>物业管</w:t>
            </w:r>
            <w:r>
              <w:rPr>
                <w:rFonts w:hint="eastAsia" w:ascii="___WRD_EMBED_SUB_45" w:hAnsi="___WRD_EMBED_SUB_45" w:eastAsia="___WRD_EMBED_SUB_45" w:cs="___WRD_EMBED_SUB_45"/>
                <w:b/>
                <w:bCs/>
                <w:kern w:val="0"/>
                <w:sz w:val="18"/>
                <w:szCs w:val="18"/>
                <w:highlight w:val="none"/>
              </w:rPr>
              <w:t>理</w:t>
            </w:r>
          </w:p>
        </w:tc>
        <w:tc>
          <w:tcPr>
            <w:tcW w:w="1656" w:type="dxa"/>
            <w:tcBorders>
              <w:top w:val="nil"/>
              <w:left w:val="nil"/>
              <w:bottom w:val="single" w:color="auto" w:sz="4" w:space="0"/>
              <w:right w:val="single" w:color="auto" w:sz="4" w:space="0"/>
            </w:tcBorders>
            <w:vAlign w:val="center"/>
          </w:tcPr>
          <w:p w14:paraId="022D533C">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从业</w:t>
            </w:r>
            <w:r>
              <w:rPr>
                <w:rFonts w:hint="eastAsia" w:ascii="___WRD_EMBED_SUB_45" w:hAnsi="___WRD_EMBED_SUB_45" w:eastAsia="___WRD_EMBED_SUB_45" w:cs="___WRD_EMBED_SUB_45"/>
                <w:kern w:val="0"/>
                <w:sz w:val="18"/>
                <w:szCs w:val="18"/>
                <w:highlight w:val="none"/>
              </w:rPr>
              <w:t>人</w:t>
            </w:r>
            <w:r>
              <w:rPr>
                <w:rFonts w:hint="eastAsia" w:ascii="微软雅黑" w:hAnsi="微软雅黑" w:eastAsia="微软雅黑" w:cs="微软雅黑"/>
                <w:kern w:val="0"/>
                <w:sz w:val="18"/>
                <w:szCs w:val="18"/>
                <w:highlight w:val="none"/>
              </w:rPr>
              <w:t>员</w:t>
            </w:r>
            <w:r>
              <w:rPr>
                <w:rFonts w:hint="eastAsia" w:ascii="___WRD_EMBED_SUB_45" w:hAnsi="___WRD_EMBED_SUB_45" w:eastAsia="___WRD_EMBED_SUB_45" w:cs="___WRD_EMBED_SUB_45"/>
                <w:kern w:val="0"/>
                <w:sz w:val="18"/>
                <w:szCs w:val="18"/>
                <w:highlight w:val="none"/>
              </w:rPr>
              <w:t>（</w:t>
            </w:r>
            <w:r>
              <w:rPr>
                <w:rFonts w:hint="eastAsia" w:ascii="仿宋_GB2312" w:hAnsi="仿宋" w:eastAsia="仿宋_GB2312" w:cs="宋体"/>
                <w:kern w:val="0"/>
                <w:sz w:val="18"/>
                <w:szCs w:val="18"/>
                <w:highlight w:val="none"/>
              </w:rPr>
              <w:t>X）</w:t>
            </w:r>
          </w:p>
        </w:tc>
        <w:tc>
          <w:tcPr>
            <w:tcW w:w="1490" w:type="dxa"/>
            <w:tcBorders>
              <w:top w:val="nil"/>
              <w:left w:val="nil"/>
              <w:bottom w:val="single" w:color="auto" w:sz="4" w:space="0"/>
              <w:right w:val="single" w:color="auto" w:sz="4" w:space="0"/>
            </w:tcBorders>
            <w:vAlign w:val="center"/>
          </w:tcPr>
          <w:p w14:paraId="1FDEDCD8">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917" w:type="dxa"/>
            <w:tcBorders>
              <w:top w:val="nil"/>
              <w:left w:val="nil"/>
              <w:bottom w:val="single" w:color="auto" w:sz="4" w:space="0"/>
              <w:right w:val="single" w:color="auto" w:sz="4" w:space="0"/>
            </w:tcBorders>
            <w:vAlign w:val="center"/>
          </w:tcPr>
          <w:p w14:paraId="43CB1F37">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300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1000</w:t>
            </w:r>
          </w:p>
        </w:tc>
        <w:tc>
          <w:tcPr>
            <w:tcW w:w="1797" w:type="dxa"/>
            <w:tcBorders>
              <w:top w:val="nil"/>
              <w:left w:val="nil"/>
              <w:bottom w:val="single" w:color="auto" w:sz="4" w:space="0"/>
              <w:right w:val="single" w:color="auto" w:sz="4" w:space="0"/>
            </w:tcBorders>
            <w:vAlign w:val="center"/>
          </w:tcPr>
          <w:p w14:paraId="62795C2B">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300</w:t>
            </w:r>
          </w:p>
        </w:tc>
        <w:tc>
          <w:tcPr>
            <w:tcW w:w="1154" w:type="dxa"/>
            <w:tcBorders>
              <w:top w:val="nil"/>
              <w:left w:val="nil"/>
              <w:bottom w:val="single" w:color="auto" w:sz="4" w:space="0"/>
              <w:right w:val="single" w:color="auto" w:sz="4" w:space="0"/>
            </w:tcBorders>
            <w:vAlign w:val="center"/>
          </w:tcPr>
          <w:p w14:paraId="64D1B9A2">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100</w:t>
            </w:r>
          </w:p>
        </w:tc>
      </w:tr>
      <w:tr w14:paraId="23E79525">
        <w:tblPrEx>
          <w:tblCellMar>
            <w:top w:w="0" w:type="dxa"/>
            <w:left w:w="108" w:type="dxa"/>
            <w:bottom w:w="0" w:type="dxa"/>
            <w:right w:w="108" w:type="dxa"/>
          </w:tblCellMar>
        </w:tblPrEx>
        <w:trPr>
          <w:trHeight w:val="225" w:hRule="atLeast"/>
        </w:trPr>
        <w:tc>
          <w:tcPr>
            <w:tcW w:w="1948" w:type="dxa"/>
            <w:vMerge w:val="continue"/>
            <w:tcBorders>
              <w:top w:val="nil"/>
              <w:left w:val="single" w:color="auto" w:sz="4" w:space="0"/>
              <w:bottom w:val="single" w:color="auto" w:sz="4" w:space="0"/>
              <w:right w:val="single" w:color="auto" w:sz="4" w:space="0"/>
            </w:tcBorders>
            <w:vAlign w:val="center"/>
          </w:tcPr>
          <w:p w14:paraId="7FF3B559">
            <w:pPr>
              <w:widowControl/>
              <w:jc w:val="left"/>
              <w:rPr>
                <w:rFonts w:hint="eastAsia" w:ascii="仿宋_GB2312" w:hAnsi="仿宋" w:eastAsia="仿宋_GB2312" w:cs="宋体"/>
                <w:b/>
                <w:bCs/>
                <w:kern w:val="0"/>
                <w:sz w:val="18"/>
                <w:szCs w:val="18"/>
                <w:highlight w:val="none"/>
              </w:rPr>
            </w:pPr>
          </w:p>
        </w:tc>
        <w:tc>
          <w:tcPr>
            <w:tcW w:w="1656" w:type="dxa"/>
            <w:tcBorders>
              <w:top w:val="nil"/>
              <w:left w:val="nil"/>
              <w:bottom w:val="single" w:color="auto" w:sz="4" w:space="0"/>
              <w:right w:val="single" w:color="auto" w:sz="4" w:space="0"/>
            </w:tcBorders>
            <w:vAlign w:val="center"/>
          </w:tcPr>
          <w:p w14:paraId="438116C9">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营业收入</w:t>
            </w:r>
            <w:r>
              <w:rPr>
                <w:rFonts w:hint="eastAsia" w:ascii="___WRD_EMBED_SUB_45" w:hAnsi="___WRD_EMBED_SUB_45" w:eastAsia="___WRD_EMBED_SUB_45" w:cs="___WRD_EMBED_SUB_45"/>
                <w:kern w:val="0"/>
                <w:sz w:val="18"/>
                <w:szCs w:val="18"/>
                <w:highlight w:val="none"/>
              </w:rPr>
              <w:t>（</w:t>
            </w:r>
            <w:r>
              <w:rPr>
                <w:rFonts w:hint="eastAsia" w:ascii="仿宋_GB2312" w:hAnsi="仿宋" w:eastAsia="仿宋_GB2312" w:cs="宋体"/>
                <w:kern w:val="0"/>
                <w:sz w:val="18"/>
                <w:szCs w:val="18"/>
                <w:highlight w:val="none"/>
              </w:rPr>
              <w:t>Y）</w:t>
            </w:r>
          </w:p>
        </w:tc>
        <w:tc>
          <w:tcPr>
            <w:tcW w:w="1490" w:type="dxa"/>
            <w:tcBorders>
              <w:top w:val="nil"/>
              <w:left w:val="nil"/>
              <w:bottom w:val="single" w:color="auto" w:sz="4" w:space="0"/>
              <w:right w:val="single" w:color="auto" w:sz="4" w:space="0"/>
            </w:tcBorders>
            <w:vAlign w:val="center"/>
          </w:tcPr>
          <w:p w14:paraId="4A53F5CF">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万元</w:t>
            </w:r>
          </w:p>
        </w:tc>
        <w:tc>
          <w:tcPr>
            <w:tcW w:w="1917" w:type="dxa"/>
            <w:tcBorders>
              <w:top w:val="nil"/>
              <w:left w:val="nil"/>
              <w:bottom w:val="single" w:color="auto" w:sz="4" w:space="0"/>
              <w:right w:val="single" w:color="auto" w:sz="4" w:space="0"/>
            </w:tcBorders>
            <w:vAlign w:val="center"/>
          </w:tcPr>
          <w:p w14:paraId="1209E968">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5000</w:t>
            </w:r>
          </w:p>
        </w:tc>
        <w:tc>
          <w:tcPr>
            <w:tcW w:w="1797" w:type="dxa"/>
            <w:tcBorders>
              <w:top w:val="nil"/>
              <w:left w:val="nil"/>
              <w:bottom w:val="single" w:color="auto" w:sz="4" w:space="0"/>
              <w:right w:val="single" w:color="auto" w:sz="4" w:space="0"/>
            </w:tcBorders>
            <w:vAlign w:val="center"/>
          </w:tcPr>
          <w:p w14:paraId="214C0124">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1000</w:t>
            </w:r>
          </w:p>
        </w:tc>
        <w:tc>
          <w:tcPr>
            <w:tcW w:w="1154" w:type="dxa"/>
            <w:tcBorders>
              <w:top w:val="nil"/>
              <w:left w:val="nil"/>
              <w:bottom w:val="single" w:color="auto" w:sz="4" w:space="0"/>
              <w:right w:val="single" w:color="auto" w:sz="4" w:space="0"/>
            </w:tcBorders>
            <w:vAlign w:val="center"/>
          </w:tcPr>
          <w:p w14:paraId="7BD48B0E">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500</w:t>
            </w:r>
          </w:p>
        </w:tc>
      </w:tr>
      <w:tr w14:paraId="70BD330F">
        <w:tblPrEx>
          <w:tblCellMar>
            <w:top w:w="0" w:type="dxa"/>
            <w:left w:w="108" w:type="dxa"/>
            <w:bottom w:w="0" w:type="dxa"/>
            <w:right w:w="108" w:type="dxa"/>
          </w:tblCellMar>
        </w:tblPrEx>
        <w:trPr>
          <w:trHeight w:val="225" w:hRule="atLeast"/>
        </w:trPr>
        <w:tc>
          <w:tcPr>
            <w:tcW w:w="1948" w:type="dxa"/>
            <w:vMerge w:val="restart"/>
            <w:tcBorders>
              <w:top w:val="nil"/>
              <w:left w:val="single" w:color="auto" w:sz="4" w:space="0"/>
              <w:bottom w:val="single" w:color="auto" w:sz="4" w:space="0"/>
              <w:right w:val="single" w:color="auto" w:sz="4" w:space="0"/>
            </w:tcBorders>
            <w:vAlign w:val="bottom"/>
          </w:tcPr>
          <w:p w14:paraId="06516611">
            <w:pPr>
              <w:widowControl/>
              <w:jc w:val="center"/>
              <w:rPr>
                <w:rFonts w:hint="eastAsia" w:ascii="仿宋_GB2312" w:hAnsi="仿宋" w:eastAsia="仿宋_GB2312" w:cs="宋体"/>
                <w:b/>
                <w:bCs/>
                <w:kern w:val="0"/>
                <w:sz w:val="18"/>
                <w:szCs w:val="18"/>
                <w:highlight w:val="none"/>
              </w:rPr>
            </w:pPr>
            <w:r>
              <w:rPr>
                <w:rFonts w:hint="eastAsia" w:ascii="微软雅黑" w:hAnsi="微软雅黑" w:eastAsia="微软雅黑" w:cs="微软雅黑"/>
                <w:b/>
                <w:bCs/>
                <w:kern w:val="0"/>
                <w:sz w:val="18"/>
                <w:szCs w:val="18"/>
                <w:highlight w:val="none"/>
              </w:rPr>
              <w:t>租赁和商务服务业</w:t>
            </w:r>
          </w:p>
        </w:tc>
        <w:tc>
          <w:tcPr>
            <w:tcW w:w="1656" w:type="dxa"/>
            <w:tcBorders>
              <w:top w:val="nil"/>
              <w:left w:val="nil"/>
              <w:bottom w:val="single" w:color="auto" w:sz="4" w:space="0"/>
              <w:right w:val="single" w:color="auto" w:sz="4" w:space="0"/>
            </w:tcBorders>
            <w:vAlign w:val="center"/>
          </w:tcPr>
          <w:p w14:paraId="7BC5416F">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从业</w:t>
            </w:r>
            <w:r>
              <w:rPr>
                <w:rFonts w:hint="eastAsia" w:ascii="___WRD_EMBED_SUB_45" w:hAnsi="___WRD_EMBED_SUB_45" w:eastAsia="___WRD_EMBED_SUB_45" w:cs="___WRD_EMBED_SUB_45"/>
                <w:kern w:val="0"/>
                <w:sz w:val="18"/>
                <w:szCs w:val="18"/>
                <w:highlight w:val="none"/>
              </w:rPr>
              <w:t>人</w:t>
            </w:r>
            <w:r>
              <w:rPr>
                <w:rFonts w:hint="eastAsia" w:ascii="微软雅黑" w:hAnsi="微软雅黑" w:eastAsia="微软雅黑" w:cs="微软雅黑"/>
                <w:kern w:val="0"/>
                <w:sz w:val="18"/>
                <w:szCs w:val="18"/>
                <w:highlight w:val="none"/>
              </w:rPr>
              <w:t>员</w:t>
            </w:r>
            <w:r>
              <w:rPr>
                <w:rFonts w:hint="eastAsia" w:ascii="___WRD_EMBED_SUB_45" w:hAnsi="___WRD_EMBED_SUB_45" w:eastAsia="___WRD_EMBED_SUB_45" w:cs="___WRD_EMBED_SUB_45"/>
                <w:kern w:val="0"/>
                <w:sz w:val="18"/>
                <w:szCs w:val="18"/>
                <w:highlight w:val="none"/>
              </w:rPr>
              <w:t>（</w:t>
            </w:r>
            <w:r>
              <w:rPr>
                <w:rFonts w:hint="eastAsia" w:ascii="仿宋_GB2312" w:hAnsi="仿宋" w:eastAsia="仿宋_GB2312" w:cs="宋体"/>
                <w:kern w:val="0"/>
                <w:sz w:val="18"/>
                <w:szCs w:val="18"/>
                <w:highlight w:val="none"/>
              </w:rPr>
              <w:t>X）</w:t>
            </w:r>
          </w:p>
        </w:tc>
        <w:tc>
          <w:tcPr>
            <w:tcW w:w="1490" w:type="dxa"/>
            <w:tcBorders>
              <w:top w:val="nil"/>
              <w:left w:val="nil"/>
              <w:bottom w:val="single" w:color="auto" w:sz="4" w:space="0"/>
              <w:right w:val="single" w:color="auto" w:sz="4" w:space="0"/>
            </w:tcBorders>
            <w:vAlign w:val="center"/>
          </w:tcPr>
          <w:p w14:paraId="596C466B">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917" w:type="dxa"/>
            <w:tcBorders>
              <w:top w:val="nil"/>
              <w:left w:val="nil"/>
              <w:bottom w:val="single" w:color="auto" w:sz="4" w:space="0"/>
              <w:right w:val="single" w:color="auto" w:sz="4" w:space="0"/>
            </w:tcBorders>
            <w:vAlign w:val="center"/>
          </w:tcPr>
          <w:p w14:paraId="29D663E5">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300</w:t>
            </w:r>
          </w:p>
        </w:tc>
        <w:tc>
          <w:tcPr>
            <w:tcW w:w="1797" w:type="dxa"/>
            <w:tcBorders>
              <w:top w:val="nil"/>
              <w:left w:val="nil"/>
              <w:bottom w:val="single" w:color="auto" w:sz="4" w:space="0"/>
              <w:right w:val="single" w:color="auto" w:sz="4" w:space="0"/>
            </w:tcBorders>
            <w:vAlign w:val="center"/>
          </w:tcPr>
          <w:p w14:paraId="20C306AF">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100</w:t>
            </w:r>
          </w:p>
        </w:tc>
        <w:tc>
          <w:tcPr>
            <w:tcW w:w="1154" w:type="dxa"/>
            <w:tcBorders>
              <w:top w:val="nil"/>
              <w:left w:val="nil"/>
              <w:bottom w:val="single" w:color="auto" w:sz="4" w:space="0"/>
              <w:right w:val="single" w:color="auto" w:sz="4" w:space="0"/>
            </w:tcBorders>
            <w:vAlign w:val="center"/>
          </w:tcPr>
          <w:p w14:paraId="74E42DC7">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w:t>
            </w:r>
          </w:p>
        </w:tc>
      </w:tr>
      <w:tr w14:paraId="6AD57642">
        <w:tblPrEx>
          <w:tblCellMar>
            <w:top w:w="0" w:type="dxa"/>
            <w:left w:w="108" w:type="dxa"/>
            <w:bottom w:w="0" w:type="dxa"/>
            <w:right w:w="108" w:type="dxa"/>
          </w:tblCellMar>
        </w:tblPrEx>
        <w:trPr>
          <w:trHeight w:val="225" w:hRule="atLeast"/>
        </w:trPr>
        <w:tc>
          <w:tcPr>
            <w:tcW w:w="1948" w:type="dxa"/>
            <w:vMerge w:val="continue"/>
            <w:tcBorders>
              <w:top w:val="nil"/>
              <w:left w:val="single" w:color="auto" w:sz="4" w:space="0"/>
              <w:bottom w:val="single" w:color="auto" w:sz="4" w:space="0"/>
              <w:right w:val="single" w:color="auto" w:sz="4" w:space="0"/>
            </w:tcBorders>
            <w:vAlign w:val="center"/>
          </w:tcPr>
          <w:p w14:paraId="255CCBC0">
            <w:pPr>
              <w:widowControl/>
              <w:jc w:val="left"/>
              <w:rPr>
                <w:rFonts w:hint="eastAsia" w:ascii="仿宋_GB2312" w:hAnsi="仿宋" w:eastAsia="仿宋_GB2312" w:cs="宋体"/>
                <w:b/>
                <w:bCs/>
                <w:kern w:val="0"/>
                <w:sz w:val="18"/>
                <w:szCs w:val="18"/>
                <w:highlight w:val="none"/>
              </w:rPr>
            </w:pPr>
          </w:p>
        </w:tc>
        <w:tc>
          <w:tcPr>
            <w:tcW w:w="1656" w:type="dxa"/>
            <w:tcBorders>
              <w:top w:val="nil"/>
              <w:left w:val="nil"/>
              <w:bottom w:val="single" w:color="auto" w:sz="4" w:space="0"/>
              <w:right w:val="single" w:color="auto" w:sz="4" w:space="0"/>
            </w:tcBorders>
            <w:vAlign w:val="center"/>
          </w:tcPr>
          <w:p w14:paraId="74013D9E">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资产总额</w:t>
            </w:r>
            <w:r>
              <w:rPr>
                <w:rFonts w:hint="eastAsia" w:ascii="___WRD_EMBED_SUB_45" w:hAnsi="___WRD_EMBED_SUB_45" w:eastAsia="___WRD_EMBED_SUB_45" w:cs="___WRD_EMBED_SUB_45"/>
                <w:kern w:val="0"/>
                <w:sz w:val="18"/>
                <w:szCs w:val="18"/>
                <w:highlight w:val="none"/>
              </w:rPr>
              <w:t>（</w:t>
            </w:r>
            <w:r>
              <w:rPr>
                <w:rFonts w:hint="eastAsia" w:ascii="仿宋_GB2312" w:hAnsi="仿宋" w:eastAsia="仿宋_GB2312" w:cs="宋体"/>
                <w:kern w:val="0"/>
                <w:sz w:val="18"/>
                <w:szCs w:val="18"/>
                <w:highlight w:val="none"/>
              </w:rPr>
              <w:t>Z）</w:t>
            </w:r>
          </w:p>
        </w:tc>
        <w:tc>
          <w:tcPr>
            <w:tcW w:w="1490" w:type="dxa"/>
            <w:tcBorders>
              <w:top w:val="nil"/>
              <w:left w:val="nil"/>
              <w:bottom w:val="single" w:color="auto" w:sz="4" w:space="0"/>
              <w:right w:val="single" w:color="auto" w:sz="4" w:space="0"/>
            </w:tcBorders>
            <w:vAlign w:val="center"/>
          </w:tcPr>
          <w:p w14:paraId="6EA5D16E">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万元</w:t>
            </w:r>
          </w:p>
        </w:tc>
        <w:tc>
          <w:tcPr>
            <w:tcW w:w="1917" w:type="dxa"/>
            <w:tcBorders>
              <w:top w:val="nil"/>
              <w:left w:val="nil"/>
              <w:bottom w:val="single" w:color="auto" w:sz="4" w:space="0"/>
              <w:right w:val="single" w:color="auto" w:sz="4" w:space="0"/>
            </w:tcBorders>
            <w:vAlign w:val="center"/>
          </w:tcPr>
          <w:p w14:paraId="6A604CB0">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8000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Z</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120000</w:t>
            </w:r>
          </w:p>
        </w:tc>
        <w:tc>
          <w:tcPr>
            <w:tcW w:w="1797" w:type="dxa"/>
            <w:tcBorders>
              <w:top w:val="nil"/>
              <w:left w:val="nil"/>
              <w:bottom w:val="single" w:color="auto" w:sz="4" w:space="0"/>
              <w:right w:val="single" w:color="auto" w:sz="4" w:space="0"/>
            </w:tcBorders>
            <w:vAlign w:val="center"/>
          </w:tcPr>
          <w:p w14:paraId="0B6AF327">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Z</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8000</w:t>
            </w:r>
          </w:p>
        </w:tc>
        <w:tc>
          <w:tcPr>
            <w:tcW w:w="1154" w:type="dxa"/>
            <w:tcBorders>
              <w:top w:val="nil"/>
              <w:left w:val="nil"/>
              <w:bottom w:val="single" w:color="auto" w:sz="4" w:space="0"/>
              <w:right w:val="single" w:color="auto" w:sz="4" w:space="0"/>
            </w:tcBorders>
            <w:vAlign w:val="center"/>
          </w:tcPr>
          <w:p w14:paraId="20FED245">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100</w:t>
            </w:r>
          </w:p>
        </w:tc>
      </w:tr>
      <w:tr w14:paraId="6C94F947">
        <w:tblPrEx>
          <w:tblCellMar>
            <w:top w:w="0" w:type="dxa"/>
            <w:left w:w="108" w:type="dxa"/>
            <w:bottom w:w="0" w:type="dxa"/>
            <w:right w:w="108" w:type="dxa"/>
          </w:tblCellMar>
        </w:tblPrEx>
        <w:trPr>
          <w:trHeight w:val="225" w:hRule="atLeast"/>
        </w:trPr>
        <w:tc>
          <w:tcPr>
            <w:tcW w:w="1948" w:type="dxa"/>
            <w:tcBorders>
              <w:top w:val="nil"/>
              <w:left w:val="single" w:color="auto" w:sz="4" w:space="0"/>
              <w:bottom w:val="single" w:color="auto" w:sz="4" w:space="0"/>
              <w:right w:val="single" w:color="auto" w:sz="4" w:space="0"/>
            </w:tcBorders>
            <w:vAlign w:val="bottom"/>
          </w:tcPr>
          <w:p w14:paraId="1A26AFF9">
            <w:pPr>
              <w:widowControl/>
              <w:jc w:val="center"/>
              <w:rPr>
                <w:rFonts w:hint="eastAsia" w:ascii="仿宋_GB2312" w:hAnsi="仿宋" w:eastAsia="仿宋_GB2312" w:cs="宋体"/>
                <w:b/>
                <w:bCs/>
                <w:kern w:val="0"/>
                <w:sz w:val="18"/>
                <w:szCs w:val="18"/>
                <w:highlight w:val="none"/>
              </w:rPr>
            </w:pPr>
            <w:r>
              <w:rPr>
                <w:rFonts w:hint="eastAsia" w:ascii="微软雅黑" w:hAnsi="微软雅黑" w:eastAsia="微软雅黑" w:cs="微软雅黑"/>
                <w:b/>
                <w:bCs/>
                <w:kern w:val="0"/>
                <w:sz w:val="18"/>
                <w:szCs w:val="18"/>
                <w:highlight w:val="none"/>
              </w:rPr>
              <w:t>其他未列明行业</w:t>
            </w:r>
          </w:p>
        </w:tc>
        <w:tc>
          <w:tcPr>
            <w:tcW w:w="1656" w:type="dxa"/>
            <w:tcBorders>
              <w:top w:val="nil"/>
              <w:left w:val="nil"/>
              <w:bottom w:val="single" w:color="auto" w:sz="4" w:space="0"/>
              <w:right w:val="single" w:color="auto" w:sz="4" w:space="0"/>
            </w:tcBorders>
            <w:vAlign w:val="center"/>
          </w:tcPr>
          <w:p w14:paraId="5939AFCF">
            <w:pPr>
              <w:widowControl/>
              <w:jc w:val="left"/>
              <w:rPr>
                <w:rFonts w:hint="eastAsia" w:ascii="仿宋_GB2312" w:hAnsi="仿宋" w:eastAsia="仿宋_GB2312" w:cs="宋体"/>
                <w:kern w:val="0"/>
                <w:sz w:val="18"/>
                <w:szCs w:val="18"/>
                <w:highlight w:val="none"/>
              </w:rPr>
            </w:pPr>
            <w:r>
              <w:rPr>
                <w:rFonts w:hint="eastAsia" w:ascii="微软雅黑" w:hAnsi="微软雅黑" w:eastAsia="微软雅黑" w:cs="微软雅黑"/>
                <w:kern w:val="0"/>
                <w:sz w:val="18"/>
                <w:szCs w:val="18"/>
                <w:highlight w:val="none"/>
              </w:rPr>
              <w:t>从业</w:t>
            </w:r>
            <w:r>
              <w:rPr>
                <w:rFonts w:hint="eastAsia" w:ascii="___WRD_EMBED_SUB_45" w:hAnsi="___WRD_EMBED_SUB_45" w:eastAsia="___WRD_EMBED_SUB_45" w:cs="___WRD_EMBED_SUB_45"/>
                <w:kern w:val="0"/>
                <w:sz w:val="18"/>
                <w:szCs w:val="18"/>
                <w:highlight w:val="none"/>
              </w:rPr>
              <w:t>人</w:t>
            </w:r>
            <w:r>
              <w:rPr>
                <w:rFonts w:hint="eastAsia" w:ascii="微软雅黑" w:hAnsi="微软雅黑" w:eastAsia="微软雅黑" w:cs="微软雅黑"/>
                <w:kern w:val="0"/>
                <w:sz w:val="18"/>
                <w:szCs w:val="18"/>
                <w:highlight w:val="none"/>
              </w:rPr>
              <w:t>员</w:t>
            </w:r>
            <w:r>
              <w:rPr>
                <w:rFonts w:hint="eastAsia" w:ascii="___WRD_EMBED_SUB_45" w:hAnsi="___WRD_EMBED_SUB_45" w:eastAsia="___WRD_EMBED_SUB_45" w:cs="___WRD_EMBED_SUB_45"/>
                <w:kern w:val="0"/>
                <w:sz w:val="18"/>
                <w:szCs w:val="18"/>
                <w:highlight w:val="none"/>
              </w:rPr>
              <w:t>（</w:t>
            </w:r>
            <w:r>
              <w:rPr>
                <w:rFonts w:hint="eastAsia" w:ascii="仿宋_GB2312" w:hAnsi="仿宋" w:eastAsia="仿宋_GB2312" w:cs="宋体"/>
                <w:kern w:val="0"/>
                <w:sz w:val="18"/>
                <w:szCs w:val="18"/>
                <w:highlight w:val="none"/>
              </w:rPr>
              <w:t>X）</w:t>
            </w:r>
          </w:p>
        </w:tc>
        <w:tc>
          <w:tcPr>
            <w:tcW w:w="1490" w:type="dxa"/>
            <w:tcBorders>
              <w:top w:val="nil"/>
              <w:left w:val="nil"/>
              <w:bottom w:val="single" w:color="auto" w:sz="4" w:space="0"/>
              <w:right w:val="single" w:color="auto" w:sz="4" w:space="0"/>
            </w:tcBorders>
            <w:vAlign w:val="center"/>
          </w:tcPr>
          <w:p w14:paraId="151A7590">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917" w:type="dxa"/>
            <w:tcBorders>
              <w:top w:val="nil"/>
              <w:left w:val="nil"/>
              <w:bottom w:val="single" w:color="auto" w:sz="4" w:space="0"/>
              <w:right w:val="single" w:color="auto" w:sz="4" w:space="0"/>
            </w:tcBorders>
            <w:vAlign w:val="center"/>
          </w:tcPr>
          <w:p w14:paraId="331CD53A">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300</w:t>
            </w:r>
          </w:p>
        </w:tc>
        <w:tc>
          <w:tcPr>
            <w:tcW w:w="1797" w:type="dxa"/>
            <w:tcBorders>
              <w:top w:val="nil"/>
              <w:left w:val="nil"/>
              <w:bottom w:val="single" w:color="auto" w:sz="4" w:space="0"/>
              <w:right w:val="single" w:color="auto" w:sz="4" w:space="0"/>
            </w:tcBorders>
            <w:vAlign w:val="center"/>
          </w:tcPr>
          <w:p w14:paraId="742CE995">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100</w:t>
            </w:r>
          </w:p>
        </w:tc>
        <w:tc>
          <w:tcPr>
            <w:tcW w:w="1154" w:type="dxa"/>
            <w:tcBorders>
              <w:top w:val="nil"/>
              <w:left w:val="nil"/>
              <w:bottom w:val="single" w:color="auto" w:sz="4" w:space="0"/>
              <w:right w:val="single" w:color="auto" w:sz="4" w:space="0"/>
            </w:tcBorders>
            <w:vAlign w:val="center"/>
          </w:tcPr>
          <w:p w14:paraId="7A09FF52">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w:t>
            </w:r>
            <w:r>
              <w:rPr>
                <w:rFonts w:hint="eastAsia" w:ascii="微软雅黑" w:hAnsi="微软雅黑" w:eastAsia="微软雅黑" w:cs="微软雅黑"/>
                <w:kern w:val="0"/>
                <w:sz w:val="18"/>
                <w:szCs w:val="18"/>
                <w:highlight w:val="none"/>
              </w:rPr>
              <w:t>＜</w:t>
            </w:r>
            <w:r>
              <w:rPr>
                <w:rFonts w:hint="eastAsia" w:ascii="仿宋_GB2312" w:hAnsi="仿宋" w:eastAsia="仿宋_GB2312" w:cs="宋体"/>
                <w:kern w:val="0"/>
                <w:sz w:val="18"/>
                <w:szCs w:val="18"/>
                <w:highlight w:val="none"/>
              </w:rPr>
              <w:t>10</w:t>
            </w:r>
          </w:p>
        </w:tc>
      </w:tr>
    </w:tbl>
    <w:p w14:paraId="2A2C08D0">
      <w:pPr>
        <w:spacing w:line="528" w:lineRule="exac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765ADC51">
      <w:pPr>
        <w:widowControl/>
        <w:jc w:val="left"/>
        <w:rPr>
          <w:b/>
          <w:bCs/>
          <w:kern w:val="44"/>
          <w:sz w:val="44"/>
          <w:szCs w:val="44"/>
          <w:highlight w:val="none"/>
        </w:rPr>
      </w:pPr>
      <w:r>
        <w:rPr>
          <w:highlight w:val="none"/>
        </w:rPr>
        <w:br w:type="page"/>
      </w:r>
    </w:p>
    <w:p w14:paraId="16C2F794">
      <w:pPr>
        <w:pStyle w:val="4"/>
        <w:jc w:val="center"/>
        <w:rPr>
          <w:highlight w:val="none"/>
        </w:rPr>
      </w:pPr>
      <w:bookmarkStart w:id="63" w:name="_Toc151675539"/>
      <w:r>
        <w:rPr>
          <w:rFonts w:hint="eastAsia"/>
          <w:highlight w:val="none"/>
        </w:rPr>
        <w:t xml:space="preserve">第四章 </w:t>
      </w:r>
      <w:r>
        <w:rPr>
          <w:highlight w:val="none"/>
        </w:rPr>
        <w:t xml:space="preserve"> </w:t>
      </w:r>
      <w:r>
        <w:rPr>
          <w:rFonts w:hint="eastAsia"/>
          <w:highlight w:val="none"/>
        </w:rPr>
        <w:t>评审程序、评审方法和评审标准</w:t>
      </w:r>
      <w:bookmarkEnd w:id="63"/>
    </w:p>
    <w:p w14:paraId="50A0AED3">
      <w:pPr>
        <w:spacing w:line="360" w:lineRule="auto"/>
        <w:jc w:val="center"/>
        <w:rPr>
          <w:rFonts w:hint="eastAsia" w:ascii="宋体" w:hAnsi="宋体"/>
          <w:b/>
          <w:sz w:val="32"/>
          <w:szCs w:val="32"/>
          <w:highlight w:val="none"/>
        </w:rPr>
      </w:pPr>
      <w:r>
        <w:rPr>
          <w:rFonts w:hint="eastAsia" w:ascii="宋体" w:hAnsi="宋体"/>
          <w:b/>
          <w:sz w:val="32"/>
          <w:szCs w:val="32"/>
          <w:highlight w:val="none"/>
        </w:rPr>
        <w:t>一、评审程序和评审方法</w:t>
      </w:r>
    </w:p>
    <w:p w14:paraId="3F5FA81F">
      <w:pPr>
        <w:spacing w:line="360" w:lineRule="auto"/>
        <w:ind w:firstLine="482" w:firstLineChars="200"/>
        <w:rPr>
          <w:rFonts w:hint="eastAsia" w:ascii="黑体" w:hAnsi="黑体" w:eastAsia="黑体" w:cs="宋体"/>
          <w:b/>
          <w:bCs/>
          <w:sz w:val="24"/>
          <w:highlight w:val="none"/>
        </w:rPr>
      </w:pPr>
      <w:r>
        <w:rPr>
          <w:rFonts w:ascii="黑体" w:hAnsi="黑体" w:eastAsia="黑体" w:cs="宋体"/>
          <w:b/>
          <w:bCs/>
          <w:sz w:val="24"/>
          <w:highlight w:val="none"/>
        </w:rPr>
        <w:t>1</w:t>
      </w:r>
      <w:r>
        <w:rPr>
          <w:rFonts w:hint="eastAsia" w:ascii="黑体" w:hAnsi="黑体" w:eastAsia="黑体" w:cs="宋体"/>
          <w:b/>
          <w:bCs/>
          <w:sz w:val="24"/>
          <w:highlight w:val="none"/>
        </w:rPr>
        <w:t>.资格审查</w:t>
      </w:r>
    </w:p>
    <w:p w14:paraId="53C19470">
      <w:pPr>
        <w:snapToGrid w:val="0"/>
        <w:spacing w:line="360" w:lineRule="auto"/>
        <w:ind w:firstLine="420" w:firstLineChars="200"/>
        <w:rPr>
          <w:rFonts w:hint="eastAsia" w:ascii="宋体" w:hAnsi="宋体"/>
          <w:szCs w:val="21"/>
          <w:highlight w:val="none"/>
        </w:rPr>
      </w:pPr>
      <w:r>
        <w:rPr>
          <w:rFonts w:ascii="宋体" w:hAnsi="宋体" w:cs="宋体"/>
          <w:szCs w:val="21"/>
          <w:highlight w:val="none"/>
        </w:rPr>
        <w:t>1</w:t>
      </w:r>
      <w:r>
        <w:rPr>
          <w:rFonts w:hint="eastAsia" w:ascii="宋体" w:hAnsi="宋体" w:cs="宋体"/>
          <w:szCs w:val="21"/>
          <w:highlight w:val="none"/>
        </w:rPr>
        <w:t>.1</w:t>
      </w:r>
      <w:r>
        <w:rPr>
          <w:rFonts w:hint="eastAsia" w:ascii="宋体" w:hAnsi="宋体"/>
          <w:szCs w:val="21"/>
          <w:highlight w:val="none"/>
        </w:rPr>
        <w:t>响应文件开启后，磋商小组依法对供应商的资格证明文件进行审查。</w:t>
      </w:r>
    </w:p>
    <w:p w14:paraId="44686B19">
      <w:pPr>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注：</w:t>
      </w:r>
      <w:r>
        <w:rPr>
          <w:rFonts w:hint="eastAsia"/>
          <w:highlight w:val="none"/>
        </w:rPr>
        <w:t>磋商小组</w:t>
      </w:r>
      <w:r>
        <w:rPr>
          <w:rFonts w:hint="eastAsia" w:ascii="宋体" w:hAnsi="宋体" w:cs="宋体"/>
          <w:szCs w:val="21"/>
          <w:highlight w:val="none"/>
        </w:rPr>
        <w:t>在资格审查结束前，对供应商进行信用查询。</w:t>
      </w:r>
    </w:p>
    <w:p w14:paraId="74E172D3">
      <w:pPr>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（1）查询渠道：广西政府采购云平台“信用中国”网站(www.creditchina.gov.cn)、中国政府采购网(www.ccgp.gov.cn)、</w:t>
      </w:r>
      <w:r>
        <w:rPr>
          <w:rFonts w:hint="eastAsia" w:ascii="宋体" w:hAnsi="宋体"/>
          <w:szCs w:val="21"/>
          <w:highlight w:val="none"/>
        </w:rPr>
        <w:t>中国执行信息公开网（https://zxgk.court.gov.cn/）</w:t>
      </w:r>
      <w:r>
        <w:rPr>
          <w:rFonts w:hint="eastAsia" w:ascii="宋体" w:hAnsi="宋体" w:cs="宋体"/>
          <w:szCs w:val="21"/>
          <w:highlight w:val="none"/>
        </w:rPr>
        <w:t>链接入口。</w:t>
      </w:r>
    </w:p>
    <w:p w14:paraId="07FEF334">
      <w:pPr>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（2）信用查询截止时点：资格审查结束前。</w:t>
      </w:r>
    </w:p>
    <w:p w14:paraId="5AC4D0C1">
      <w:pPr>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（3）查询记录和证据留存方式：在查询网站中直接查询，截图另存为电子文档作为评审资料保存。</w:t>
      </w:r>
    </w:p>
    <w:p w14:paraId="4B89652A">
      <w:pPr>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（4）信用信息使用规则：对在“信用中国”网站（www.creditchina.gov.cn）、中国政府采购网（www.ccgp.gov.cn）、</w:t>
      </w:r>
      <w:r>
        <w:rPr>
          <w:rFonts w:hint="eastAsia" w:ascii="宋体" w:hAnsi="宋体"/>
          <w:szCs w:val="21"/>
          <w:highlight w:val="none"/>
        </w:rPr>
        <w:t>中国执行信息公开网（https://zxgk.court.gov.cn/）</w:t>
      </w:r>
      <w:r>
        <w:rPr>
          <w:rFonts w:hint="eastAsia" w:ascii="宋体" w:hAnsi="宋体" w:cs="宋体"/>
          <w:szCs w:val="21"/>
          <w:highlight w:val="none"/>
        </w:rPr>
        <w:t>被列入失信被执行人、重大税收违法失信主体、政府采购严重违法失信行为记录名单及其他不符合《中华人民共和国政府采购法》第二十二条规定条件的供应商，资格审查不通过，不得参与政府采购活动。</w:t>
      </w:r>
      <w:r>
        <w:rPr>
          <w:rFonts w:hint="eastAsia" w:ascii="宋体" w:hAnsi="宋体"/>
          <w:szCs w:val="21"/>
          <w:highlight w:val="none"/>
        </w:rPr>
        <w:t>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r>
        <w:rPr>
          <w:rFonts w:hint="eastAsia" w:ascii="宋体" w:hAnsi="宋体" w:cs="宋体"/>
          <w:szCs w:val="21"/>
          <w:highlight w:val="none"/>
        </w:rPr>
        <w:t>。</w:t>
      </w:r>
    </w:p>
    <w:p w14:paraId="70FAC90F">
      <w:pPr>
        <w:spacing w:line="360" w:lineRule="auto"/>
        <w:ind w:firstLine="420" w:firstLineChars="200"/>
        <w:rPr>
          <w:rFonts w:hint="eastAsia" w:ascii="宋体" w:hAnsi="宋体" w:cs="宋体"/>
          <w:szCs w:val="21"/>
          <w:highlight w:val="none"/>
        </w:rPr>
      </w:pPr>
      <w:r>
        <w:rPr>
          <w:rFonts w:ascii="宋体" w:hAnsi="宋体" w:cs="宋体"/>
          <w:szCs w:val="21"/>
          <w:highlight w:val="none"/>
        </w:rPr>
        <w:t>1</w:t>
      </w:r>
      <w:r>
        <w:rPr>
          <w:rFonts w:hint="eastAsia" w:ascii="宋体" w:hAnsi="宋体" w:cs="宋体"/>
          <w:szCs w:val="21"/>
          <w:highlight w:val="none"/>
        </w:rPr>
        <w:t>.2资格审查标准为本磋商文件中载明对供应商资格要求的条件。资格审查采用合格制，凡符合磋商文件规定的供应商资格要求的响应文件均通过资格审查。</w:t>
      </w:r>
    </w:p>
    <w:p w14:paraId="60002541">
      <w:pPr>
        <w:spacing w:line="360" w:lineRule="auto"/>
        <w:ind w:firstLine="420" w:firstLineChars="200"/>
        <w:rPr>
          <w:rFonts w:hint="eastAsia" w:ascii="宋体" w:hAnsi="宋体" w:cs="宋体"/>
          <w:szCs w:val="21"/>
          <w:highlight w:val="none"/>
        </w:rPr>
      </w:pPr>
      <w:r>
        <w:rPr>
          <w:rFonts w:ascii="宋体" w:hAnsi="宋体" w:cs="宋体"/>
          <w:szCs w:val="21"/>
          <w:highlight w:val="none"/>
        </w:rPr>
        <w:t>1</w:t>
      </w:r>
      <w:r>
        <w:rPr>
          <w:rFonts w:hint="eastAsia" w:ascii="宋体" w:hAnsi="宋体" w:cs="宋体"/>
          <w:szCs w:val="21"/>
          <w:highlight w:val="none"/>
        </w:rPr>
        <w:t>.3供应商有下列情形之一的，资格审查不通过，其响应文件按无效响应处理：</w:t>
      </w:r>
    </w:p>
    <w:p w14:paraId="00A2228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w:t>
      </w:r>
      <w:r>
        <w:rPr>
          <w:rFonts w:ascii="宋体" w:hAnsi="宋体" w:cs="宋体"/>
          <w:szCs w:val="21"/>
          <w:highlight w:val="none"/>
        </w:rPr>
        <w:t>1</w:t>
      </w:r>
      <w:r>
        <w:rPr>
          <w:rFonts w:hint="eastAsia" w:ascii="宋体" w:hAnsi="宋体" w:cs="宋体"/>
          <w:szCs w:val="21"/>
          <w:highlight w:val="none"/>
        </w:rPr>
        <w:t>）不具备磋商文件中规定的资格要求的；</w:t>
      </w:r>
    </w:p>
    <w:p w14:paraId="67136ECE">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（2）未按磋商文件规定的方式获取本磋商文件的供应商；</w:t>
      </w:r>
    </w:p>
    <w:p w14:paraId="6F8EC5E7">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w:t>
      </w:r>
      <w:r>
        <w:rPr>
          <w:rFonts w:ascii="宋体" w:hAnsi="宋体" w:cs="宋体"/>
          <w:szCs w:val="21"/>
          <w:highlight w:val="none"/>
        </w:rPr>
        <w:t>3</w:t>
      </w:r>
      <w:r>
        <w:rPr>
          <w:rFonts w:hint="eastAsia" w:ascii="宋体" w:hAnsi="宋体" w:cs="宋体"/>
          <w:szCs w:val="21"/>
          <w:highlight w:val="none"/>
        </w:rPr>
        <w:t>）响应文件的资格证明文件缺少任一项“供应商须知前附表”资格证明文件规定的“必须提供”的文件资料的；</w:t>
      </w:r>
    </w:p>
    <w:p w14:paraId="534B17E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w:t>
      </w:r>
      <w:r>
        <w:rPr>
          <w:rFonts w:ascii="宋体" w:hAnsi="宋体" w:cs="宋体"/>
          <w:szCs w:val="21"/>
          <w:highlight w:val="none"/>
        </w:rPr>
        <w:t>4</w:t>
      </w:r>
      <w:r>
        <w:rPr>
          <w:rFonts w:hint="eastAsia" w:ascii="宋体" w:hAnsi="宋体" w:cs="宋体"/>
          <w:szCs w:val="21"/>
          <w:highlight w:val="none"/>
        </w:rPr>
        <w:t>）响应文件中的资格证明文件出现任一项不符合“供应商须知前附表”资格证明文件规定的“必须提供”的文件资料要求或者无效的；</w:t>
      </w:r>
    </w:p>
    <w:p w14:paraId="02E0721B">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w:t>
      </w:r>
      <w:r>
        <w:rPr>
          <w:rFonts w:ascii="宋体" w:hAnsi="宋体" w:cs="宋体"/>
          <w:szCs w:val="21"/>
          <w:highlight w:val="none"/>
        </w:rPr>
        <w:t>5</w:t>
      </w:r>
      <w:r>
        <w:rPr>
          <w:rFonts w:hint="eastAsia" w:ascii="宋体" w:hAnsi="宋体" w:cs="宋体"/>
          <w:szCs w:val="21"/>
          <w:highlight w:val="none"/>
        </w:rPr>
        <w:t>）同一合同项下的不同供应商，单位负责人为同一人或者存在直接控股、管理关系的；为本项目提供过整体设计、规范编制或者项目管理、监理、检测等服务的供应商，再参加该采购项目的其他采购活动的。</w:t>
      </w:r>
    </w:p>
    <w:p w14:paraId="778614FA">
      <w:pPr>
        <w:spacing w:line="360" w:lineRule="auto"/>
        <w:ind w:firstLine="420" w:firstLineChars="200"/>
        <w:rPr>
          <w:rFonts w:hint="eastAsia" w:ascii="宋体" w:hAnsi="宋体" w:cs="宋体"/>
          <w:szCs w:val="21"/>
          <w:highlight w:val="none"/>
        </w:rPr>
      </w:pPr>
      <w:r>
        <w:rPr>
          <w:rFonts w:ascii="宋体" w:hAnsi="宋体" w:cs="宋体"/>
          <w:szCs w:val="21"/>
          <w:highlight w:val="none"/>
        </w:rPr>
        <w:t>1</w:t>
      </w:r>
      <w:r>
        <w:rPr>
          <w:rFonts w:hint="eastAsia" w:ascii="宋体" w:hAnsi="宋体" w:cs="宋体"/>
          <w:szCs w:val="21"/>
          <w:highlight w:val="none"/>
        </w:rPr>
        <w:t>.4通过资格审查的合格供应商不足3家的，不得进入符合性审查环节，</w:t>
      </w:r>
      <w:r>
        <w:rPr>
          <w:rFonts w:hint="eastAsia" w:ascii="宋体" w:hAnsi="宋体"/>
          <w:szCs w:val="21"/>
          <w:highlight w:val="none"/>
        </w:rPr>
        <w:t>采购人或者采购代理机构应当重新开展采购活动。</w:t>
      </w:r>
    </w:p>
    <w:p w14:paraId="6DDFAA3D">
      <w:pPr>
        <w:spacing w:line="360" w:lineRule="auto"/>
        <w:ind w:firstLine="482" w:firstLineChars="200"/>
        <w:rPr>
          <w:rFonts w:hint="eastAsia" w:ascii="黑体" w:hAnsi="黑体" w:eastAsia="黑体" w:cs="宋体"/>
          <w:b/>
          <w:bCs/>
          <w:sz w:val="24"/>
          <w:highlight w:val="none"/>
        </w:rPr>
      </w:pPr>
      <w:r>
        <w:rPr>
          <w:rFonts w:ascii="黑体" w:hAnsi="黑体" w:eastAsia="黑体" w:cs="宋体"/>
          <w:b/>
          <w:bCs/>
          <w:sz w:val="24"/>
          <w:highlight w:val="none"/>
        </w:rPr>
        <w:t>2</w:t>
      </w:r>
      <w:r>
        <w:rPr>
          <w:rFonts w:hint="eastAsia" w:ascii="黑体" w:hAnsi="黑体" w:eastAsia="黑体" w:cs="宋体"/>
          <w:b/>
          <w:bCs/>
          <w:sz w:val="24"/>
          <w:highlight w:val="none"/>
        </w:rPr>
        <w:t>.符合性审查</w:t>
      </w:r>
    </w:p>
    <w:p w14:paraId="3892DAD3">
      <w:pPr>
        <w:spacing w:line="360" w:lineRule="auto"/>
        <w:ind w:firstLine="420" w:firstLineChars="200"/>
        <w:rPr>
          <w:rFonts w:hint="eastAsia" w:ascii="宋体" w:hAnsi="宋体" w:cs="宋体"/>
          <w:szCs w:val="21"/>
          <w:highlight w:val="none"/>
        </w:rPr>
      </w:pPr>
      <w:bookmarkStart w:id="64" w:name="_Hlk42528882"/>
      <w:r>
        <w:rPr>
          <w:rFonts w:ascii="宋体" w:hAnsi="宋体" w:cs="宋体"/>
          <w:szCs w:val="21"/>
          <w:highlight w:val="none"/>
        </w:rPr>
        <w:t>2.1</w:t>
      </w:r>
      <w:r>
        <w:rPr>
          <w:rFonts w:hint="eastAsia" w:ascii="宋体" w:hAnsi="宋体" w:cs="宋体"/>
          <w:szCs w:val="21"/>
          <w:highlight w:val="none"/>
        </w:rPr>
        <w:t>由磋商小组对</w:t>
      </w:r>
      <w:r>
        <w:rPr>
          <w:rFonts w:hint="eastAsia" w:ascii="宋体" w:hAnsi="宋体"/>
          <w:szCs w:val="21"/>
          <w:highlight w:val="none"/>
        </w:rPr>
        <w:t>通过资格审查的合格供应商</w:t>
      </w:r>
      <w:r>
        <w:rPr>
          <w:rFonts w:hint="eastAsia" w:ascii="宋体" w:hAnsi="宋体" w:cs="宋体"/>
          <w:szCs w:val="21"/>
          <w:highlight w:val="none"/>
        </w:rPr>
        <w:t>的响应文件的竞标报价、商务、技术等实质性要求进行符合性审查，以确定其是否满足磋商文件的实质性要求。</w:t>
      </w:r>
    </w:p>
    <w:bookmarkEnd w:id="64"/>
    <w:p w14:paraId="74E1A372">
      <w:pPr>
        <w:spacing w:line="360" w:lineRule="auto"/>
        <w:ind w:firstLine="420" w:firstLineChars="200"/>
        <w:rPr>
          <w:rFonts w:hint="eastAsia" w:ascii="宋体" w:hAnsi="宋体" w:cs="宋体"/>
          <w:szCs w:val="21"/>
          <w:highlight w:val="none"/>
        </w:rPr>
      </w:pPr>
      <w:r>
        <w:rPr>
          <w:rFonts w:ascii="宋体" w:hAnsi="宋体" w:cs="宋体"/>
          <w:szCs w:val="21"/>
          <w:highlight w:val="none"/>
        </w:rPr>
        <w:t>2.2</w:t>
      </w:r>
      <w:r>
        <w:rPr>
          <w:rFonts w:hint="eastAsia" w:ascii="宋体" w:hAnsi="宋体" w:cs="宋体"/>
          <w:szCs w:val="21"/>
          <w:highlight w:val="none"/>
        </w:rPr>
        <w:t>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0F48419B">
      <w:pPr>
        <w:spacing w:line="360" w:lineRule="auto"/>
        <w:ind w:firstLine="420" w:firstLineChars="200"/>
        <w:rPr>
          <w:rFonts w:hint="eastAsia" w:ascii="宋体" w:hAnsi="宋体" w:cs="宋体"/>
          <w:spacing w:val="-6"/>
          <w:szCs w:val="21"/>
          <w:highlight w:val="none"/>
        </w:rPr>
      </w:pPr>
      <w:r>
        <w:rPr>
          <w:rFonts w:ascii="宋体" w:hAnsi="宋体" w:cs="宋体"/>
          <w:szCs w:val="21"/>
          <w:highlight w:val="none"/>
        </w:rPr>
        <w:t>2</w:t>
      </w:r>
      <w:r>
        <w:rPr>
          <w:rFonts w:hint="eastAsia" w:ascii="宋体" w:hAnsi="宋体" w:cs="宋体"/>
          <w:szCs w:val="21"/>
          <w:highlight w:val="none"/>
        </w:rPr>
        <w:t>.</w:t>
      </w:r>
      <w:r>
        <w:rPr>
          <w:rFonts w:ascii="宋体" w:hAnsi="宋体" w:cs="宋体"/>
          <w:szCs w:val="21"/>
          <w:highlight w:val="none"/>
        </w:rPr>
        <w:t>3</w:t>
      </w:r>
      <w:r>
        <w:rPr>
          <w:rFonts w:hint="eastAsia" w:ascii="宋体" w:hAnsi="宋体" w:cs="宋体"/>
          <w:szCs w:val="21"/>
          <w:highlight w:val="none"/>
        </w:rPr>
        <w:t>磋商小组要求供应商澄清、说明或者更正响应文件应当以电子澄清函形式作出。供应商的澄清、说明或者更正应当已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w:t>
      </w:r>
      <w:r>
        <w:rPr>
          <w:rFonts w:hint="eastAsia" w:hAnsi="宋体"/>
          <w:highlight w:val="none"/>
        </w:rPr>
        <w:t>签章</w:t>
      </w:r>
      <w:r>
        <w:rPr>
          <w:rFonts w:hint="eastAsia" w:ascii="宋体" w:hAnsi="宋体" w:cs="宋体"/>
          <w:spacing w:val="-6"/>
          <w:szCs w:val="21"/>
          <w:highlight w:val="none"/>
        </w:rPr>
        <w:t>。</w:t>
      </w:r>
    </w:p>
    <w:p w14:paraId="62098E14">
      <w:pPr>
        <w:spacing w:line="360" w:lineRule="auto"/>
        <w:ind w:firstLine="420" w:firstLineChars="200"/>
        <w:rPr>
          <w:rFonts w:hint="eastAsia" w:ascii="宋体" w:hAnsi="宋体" w:cs="宋体"/>
          <w:spacing w:val="-6"/>
          <w:szCs w:val="21"/>
          <w:highlight w:val="none"/>
        </w:rPr>
      </w:pPr>
      <w:r>
        <w:rPr>
          <w:rFonts w:hint="eastAsia" w:ascii="宋体" w:hAnsi="宋体" w:cs="Courier New"/>
          <w:szCs w:val="21"/>
          <w:highlight w:val="none"/>
        </w:rPr>
        <w:t>异常情况处理：如遇无法正常使用线上发送澄清函的情况，将启动书面形式办理。启动书面形式办理的情况下，磋商小组以书面形式要求供应商在规定时间内作出必要的澄清、说明或者补正。供应商的澄清、说明或者补正必须采用书面形式，并加盖公章，或者由法定代表人或者其授权的代表签字。</w:t>
      </w:r>
    </w:p>
    <w:p w14:paraId="239C8D01">
      <w:pPr>
        <w:spacing w:line="360" w:lineRule="auto"/>
        <w:ind w:firstLine="396" w:firstLineChars="200"/>
        <w:rPr>
          <w:rFonts w:hint="eastAsia" w:ascii="宋体" w:hAnsi="宋体" w:cs="宋体"/>
          <w:szCs w:val="21"/>
          <w:highlight w:val="none"/>
        </w:rPr>
      </w:pPr>
      <w:r>
        <w:rPr>
          <w:rFonts w:ascii="宋体" w:hAnsi="宋体" w:cs="宋体"/>
          <w:spacing w:val="-6"/>
          <w:szCs w:val="21"/>
          <w:highlight w:val="none"/>
        </w:rPr>
        <w:t>2.4</w:t>
      </w:r>
      <w:r>
        <w:rPr>
          <w:rFonts w:hint="eastAsia" w:ascii="宋体" w:hAnsi="宋体" w:cs="宋体"/>
          <w:szCs w:val="21"/>
          <w:highlight w:val="none"/>
        </w:rPr>
        <w:t>首次响应文件报价出现前后不一致的，按照下列规定修正：</w:t>
      </w:r>
    </w:p>
    <w:p w14:paraId="47DA1CE1">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（1）响应文件中报价表内容与响应文件中相应内容不一致的，以报价表为准；</w:t>
      </w:r>
    </w:p>
    <w:p w14:paraId="1592C27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（2）大写金额和小写金额不一致的，以大写金额为准；</w:t>
      </w:r>
    </w:p>
    <w:p w14:paraId="3A3A800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（3）单价金额小数点或者百分比有明显错位的，以报价表的总价为准，并修改单价；</w:t>
      </w:r>
    </w:p>
    <w:p w14:paraId="714E8CF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（4）总价金额与按单价汇总金额不一致的，以单价金额计算结果为准。</w:t>
      </w:r>
    </w:p>
    <w:p w14:paraId="6D82ECAB">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同时出现两种以上不一致的，按照以上（1）-（4）规定的顺序逐条进行修正。修正后的报价经供应商确认后产生约束力，供应商不确认的，其响应文件按无效响应处理。</w:t>
      </w:r>
    </w:p>
    <w:p w14:paraId="52BE4F96">
      <w:pPr>
        <w:spacing w:line="360" w:lineRule="auto"/>
        <w:ind w:firstLine="420" w:firstLineChars="200"/>
        <w:rPr>
          <w:rFonts w:hint="eastAsia" w:ascii="宋体" w:hAnsi="宋体" w:cs="宋体"/>
          <w:szCs w:val="21"/>
          <w:highlight w:val="none"/>
        </w:rPr>
      </w:pPr>
      <w:r>
        <w:rPr>
          <w:rFonts w:ascii="宋体" w:hAnsi="宋体" w:cs="宋体"/>
          <w:szCs w:val="21"/>
          <w:highlight w:val="none"/>
        </w:rPr>
        <w:t>2</w:t>
      </w:r>
      <w:r>
        <w:rPr>
          <w:rFonts w:hint="eastAsia" w:ascii="宋体" w:hAnsi="宋体" w:cs="宋体"/>
          <w:szCs w:val="21"/>
          <w:highlight w:val="none"/>
        </w:rPr>
        <w:t>.</w:t>
      </w:r>
      <w:r>
        <w:rPr>
          <w:rFonts w:ascii="宋体" w:hAnsi="宋体" w:cs="宋体"/>
          <w:szCs w:val="21"/>
          <w:highlight w:val="none"/>
        </w:rPr>
        <w:t>5</w:t>
      </w:r>
      <w:r>
        <w:rPr>
          <w:rFonts w:hint="eastAsia" w:ascii="宋体" w:hAnsi="宋体" w:cs="宋体"/>
          <w:szCs w:val="21"/>
          <w:highlight w:val="none"/>
        </w:rPr>
        <w:t>商务技术报价评审</w:t>
      </w:r>
    </w:p>
    <w:p w14:paraId="6A0003E2">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在评审时，如发现下列情形之一的，将被视为响应文件无效处理：</w:t>
      </w:r>
    </w:p>
    <w:p w14:paraId="1DA1DF81">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（1）商务技术评审</w:t>
      </w:r>
    </w:p>
    <w:p w14:paraId="660808A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1）提供响应文件正、副本数量不足；</w:t>
      </w:r>
    </w:p>
    <w:p w14:paraId="5D405EEE">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2）响应文件未按磋商文件要求签署、盖章；</w:t>
      </w:r>
    </w:p>
    <w:p w14:paraId="0986CB1F">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3）委托代理人未能出具有效身份证或者出具的身份证与授权委托书中的信息不符的；</w:t>
      </w:r>
    </w:p>
    <w:p w14:paraId="132B2501">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4）提交的磋商保证金无效的或者未按照磋商文件的规定提交磋商保证金；</w:t>
      </w:r>
    </w:p>
    <w:p w14:paraId="79374870">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响应文件未提供任一项“供应商须知前附表”商务技术文件中“必须提供”或者“委托时必须提供”的文件资料；响应文件提供的商务技术文件出现任一项不符合“供应商须知前附表”商务技术文件中“必须提供”或者“委托时必须提供”文件资料要求的规定或者提供的商务技术文件无效。</w:t>
      </w:r>
    </w:p>
    <w:p w14:paraId="58E2EFEA">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6）未对竞标有效期作出响应或者响应文件承诺的竞标有效期不满足磋商文件要求；</w:t>
      </w:r>
    </w:p>
    <w:p w14:paraId="151ACE56">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7）响应文件的实质性内容未使用中文表述、使用计量单位不符合磋商文件要求；</w:t>
      </w:r>
    </w:p>
    <w:p w14:paraId="406A630D">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8）响应文件中的文件资料因填写不齐全或者内容虚假或者出现其他情形而导致被磋商小组认定无效；</w:t>
      </w:r>
    </w:p>
    <w:p w14:paraId="4C66D13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9）响应文件含有采购人不能接受的附加条件；</w:t>
      </w:r>
    </w:p>
    <w:p w14:paraId="1F74657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10）属于“供应商须知正文”第7.</w:t>
      </w:r>
      <w:r>
        <w:rPr>
          <w:rFonts w:ascii="宋体" w:hAnsi="宋体" w:cs="宋体"/>
          <w:szCs w:val="21"/>
          <w:highlight w:val="none"/>
        </w:rPr>
        <w:t>5</w:t>
      </w:r>
      <w:r>
        <w:rPr>
          <w:rFonts w:hint="eastAsia" w:ascii="宋体" w:hAnsi="宋体" w:cs="宋体"/>
          <w:szCs w:val="21"/>
          <w:highlight w:val="none"/>
        </w:rPr>
        <w:t>条情形；</w:t>
      </w:r>
    </w:p>
    <w:p w14:paraId="4F64B109">
      <w:pPr>
        <w:spacing w:line="360" w:lineRule="auto"/>
        <w:ind w:firstLine="420" w:firstLineChars="200"/>
        <w:rPr>
          <w:rFonts w:hint="eastAsia" w:ascii="宋体" w:hAnsi="宋体" w:cs="宋体"/>
          <w:szCs w:val="21"/>
          <w:highlight w:val="none"/>
        </w:rPr>
      </w:pPr>
      <w:r>
        <w:rPr>
          <w:rFonts w:ascii="宋体" w:hAnsi="宋体" w:cs="宋体"/>
          <w:szCs w:val="21"/>
          <w:highlight w:val="none"/>
        </w:rPr>
        <w:t>1</w:t>
      </w:r>
      <w:r>
        <w:rPr>
          <w:rFonts w:hint="eastAsia" w:ascii="宋体" w:hAnsi="宋体" w:cs="宋体"/>
          <w:szCs w:val="21"/>
          <w:highlight w:val="none"/>
        </w:rPr>
        <w:t>1）虚假竞标，或者出现其他情形而导致被磋商小组认定无效；</w:t>
      </w:r>
    </w:p>
    <w:p w14:paraId="64E89250">
      <w:pPr>
        <w:spacing w:line="360" w:lineRule="auto"/>
        <w:ind w:firstLine="420" w:firstLineChars="200"/>
        <w:rPr>
          <w:rFonts w:hint="eastAsia" w:ascii="宋体" w:hAnsi="宋体" w:cs="宋体"/>
          <w:szCs w:val="21"/>
          <w:highlight w:val="none"/>
        </w:rPr>
      </w:pPr>
      <w:r>
        <w:rPr>
          <w:rFonts w:ascii="宋体" w:hAnsi="宋体" w:cs="宋体"/>
          <w:szCs w:val="21"/>
          <w:highlight w:val="none"/>
        </w:rPr>
        <w:t>1</w:t>
      </w:r>
      <w:r>
        <w:rPr>
          <w:rFonts w:hint="eastAsia" w:ascii="宋体" w:hAnsi="宋体" w:cs="宋体"/>
          <w:szCs w:val="21"/>
          <w:highlight w:val="none"/>
        </w:rPr>
        <w:t>2）</w:t>
      </w:r>
      <w:bookmarkStart w:id="65" w:name="_Hlk71704147"/>
      <w:r>
        <w:rPr>
          <w:rFonts w:hint="eastAsia" w:ascii="宋体" w:hAnsi="宋体" w:cs="宋体"/>
          <w:szCs w:val="21"/>
          <w:highlight w:val="none"/>
        </w:rPr>
        <w:t>磋商文件未载明允许提供备选（替代）竞标方案或明确不允许提供备选（替代）竞标方案时，供应商提供了备选（替代）竞标方案的；</w:t>
      </w:r>
      <w:bookmarkEnd w:id="65"/>
    </w:p>
    <w:p w14:paraId="4942046B">
      <w:pPr>
        <w:spacing w:line="360" w:lineRule="auto"/>
        <w:ind w:firstLine="420" w:firstLineChars="200"/>
        <w:rPr>
          <w:rFonts w:hint="eastAsia" w:ascii="宋体" w:hAnsi="宋体" w:cs="宋体"/>
          <w:szCs w:val="21"/>
          <w:highlight w:val="none"/>
        </w:rPr>
      </w:pPr>
      <w:r>
        <w:rPr>
          <w:rFonts w:ascii="宋体" w:hAnsi="宋体" w:cs="宋体"/>
          <w:szCs w:val="21"/>
          <w:highlight w:val="none"/>
        </w:rPr>
        <w:t>1</w:t>
      </w:r>
      <w:r>
        <w:rPr>
          <w:rFonts w:hint="eastAsia" w:ascii="宋体" w:hAnsi="宋体" w:cs="宋体"/>
          <w:szCs w:val="21"/>
          <w:highlight w:val="none"/>
        </w:rPr>
        <w:t>3）响应文件标注的项目名称或者项目编号与磋商文件标注的项目名称或者项目编号不一致的；</w:t>
      </w:r>
    </w:p>
    <w:p w14:paraId="04B0524B">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14）</w:t>
      </w:r>
      <w:r>
        <w:rPr>
          <w:rFonts w:hint="eastAsia" w:ascii="宋体" w:hAnsi="宋体"/>
          <w:b/>
          <w:szCs w:val="21"/>
          <w:highlight w:val="none"/>
        </w:rPr>
        <w:t>竞争性磋商文件明确不允许分包，响应文件拟分包的；</w:t>
      </w:r>
    </w:p>
    <w:p w14:paraId="7B51BD6A">
      <w:pPr>
        <w:spacing w:line="360" w:lineRule="auto"/>
        <w:ind w:firstLine="420" w:firstLineChars="200"/>
        <w:rPr>
          <w:rFonts w:hint="eastAsia" w:ascii="宋体" w:hAnsi="宋体" w:cs="宋体"/>
          <w:szCs w:val="21"/>
          <w:highlight w:val="none"/>
        </w:rPr>
      </w:pPr>
      <w:r>
        <w:rPr>
          <w:rFonts w:ascii="宋体" w:hAnsi="宋体" w:cs="宋体"/>
          <w:szCs w:val="21"/>
          <w:highlight w:val="none"/>
        </w:rPr>
        <w:t>1</w:t>
      </w:r>
      <w:r>
        <w:rPr>
          <w:rFonts w:hint="eastAsia" w:ascii="宋体" w:hAnsi="宋体" w:cs="宋体"/>
          <w:szCs w:val="21"/>
          <w:highlight w:val="none"/>
        </w:rPr>
        <w:t>5）未响应磋商文件实质性要求；</w:t>
      </w:r>
    </w:p>
    <w:p w14:paraId="09DC983A">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16）法律、法规和磋商文件规定的其他无效情形。</w:t>
      </w:r>
    </w:p>
    <w:p w14:paraId="6EC8A157">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w:t>
      </w:r>
      <w:r>
        <w:rPr>
          <w:rFonts w:ascii="宋体" w:hAnsi="宋体" w:cs="宋体"/>
          <w:szCs w:val="21"/>
          <w:highlight w:val="none"/>
        </w:rPr>
        <w:t>2</w:t>
      </w:r>
      <w:r>
        <w:rPr>
          <w:rFonts w:hint="eastAsia" w:ascii="宋体" w:hAnsi="宋体" w:cs="宋体"/>
          <w:szCs w:val="21"/>
          <w:highlight w:val="none"/>
        </w:rPr>
        <w:t>）报价评审</w:t>
      </w:r>
    </w:p>
    <w:p w14:paraId="21E27042">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1）响应文件未提供“供应商须知前附表”报价文件中规定的“竞标报价表”；</w:t>
      </w:r>
    </w:p>
    <w:p w14:paraId="06F94BF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2）未采用人民币报价或者未按照磋商文件标明的币种报价；</w:t>
      </w:r>
    </w:p>
    <w:p w14:paraId="24E3770E">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供应商未就所竞标分标进行报价或者存在漏项报价；供应商未就所竞标分标的单项内容作唯一报价；供应商未就所竞标分标的全部内容作完整唯一总价报价；供应商响应文件中存在有选择、有条件报价的（磋商文件允许有备选方案或者其他约定的除外）；</w:t>
      </w:r>
    </w:p>
    <w:p w14:paraId="455B1C6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4）竞标报价（包含首次报价、最后报价）超过所竞标分标规定的采购预算金额或者最高限价的（如本项目公布了最高限价）；</w:t>
      </w:r>
      <w:bookmarkStart w:id="66" w:name="_Hlk42596405"/>
      <w:r>
        <w:rPr>
          <w:rFonts w:hint="eastAsia" w:ascii="宋体" w:hAnsi="宋体" w:cs="宋体"/>
          <w:szCs w:val="21"/>
          <w:highlight w:val="none"/>
        </w:rPr>
        <w:t>竞标报价（包含首次报价、最后报价）</w:t>
      </w:r>
      <w:bookmarkEnd w:id="66"/>
      <w:bookmarkStart w:id="67" w:name="_Hlk42596276"/>
      <w:r>
        <w:rPr>
          <w:rFonts w:hint="eastAsia" w:ascii="宋体" w:hAnsi="宋体" w:cs="宋体"/>
          <w:szCs w:val="21"/>
          <w:highlight w:val="none"/>
        </w:rPr>
        <w:t>超过磋商文件分项采购预算金额或者最高限价的</w:t>
      </w:r>
      <w:bookmarkEnd w:id="67"/>
      <w:r>
        <w:rPr>
          <w:rFonts w:hint="eastAsia" w:ascii="宋体" w:hAnsi="宋体" w:cs="宋体"/>
          <w:szCs w:val="21"/>
          <w:highlight w:val="none"/>
        </w:rPr>
        <w:t>（如本项目公布了最高限价）；</w:t>
      </w:r>
    </w:p>
    <w:p w14:paraId="535D0D0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修正后的报价，供应商不确认的；或者经供应商确认修正后的竞标报价（包含首次报价、最后报价）超过所竞标分标规定的采购预算金额或者最高限价（如本项目公布了最高限价）；或者经供应商确认修正后竞标报价（包含首次报价、最后报价）超过磋商文件分项采购预算金额或者最高限价的（如本项目公布了最高限价）。</w:t>
      </w:r>
    </w:p>
    <w:p w14:paraId="33C9CA8B">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6）</w:t>
      </w:r>
      <w:r>
        <w:rPr>
          <w:rFonts w:hint="eastAsia" w:ascii="宋体" w:hAnsi="宋体"/>
          <w:szCs w:val="21"/>
          <w:highlight w:val="none"/>
        </w:rPr>
        <w:t>响应文件响应的标的数量及单位与竞争性磋商采购文件要求实质性不一致的。</w:t>
      </w:r>
    </w:p>
    <w:p w14:paraId="5F6BF9C8">
      <w:pPr>
        <w:spacing w:line="360" w:lineRule="auto"/>
        <w:ind w:firstLine="420" w:firstLineChars="200"/>
        <w:rPr>
          <w:rFonts w:hint="eastAsia" w:ascii="宋体" w:hAnsi="宋体" w:cs="宋体"/>
          <w:szCs w:val="21"/>
          <w:highlight w:val="none"/>
        </w:rPr>
      </w:pPr>
      <w:r>
        <w:rPr>
          <w:rFonts w:ascii="宋体" w:hAnsi="宋体" w:cs="宋体"/>
          <w:szCs w:val="21"/>
          <w:highlight w:val="none"/>
        </w:rPr>
        <w:t>2.6</w:t>
      </w:r>
      <w:r>
        <w:rPr>
          <w:rFonts w:hint="eastAsia" w:ascii="宋体" w:hAnsi="宋体" w:cs="宋体"/>
          <w:szCs w:val="21"/>
          <w:highlight w:val="none"/>
        </w:rPr>
        <w:t>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4C5A4BD7">
      <w:pPr>
        <w:spacing w:line="360" w:lineRule="auto"/>
        <w:ind w:firstLine="420" w:firstLineChars="200"/>
        <w:rPr>
          <w:rFonts w:hint="eastAsia" w:ascii="宋体" w:hAnsi="宋体" w:cs="宋体"/>
          <w:szCs w:val="21"/>
          <w:highlight w:val="none"/>
        </w:rPr>
      </w:pPr>
      <w:r>
        <w:rPr>
          <w:rFonts w:ascii="宋体" w:hAnsi="宋体" w:cs="宋体"/>
          <w:szCs w:val="21"/>
          <w:highlight w:val="none"/>
        </w:rPr>
        <w:t>2.7</w:t>
      </w:r>
      <w:r>
        <w:rPr>
          <w:rFonts w:hint="eastAsia" w:ascii="宋体" w:hAnsi="宋体"/>
          <w:szCs w:val="21"/>
          <w:highlight w:val="none"/>
        </w:rPr>
        <w:t>通过符合性审查的合格供应商不足3家的，不得进入磋商环节，采购人或者采购代理机构应当重新开展采购活动。</w:t>
      </w:r>
    </w:p>
    <w:p w14:paraId="3F1C5D4F">
      <w:pPr>
        <w:spacing w:line="360" w:lineRule="auto"/>
        <w:ind w:firstLine="482" w:firstLineChars="200"/>
        <w:rPr>
          <w:rFonts w:hint="eastAsia" w:ascii="黑体" w:hAnsi="黑体" w:eastAsia="黑体" w:cs="宋体"/>
          <w:b/>
          <w:bCs/>
          <w:sz w:val="24"/>
          <w:highlight w:val="none"/>
        </w:rPr>
      </w:pPr>
      <w:r>
        <w:rPr>
          <w:rFonts w:ascii="黑体" w:hAnsi="黑体" w:eastAsia="黑体" w:cs="宋体"/>
          <w:b/>
          <w:bCs/>
          <w:sz w:val="24"/>
          <w:highlight w:val="none"/>
        </w:rPr>
        <w:t>3</w:t>
      </w:r>
      <w:r>
        <w:rPr>
          <w:rFonts w:hint="eastAsia" w:ascii="黑体" w:hAnsi="黑体" w:eastAsia="黑体" w:cs="宋体"/>
          <w:b/>
          <w:bCs/>
          <w:sz w:val="24"/>
          <w:highlight w:val="none"/>
        </w:rPr>
        <w:t>.磋商程序</w:t>
      </w:r>
    </w:p>
    <w:p w14:paraId="3E34703F">
      <w:pPr>
        <w:spacing w:line="360" w:lineRule="auto"/>
        <w:ind w:firstLine="420" w:firstLineChars="200"/>
        <w:rPr>
          <w:rFonts w:hint="eastAsia" w:ascii="宋体" w:hAnsi="宋体" w:cs="宋体"/>
          <w:kern w:val="0"/>
          <w:szCs w:val="21"/>
          <w:highlight w:val="none"/>
        </w:rPr>
      </w:pPr>
      <w:r>
        <w:rPr>
          <w:rFonts w:hint="eastAsia" w:ascii="宋体" w:hAnsi="宋体" w:cs="宋体"/>
          <w:kern w:val="0"/>
          <w:szCs w:val="21"/>
          <w:highlight w:val="none"/>
        </w:rPr>
        <w:t>3</w:t>
      </w:r>
      <w:r>
        <w:rPr>
          <w:rFonts w:ascii="宋体" w:hAnsi="宋体" w:cs="宋体"/>
          <w:kern w:val="0"/>
          <w:szCs w:val="21"/>
          <w:highlight w:val="none"/>
        </w:rPr>
        <w:t>.1</w:t>
      </w:r>
      <w:r>
        <w:rPr>
          <w:rFonts w:hint="eastAsia" w:ascii="宋体" w:hAnsi="宋体" w:cs="宋体"/>
          <w:kern w:val="0"/>
          <w:szCs w:val="21"/>
          <w:highlight w:val="none"/>
        </w:rPr>
        <w:t>磋商小组</w:t>
      </w:r>
      <w:r>
        <w:rPr>
          <w:rFonts w:hint="eastAsia" w:ascii="宋体" w:hAnsi="宋体" w:cs="宋体"/>
          <w:szCs w:val="21"/>
          <w:highlight w:val="none"/>
        </w:rPr>
        <w:t>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7CC304D6">
      <w:pPr>
        <w:spacing w:line="360" w:lineRule="auto"/>
        <w:ind w:firstLine="420" w:firstLineChars="200"/>
        <w:rPr>
          <w:rFonts w:hint="eastAsia" w:ascii="宋体" w:hAnsi="宋体" w:cs="宋体"/>
          <w:szCs w:val="21"/>
          <w:highlight w:val="none"/>
        </w:rPr>
      </w:pPr>
      <w:r>
        <w:rPr>
          <w:rFonts w:ascii="宋体" w:hAnsi="宋体" w:cs="宋体"/>
          <w:szCs w:val="21"/>
          <w:highlight w:val="none"/>
        </w:rPr>
        <w:t>3.2</w:t>
      </w:r>
      <w:r>
        <w:rPr>
          <w:rFonts w:hint="eastAsia" w:ascii="宋体" w:hAnsi="宋体" w:cs="宋体"/>
          <w:szCs w:val="21"/>
          <w:highlight w:val="none"/>
        </w:rPr>
        <w:t>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609D91C8">
      <w:pPr>
        <w:spacing w:line="360" w:lineRule="auto"/>
        <w:ind w:firstLine="420" w:firstLineChars="200"/>
        <w:rPr>
          <w:rFonts w:hint="eastAsia" w:ascii="宋体" w:hAnsi="宋体" w:cs="宋体"/>
          <w:szCs w:val="21"/>
          <w:highlight w:val="none"/>
        </w:rPr>
      </w:pPr>
      <w:r>
        <w:rPr>
          <w:rFonts w:ascii="宋体" w:hAnsi="宋体" w:cs="宋体"/>
          <w:szCs w:val="21"/>
          <w:highlight w:val="none"/>
        </w:rPr>
        <w:t>3.3</w:t>
      </w:r>
      <w:r>
        <w:rPr>
          <w:rFonts w:hint="eastAsia" w:ascii="宋体" w:hAnsi="宋体" w:cs="宋体"/>
          <w:szCs w:val="21"/>
          <w:highlight w:val="none"/>
        </w:rPr>
        <w:t>对磋商文件作出的实质性变动是磋商文件的有效组成部分，由磋商小组及时以电子澄清函形式同时通知所有参加磋商的供应商。</w:t>
      </w:r>
    </w:p>
    <w:p w14:paraId="17EE923B">
      <w:pPr>
        <w:spacing w:line="360" w:lineRule="auto"/>
        <w:ind w:firstLine="420" w:firstLineChars="200"/>
        <w:rPr>
          <w:rFonts w:hint="eastAsia" w:ascii="宋体" w:hAnsi="宋体" w:cs="宋体"/>
          <w:szCs w:val="21"/>
          <w:highlight w:val="none"/>
        </w:rPr>
      </w:pPr>
      <w:r>
        <w:rPr>
          <w:rFonts w:ascii="宋体" w:hAnsi="宋体" w:cs="宋体"/>
          <w:szCs w:val="21"/>
          <w:highlight w:val="none"/>
        </w:rPr>
        <w:t>3.4</w:t>
      </w:r>
      <w:r>
        <w:rPr>
          <w:rFonts w:hint="eastAsia" w:ascii="宋体" w:hAnsi="宋体" w:cs="宋体"/>
          <w:szCs w:val="21"/>
          <w:highlight w:val="none"/>
        </w:rPr>
        <w:t>供应商必须按照磋商文件的变动情况和磋商小组的要求以回函的形式重新提交响应文件，并加盖电子签章。参加磋商的供应商未在规定时间内重新提交响应文件的，视同退出磋商，其响应文件按无效处理。</w:t>
      </w:r>
    </w:p>
    <w:p w14:paraId="366C9C7A">
      <w:pPr>
        <w:spacing w:line="360" w:lineRule="auto"/>
        <w:ind w:firstLine="420" w:firstLineChars="200"/>
        <w:rPr>
          <w:rFonts w:hint="eastAsia" w:ascii="宋体" w:hAnsi="宋体" w:cs="宋体"/>
          <w:szCs w:val="21"/>
          <w:highlight w:val="none"/>
        </w:rPr>
      </w:pPr>
      <w:r>
        <w:rPr>
          <w:rFonts w:ascii="宋体" w:hAnsi="宋体" w:cs="宋体"/>
          <w:szCs w:val="21"/>
          <w:highlight w:val="none"/>
        </w:rPr>
        <w:t>3.5</w:t>
      </w:r>
      <w:r>
        <w:rPr>
          <w:rFonts w:hint="eastAsia" w:ascii="宋体" w:hAnsi="宋体" w:cs="宋体"/>
          <w:szCs w:val="21"/>
          <w:highlight w:val="none"/>
        </w:rPr>
        <w:t>磋商中，</w:t>
      </w:r>
      <w:r>
        <w:rPr>
          <w:rFonts w:hint="eastAsia" w:ascii="宋体" w:hAnsi="宋体" w:cs="宋体"/>
          <w:spacing w:val="-6"/>
          <w:szCs w:val="21"/>
          <w:highlight w:val="none"/>
        </w:rPr>
        <w:t>磋商的任何一方不得透露与磋商有关的其他供应商的技术资料、价格和其他信息。</w:t>
      </w:r>
    </w:p>
    <w:p w14:paraId="7FBBD340">
      <w:pPr>
        <w:widowControl/>
        <w:tabs>
          <w:tab w:val="left" w:pos="540"/>
        </w:tabs>
        <w:spacing w:line="360" w:lineRule="auto"/>
        <w:ind w:firstLine="420" w:firstLineChars="200"/>
        <w:jc w:val="left"/>
        <w:rPr>
          <w:rFonts w:hint="eastAsia" w:ascii="宋体" w:hAnsi="宋体" w:cs="宋体"/>
          <w:szCs w:val="21"/>
          <w:highlight w:val="none"/>
        </w:rPr>
      </w:pPr>
      <w:r>
        <w:rPr>
          <w:rFonts w:ascii="宋体" w:hAnsi="宋体" w:cs="宋体"/>
          <w:szCs w:val="21"/>
          <w:highlight w:val="none"/>
        </w:rPr>
        <w:t>3.6</w:t>
      </w:r>
      <w:r>
        <w:rPr>
          <w:rFonts w:hint="eastAsia" w:ascii="宋体" w:hAnsi="宋体" w:cs="宋体"/>
          <w:szCs w:val="21"/>
          <w:highlight w:val="none"/>
        </w:rPr>
        <w:t>采购代理机构对磋商过程和重要磋商内容进行记录。</w:t>
      </w:r>
    </w:p>
    <w:p w14:paraId="63A443C5">
      <w:pPr>
        <w:widowControl/>
        <w:tabs>
          <w:tab w:val="left" w:pos="540"/>
        </w:tabs>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3</w:t>
      </w:r>
      <w:r>
        <w:rPr>
          <w:rFonts w:ascii="宋体" w:hAnsi="宋体" w:cs="宋体"/>
          <w:szCs w:val="21"/>
          <w:highlight w:val="none"/>
        </w:rPr>
        <w:t>.7</w:t>
      </w:r>
      <w:r>
        <w:rPr>
          <w:highlight w:val="none"/>
        </w:rPr>
        <w:t>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2FC8D0C8">
      <w:pPr>
        <w:tabs>
          <w:tab w:val="left" w:pos="2835"/>
        </w:tabs>
        <w:spacing w:line="360" w:lineRule="auto"/>
        <w:ind w:firstLine="420" w:firstLineChars="200"/>
        <w:rPr>
          <w:rFonts w:hint="eastAsia" w:ascii="宋体" w:hAnsi="宋体" w:cs="宋体"/>
          <w:szCs w:val="21"/>
          <w:highlight w:val="none"/>
        </w:rPr>
      </w:pPr>
      <w:r>
        <w:rPr>
          <w:rFonts w:ascii="宋体" w:hAnsi="宋体" w:cs="宋体"/>
          <w:szCs w:val="21"/>
          <w:highlight w:val="none"/>
        </w:rPr>
        <w:t>3.8除</w:t>
      </w:r>
      <w:r>
        <w:rPr>
          <w:highlight w:val="none"/>
        </w:rPr>
        <w:t>本章第3.7条情形</w:t>
      </w:r>
      <w:r>
        <w:rPr>
          <w:rFonts w:hint="eastAsia"/>
          <w:highlight w:val="none"/>
        </w:rPr>
        <w:t>外，</w:t>
      </w:r>
      <w:r>
        <w:rPr>
          <w:rFonts w:hint="eastAsia" w:ascii="宋体" w:hAnsi="宋体"/>
          <w:szCs w:val="21"/>
          <w:highlight w:val="none"/>
        </w:rPr>
        <w:t>对磋商过程提交的响应文件进行有效性、完整性和响应程度审查，通过审查的合格供应商不足3家的，采购人或者采购代理机构应当重新开展采购活动。</w:t>
      </w:r>
    </w:p>
    <w:p w14:paraId="45FE57EE">
      <w:pPr>
        <w:spacing w:line="360" w:lineRule="auto"/>
        <w:ind w:firstLine="482" w:firstLineChars="200"/>
        <w:rPr>
          <w:rFonts w:hint="eastAsia" w:ascii="宋体" w:hAnsi="宋体" w:cs="宋体"/>
          <w:szCs w:val="21"/>
          <w:highlight w:val="none"/>
        </w:rPr>
      </w:pPr>
      <w:r>
        <w:rPr>
          <w:rFonts w:ascii="黑体" w:hAnsi="黑体" w:eastAsia="黑体" w:cs="宋体"/>
          <w:b/>
          <w:bCs/>
          <w:sz w:val="24"/>
          <w:highlight w:val="none"/>
        </w:rPr>
        <w:t>4.</w:t>
      </w:r>
      <w:r>
        <w:rPr>
          <w:rFonts w:hint="eastAsia" w:ascii="黑体" w:hAnsi="黑体" w:eastAsia="黑体" w:cs="宋体"/>
          <w:b/>
          <w:bCs/>
          <w:sz w:val="24"/>
          <w:highlight w:val="none"/>
        </w:rPr>
        <w:t>最后报价</w:t>
      </w:r>
    </w:p>
    <w:p w14:paraId="4980260B">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w:t>
      </w:r>
      <w:r>
        <w:rPr>
          <w:rFonts w:ascii="宋体" w:hAnsi="宋体" w:cs="宋体"/>
          <w:szCs w:val="21"/>
          <w:highlight w:val="none"/>
        </w:rPr>
        <w:t>.1</w:t>
      </w:r>
      <w:r>
        <w:rPr>
          <w:rFonts w:hint="eastAsia" w:ascii="宋体" w:hAnsi="宋体" w:cs="宋体"/>
          <w:szCs w:val="21"/>
          <w:highlight w:val="none"/>
        </w:rPr>
        <w:t>磋商文件能够详细列明采购标的的技术、服务要求的，磋商结束后，磋商小组应当要求所有继续参加磋商的供应商在规定时间内在广西政府采购云平台开标大厅提交最后报价，除本章第</w:t>
      </w:r>
      <w:r>
        <w:rPr>
          <w:rFonts w:ascii="宋体" w:hAnsi="宋体" w:cs="宋体"/>
          <w:szCs w:val="21"/>
          <w:highlight w:val="none"/>
        </w:rPr>
        <w:t>4.3</w:t>
      </w:r>
      <w:r>
        <w:rPr>
          <w:rFonts w:hint="eastAsia" w:ascii="宋体" w:hAnsi="宋体" w:cs="宋体"/>
          <w:szCs w:val="21"/>
          <w:highlight w:val="none"/>
        </w:rPr>
        <w:t>条外，提交最后报价的供应商不得少于3家，否则必须重新采购。</w:t>
      </w:r>
    </w:p>
    <w:p w14:paraId="54405301">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w:t>
      </w:r>
      <w:r>
        <w:rPr>
          <w:rFonts w:ascii="宋体" w:hAnsi="宋体" w:cs="宋体"/>
          <w:szCs w:val="21"/>
          <w:highlight w:val="none"/>
        </w:rPr>
        <w:t>.2</w:t>
      </w:r>
      <w:r>
        <w:rPr>
          <w:rFonts w:hint="eastAsia" w:ascii="宋体" w:hAnsi="宋体" w:cs="宋体"/>
          <w:szCs w:val="21"/>
          <w:highlight w:val="none"/>
        </w:rPr>
        <w:t>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在广西政府采购云平台开标大厅提交最后报价。</w:t>
      </w:r>
    </w:p>
    <w:p w14:paraId="42BD337E">
      <w:pPr>
        <w:spacing w:line="360" w:lineRule="auto"/>
        <w:ind w:firstLine="420" w:firstLineChars="200"/>
        <w:rPr>
          <w:rFonts w:hint="eastAsia" w:ascii="宋体" w:hAnsi="宋体" w:cs="宋体"/>
          <w:szCs w:val="21"/>
          <w:highlight w:val="none"/>
        </w:rPr>
      </w:pPr>
      <w:r>
        <w:rPr>
          <w:rFonts w:ascii="宋体" w:hAnsi="宋体" w:cs="宋体"/>
          <w:szCs w:val="21"/>
          <w:highlight w:val="none"/>
        </w:rPr>
        <w:t>4.3</w:t>
      </w:r>
      <w:r>
        <w:rPr>
          <w:rFonts w:hint="eastAsia" w:ascii="宋体" w:hAnsi="宋体" w:cs="宋体"/>
          <w:szCs w:val="21"/>
          <w:highlight w:val="none"/>
        </w:rPr>
        <w:t>最后报价是供应商响应文件的有效组成部分。符合《政府采购竞争性磋商采购方式管理暂行办法》（财库〔2014〕214号）第三条第四项“市场竞争不充分的科研项目，以及需要扶持的科技成果转化项目”和</w:t>
      </w:r>
      <w:r>
        <w:rPr>
          <w:highlight w:val="none"/>
        </w:rPr>
        <w:t>本章第3.7条情形的，</w:t>
      </w:r>
      <w:r>
        <w:rPr>
          <w:rFonts w:hint="eastAsia" w:ascii="宋体" w:hAnsi="宋体" w:cs="宋体"/>
          <w:szCs w:val="21"/>
          <w:highlight w:val="none"/>
        </w:rPr>
        <w:t>提交最后报价的供应商可以为2家。</w:t>
      </w:r>
    </w:p>
    <w:p w14:paraId="6F6D325A">
      <w:pPr>
        <w:spacing w:line="360" w:lineRule="auto"/>
        <w:ind w:firstLine="420" w:firstLineChars="200"/>
        <w:rPr>
          <w:rFonts w:hint="eastAsia" w:ascii="宋体" w:hAnsi="宋体" w:cs="宋体"/>
          <w:szCs w:val="21"/>
          <w:highlight w:val="none"/>
        </w:rPr>
      </w:pPr>
      <w:r>
        <w:rPr>
          <w:rFonts w:ascii="宋体" w:hAnsi="宋体" w:cs="宋体"/>
          <w:szCs w:val="21"/>
          <w:highlight w:val="none"/>
        </w:rPr>
        <w:t>4.4</w:t>
      </w:r>
      <w:r>
        <w:rPr>
          <w:rFonts w:hint="eastAsia" w:ascii="宋体" w:hAnsi="宋体" w:cs="宋体"/>
          <w:szCs w:val="21"/>
          <w:highlight w:val="none"/>
        </w:rPr>
        <w:t>已经提交响应文件的供应商，在提交最后报价之前，可以根据磋商情况退出磋商，退出磋商的供应商的响应文件按无效响应处理。采购人、采购代理机构将退还退出磋商的供应商的保证金。</w:t>
      </w:r>
    </w:p>
    <w:p w14:paraId="4B318EC5">
      <w:pPr>
        <w:spacing w:line="360" w:lineRule="auto"/>
        <w:ind w:firstLine="420" w:firstLineChars="200"/>
        <w:rPr>
          <w:rFonts w:hint="eastAsia" w:ascii="宋体" w:hAnsi="宋体" w:cs="宋体"/>
          <w:szCs w:val="21"/>
          <w:highlight w:val="none"/>
        </w:rPr>
      </w:pPr>
      <w:r>
        <w:rPr>
          <w:rFonts w:ascii="宋体" w:hAnsi="宋体" w:cs="宋体"/>
          <w:szCs w:val="21"/>
          <w:highlight w:val="none"/>
        </w:rPr>
        <w:t>4.5</w:t>
      </w:r>
      <w:r>
        <w:rPr>
          <w:rFonts w:hint="eastAsia" w:ascii="宋体" w:hAnsi="宋体" w:cs="宋体"/>
          <w:szCs w:val="21"/>
          <w:highlight w:val="none"/>
        </w:rPr>
        <w:t>供应商未在规定时间内提交最后报价的，视同退出磋商，其响应文件按无效处理。</w:t>
      </w:r>
    </w:p>
    <w:p w14:paraId="473F00F2">
      <w:pPr>
        <w:spacing w:line="360" w:lineRule="auto"/>
        <w:ind w:firstLine="420" w:firstLineChars="200"/>
        <w:rPr>
          <w:rFonts w:hint="eastAsia" w:ascii="宋体" w:hAnsi="宋体" w:cs="宋体"/>
          <w:szCs w:val="21"/>
          <w:highlight w:val="none"/>
        </w:rPr>
      </w:pPr>
      <w:r>
        <w:rPr>
          <w:rFonts w:ascii="宋体" w:hAnsi="宋体" w:cs="宋体"/>
          <w:szCs w:val="21"/>
          <w:highlight w:val="none"/>
        </w:rPr>
        <w:t>4.6</w:t>
      </w:r>
      <w:r>
        <w:rPr>
          <w:rFonts w:hint="eastAsia" w:ascii="宋体" w:hAnsi="宋体" w:cs="宋体"/>
          <w:szCs w:val="21"/>
          <w:highlight w:val="none"/>
        </w:rPr>
        <w:t>最后报价统一开启后，磋商小组对最后报价进行有效性、完整性和响应程度的审查。</w:t>
      </w:r>
    </w:p>
    <w:p w14:paraId="57141489">
      <w:pPr>
        <w:spacing w:line="360" w:lineRule="auto"/>
        <w:ind w:firstLine="420" w:firstLineChars="200"/>
        <w:rPr>
          <w:rFonts w:hint="eastAsia" w:ascii="宋体" w:hAnsi="宋体" w:cs="宋体"/>
          <w:szCs w:val="21"/>
          <w:highlight w:val="none"/>
        </w:rPr>
      </w:pPr>
      <w:r>
        <w:rPr>
          <w:rFonts w:ascii="宋体" w:hAnsi="宋体" w:cs="宋体"/>
          <w:szCs w:val="21"/>
          <w:highlight w:val="none"/>
        </w:rPr>
        <w:t>4.7</w:t>
      </w:r>
      <w:r>
        <w:rPr>
          <w:rFonts w:hint="eastAsia" w:ascii="宋体" w:hAnsi="宋体" w:cs="宋体"/>
          <w:szCs w:val="21"/>
          <w:highlight w:val="none"/>
        </w:rPr>
        <w:t>最后报价出现前后不一致的，按照本章第</w:t>
      </w:r>
      <w:r>
        <w:rPr>
          <w:rFonts w:ascii="宋体" w:hAnsi="宋体" w:cs="宋体"/>
          <w:szCs w:val="21"/>
          <w:highlight w:val="none"/>
        </w:rPr>
        <w:t>2.4</w:t>
      </w:r>
      <w:r>
        <w:rPr>
          <w:rFonts w:hint="eastAsia" w:ascii="宋体" w:hAnsi="宋体" w:cs="宋体"/>
          <w:szCs w:val="21"/>
          <w:highlight w:val="none"/>
        </w:rPr>
        <w:t>条的规定修正。</w:t>
      </w:r>
    </w:p>
    <w:p w14:paraId="3864B6B1">
      <w:pPr>
        <w:spacing w:line="360" w:lineRule="auto"/>
        <w:ind w:firstLine="420" w:firstLineChars="200"/>
        <w:rPr>
          <w:rFonts w:hint="eastAsia" w:ascii="宋体" w:hAnsi="宋体" w:cs="宋体"/>
          <w:szCs w:val="21"/>
          <w:highlight w:val="none"/>
        </w:rPr>
      </w:pPr>
      <w:r>
        <w:rPr>
          <w:rFonts w:ascii="宋体" w:hAnsi="宋体" w:cs="宋体"/>
          <w:szCs w:val="21"/>
          <w:highlight w:val="none"/>
        </w:rPr>
        <w:t>4.8</w:t>
      </w:r>
      <w:r>
        <w:rPr>
          <w:rFonts w:hint="eastAsia" w:ascii="宋体" w:hAnsi="宋体" w:cs="宋体"/>
          <w:szCs w:val="21"/>
          <w:highlight w:val="none"/>
        </w:rPr>
        <w:t>修正后的报价出现下列情形的，按无效响应处理：</w:t>
      </w:r>
    </w:p>
    <w:p w14:paraId="0AC185DC">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（1）供应商不确认的（全流程电子化评标采取在线确认）；</w:t>
      </w:r>
    </w:p>
    <w:p w14:paraId="3D390F6E">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（2）经供应商确认修正后的竞标报价（包含首次报价、最后报价）超过所竞标分标规定的采购预算金额或者最高限价的（如本项目公布了最高限价）；</w:t>
      </w:r>
    </w:p>
    <w:p w14:paraId="5111C5E1">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（3）经供应商确认修正后的竞标报价（包含首次报价、最后报价）超过分项采购预算金额或者最高限价的（如本项目公布了最高限价）。</w:t>
      </w:r>
    </w:p>
    <w:p w14:paraId="31E11730">
      <w:pPr>
        <w:spacing w:line="360" w:lineRule="auto"/>
        <w:ind w:firstLine="420" w:firstLineChars="200"/>
        <w:rPr>
          <w:rFonts w:hint="eastAsia" w:ascii="宋体" w:hAnsi="宋体" w:cs="宋体"/>
          <w:szCs w:val="21"/>
          <w:highlight w:val="none"/>
        </w:rPr>
      </w:pPr>
      <w:r>
        <w:rPr>
          <w:rFonts w:ascii="宋体" w:hAnsi="宋体" w:cs="宋体"/>
          <w:szCs w:val="21"/>
          <w:highlight w:val="none"/>
        </w:rPr>
        <w:t>4.9</w:t>
      </w:r>
      <w:r>
        <w:rPr>
          <w:rFonts w:hint="eastAsia" w:ascii="宋体" w:hAnsi="宋体" w:cs="宋体"/>
          <w:szCs w:val="21"/>
          <w:highlight w:val="none"/>
        </w:rPr>
        <w:t>经供应商确认修正后的最后报价作为评审及签订合同的依据。</w:t>
      </w:r>
    </w:p>
    <w:p w14:paraId="23436D19">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4.10供应商出现最后报价按无效响应处理或者响应文件按无效处理时</w:t>
      </w:r>
      <w:r>
        <w:rPr>
          <w:rFonts w:hint="eastAsia" w:ascii="宋体" w:hAnsi="宋体"/>
          <w:sz w:val="22"/>
          <w:szCs w:val="22"/>
          <w:highlight w:val="none"/>
        </w:rPr>
        <w:t>，磋商小组应当告知有关供应商</w:t>
      </w:r>
      <w:r>
        <w:rPr>
          <w:rFonts w:hint="eastAsia" w:ascii="宋体" w:hAnsi="宋体" w:cs="宋体"/>
          <w:szCs w:val="21"/>
          <w:highlight w:val="none"/>
        </w:rPr>
        <w:t>。</w:t>
      </w:r>
    </w:p>
    <w:p w14:paraId="6CBD17B2">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w:t>
      </w:r>
      <w:r>
        <w:rPr>
          <w:rFonts w:ascii="宋体" w:hAnsi="宋体" w:cs="宋体"/>
          <w:szCs w:val="21"/>
          <w:highlight w:val="none"/>
        </w:rPr>
        <w:t>.1</w:t>
      </w:r>
      <w:r>
        <w:rPr>
          <w:rFonts w:hint="eastAsia" w:ascii="宋体" w:hAnsi="宋体" w:cs="宋体"/>
          <w:szCs w:val="21"/>
          <w:highlight w:val="none"/>
        </w:rPr>
        <w:t>1最后报价结束后，磋商小组不得再与供应商进行任何形式的商谈。</w:t>
      </w:r>
    </w:p>
    <w:p w14:paraId="2D42E9AC">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4.12磋商小组在评审中发现下列情形之一的，应当启动异常低价竞标审查程序：</w:t>
      </w:r>
    </w:p>
    <w:p w14:paraId="7B0B356F">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 xml:space="preserve">①报价低于全部通过符合性审查供应商报价平均值 50% 的，即报价＜全部通过符合性审查供应商报价平均值×50%  ； </w:t>
      </w:r>
    </w:p>
    <w:p w14:paraId="780DEE3D">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 xml:space="preserve">②报价低于通过符合性审查的次低报价供应商报价 50% 的，即报价＜通过符合性审查的次低报价供应商报价×50%  ； </w:t>
      </w:r>
    </w:p>
    <w:p w14:paraId="4979915F">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 xml:space="preserve">③报价低于采购项目最高限价50% 的，即报价＜采购项目最高限价×50% ； </w:t>
      </w:r>
    </w:p>
    <w:p w14:paraId="57CAC30D">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④磋商小组基于专业判断，认为供应商报价过低，有可能影响产品质量或者不能诚信履约的其他情形。</w:t>
      </w:r>
    </w:p>
    <w:p w14:paraId="18A9A5E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备注：如本项目按照下浮系数进行报价，报价=1-下浮系数</w:t>
      </w:r>
    </w:p>
    <w:p w14:paraId="3F4DB8FA">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磋商小组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23BE1B8D">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磋商小组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磋商小组应当将其作为无效磋商处理。</w:t>
      </w:r>
    </w:p>
    <w:p w14:paraId="4F33A3B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0B1BDBB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异常低价投标审查的启动原因、审查意见和审查结果应当在评审报告中记录，并随供应商提供的相关书面说明及证明材料；如有，以及磋商小组有关互联网浏览、查询历史一并归档。</w:t>
      </w:r>
    </w:p>
    <w:p w14:paraId="46C83B6B">
      <w:pPr>
        <w:spacing w:line="360" w:lineRule="auto"/>
        <w:ind w:firstLine="420" w:firstLineChars="200"/>
        <w:rPr>
          <w:rFonts w:hint="eastAsia" w:ascii="宋体" w:hAnsi="宋体" w:cs="宋体"/>
          <w:szCs w:val="21"/>
          <w:highlight w:val="none"/>
        </w:rPr>
      </w:pPr>
    </w:p>
    <w:p w14:paraId="0A9C461A">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5</w:t>
      </w:r>
      <w:r>
        <w:rPr>
          <w:rFonts w:ascii="黑体" w:hAnsi="黑体" w:eastAsia="黑体" w:cs="宋体"/>
          <w:b/>
          <w:bCs/>
          <w:sz w:val="24"/>
          <w:highlight w:val="none"/>
        </w:rPr>
        <w:t>.</w:t>
      </w:r>
      <w:r>
        <w:rPr>
          <w:rFonts w:hint="eastAsia" w:ascii="黑体" w:hAnsi="黑体" w:eastAsia="黑体" w:cs="宋体"/>
          <w:b/>
          <w:bCs/>
          <w:sz w:val="24"/>
          <w:highlight w:val="none"/>
        </w:rPr>
        <w:t>比较与评价</w:t>
      </w:r>
    </w:p>
    <w:p w14:paraId="2839F8D6">
      <w:pPr>
        <w:spacing w:line="360" w:lineRule="auto"/>
        <w:ind w:firstLine="420" w:firstLineChars="200"/>
        <w:rPr>
          <w:rFonts w:hint="eastAsia" w:ascii="宋体" w:hAnsi="宋体" w:cs="宋体"/>
          <w:szCs w:val="21"/>
          <w:highlight w:val="none"/>
        </w:rPr>
      </w:pPr>
      <w:r>
        <w:rPr>
          <w:rFonts w:ascii="宋体" w:hAnsi="宋体" w:cs="宋体"/>
          <w:szCs w:val="21"/>
          <w:highlight w:val="none"/>
        </w:rPr>
        <w:t>5.1</w:t>
      </w:r>
      <w:r>
        <w:rPr>
          <w:rFonts w:hint="eastAsia" w:ascii="宋体" w:hAnsi="宋体" w:cs="宋体"/>
          <w:szCs w:val="21"/>
          <w:highlight w:val="none"/>
        </w:rPr>
        <w:t>评审方法：综合评分法。</w:t>
      </w:r>
    </w:p>
    <w:p w14:paraId="530BF5B8">
      <w:pPr>
        <w:spacing w:line="360" w:lineRule="auto"/>
        <w:ind w:firstLine="420" w:firstLineChars="200"/>
        <w:rPr>
          <w:rFonts w:hint="eastAsia" w:ascii="宋体" w:hAnsi="宋体" w:cs="宋体"/>
          <w:szCs w:val="21"/>
          <w:highlight w:val="none"/>
        </w:rPr>
      </w:pPr>
      <w:r>
        <w:rPr>
          <w:rFonts w:ascii="宋体" w:hAnsi="宋体" w:cs="宋体"/>
          <w:szCs w:val="21"/>
          <w:highlight w:val="none"/>
        </w:rPr>
        <w:t>5.2</w:t>
      </w:r>
      <w:r>
        <w:rPr>
          <w:rFonts w:hint="eastAsia" w:ascii="宋体" w:hAnsi="宋体" w:cs="宋体"/>
          <w:szCs w:val="21"/>
          <w:highlight w:val="none"/>
        </w:rPr>
        <w:t>经磋商确定最终采购需求和提交最后报价的供应商后，由磋商小组采用综合评分法对提交最后报价的供应商的响应文件和最后报价进行综合评分。</w:t>
      </w:r>
    </w:p>
    <w:p w14:paraId="0CDE74BB">
      <w:pPr>
        <w:spacing w:line="360" w:lineRule="auto"/>
        <w:ind w:firstLine="420" w:firstLineChars="200"/>
        <w:rPr>
          <w:rFonts w:hint="eastAsia" w:ascii="宋体" w:hAnsi="宋体" w:cs="宋体"/>
          <w:szCs w:val="21"/>
          <w:highlight w:val="none"/>
        </w:rPr>
      </w:pPr>
      <w:r>
        <w:rPr>
          <w:rFonts w:ascii="宋体" w:hAnsi="宋体" w:cs="宋体"/>
          <w:szCs w:val="21"/>
          <w:highlight w:val="none"/>
        </w:rPr>
        <w:t>5.3</w:t>
      </w:r>
      <w:r>
        <w:rPr>
          <w:rFonts w:hint="eastAsia" w:ascii="宋体" w:hAnsi="宋体" w:cs="宋体"/>
          <w:szCs w:val="21"/>
          <w:highlight w:val="none"/>
        </w:rPr>
        <w:t>评审时，磋商小组各成员应当独立对每个有效响应的文件进行评价、打分，然后汇总每个供应商每项评分因素的得分。</w:t>
      </w:r>
    </w:p>
    <w:p w14:paraId="4D30D817">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（1）磋商小组按照磋商文件中规定的评审标准计算各供应商的报价得分。项目评审过程中，不得去掉最后报价中的最高报价和最低报价。</w:t>
      </w:r>
    </w:p>
    <w:p w14:paraId="65DEBFFF">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（2）各供应商的得分为磋商小组所有成员的有效评分的算术平均数。</w:t>
      </w:r>
    </w:p>
    <w:p w14:paraId="2D788B14">
      <w:pPr>
        <w:spacing w:line="360" w:lineRule="auto"/>
        <w:ind w:firstLine="420" w:firstLineChars="200"/>
        <w:rPr>
          <w:rFonts w:hint="eastAsia" w:ascii="宋体" w:hAnsi="宋体" w:cs="宋体"/>
          <w:szCs w:val="21"/>
          <w:highlight w:val="none"/>
        </w:rPr>
      </w:pPr>
      <w:r>
        <w:rPr>
          <w:rFonts w:ascii="宋体" w:hAnsi="宋体" w:cs="宋体"/>
          <w:szCs w:val="21"/>
          <w:highlight w:val="none"/>
        </w:rPr>
        <w:t>5.4</w:t>
      </w:r>
      <w:r>
        <w:rPr>
          <w:rFonts w:hint="eastAsia" w:ascii="宋体" w:hAnsi="宋体" w:cs="宋体"/>
          <w:szCs w:val="21"/>
          <w:highlight w:val="none"/>
        </w:rPr>
        <w:t>评审价为供应商的最后报价进行政策性扣除后的价格，评审价只是作为评审时使用。最终成交供应商的成交金额等于最后报价（如有修正，以确认修正后的最后报价为准）。</w:t>
      </w:r>
    </w:p>
    <w:p w14:paraId="047C5842">
      <w:pPr>
        <w:spacing w:line="360" w:lineRule="auto"/>
        <w:ind w:firstLine="420" w:firstLineChars="200"/>
        <w:rPr>
          <w:rFonts w:hint="eastAsia" w:ascii="宋体" w:hAnsi="宋体"/>
          <w:kern w:val="0"/>
          <w:szCs w:val="21"/>
          <w:highlight w:val="none"/>
        </w:rPr>
      </w:pPr>
      <w:r>
        <w:rPr>
          <w:rFonts w:ascii="宋体" w:hAnsi="宋体" w:cs="宋体"/>
          <w:szCs w:val="21"/>
          <w:highlight w:val="none"/>
        </w:rPr>
        <w:t>5.5</w:t>
      </w:r>
      <w:r>
        <w:rPr>
          <w:rFonts w:hint="eastAsia" w:ascii="宋体" w:hAnsi="宋体" w:cs="宋体"/>
          <w:szCs w:val="21"/>
          <w:highlight w:val="none"/>
        </w:rPr>
        <w:t>由磋商小组根据综合评分情况，按照评审得分由高到低顺序推荐3名以上成交候选供应商，并编写评</w:t>
      </w:r>
      <w:r>
        <w:rPr>
          <w:rFonts w:hint="eastAsia" w:ascii="宋体" w:hAnsi="宋体"/>
          <w:kern w:val="0"/>
          <w:szCs w:val="21"/>
          <w:highlight w:val="none"/>
        </w:rPr>
        <w:t>审报告。符合本章第</w:t>
      </w:r>
      <w:r>
        <w:rPr>
          <w:rFonts w:ascii="宋体" w:hAnsi="宋体"/>
          <w:kern w:val="0"/>
          <w:szCs w:val="21"/>
          <w:highlight w:val="none"/>
        </w:rPr>
        <w:t>4.3</w:t>
      </w:r>
      <w:r>
        <w:rPr>
          <w:rFonts w:hint="eastAsia" w:ascii="宋体" w:hAnsi="宋体"/>
          <w:kern w:val="0"/>
          <w:szCs w:val="21"/>
          <w:highlight w:val="none"/>
        </w:rPr>
        <w:t>条情形的，可以推荐2家成交候选供应商。评审得分相同的，按照最后报价由低到高的顺序推荐。评审得分且最后报价相同的，按照技术指标优劣顺序推荐。</w:t>
      </w:r>
    </w:p>
    <w:p w14:paraId="31529539">
      <w:pPr>
        <w:spacing w:line="360" w:lineRule="auto"/>
        <w:ind w:firstLine="420" w:firstLineChars="200"/>
        <w:rPr>
          <w:rFonts w:hint="eastAsia" w:ascii="宋体" w:hAnsi="宋体"/>
          <w:kern w:val="0"/>
          <w:szCs w:val="21"/>
          <w:highlight w:val="none"/>
        </w:rPr>
      </w:pPr>
      <w:r>
        <w:rPr>
          <w:rFonts w:ascii="宋体" w:hAnsi="宋体"/>
          <w:kern w:val="0"/>
          <w:szCs w:val="21"/>
          <w:highlight w:val="none"/>
        </w:rPr>
        <w:t>5.6</w:t>
      </w:r>
      <w:r>
        <w:rPr>
          <w:rFonts w:hint="eastAsia" w:ascii="宋体" w:hAnsi="宋体"/>
          <w:kern w:val="0"/>
          <w:szCs w:val="21"/>
          <w:highlight w:val="none"/>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8337CDB">
      <w:pPr>
        <w:spacing w:line="360" w:lineRule="auto"/>
        <w:ind w:firstLine="420" w:firstLineChars="200"/>
        <w:rPr>
          <w:rFonts w:hint="eastAsia" w:ascii="宋体" w:hAnsi="宋体"/>
          <w:kern w:val="0"/>
          <w:szCs w:val="21"/>
          <w:highlight w:val="none"/>
        </w:rPr>
      </w:pPr>
    </w:p>
    <w:p w14:paraId="7A49AC88">
      <w:pPr>
        <w:numPr>
          <w:ilvl w:val="0"/>
          <w:numId w:val="12"/>
        </w:numPr>
        <w:spacing w:line="360" w:lineRule="auto"/>
        <w:jc w:val="center"/>
        <w:rPr>
          <w:rFonts w:hint="eastAsia" w:ascii="宋体" w:hAnsi="宋体"/>
          <w:b/>
          <w:sz w:val="32"/>
          <w:szCs w:val="32"/>
          <w:highlight w:val="none"/>
        </w:rPr>
      </w:pPr>
      <w:r>
        <w:rPr>
          <w:rFonts w:hint="eastAsia" w:ascii="宋体" w:hAnsi="宋体"/>
          <w:b/>
          <w:sz w:val="32"/>
          <w:szCs w:val="32"/>
          <w:highlight w:val="none"/>
        </w:rPr>
        <w:t>评审标准</w:t>
      </w:r>
    </w:p>
    <w:tbl>
      <w:tblPr>
        <w:tblStyle w:val="24"/>
        <w:tblW w:w="9934" w:type="dxa"/>
        <w:tblInd w:w="0" w:type="dxa"/>
        <w:tblLayout w:type="fixed"/>
        <w:tblCellMar>
          <w:top w:w="0" w:type="dxa"/>
          <w:left w:w="108" w:type="dxa"/>
          <w:bottom w:w="0" w:type="dxa"/>
          <w:right w:w="108" w:type="dxa"/>
        </w:tblCellMar>
      </w:tblPr>
      <w:tblGrid>
        <w:gridCol w:w="701"/>
        <w:gridCol w:w="1734"/>
        <w:gridCol w:w="6761"/>
        <w:gridCol w:w="738"/>
      </w:tblGrid>
      <w:tr w14:paraId="33447B18">
        <w:tblPrEx>
          <w:tblCellMar>
            <w:top w:w="0" w:type="dxa"/>
            <w:left w:w="108" w:type="dxa"/>
            <w:bottom w:w="0" w:type="dxa"/>
            <w:right w:w="108" w:type="dxa"/>
          </w:tblCellMar>
        </w:tblPrEx>
        <w:trPr>
          <w:trHeight w:val="542" w:hRule="atLeast"/>
        </w:trPr>
        <w:tc>
          <w:tcPr>
            <w:tcW w:w="701" w:type="dxa"/>
            <w:tcBorders>
              <w:top w:val="single" w:color="000000" w:sz="4" w:space="0"/>
              <w:left w:val="single" w:color="000000" w:sz="4" w:space="0"/>
              <w:bottom w:val="single" w:color="000000" w:sz="4" w:space="0"/>
              <w:right w:val="single" w:color="000000" w:sz="4" w:space="0"/>
            </w:tcBorders>
            <w:vAlign w:val="center"/>
          </w:tcPr>
          <w:p w14:paraId="776CC87A">
            <w:pPr>
              <w:widowControl/>
              <w:spacing w:line="360" w:lineRule="auto"/>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序号</w:t>
            </w:r>
          </w:p>
        </w:tc>
        <w:tc>
          <w:tcPr>
            <w:tcW w:w="1734" w:type="dxa"/>
            <w:tcBorders>
              <w:top w:val="single" w:color="000000" w:sz="4" w:space="0"/>
              <w:left w:val="single" w:color="000000" w:sz="4" w:space="0"/>
              <w:bottom w:val="single" w:color="000000" w:sz="4" w:space="0"/>
              <w:right w:val="single" w:color="000000" w:sz="4" w:space="0"/>
            </w:tcBorders>
            <w:vAlign w:val="center"/>
          </w:tcPr>
          <w:p w14:paraId="2353DFE4">
            <w:pPr>
              <w:widowControl/>
              <w:spacing w:line="360" w:lineRule="auto"/>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评分类型</w:t>
            </w:r>
          </w:p>
        </w:tc>
        <w:tc>
          <w:tcPr>
            <w:tcW w:w="6761" w:type="dxa"/>
            <w:tcBorders>
              <w:top w:val="single" w:color="000000" w:sz="4" w:space="0"/>
              <w:left w:val="single" w:color="000000" w:sz="4" w:space="0"/>
              <w:bottom w:val="single" w:color="000000" w:sz="4" w:space="0"/>
              <w:right w:val="single" w:color="000000" w:sz="4" w:space="0"/>
            </w:tcBorders>
            <w:vAlign w:val="center"/>
          </w:tcPr>
          <w:p w14:paraId="63C0F323">
            <w:pPr>
              <w:widowControl/>
              <w:spacing w:line="360" w:lineRule="auto"/>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评分标准</w:t>
            </w:r>
          </w:p>
        </w:tc>
        <w:tc>
          <w:tcPr>
            <w:tcW w:w="738" w:type="dxa"/>
            <w:tcBorders>
              <w:top w:val="single" w:color="000000" w:sz="4" w:space="0"/>
              <w:left w:val="single" w:color="000000" w:sz="4" w:space="0"/>
              <w:bottom w:val="single" w:color="000000" w:sz="4" w:space="0"/>
              <w:right w:val="single" w:color="000000" w:sz="4" w:space="0"/>
            </w:tcBorders>
            <w:vAlign w:val="center"/>
          </w:tcPr>
          <w:p w14:paraId="7C3C603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分值</w:t>
            </w:r>
          </w:p>
        </w:tc>
      </w:tr>
      <w:tr w14:paraId="46D55DE7">
        <w:tblPrEx>
          <w:tblCellMar>
            <w:top w:w="0" w:type="dxa"/>
            <w:left w:w="108" w:type="dxa"/>
            <w:bottom w:w="0" w:type="dxa"/>
            <w:right w:w="108" w:type="dxa"/>
          </w:tblCellMar>
        </w:tblPrEx>
        <w:trPr>
          <w:trHeight w:val="495" w:hRule="atLeast"/>
        </w:trPr>
        <w:tc>
          <w:tcPr>
            <w:tcW w:w="701" w:type="dxa"/>
            <w:tcBorders>
              <w:top w:val="single" w:color="000000" w:sz="4" w:space="0"/>
              <w:left w:val="single" w:color="000000" w:sz="4" w:space="0"/>
              <w:bottom w:val="single" w:color="auto" w:sz="4" w:space="0"/>
              <w:right w:val="single" w:color="000000" w:sz="4" w:space="0"/>
            </w:tcBorders>
            <w:vAlign w:val="center"/>
          </w:tcPr>
          <w:p w14:paraId="65332274">
            <w:pPr>
              <w:widowControl/>
              <w:spacing w:line="360" w:lineRule="auto"/>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w:t>
            </w:r>
          </w:p>
        </w:tc>
        <w:tc>
          <w:tcPr>
            <w:tcW w:w="8495" w:type="dxa"/>
            <w:gridSpan w:val="2"/>
            <w:tcBorders>
              <w:top w:val="single" w:color="000000" w:sz="4" w:space="0"/>
              <w:left w:val="single" w:color="000000" w:sz="4" w:space="0"/>
              <w:bottom w:val="single" w:color="auto" w:sz="4" w:space="0"/>
              <w:right w:val="single" w:color="000000" w:sz="4" w:space="0"/>
            </w:tcBorders>
            <w:vAlign w:val="center"/>
          </w:tcPr>
          <w:p w14:paraId="75BDBB11">
            <w:pPr>
              <w:spacing w:line="360" w:lineRule="auto"/>
              <w:jc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价格分</w:t>
            </w:r>
          </w:p>
        </w:tc>
        <w:tc>
          <w:tcPr>
            <w:tcW w:w="738" w:type="dxa"/>
            <w:tcBorders>
              <w:top w:val="single" w:color="000000" w:sz="4" w:space="0"/>
              <w:left w:val="single" w:color="000000" w:sz="4" w:space="0"/>
              <w:bottom w:val="single" w:color="auto" w:sz="4" w:space="0"/>
              <w:right w:val="single" w:color="000000" w:sz="4" w:space="0"/>
            </w:tcBorders>
            <w:vAlign w:val="center"/>
          </w:tcPr>
          <w:p w14:paraId="0ABE6FD8">
            <w:pPr>
              <w:widowControl/>
              <w:spacing w:line="360" w:lineRule="auto"/>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10</w:t>
            </w:r>
          </w:p>
        </w:tc>
      </w:tr>
      <w:tr w14:paraId="2C263FC1">
        <w:tblPrEx>
          <w:tblCellMar>
            <w:top w:w="0" w:type="dxa"/>
            <w:left w:w="108" w:type="dxa"/>
            <w:bottom w:w="0" w:type="dxa"/>
            <w:right w:w="108" w:type="dxa"/>
          </w:tblCellMar>
        </w:tblPrEx>
        <w:trPr>
          <w:trHeight w:val="690" w:hRule="atLeast"/>
        </w:trPr>
        <w:tc>
          <w:tcPr>
            <w:tcW w:w="701" w:type="dxa"/>
            <w:tcBorders>
              <w:top w:val="single" w:color="auto" w:sz="4" w:space="0"/>
              <w:left w:val="single" w:color="auto" w:sz="4" w:space="0"/>
              <w:bottom w:val="single" w:color="auto" w:sz="4" w:space="0"/>
              <w:right w:val="single" w:color="000000" w:sz="4" w:space="0"/>
            </w:tcBorders>
            <w:vAlign w:val="center"/>
          </w:tcPr>
          <w:p w14:paraId="028035B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1.1</w:t>
            </w:r>
          </w:p>
        </w:tc>
        <w:tc>
          <w:tcPr>
            <w:tcW w:w="1734" w:type="dxa"/>
            <w:tcBorders>
              <w:top w:val="single" w:color="auto" w:sz="4" w:space="0"/>
              <w:left w:val="single" w:color="000000" w:sz="4" w:space="0"/>
              <w:bottom w:val="single" w:color="auto" w:sz="4" w:space="0"/>
              <w:right w:val="single" w:color="000000" w:sz="4" w:space="0"/>
            </w:tcBorders>
            <w:vAlign w:val="center"/>
          </w:tcPr>
          <w:p w14:paraId="0B9A972A">
            <w:pPr>
              <w:widowControl/>
              <w:spacing w:line="360" w:lineRule="auto"/>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价格分</w:t>
            </w:r>
          </w:p>
          <w:p w14:paraId="44A5D145">
            <w:pPr>
              <w:widowControl/>
              <w:spacing w:line="360" w:lineRule="auto"/>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（满分10分）</w:t>
            </w:r>
          </w:p>
        </w:tc>
        <w:tc>
          <w:tcPr>
            <w:tcW w:w="6761" w:type="dxa"/>
            <w:tcBorders>
              <w:top w:val="single" w:color="auto" w:sz="4" w:space="0"/>
              <w:left w:val="single" w:color="000000" w:sz="4" w:space="0"/>
              <w:bottom w:val="single" w:color="auto" w:sz="4" w:space="0"/>
              <w:right w:val="single" w:color="000000" w:sz="4" w:space="0"/>
            </w:tcBorders>
            <w:vAlign w:val="center"/>
          </w:tcPr>
          <w:p w14:paraId="285A1894">
            <w:pPr>
              <w:widowControl/>
              <w:spacing w:line="360" w:lineRule="auto"/>
              <w:textAlignment w:val="center"/>
              <w:rPr>
                <w:rFonts w:hint="eastAsia" w:ascii="宋体" w:hAnsi="宋体" w:cs="宋体"/>
                <w:color w:val="auto"/>
                <w:szCs w:val="21"/>
                <w:highlight w:val="none"/>
              </w:rPr>
            </w:pPr>
            <w:r>
              <w:rPr>
                <w:rFonts w:hint="eastAsia" w:ascii="宋体" w:hAnsi="宋体" w:cs="宋体"/>
                <w:color w:val="auto"/>
                <w:szCs w:val="21"/>
                <w:highlight w:val="none"/>
              </w:rPr>
              <w:t>（1）评审报价为供应商的最后报价进行政策性扣除后的价格，评审报价只是作为评审时使用。最终供应商的成交金额等于最后报价。</w:t>
            </w:r>
          </w:p>
          <w:p w14:paraId="236DAC20">
            <w:pPr>
              <w:widowControl/>
              <w:spacing w:line="360" w:lineRule="auto"/>
              <w:textAlignment w:val="center"/>
              <w:rPr>
                <w:rFonts w:hint="eastAsia" w:ascii="宋体" w:hAnsi="宋体" w:cs="宋体"/>
                <w:color w:val="auto"/>
                <w:szCs w:val="21"/>
                <w:highlight w:val="none"/>
              </w:rPr>
            </w:pPr>
            <w:r>
              <w:rPr>
                <w:rFonts w:hint="eastAsia" w:ascii="宋体" w:hAnsi="宋体" w:cs="宋体"/>
                <w:color w:val="auto"/>
                <w:szCs w:val="21"/>
                <w:highlight w:val="none"/>
              </w:rPr>
              <w:t>（2）按照《政府采购促进中小企业发展管理办法》（财库〔2020〕46号）及《广西壮族自治区财政厅关于持续优化政府采购营商环境推动高质量发展的通知》（桂财采〔2024〕55号）规定，供应商在其响应文件中提供《中小企业声明函》，且其服务全部由符合政策要求的小型、微型企业承接的，对其竞标价格给予10%的扣除。</w:t>
            </w:r>
          </w:p>
          <w:p w14:paraId="4171109B">
            <w:pPr>
              <w:widowControl/>
              <w:spacing w:line="360" w:lineRule="auto"/>
              <w:textAlignment w:val="center"/>
              <w:rPr>
                <w:rFonts w:hint="eastAsia" w:ascii="宋体" w:hAnsi="宋体" w:cs="宋体"/>
                <w:color w:val="auto"/>
                <w:szCs w:val="21"/>
                <w:highlight w:val="none"/>
              </w:rPr>
            </w:pPr>
            <w:r>
              <w:rPr>
                <w:rFonts w:hint="eastAsia" w:ascii="宋体" w:hAnsi="宋体" w:cs="宋体"/>
                <w:color w:val="auto"/>
                <w:szCs w:val="21"/>
                <w:highlight w:val="none"/>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2996E101">
            <w:pPr>
              <w:widowControl/>
              <w:spacing w:line="360" w:lineRule="auto"/>
              <w:textAlignment w:val="center"/>
              <w:rPr>
                <w:rFonts w:hint="eastAsia" w:ascii="宋体" w:hAnsi="宋体" w:cs="宋体"/>
                <w:color w:val="auto"/>
                <w:szCs w:val="21"/>
                <w:highlight w:val="none"/>
              </w:rPr>
            </w:pPr>
            <w:r>
              <w:rPr>
                <w:rFonts w:hint="eastAsia" w:ascii="宋体" w:hAnsi="宋体" w:cs="宋体"/>
                <w:color w:val="auto"/>
                <w:szCs w:val="21"/>
                <w:highlight w:val="none"/>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1C429CE9">
            <w:pPr>
              <w:widowControl/>
              <w:spacing w:line="360" w:lineRule="auto"/>
              <w:textAlignment w:val="center"/>
              <w:rPr>
                <w:rFonts w:hint="eastAsia" w:ascii="宋体" w:hAnsi="宋体" w:cs="宋体"/>
                <w:color w:val="auto"/>
                <w:szCs w:val="21"/>
                <w:highlight w:val="none"/>
              </w:rPr>
            </w:pPr>
            <w:r>
              <w:rPr>
                <w:rFonts w:hint="eastAsia" w:ascii="宋体" w:hAnsi="宋体" w:cs="宋体"/>
                <w:color w:val="auto"/>
                <w:szCs w:val="21"/>
                <w:highlight w:val="none"/>
              </w:rPr>
              <w:t>（5）政策性扣除计算方法。</w:t>
            </w:r>
          </w:p>
          <w:p w14:paraId="428A5D4D">
            <w:pPr>
              <w:widowControl/>
              <w:spacing w:line="360" w:lineRule="auto"/>
              <w:textAlignment w:val="center"/>
              <w:rPr>
                <w:rFonts w:hint="eastAsia" w:ascii="宋体" w:hAnsi="宋体" w:cs="宋体"/>
                <w:color w:val="auto"/>
                <w:szCs w:val="21"/>
                <w:highlight w:val="none"/>
              </w:rPr>
            </w:pPr>
            <w:r>
              <w:rPr>
                <w:rFonts w:hint="eastAsia" w:ascii="宋体" w:hAnsi="宋体" w:cs="宋体"/>
                <w:color w:val="auto"/>
                <w:szCs w:val="21"/>
                <w:highlight w:val="none"/>
              </w:rPr>
              <w:t>供应商被评定为监狱企业或者残疾人福利性单位或者其服务全部由符合政策要求的小型、微型企业承接的，该供应商的最后报价给予 10% 的扣除，扣除后的价格为评审报价，即评审报价=最后报价×（1-10%）；接受大中型企业与小微企业组成联合体或者允许大中型企业向一家或者多家小微企业分包的采购项目，对于联合协议或者分包意向协议约定小微企业的合同份额占到合同总金额 30%以上的，对联合体或者大中型企业的报价给予4%的扣除，用扣除后的价格参加评审，扣除后的价格为评审报价，即评审报价=最后报价×（1－4%）；除上述情况外，评审报价=最后报价。</w:t>
            </w:r>
          </w:p>
          <w:p w14:paraId="512A37D3">
            <w:pPr>
              <w:widowControl/>
              <w:spacing w:line="360" w:lineRule="auto"/>
              <w:textAlignment w:val="center"/>
              <w:rPr>
                <w:rFonts w:hint="eastAsia" w:ascii="宋体" w:hAnsi="宋体" w:cs="宋体"/>
                <w:color w:val="auto"/>
                <w:szCs w:val="21"/>
                <w:highlight w:val="none"/>
              </w:rPr>
            </w:pPr>
            <w:r>
              <w:rPr>
                <w:rFonts w:hint="eastAsia" w:ascii="宋体" w:hAnsi="宋体" w:cs="宋体"/>
                <w:color w:val="auto"/>
                <w:szCs w:val="21"/>
                <w:highlight w:val="none"/>
              </w:rPr>
              <w:t>（6）满足采购文件要求且评审报价最低的评审报价为评审基准价，基准价得分为10分。</w:t>
            </w:r>
          </w:p>
          <w:p w14:paraId="5BAC8639">
            <w:pPr>
              <w:widowControl/>
              <w:spacing w:line="360" w:lineRule="auto"/>
              <w:textAlignment w:val="center"/>
              <w:rPr>
                <w:rFonts w:hint="eastAsia" w:ascii="宋体" w:hAnsi="宋体" w:cs="宋体"/>
                <w:color w:val="auto"/>
                <w:szCs w:val="21"/>
                <w:highlight w:val="none"/>
              </w:rPr>
            </w:pPr>
            <w:r>
              <w:rPr>
                <w:rFonts w:hint="eastAsia" w:ascii="宋体" w:hAnsi="宋体" w:cs="宋体"/>
                <w:color w:val="auto"/>
                <w:szCs w:val="21"/>
                <w:highlight w:val="none"/>
              </w:rPr>
              <w:t xml:space="preserve">（7）价格分计算公式：        </w:t>
            </w:r>
          </w:p>
          <w:p w14:paraId="04A61A1E">
            <w:pPr>
              <w:widowControl/>
              <w:spacing w:line="360" w:lineRule="auto"/>
              <w:textAlignment w:val="center"/>
              <w:rPr>
                <w:rFonts w:hint="eastAsia" w:ascii="宋体" w:hAnsi="宋体" w:cs="宋体"/>
                <w:color w:val="auto"/>
                <w:szCs w:val="21"/>
                <w:highlight w:val="none"/>
              </w:rPr>
            </w:pPr>
            <w:r>
              <w:rPr>
                <w:rFonts w:hint="eastAsia" w:ascii="宋体" w:hAnsi="宋体" w:cs="宋体"/>
                <w:color w:val="auto"/>
                <w:szCs w:val="21"/>
                <w:highlight w:val="none"/>
              </w:rPr>
              <w:t>价格分=(评审基准价／评审报价)×10分</w:t>
            </w:r>
          </w:p>
        </w:tc>
        <w:tc>
          <w:tcPr>
            <w:tcW w:w="738" w:type="dxa"/>
            <w:tcBorders>
              <w:top w:val="single" w:color="auto" w:sz="4" w:space="0"/>
              <w:left w:val="single" w:color="000000" w:sz="4" w:space="0"/>
              <w:bottom w:val="single" w:color="auto" w:sz="4" w:space="0"/>
              <w:right w:val="single" w:color="auto" w:sz="4" w:space="0"/>
            </w:tcBorders>
            <w:vAlign w:val="center"/>
          </w:tcPr>
          <w:p w14:paraId="7344A977">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10</w:t>
            </w:r>
          </w:p>
        </w:tc>
      </w:tr>
      <w:tr w14:paraId="57A107EC">
        <w:tblPrEx>
          <w:tblCellMar>
            <w:top w:w="0" w:type="dxa"/>
            <w:left w:w="108" w:type="dxa"/>
            <w:bottom w:w="0" w:type="dxa"/>
            <w:right w:w="108" w:type="dxa"/>
          </w:tblCellMar>
        </w:tblPrEx>
        <w:trPr>
          <w:trHeight w:val="690" w:hRule="atLeast"/>
        </w:trPr>
        <w:tc>
          <w:tcPr>
            <w:tcW w:w="701" w:type="dxa"/>
            <w:tcBorders>
              <w:top w:val="single" w:color="auto" w:sz="4" w:space="0"/>
              <w:left w:val="single" w:color="000000" w:sz="4" w:space="0"/>
              <w:bottom w:val="single" w:color="000000" w:sz="4" w:space="0"/>
              <w:right w:val="single" w:color="000000" w:sz="4" w:space="0"/>
            </w:tcBorders>
            <w:vAlign w:val="center"/>
          </w:tcPr>
          <w:p w14:paraId="52689CF7">
            <w:pPr>
              <w:widowControl/>
              <w:spacing w:line="360" w:lineRule="auto"/>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w:t>
            </w:r>
          </w:p>
        </w:tc>
        <w:tc>
          <w:tcPr>
            <w:tcW w:w="8495" w:type="dxa"/>
            <w:gridSpan w:val="2"/>
            <w:tcBorders>
              <w:top w:val="single" w:color="auto" w:sz="4" w:space="0"/>
              <w:left w:val="single" w:color="000000" w:sz="4" w:space="0"/>
              <w:bottom w:val="single" w:color="000000" w:sz="4" w:space="0"/>
              <w:right w:val="single" w:color="000000" w:sz="4" w:space="0"/>
            </w:tcBorders>
            <w:vAlign w:val="center"/>
          </w:tcPr>
          <w:p w14:paraId="125A7F02">
            <w:pPr>
              <w:widowControl/>
              <w:spacing w:line="360" w:lineRule="auto"/>
              <w:jc w:val="center"/>
              <w:textAlignment w:val="center"/>
              <w:rPr>
                <w:rFonts w:hint="eastAsia" w:ascii="宋体" w:hAnsi="宋体" w:cs="宋体"/>
                <w:bCs/>
                <w:color w:val="auto"/>
                <w:szCs w:val="21"/>
                <w:highlight w:val="none"/>
              </w:rPr>
            </w:pPr>
            <w:r>
              <w:rPr>
                <w:rFonts w:hint="eastAsia" w:ascii="宋体" w:hAnsi="宋体" w:cs="宋体"/>
                <w:color w:val="auto"/>
                <w:kern w:val="0"/>
                <w:szCs w:val="21"/>
                <w:highlight w:val="none"/>
                <w:lang w:bidi="ar"/>
              </w:rPr>
              <w:t>技术分</w:t>
            </w:r>
          </w:p>
        </w:tc>
        <w:tc>
          <w:tcPr>
            <w:tcW w:w="738" w:type="dxa"/>
            <w:tcBorders>
              <w:top w:val="single" w:color="auto" w:sz="4" w:space="0"/>
              <w:left w:val="single" w:color="000000" w:sz="4" w:space="0"/>
              <w:bottom w:val="single" w:color="000000" w:sz="4" w:space="0"/>
              <w:right w:val="single" w:color="000000" w:sz="4" w:space="0"/>
            </w:tcBorders>
            <w:vAlign w:val="center"/>
          </w:tcPr>
          <w:p w14:paraId="34C729F2">
            <w:pPr>
              <w:widowControl/>
              <w:spacing w:line="360" w:lineRule="auto"/>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60</w:t>
            </w:r>
          </w:p>
        </w:tc>
      </w:tr>
      <w:tr w14:paraId="49C347EE">
        <w:tblPrEx>
          <w:tblCellMar>
            <w:top w:w="0" w:type="dxa"/>
            <w:left w:w="108" w:type="dxa"/>
            <w:bottom w:w="0" w:type="dxa"/>
            <w:right w:w="108" w:type="dxa"/>
          </w:tblCellMar>
        </w:tblPrEx>
        <w:trPr>
          <w:trHeight w:val="690" w:hRule="atLeast"/>
        </w:trPr>
        <w:tc>
          <w:tcPr>
            <w:tcW w:w="701" w:type="dxa"/>
            <w:tcBorders>
              <w:top w:val="single" w:color="000000" w:sz="4" w:space="0"/>
              <w:left w:val="single" w:color="000000" w:sz="4" w:space="0"/>
              <w:bottom w:val="single" w:color="auto" w:sz="4" w:space="0"/>
              <w:right w:val="single" w:color="000000" w:sz="4" w:space="0"/>
            </w:tcBorders>
            <w:vAlign w:val="center"/>
          </w:tcPr>
          <w:p w14:paraId="57B9CED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2.1</w:t>
            </w:r>
          </w:p>
        </w:tc>
        <w:tc>
          <w:tcPr>
            <w:tcW w:w="1734" w:type="dxa"/>
            <w:tcBorders>
              <w:top w:val="single" w:color="000000" w:sz="4" w:space="0"/>
              <w:left w:val="single" w:color="000000" w:sz="4" w:space="0"/>
              <w:bottom w:val="single" w:color="auto" w:sz="4" w:space="0"/>
              <w:right w:val="single" w:color="000000" w:sz="4" w:space="0"/>
            </w:tcBorders>
            <w:vAlign w:val="center"/>
          </w:tcPr>
          <w:p w14:paraId="0E41BDDE">
            <w:pPr>
              <w:pStyle w:val="32"/>
              <w:spacing w:before="65" w:line="360" w:lineRule="auto"/>
              <w:ind w:left="115"/>
              <w:jc w:val="center"/>
              <w:rPr>
                <w:rFonts w:hint="eastAsia"/>
                <w:color w:val="auto"/>
                <w:kern w:val="0"/>
                <w:sz w:val="21"/>
                <w:szCs w:val="21"/>
                <w:highlight w:val="none"/>
                <w:lang w:eastAsia="zh-CN" w:bidi="ar"/>
              </w:rPr>
            </w:pPr>
            <w:r>
              <w:rPr>
                <w:rFonts w:hint="eastAsia"/>
                <w:color w:val="auto"/>
                <w:kern w:val="0"/>
                <w:sz w:val="21"/>
                <w:szCs w:val="21"/>
                <w:highlight w:val="none"/>
                <w:lang w:eastAsia="zh-CN" w:bidi="ar"/>
              </w:rPr>
              <w:t>运维现状分析(满分6分)</w:t>
            </w:r>
          </w:p>
        </w:tc>
        <w:tc>
          <w:tcPr>
            <w:tcW w:w="6761" w:type="dxa"/>
            <w:tcBorders>
              <w:top w:val="single" w:color="000000" w:sz="4" w:space="0"/>
              <w:left w:val="single" w:color="000000" w:sz="4" w:space="0"/>
              <w:bottom w:val="single" w:color="auto" w:sz="4" w:space="0"/>
              <w:right w:val="single" w:color="000000" w:sz="4" w:space="0"/>
            </w:tcBorders>
          </w:tcPr>
          <w:p w14:paraId="0B1DAF5D">
            <w:pPr>
              <w:pStyle w:val="32"/>
              <w:tabs>
                <w:tab w:val="left" w:pos="691"/>
              </w:tabs>
              <w:spacing w:line="360" w:lineRule="auto"/>
              <w:rPr>
                <w:rFonts w:hint="eastAsia"/>
                <w:bCs/>
                <w:color w:val="auto"/>
                <w:sz w:val="21"/>
                <w:szCs w:val="21"/>
                <w:highlight w:val="none"/>
                <w:lang w:eastAsia="zh-CN"/>
              </w:rPr>
            </w:pPr>
            <w:r>
              <w:rPr>
                <w:rFonts w:hint="eastAsia"/>
                <w:bCs/>
                <w:color w:val="auto"/>
                <w:sz w:val="21"/>
                <w:szCs w:val="21"/>
                <w:highlight w:val="none"/>
                <w:lang w:eastAsia="zh-CN"/>
              </w:rPr>
              <w:t>第一档（2分）：对运维现状进行分析，包括网络现状、资源现状等方案。仅覆盖两项指定分析内容，仅满足本档最低内容要求。</w:t>
            </w:r>
          </w:p>
          <w:p w14:paraId="0CDD41BA">
            <w:pPr>
              <w:pStyle w:val="32"/>
              <w:tabs>
                <w:tab w:val="left" w:pos="691"/>
              </w:tabs>
              <w:spacing w:line="360" w:lineRule="auto"/>
              <w:rPr>
                <w:rFonts w:hint="eastAsia"/>
                <w:bCs/>
                <w:color w:val="auto"/>
                <w:sz w:val="21"/>
                <w:szCs w:val="21"/>
                <w:highlight w:val="none"/>
                <w:lang w:eastAsia="zh-CN"/>
              </w:rPr>
            </w:pPr>
            <w:r>
              <w:rPr>
                <w:rFonts w:hint="eastAsia"/>
                <w:bCs/>
                <w:color w:val="auto"/>
                <w:sz w:val="21"/>
                <w:szCs w:val="21"/>
                <w:highlight w:val="none"/>
                <w:lang w:eastAsia="zh-CN"/>
              </w:rPr>
              <w:t>第二档（4分）：对运维现状进行分析，包括设备状况、运行环境、网络现状、资源现状等方案。完整覆盖本档四项指定分析内容，满足本档全部内容要求；</w:t>
            </w:r>
          </w:p>
          <w:p w14:paraId="1F2F463A">
            <w:pPr>
              <w:pStyle w:val="32"/>
              <w:tabs>
                <w:tab w:val="left" w:pos="691"/>
              </w:tabs>
              <w:spacing w:line="360" w:lineRule="auto"/>
              <w:rPr>
                <w:rFonts w:hint="eastAsia"/>
                <w:bCs/>
                <w:color w:val="auto"/>
                <w:sz w:val="21"/>
                <w:szCs w:val="21"/>
                <w:highlight w:val="none"/>
                <w:lang w:eastAsia="zh-CN"/>
              </w:rPr>
            </w:pPr>
            <w:r>
              <w:rPr>
                <w:rFonts w:hint="eastAsia"/>
                <w:bCs/>
                <w:color w:val="auto"/>
                <w:sz w:val="21"/>
                <w:szCs w:val="21"/>
                <w:highlight w:val="none"/>
                <w:lang w:eastAsia="zh-CN"/>
              </w:rPr>
              <w:t>第三档（6分）：对运维现状进行分析，包括运维对象的部署架构、运行环境、系统性能、历史故障、网络现状、资源现状等。完整覆盖本档六项指定分析内容，列明运维现存痛点与瓶颈，贴合医保业务实际场景，满足本档全部内容要求；</w:t>
            </w:r>
          </w:p>
          <w:p w14:paraId="73A5E7BF">
            <w:pPr>
              <w:pStyle w:val="32"/>
              <w:tabs>
                <w:tab w:val="left" w:pos="691"/>
              </w:tabs>
              <w:spacing w:line="360" w:lineRule="auto"/>
              <w:rPr>
                <w:rFonts w:hint="eastAsia"/>
                <w:bCs/>
                <w:color w:val="auto"/>
                <w:sz w:val="21"/>
                <w:szCs w:val="21"/>
                <w:highlight w:val="none"/>
                <w:lang w:eastAsia="zh-CN"/>
              </w:rPr>
            </w:pPr>
            <w:r>
              <w:rPr>
                <w:rFonts w:hint="eastAsia"/>
                <w:b/>
                <w:bCs/>
                <w:color w:val="auto"/>
                <w:spacing w:val="8"/>
                <w:sz w:val="21"/>
                <w:szCs w:val="21"/>
                <w:highlight w:val="none"/>
                <w:lang w:eastAsia="zh-CN"/>
              </w:rPr>
              <w:t>注：响应文件中未提供方案或所提供的方案不满足以上进档要求的，得0分。</w:t>
            </w:r>
          </w:p>
        </w:tc>
        <w:tc>
          <w:tcPr>
            <w:tcW w:w="738" w:type="dxa"/>
            <w:tcBorders>
              <w:top w:val="single" w:color="000000" w:sz="4" w:space="0"/>
              <w:left w:val="single" w:color="000000" w:sz="4" w:space="0"/>
              <w:bottom w:val="single" w:color="auto" w:sz="4" w:space="0"/>
              <w:right w:val="single" w:color="000000" w:sz="4" w:space="0"/>
            </w:tcBorders>
            <w:vAlign w:val="center"/>
          </w:tcPr>
          <w:p w14:paraId="3EB891E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6</w:t>
            </w:r>
          </w:p>
        </w:tc>
      </w:tr>
      <w:tr w14:paraId="1053C0BE">
        <w:tblPrEx>
          <w:tblCellMar>
            <w:top w:w="0" w:type="dxa"/>
            <w:left w:w="108" w:type="dxa"/>
            <w:bottom w:w="0" w:type="dxa"/>
            <w:right w:w="108" w:type="dxa"/>
          </w:tblCellMar>
        </w:tblPrEx>
        <w:trPr>
          <w:trHeight w:val="690" w:hRule="atLeast"/>
        </w:trPr>
        <w:tc>
          <w:tcPr>
            <w:tcW w:w="701" w:type="dxa"/>
            <w:tcBorders>
              <w:top w:val="single" w:color="auto" w:sz="4" w:space="0"/>
              <w:left w:val="single" w:color="auto" w:sz="4" w:space="0"/>
              <w:bottom w:val="single" w:color="auto" w:sz="4" w:space="0"/>
              <w:right w:val="single" w:color="000000" w:sz="4" w:space="0"/>
            </w:tcBorders>
            <w:vAlign w:val="center"/>
          </w:tcPr>
          <w:p w14:paraId="63AB419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2.2</w:t>
            </w:r>
          </w:p>
        </w:tc>
        <w:tc>
          <w:tcPr>
            <w:tcW w:w="1734" w:type="dxa"/>
            <w:tcBorders>
              <w:top w:val="single" w:color="auto" w:sz="4" w:space="0"/>
              <w:left w:val="single" w:color="000000" w:sz="4" w:space="0"/>
              <w:bottom w:val="single" w:color="auto" w:sz="4" w:space="0"/>
              <w:right w:val="single" w:color="000000" w:sz="4" w:space="0"/>
            </w:tcBorders>
            <w:vAlign w:val="center"/>
          </w:tcPr>
          <w:p w14:paraId="3C000650">
            <w:pPr>
              <w:spacing w:line="360" w:lineRule="auto"/>
              <w:jc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集成服务方案（满分6分）</w:t>
            </w:r>
          </w:p>
          <w:p w14:paraId="67FEF756">
            <w:pPr>
              <w:spacing w:line="360" w:lineRule="auto"/>
              <w:jc w:val="center"/>
              <w:rPr>
                <w:rFonts w:hint="eastAsia" w:ascii="宋体" w:hAnsi="宋体" w:cs="宋体"/>
                <w:color w:val="auto"/>
                <w:kern w:val="0"/>
                <w:szCs w:val="21"/>
                <w:highlight w:val="none"/>
                <w:lang w:bidi="ar"/>
              </w:rPr>
            </w:pPr>
          </w:p>
        </w:tc>
        <w:tc>
          <w:tcPr>
            <w:tcW w:w="6761" w:type="dxa"/>
            <w:tcBorders>
              <w:top w:val="single" w:color="auto" w:sz="4" w:space="0"/>
              <w:left w:val="single" w:color="000000" w:sz="4" w:space="0"/>
              <w:bottom w:val="single" w:color="auto" w:sz="4" w:space="0"/>
              <w:right w:val="single" w:color="000000" w:sz="4" w:space="0"/>
            </w:tcBorders>
          </w:tcPr>
          <w:p w14:paraId="3B639B00">
            <w:pPr>
              <w:pStyle w:val="32"/>
              <w:tabs>
                <w:tab w:val="left" w:pos="925"/>
              </w:tabs>
              <w:spacing w:before="65" w:line="360" w:lineRule="auto"/>
              <w:jc w:val="left"/>
              <w:rPr>
                <w:rFonts w:hint="eastAsia"/>
                <w:color w:val="auto"/>
                <w:spacing w:val="8"/>
                <w:sz w:val="21"/>
                <w:szCs w:val="21"/>
                <w:highlight w:val="none"/>
                <w:lang w:eastAsia="zh-CN"/>
              </w:rPr>
            </w:pPr>
            <w:r>
              <w:rPr>
                <w:rFonts w:hint="eastAsia"/>
                <w:color w:val="auto"/>
                <w:spacing w:val="8"/>
                <w:sz w:val="21"/>
                <w:szCs w:val="21"/>
                <w:highlight w:val="none"/>
                <w:lang w:eastAsia="zh-CN"/>
              </w:rPr>
              <w:t>第一档（2分）：集成服务方案包含对进度控制、质量控制、变更控制等的方案。</w:t>
            </w:r>
            <w:r>
              <w:rPr>
                <w:rFonts w:hint="eastAsia"/>
                <w:bCs/>
                <w:color w:val="auto"/>
                <w:sz w:val="21"/>
                <w:szCs w:val="21"/>
                <w:highlight w:val="none"/>
                <w:lang w:eastAsia="zh-CN"/>
              </w:rPr>
              <w:t>仅覆盖本档规定三项管控内容，达到本档内容标准</w:t>
            </w:r>
            <w:r>
              <w:rPr>
                <w:rFonts w:hint="eastAsia"/>
                <w:color w:val="auto"/>
                <w:spacing w:val="8"/>
                <w:sz w:val="21"/>
                <w:szCs w:val="21"/>
                <w:highlight w:val="none"/>
                <w:lang w:eastAsia="zh-CN"/>
              </w:rPr>
              <w:t>。</w:t>
            </w:r>
          </w:p>
          <w:p w14:paraId="773E1308">
            <w:pPr>
              <w:pStyle w:val="32"/>
              <w:tabs>
                <w:tab w:val="left" w:pos="925"/>
              </w:tabs>
              <w:spacing w:before="65" w:line="360" w:lineRule="auto"/>
              <w:jc w:val="left"/>
              <w:rPr>
                <w:rFonts w:hint="eastAsia"/>
                <w:color w:val="auto"/>
                <w:spacing w:val="8"/>
                <w:sz w:val="21"/>
                <w:szCs w:val="21"/>
                <w:highlight w:val="none"/>
                <w:lang w:eastAsia="zh-CN"/>
              </w:rPr>
            </w:pPr>
            <w:r>
              <w:rPr>
                <w:rFonts w:hint="eastAsia"/>
                <w:color w:val="auto"/>
                <w:spacing w:val="8"/>
                <w:sz w:val="21"/>
                <w:szCs w:val="21"/>
                <w:highlight w:val="none"/>
                <w:lang w:eastAsia="zh-CN"/>
              </w:rPr>
              <w:t>第二档（4分）：集成方案包含对进度控制、质量控制、变更控制、信息管理、安全管理等的方案。</w:t>
            </w:r>
            <w:r>
              <w:rPr>
                <w:rFonts w:hint="eastAsia"/>
                <w:bCs/>
                <w:color w:val="auto"/>
                <w:sz w:val="21"/>
                <w:szCs w:val="21"/>
                <w:highlight w:val="none"/>
                <w:lang w:eastAsia="zh-CN"/>
              </w:rPr>
              <w:t>完整覆盖本档规定五项管控内容，达到本档内容标准</w:t>
            </w:r>
            <w:r>
              <w:rPr>
                <w:rFonts w:hint="eastAsia"/>
                <w:color w:val="auto"/>
                <w:spacing w:val="8"/>
                <w:sz w:val="21"/>
                <w:szCs w:val="21"/>
                <w:highlight w:val="none"/>
                <w:lang w:eastAsia="zh-CN"/>
              </w:rPr>
              <w:t>。</w:t>
            </w:r>
          </w:p>
          <w:p w14:paraId="236D176A">
            <w:pPr>
              <w:pStyle w:val="32"/>
              <w:tabs>
                <w:tab w:val="left" w:pos="925"/>
              </w:tabs>
              <w:spacing w:before="65" w:line="360" w:lineRule="auto"/>
              <w:jc w:val="left"/>
              <w:rPr>
                <w:rFonts w:hint="eastAsia"/>
                <w:bCs/>
                <w:color w:val="auto"/>
                <w:sz w:val="21"/>
                <w:szCs w:val="21"/>
                <w:highlight w:val="none"/>
                <w:lang w:eastAsia="zh-CN"/>
              </w:rPr>
            </w:pPr>
            <w:r>
              <w:rPr>
                <w:rFonts w:hint="eastAsia"/>
                <w:color w:val="auto"/>
                <w:spacing w:val="8"/>
                <w:sz w:val="21"/>
                <w:szCs w:val="21"/>
                <w:highlight w:val="none"/>
                <w:lang w:eastAsia="zh-CN"/>
              </w:rPr>
              <w:t>第三档（6分）：集成方案包含对进度控制、质量控制、变更控制、信息管理、安全管理、沟通协调等的方案。</w:t>
            </w:r>
            <w:r>
              <w:rPr>
                <w:rFonts w:hint="eastAsia"/>
                <w:bCs/>
                <w:color w:val="auto"/>
                <w:sz w:val="21"/>
                <w:szCs w:val="21"/>
                <w:highlight w:val="none"/>
                <w:lang w:eastAsia="zh-CN"/>
              </w:rPr>
              <w:t>完整覆盖本档规定六项管控内容，列明清晰工作目标、对应管控实施措施及可行管控手段，达到本档内容标准。</w:t>
            </w:r>
          </w:p>
          <w:p w14:paraId="2B27FA93">
            <w:pPr>
              <w:pStyle w:val="32"/>
              <w:tabs>
                <w:tab w:val="left" w:pos="925"/>
              </w:tabs>
              <w:spacing w:before="65" w:line="360" w:lineRule="auto"/>
              <w:jc w:val="left"/>
              <w:rPr>
                <w:rFonts w:hint="eastAsia"/>
                <w:color w:val="auto"/>
                <w:spacing w:val="8"/>
                <w:sz w:val="21"/>
                <w:szCs w:val="21"/>
                <w:highlight w:val="none"/>
                <w:lang w:eastAsia="zh-CN"/>
              </w:rPr>
            </w:pPr>
            <w:r>
              <w:rPr>
                <w:rFonts w:hint="eastAsia"/>
                <w:b/>
                <w:bCs/>
                <w:color w:val="auto"/>
                <w:spacing w:val="8"/>
                <w:sz w:val="21"/>
                <w:szCs w:val="21"/>
                <w:highlight w:val="none"/>
                <w:lang w:eastAsia="zh-CN"/>
              </w:rPr>
              <w:t>注：响应文件中未提供方案或所提供的方案不满足以上进档要求的，得0分。</w:t>
            </w:r>
          </w:p>
        </w:tc>
        <w:tc>
          <w:tcPr>
            <w:tcW w:w="738" w:type="dxa"/>
            <w:tcBorders>
              <w:top w:val="single" w:color="auto" w:sz="4" w:space="0"/>
              <w:left w:val="single" w:color="000000" w:sz="4" w:space="0"/>
              <w:bottom w:val="single" w:color="auto" w:sz="4" w:space="0"/>
              <w:right w:val="single" w:color="auto" w:sz="4" w:space="0"/>
            </w:tcBorders>
            <w:vAlign w:val="center"/>
          </w:tcPr>
          <w:p w14:paraId="37C4B4A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6</w:t>
            </w:r>
          </w:p>
        </w:tc>
      </w:tr>
      <w:tr w14:paraId="1C17F143">
        <w:tblPrEx>
          <w:tblCellMar>
            <w:top w:w="0" w:type="dxa"/>
            <w:left w:w="108" w:type="dxa"/>
            <w:bottom w:w="0" w:type="dxa"/>
            <w:right w:w="108" w:type="dxa"/>
          </w:tblCellMar>
        </w:tblPrEx>
        <w:trPr>
          <w:trHeight w:val="690" w:hRule="atLeast"/>
        </w:trPr>
        <w:tc>
          <w:tcPr>
            <w:tcW w:w="701" w:type="dxa"/>
            <w:tcBorders>
              <w:top w:val="single" w:color="auto" w:sz="4" w:space="0"/>
              <w:left w:val="single" w:color="auto" w:sz="4" w:space="0"/>
              <w:bottom w:val="single" w:color="auto" w:sz="4" w:space="0"/>
              <w:right w:val="single" w:color="000000" w:sz="4" w:space="0"/>
            </w:tcBorders>
            <w:vAlign w:val="center"/>
          </w:tcPr>
          <w:p w14:paraId="7815EA7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2.3</w:t>
            </w:r>
          </w:p>
        </w:tc>
        <w:tc>
          <w:tcPr>
            <w:tcW w:w="1734" w:type="dxa"/>
            <w:tcBorders>
              <w:top w:val="single" w:color="auto" w:sz="4" w:space="0"/>
              <w:left w:val="single" w:color="000000" w:sz="4" w:space="0"/>
              <w:bottom w:val="single" w:color="auto" w:sz="4" w:space="0"/>
              <w:right w:val="single" w:color="000000" w:sz="4" w:space="0"/>
            </w:tcBorders>
            <w:vAlign w:val="center"/>
          </w:tcPr>
          <w:p w14:paraId="7BD11FA9">
            <w:pPr>
              <w:pStyle w:val="32"/>
              <w:spacing w:before="65" w:line="360" w:lineRule="auto"/>
              <w:ind w:left="115"/>
              <w:jc w:val="center"/>
              <w:rPr>
                <w:rFonts w:hint="eastAsia"/>
                <w:color w:val="auto"/>
                <w:spacing w:val="8"/>
                <w:sz w:val="21"/>
                <w:szCs w:val="21"/>
                <w:highlight w:val="none"/>
                <w:lang w:eastAsia="zh-CN"/>
              </w:rPr>
            </w:pPr>
            <w:r>
              <w:rPr>
                <w:rFonts w:hint="eastAsia"/>
                <w:color w:val="auto"/>
                <w:spacing w:val="8"/>
                <w:sz w:val="21"/>
                <w:szCs w:val="21"/>
                <w:highlight w:val="none"/>
                <w:lang w:eastAsia="zh-CN"/>
              </w:rPr>
              <w:t>运维管理体系(满分3分)</w:t>
            </w:r>
          </w:p>
        </w:tc>
        <w:tc>
          <w:tcPr>
            <w:tcW w:w="6761" w:type="dxa"/>
            <w:tcBorders>
              <w:top w:val="single" w:color="auto" w:sz="4" w:space="0"/>
              <w:left w:val="single" w:color="000000" w:sz="4" w:space="0"/>
              <w:bottom w:val="single" w:color="auto" w:sz="4" w:space="0"/>
              <w:right w:val="single" w:color="000000" w:sz="4" w:space="0"/>
            </w:tcBorders>
          </w:tcPr>
          <w:p w14:paraId="20B89267">
            <w:pPr>
              <w:pStyle w:val="32"/>
              <w:tabs>
                <w:tab w:val="left" w:pos="691"/>
              </w:tabs>
              <w:spacing w:line="360" w:lineRule="auto"/>
              <w:jc w:val="left"/>
              <w:rPr>
                <w:rFonts w:hint="eastAsia"/>
                <w:bCs/>
                <w:color w:val="auto"/>
                <w:sz w:val="21"/>
                <w:szCs w:val="21"/>
                <w:highlight w:val="none"/>
                <w:lang w:eastAsia="zh-CN"/>
              </w:rPr>
            </w:pPr>
            <w:r>
              <w:rPr>
                <w:rFonts w:hint="eastAsia"/>
                <w:color w:val="auto"/>
                <w:spacing w:val="8"/>
                <w:sz w:val="21"/>
                <w:szCs w:val="21"/>
                <w:highlight w:val="none"/>
                <w:lang w:eastAsia="zh-CN"/>
              </w:rPr>
              <w:t>第一档（1分）：提供运维管理体系方案，含项目管理、实施计划等。</w:t>
            </w:r>
            <w:r>
              <w:rPr>
                <w:rFonts w:hint="eastAsia"/>
                <w:bCs/>
                <w:color w:val="auto"/>
                <w:sz w:val="21"/>
                <w:szCs w:val="21"/>
                <w:highlight w:val="none"/>
                <w:lang w:eastAsia="zh-CN"/>
              </w:rPr>
              <w:t>仅覆盖本档两项指定内容，未满足更高档位内容要求；</w:t>
            </w:r>
          </w:p>
          <w:p w14:paraId="63D54492">
            <w:pPr>
              <w:pStyle w:val="32"/>
              <w:tabs>
                <w:tab w:val="left" w:pos="691"/>
              </w:tabs>
              <w:spacing w:line="360" w:lineRule="auto"/>
              <w:jc w:val="left"/>
              <w:rPr>
                <w:rFonts w:hint="eastAsia"/>
                <w:bCs/>
                <w:color w:val="auto"/>
                <w:sz w:val="21"/>
                <w:szCs w:val="21"/>
                <w:highlight w:val="none"/>
                <w:lang w:eastAsia="zh-CN"/>
              </w:rPr>
            </w:pPr>
            <w:r>
              <w:rPr>
                <w:rFonts w:hint="eastAsia"/>
                <w:bCs/>
                <w:color w:val="auto"/>
                <w:sz w:val="21"/>
                <w:szCs w:val="21"/>
                <w:highlight w:val="none"/>
                <w:lang w:eastAsia="zh-CN"/>
              </w:rPr>
              <w:t>第二档（2分）：根据项目特点提供运维管理体系方案，主要包含项目管理、实施计划、质量保障、安全保障、服务流程等。完整覆盖本档五项指定内容，满足本档全部内容要求；</w:t>
            </w:r>
          </w:p>
          <w:p w14:paraId="07B47600">
            <w:pPr>
              <w:pStyle w:val="32"/>
              <w:tabs>
                <w:tab w:val="left" w:pos="691"/>
              </w:tabs>
              <w:spacing w:line="360" w:lineRule="auto"/>
              <w:jc w:val="left"/>
              <w:rPr>
                <w:rFonts w:hint="eastAsia"/>
                <w:color w:val="auto"/>
                <w:spacing w:val="8"/>
                <w:sz w:val="21"/>
                <w:szCs w:val="21"/>
                <w:highlight w:val="none"/>
                <w:lang w:eastAsia="zh-CN"/>
              </w:rPr>
            </w:pPr>
            <w:r>
              <w:rPr>
                <w:rFonts w:hint="eastAsia"/>
                <w:bCs/>
                <w:color w:val="auto"/>
                <w:sz w:val="21"/>
                <w:szCs w:val="21"/>
                <w:highlight w:val="none"/>
                <w:lang w:eastAsia="zh-CN"/>
              </w:rPr>
              <w:t>第三档（3分）：根据本项目特点提供运维管理体系方案，包括但不限于项目管理、实施计划、质量保障、安全保障、服务渠道、服务方式、岗位设置、服务流程、响应级别、人员保障等。整覆盖本档全部指定内容，各板块配套对应实施措施，满足本档全部内容要求；</w:t>
            </w:r>
          </w:p>
          <w:p w14:paraId="311F9320">
            <w:pPr>
              <w:pStyle w:val="32"/>
              <w:tabs>
                <w:tab w:val="left" w:pos="822"/>
              </w:tabs>
              <w:spacing w:before="65" w:line="360" w:lineRule="auto"/>
              <w:jc w:val="left"/>
              <w:rPr>
                <w:rFonts w:hint="eastAsia"/>
                <w:color w:val="auto"/>
                <w:spacing w:val="8"/>
                <w:sz w:val="21"/>
                <w:szCs w:val="21"/>
                <w:highlight w:val="none"/>
                <w:lang w:eastAsia="zh-CN"/>
              </w:rPr>
            </w:pPr>
            <w:r>
              <w:rPr>
                <w:rFonts w:hint="eastAsia"/>
                <w:b/>
                <w:bCs/>
                <w:color w:val="auto"/>
                <w:spacing w:val="8"/>
                <w:sz w:val="21"/>
                <w:szCs w:val="21"/>
                <w:highlight w:val="none"/>
                <w:lang w:eastAsia="zh-CN"/>
              </w:rPr>
              <w:t>注：响应文件中未提供方案或所提供的方案不满足以上进档要求的，得0分。</w:t>
            </w:r>
          </w:p>
        </w:tc>
        <w:tc>
          <w:tcPr>
            <w:tcW w:w="738" w:type="dxa"/>
            <w:tcBorders>
              <w:top w:val="single" w:color="auto" w:sz="4" w:space="0"/>
              <w:left w:val="single" w:color="000000" w:sz="4" w:space="0"/>
              <w:bottom w:val="single" w:color="auto" w:sz="4" w:space="0"/>
              <w:right w:val="single" w:color="auto" w:sz="4" w:space="0"/>
            </w:tcBorders>
            <w:vAlign w:val="center"/>
          </w:tcPr>
          <w:p w14:paraId="235C042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p>
        </w:tc>
      </w:tr>
      <w:tr w14:paraId="404B3E19">
        <w:tblPrEx>
          <w:tblCellMar>
            <w:top w:w="0" w:type="dxa"/>
            <w:left w:w="108" w:type="dxa"/>
            <w:bottom w:w="0" w:type="dxa"/>
            <w:right w:w="108" w:type="dxa"/>
          </w:tblCellMar>
        </w:tblPrEx>
        <w:trPr>
          <w:trHeight w:val="690" w:hRule="atLeast"/>
        </w:trPr>
        <w:tc>
          <w:tcPr>
            <w:tcW w:w="701" w:type="dxa"/>
            <w:tcBorders>
              <w:top w:val="single" w:color="auto" w:sz="4" w:space="0"/>
              <w:left w:val="single" w:color="auto" w:sz="4" w:space="0"/>
              <w:bottom w:val="single" w:color="auto" w:sz="4" w:space="0"/>
              <w:right w:val="single" w:color="000000" w:sz="4" w:space="0"/>
            </w:tcBorders>
            <w:vAlign w:val="center"/>
          </w:tcPr>
          <w:p w14:paraId="5D8F477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2.4</w:t>
            </w:r>
          </w:p>
        </w:tc>
        <w:tc>
          <w:tcPr>
            <w:tcW w:w="1734" w:type="dxa"/>
            <w:tcBorders>
              <w:top w:val="single" w:color="auto" w:sz="4" w:space="0"/>
              <w:left w:val="single" w:color="000000" w:sz="4" w:space="0"/>
              <w:bottom w:val="single" w:color="auto" w:sz="4" w:space="0"/>
              <w:right w:val="single" w:color="000000" w:sz="4" w:space="0"/>
            </w:tcBorders>
            <w:vAlign w:val="center"/>
          </w:tcPr>
          <w:p w14:paraId="5CB4AB6A">
            <w:pPr>
              <w:pStyle w:val="32"/>
              <w:spacing w:before="65" w:line="360" w:lineRule="auto"/>
              <w:ind w:left="121" w:right="28" w:hanging="9"/>
              <w:jc w:val="center"/>
              <w:rPr>
                <w:rFonts w:hint="eastAsia"/>
                <w:color w:val="auto"/>
                <w:spacing w:val="8"/>
                <w:sz w:val="21"/>
                <w:szCs w:val="21"/>
                <w:highlight w:val="none"/>
                <w:lang w:eastAsia="zh-CN"/>
              </w:rPr>
            </w:pPr>
            <w:r>
              <w:rPr>
                <w:rFonts w:hint="eastAsia"/>
                <w:color w:val="auto"/>
                <w:spacing w:val="8"/>
                <w:sz w:val="21"/>
                <w:szCs w:val="21"/>
                <w:highlight w:val="none"/>
                <w:lang w:eastAsia="zh-CN"/>
              </w:rPr>
              <w:t>运维服务方案（10分）</w:t>
            </w:r>
          </w:p>
          <w:p w14:paraId="1A20FAE5">
            <w:pPr>
              <w:pStyle w:val="32"/>
              <w:spacing w:before="65" w:line="360" w:lineRule="auto"/>
              <w:ind w:left="121" w:right="28" w:hanging="9"/>
              <w:jc w:val="center"/>
              <w:rPr>
                <w:rFonts w:hint="eastAsia"/>
                <w:color w:val="auto"/>
                <w:spacing w:val="8"/>
                <w:sz w:val="21"/>
                <w:szCs w:val="21"/>
                <w:highlight w:val="none"/>
                <w:lang w:eastAsia="zh-CN"/>
              </w:rPr>
            </w:pPr>
          </w:p>
        </w:tc>
        <w:tc>
          <w:tcPr>
            <w:tcW w:w="6761" w:type="dxa"/>
            <w:tcBorders>
              <w:top w:val="single" w:color="auto" w:sz="4" w:space="0"/>
              <w:left w:val="single" w:color="000000" w:sz="4" w:space="0"/>
              <w:bottom w:val="single" w:color="auto" w:sz="4" w:space="0"/>
              <w:right w:val="single" w:color="000000" w:sz="4" w:space="0"/>
            </w:tcBorders>
          </w:tcPr>
          <w:p w14:paraId="7E45E08E">
            <w:pPr>
              <w:pStyle w:val="32"/>
              <w:tabs>
                <w:tab w:val="left" w:pos="691"/>
              </w:tabs>
              <w:spacing w:line="360" w:lineRule="auto"/>
              <w:rPr>
                <w:rFonts w:hint="eastAsia"/>
                <w:bCs/>
                <w:color w:val="auto"/>
                <w:szCs w:val="21"/>
                <w:highlight w:val="none"/>
                <w:lang w:eastAsia="zh-CN"/>
              </w:rPr>
            </w:pPr>
            <w:r>
              <w:rPr>
                <w:rFonts w:hint="eastAsia"/>
                <w:color w:val="auto"/>
                <w:spacing w:val="8"/>
                <w:sz w:val="21"/>
                <w:szCs w:val="21"/>
                <w:highlight w:val="none"/>
                <w:lang w:eastAsia="zh-CN"/>
              </w:rPr>
              <w:t>第一档（3分）：针对本期运维要求，提供详细的运维服务方案，方案覆盖日常巡检、监控值守、故障处理等。</w:t>
            </w:r>
            <w:r>
              <w:rPr>
                <w:rFonts w:hint="eastAsia"/>
                <w:bCs/>
                <w:color w:val="auto"/>
                <w:sz w:val="21"/>
                <w:szCs w:val="21"/>
                <w:highlight w:val="none"/>
                <w:lang w:eastAsia="zh-CN"/>
              </w:rPr>
              <w:t>仅覆盖本档指定三项内容，满足本档全部内容要求</w:t>
            </w:r>
          </w:p>
          <w:p w14:paraId="59C49EB8">
            <w:pPr>
              <w:pStyle w:val="32"/>
              <w:tabs>
                <w:tab w:val="left" w:pos="691"/>
              </w:tabs>
              <w:spacing w:line="360" w:lineRule="auto"/>
              <w:rPr>
                <w:rFonts w:hint="eastAsia"/>
                <w:bCs/>
                <w:color w:val="auto"/>
                <w:sz w:val="21"/>
                <w:szCs w:val="21"/>
                <w:highlight w:val="none"/>
                <w:lang w:eastAsia="zh-CN"/>
              </w:rPr>
            </w:pPr>
            <w:r>
              <w:rPr>
                <w:rFonts w:hint="eastAsia"/>
                <w:bCs/>
                <w:color w:val="auto"/>
                <w:sz w:val="21"/>
                <w:szCs w:val="21"/>
                <w:highlight w:val="none"/>
                <w:lang w:eastAsia="zh-CN"/>
              </w:rPr>
              <w:t>；</w:t>
            </w:r>
          </w:p>
          <w:p w14:paraId="6709F1DA">
            <w:pPr>
              <w:pStyle w:val="32"/>
              <w:tabs>
                <w:tab w:val="left" w:pos="691"/>
              </w:tabs>
              <w:spacing w:line="360" w:lineRule="auto"/>
              <w:rPr>
                <w:rFonts w:hint="eastAsia"/>
                <w:bCs/>
                <w:color w:val="auto"/>
                <w:szCs w:val="21"/>
                <w:highlight w:val="none"/>
                <w:lang w:eastAsia="zh-CN"/>
              </w:rPr>
            </w:pPr>
            <w:r>
              <w:rPr>
                <w:rFonts w:hint="eastAsia"/>
                <w:bCs/>
                <w:color w:val="auto"/>
                <w:spacing w:val="8"/>
                <w:sz w:val="21"/>
                <w:szCs w:val="21"/>
                <w:highlight w:val="none"/>
                <w:lang w:eastAsia="zh-CN"/>
              </w:rPr>
              <w:t>第二档（</w:t>
            </w:r>
            <w:r>
              <w:rPr>
                <w:bCs/>
                <w:color w:val="auto"/>
                <w:spacing w:val="8"/>
                <w:sz w:val="21"/>
                <w:szCs w:val="21"/>
                <w:highlight w:val="none"/>
                <w:lang w:eastAsia="zh-CN"/>
              </w:rPr>
              <w:t>6</w:t>
            </w:r>
            <w:r>
              <w:rPr>
                <w:rFonts w:hint="eastAsia"/>
                <w:bCs/>
                <w:color w:val="auto"/>
                <w:spacing w:val="8"/>
                <w:sz w:val="21"/>
                <w:szCs w:val="21"/>
                <w:highlight w:val="none"/>
                <w:lang w:eastAsia="zh-CN"/>
              </w:rPr>
              <w:t>分）：针对本期运维要求，提供详细的运维服务方案，方案覆盖日常巡检、监控值守、故障处理、应急响应、变更管理、安全运维等。</w:t>
            </w:r>
            <w:r>
              <w:rPr>
                <w:rFonts w:hint="eastAsia"/>
                <w:bCs/>
                <w:color w:val="auto"/>
                <w:sz w:val="21"/>
                <w:szCs w:val="21"/>
                <w:highlight w:val="none"/>
                <w:lang w:eastAsia="zh-CN"/>
              </w:rPr>
              <w:t>完整覆盖本档指定六项内容，满足本档全部内容要求</w:t>
            </w:r>
          </w:p>
          <w:p w14:paraId="03901F73">
            <w:pPr>
              <w:pStyle w:val="32"/>
              <w:tabs>
                <w:tab w:val="left" w:pos="691"/>
              </w:tabs>
              <w:spacing w:line="360" w:lineRule="auto"/>
              <w:rPr>
                <w:rFonts w:hint="eastAsia"/>
                <w:bCs/>
                <w:color w:val="auto"/>
                <w:sz w:val="21"/>
                <w:szCs w:val="21"/>
                <w:highlight w:val="none"/>
                <w:lang w:eastAsia="zh-CN"/>
              </w:rPr>
            </w:pPr>
            <w:r>
              <w:rPr>
                <w:rFonts w:hint="eastAsia"/>
                <w:bCs/>
                <w:color w:val="auto"/>
                <w:sz w:val="21"/>
                <w:szCs w:val="21"/>
                <w:highlight w:val="none"/>
                <w:lang w:eastAsia="zh-CN"/>
              </w:rPr>
              <w:t>；</w:t>
            </w:r>
          </w:p>
          <w:p w14:paraId="4B133DCB">
            <w:pPr>
              <w:pStyle w:val="32"/>
              <w:tabs>
                <w:tab w:val="left" w:pos="691"/>
              </w:tabs>
              <w:spacing w:line="360" w:lineRule="auto"/>
              <w:rPr>
                <w:rFonts w:hint="eastAsia"/>
                <w:bCs/>
                <w:color w:val="auto"/>
                <w:sz w:val="21"/>
                <w:szCs w:val="21"/>
                <w:highlight w:val="none"/>
                <w:lang w:eastAsia="zh-CN"/>
              </w:rPr>
            </w:pPr>
            <w:r>
              <w:rPr>
                <w:rFonts w:hint="eastAsia"/>
                <w:bCs/>
                <w:color w:val="auto"/>
                <w:sz w:val="21"/>
                <w:szCs w:val="21"/>
                <w:highlight w:val="none"/>
                <w:lang w:eastAsia="zh-CN"/>
              </w:rPr>
              <w:t>第三档（10分）：针对本期运维要求，提供详细的运维服务方案，方案覆盖云平台运维、日常巡检、监控值守、故障处理、应急响应、变更管理、安全运维、运维流程管理等内容。完整覆盖本档全部指定内容，配套标准化运维流程，具备落地执行依据，满足本档全部内容要求。</w:t>
            </w:r>
          </w:p>
          <w:p w14:paraId="3C36655F">
            <w:pPr>
              <w:pStyle w:val="32"/>
              <w:spacing w:before="71" w:line="360" w:lineRule="auto"/>
              <w:rPr>
                <w:rFonts w:hint="eastAsia"/>
                <w:color w:val="auto"/>
                <w:spacing w:val="8"/>
                <w:sz w:val="21"/>
                <w:szCs w:val="21"/>
                <w:highlight w:val="none"/>
                <w:lang w:eastAsia="zh-CN"/>
              </w:rPr>
            </w:pPr>
            <w:r>
              <w:rPr>
                <w:rFonts w:hint="eastAsia"/>
                <w:b/>
                <w:bCs/>
                <w:color w:val="auto"/>
                <w:spacing w:val="8"/>
                <w:sz w:val="21"/>
                <w:szCs w:val="21"/>
                <w:highlight w:val="none"/>
                <w:lang w:eastAsia="zh-CN"/>
              </w:rPr>
              <w:t>注：响应文件中未提供方案或所提供的方案不满足以上进档要求的，得0分。</w:t>
            </w:r>
          </w:p>
        </w:tc>
        <w:tc>
          <w:tcPr>
            <w:tcW w:w="738" w:type="dxa"/>
            <w:tcBorders>
              <w:top w:val="single" w:color="auto" w:sz="4" w:space="0"/>
              <w:left w:val="single" w:color="000000" w:sz="4" w:space="0"/>
              <w:bottom w:val="single" w:color="auto" w:sz="4" w:space="0"/>
              <w:right w:val="single" w:color="auto" w:sz="4" w:space="0"/>
            </w:tcBorders>
            <w:vAlign w:val="center"/>
          </w:tcPr>
          <w:p w14:paraId="0DDBB21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10</w:t>
            </w:r>
          </w:p>
        </w:tc>
      </w:tr>
      <w:tr w14:paraId="607BBF01">
        <w:tblPrEx>
          <w:tblCellMar>
            <w:top w:w="0" w:type="dxa"/>
            <w:left w:w="108" w:type="dxa"/>
            <w:bottom w:w="0" w:type="dxa"/>
            <w:right w:w="108" w:type="dxa"/>
          </w:tblCellMar>
        </w:tblPrEx>
        <w:trPr>
          <w:trHeight w:val="690" w:hRule="atLeast"/>
        </w:trPr>
        <w:tc>
          <w:tcPr>
            <w:tcW w:w="701" w:type="dxa"/>
            <w:tcBorders>
              <w:top w:val="single" w:color="auto" w:sz="4" w:space="0"/>
              <w:left w:val="single" w:color="auto" w:sz="4" w:space="0"/>
              <w:bottom w:val="single" w:color="auto" w:sz="4" w:space="0"/>
              <w:right w:val="single" w:color="000000" w:sz="4" w:space="0"/>
            </w:tcBorders>
            <w:vAlign w:val="center"/>
          </w:tcPr>
          <w:p w14:paraId="219A0B97">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2.5</w:t>
            </w:r>
          </w:p>
        </w:tc>
        <w:tc>
          <w:tcPr>
            <w:tcW w:w="1734" w:type="dxa"/>
            <w:tcBorders>
              <w:top w:val="single" w:color="auto" w:sz="4" w:space="0"/>
              <w:left w:val="single" w:color="000000" w:sz="4" w:space="0"/>
              <w:bottom w:val="single" w:color="auto" w:sz="4" w:space="0"/>
              <w:right w:val="single" w:color="000000" w:sz="4" w:space="0"/>
            </w:tcBorders>
            <w:vAlign w:val="center"/>
          </w:tcPr>
          <w:p w14:paraId="2DBB76C6">
            <w:pPr>
              <w:pStyle w:val="32"/>
              <w:spacing w:before="65" w:line="360" w:lineRule="auto"/>
              <w:ind w:left="121" w:right="28" w:hanging="9"/>
              <w:jc w:val="center"/>
              <w:rPr>
                <w:rFonts w:hint="eastAsia"/>
                <w:color w:val="auto"/>
                <w:spacing w:val="8"/>
                <w:sz w:val="21"/>
                <w:szCs w:val="21"/>
                <w:highlight w:val="none"/>
              </w:rPr>
            </w:pPr>
            <w:r>
              <w:rPr>
                <w:rFonts w:hint="eastAsia"/>
                <w:color w:val="auto"/>
                <w:spacing w:val="8"/>
                <w:sz w:val="21"/>
                <w:szCs w:val="21"/>
                <w:highlight w:val="none"/>
              </w:rPr>
              <w:t>应急处置方案(满分3分)</w:t>
            </w:r>
          </w:p>
        </w:tc>
        <w:tc>
          <w:tcPr>
            <w:tcW w:w="6761" w:type="dxa"/>
            <w:tcBorders>
              <w:top w:val="single" w:color="auto" w:sz="4" w:space="0"/>
              <w:left w:val="single" w:color="000000" w:sz="4" w:space="0"/>
              <w:bottom w:val="single" w:color="auto" w:sz="4" w:space="0"/>
              <w:right w:val="single" w:color="000000" w:sz="4" w:space="0"/>
            </w:tcBorders>
          </w:tcPr>
          <w:p w14:paraId="0BC85862">
            <w:pPr>
              <w:pStyle w:val="32"/>
              <w:tabs>
                <w:tab w:val="left" w:pos="691"/>
              </w:tabs>
              <w:spacing w:line="360" w:lineRule="auto"/>
              <w:rPr>
                <w:rFonts w:hint="eastAsia"/>
                <w:bCs/>
                <w:color w:val="auto"/>
                <w:szCs w:val="21"/>
                <w:highlight w:val="none"/>
                <w:lang w:eastAsia="zh-CN"/>
              </w:rPr>
            </w:pPr>
            <w:r>
              <w:rPr>
                <w:rFonts w:hint="eastAsia"/>
                <w:color w:val="auto"/>
                <w:spacing w:val="8"/>
                <w:sz w:val="21"/>
                <w:szCs w:val="21"/>
                <w:highlight w:val="none"/>
                <w:lang w:eastAsia="zh-CN"/>
              </w:rPr>
              <w:t>第一档（1分）：根据项目特点，提供应急处置方案，含应急演练等。</w:t>
            </w:r>
            <w:r>
              <w:rPr>
                <w:rFonts w:hint="eastAsia"/>
                <w:bCs/>
                <w:color w:val="auto"/>
                <w:sz w:val="21"/>
                <w:szCs w:val="21"/>
                <w:highlight w:val="none"/>
                <w:lang w:eastAsia="zh-CN"/>
              </w:rPr>
              <w:t>仅覆盖本档指定一项内容，满足本档全部内容要求；</w:t>
            </w:r>
          </w:p>
          <w:p w14:paraId="1FF361E6">
            <w:pPr>
              <w:pStyle w:val="32"/>
              <w:tabs>
                <w:tab w:val="left" w:pos="691"/>
              </w:tabs>
              <w:spacing w:line="360" w:lineRule="auto"/>
              <w:rPr>
                <w:rFonts w:hint="eastAsia"/>
                <w:bCs/>
                <w:color w:val="auto"/>
                <w:sz w:val="21"/>
                <w:szCs w:val="21"/>
                <w:highlight w:val="none"/>
                <w:lang w:eastAsia="zh-CN"/>
              </w:rPr>
            </w:pPr>
            <w:r>
              <w:rPr>
                <w:rFonts w:hint="eastAsia"/>
                <w:bCs/>
                <w:color w:val="auto"/>
                <w:sz w:val="21"/>
                <w:szCs w:val="21"/>
                <w:highlight w:val="none"/>
                <w:lang w:eastAsia="zh-CN"/>
              </w:rPr>
              <w:t>；</w:t>
            </w:r>
          </w:p>
          <w:p w14:paraId="56FF742B">
            <w:pPr>
              <w:pStyle w:val="32"/>
              <w:tabs>
                <w:tab w:val="left" w:pos="691"/>
              </w:tabs>
              <w:spacing w:line="360" w:lineRule="auto"/>
              <w:rPr>
                <w:rFonts w:hint="eastAsia"/>
                <w:bCs/>
                <w:color w:val="auto"/>
                <w:sz w:val="21"/>
                <w:szCs w:val="21"/>
                <w:highlight w:val="none"/>
                <w:lang w:eastAsia="zh-CN"/>
              </w:rPr>
            </w:pPr>
            <w:r>
              <w:rPr>
                <w:rFonts w:hint="eastAsia"/>
                <w:bCs/>
                <w:color w:val="auto"/>
                <w:spacing w:val="8"/>
                <w:sz w:val="21"/>
                <w:szCs w:val="21"/>
                <w:highlight w:val="none"/>
                <w:lang w:eastAsia="zh-CN"/>
              </w:rPr>
              <w:t>第二档（</w:t>
            </w:r>
            <w:r>
              <w:rPr>
                <w:bCs/>
                <w:color w:val="auto"/>
                <w:spacing w:val="8"/>
                <w:sz w:val="21"/>
                <w:szCs w:val="21"/>
                <w:highlight w:val="none"/>
                <w:lang w:eastAsia="zh-CN"/>
              </w:rPr>
              <w:t>2</w:t>
            </w:r>
            <w:r>
              <w:rPr>
                <w:rFonts w:hint="eastAsia"/>
                <w:bCs/>
                <w:color w:val="auto"/>
                <w:spacing w:val="8"/>
                <w:sz w:val="21"/>
                <w:szCs w:val="21"/>
                <w:highlight w:val="none"/>
                <w:lang w:eastAsia="zh-CN"/>
              </w:rPr>
              <w:t>分）：根据项目特点，提供应急处置方案，含应急演练、应急预案、应急响应等。</w:t>
            </w:r>
            <w:r>
              <w:rPr>
                <w:rFonts w:hint="eastAsia"/>
                <w:bCs/>
                <w:color w:val="auto"/>
                <w:sz w:val="21"/>
                <w:szCs w:val="21"/>
                <w:highlight w:val="none"/>
                <w:lang w:eastAsia="zh-CN"/>
              </w:rPr>
              <w:t>完整覆盖本档指定三项内容，满足本档全部内容要求；</w:t>
            </w:r>
          </w:p>
          <w:p w14:paraId="211877A1">
            <w:pPr>
              <w:pStyle w:val="32"/>
              <w:tabs>
                <w:tab w:val="left" w:pos="691"/>
              </w:tabs>
              <w:spacing w:line="360" w:lineRule="auto"/>
              <w:rPr>
                <w:rFonts w:hint="eastAsia"/>
                <w:bCs/>
                <w:color w:val="auto"/>
                <w:sz w:val="21"/>
                <w:szCs w:val="21"/>
                <w:highlight w:val="none"/>
                <w:lang w:eastAsia="zh-CN"/>
              </w:rPr>
            </w:pPr>
            <w:r>
              <w:rPr>
                <w:rFonts w:hint="eastAsia"/>
                <w:bCs/>
                <w:color w:val="auto"/>
                <w:sz w:val="21"/>
                <w:szCs w:val="21"/>
                <w:highlight w:val="none"/>
                <w:lang w:eastAsia="zh-CN"/>
              </w:rPr>
              <w:t>第三档（3分）：根据项目特点，提供应急处置方案，包括但不限于应急演练、应急预案、应急响应团队、应急处理流程、应急资源调度等。完整覆盖本档全部指定内容，满足本档全部内容要求；</w:t>
            </w:r>
          </w:p>
          <w:p w14:paraId="42B22571">
            <w:pPr>
              <w:pStyle w:val="32"/>
              <w:spacing w:before="71" w:line="360" w:lineRule="auto"/>
              <w:rPr>
                <w:rFonts w:hint="eastAsia"/>
                <w:color w:val="auto"/>
                <w:spacing w:val="8"/>
                <w:sz w:val="21"/>
                <w:szCs w:val="21"/>
                <w:highlight w:val="none"/>
                <w:lang w:eastAsia="zh-CN"/>
              </w:rPr>
            </w:pPr>
            <w:r>
              <w:rPr>
                <w:rFonts w:hint="eastAsia"/>
                <w:b/>
                <w:bCs/>
                <w:color w:val="auto"/>
                <w:spacing w:val="8"/>
                <w:sz w:val="21"/>
                <w:szCs w:val="21"/>
                <w:highlight w:val="none"/>
                <w:lang w:eastAsia="zh-CN"/>
              </w:rPr>
              <w:t>注：响应文件中未提供方案或所提供的方案不满足以上进档要求的，得0分。</w:t>
            </w:r>
          </w:p>
        </w:tc>
        <w:tc>
          <w:tcPr>
            <w:tcW w:w="738" w:type="dxa"/>
            <w:tcBorders>
              <w:top w:val="single" w:color="auto" w:sz="4" w:space="0"/>
              <w:left w:val="single" w:color="000000" w:sz="4" w:space="0"/>
              <w:bottom w:val="single" w:color="auto" w:sz="4" w:space="0"/>
              <w:right w:val="single" w:color="auto" w:sz="4" w:space="0"/>
            </w:tcBorders>
            <w:vAlign w:val="center"/>
          </w:tcPr>
          <w:p w14:paraId="4753449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p>
        </w:tc>
      </w:tr>
      <w:tr w14:paraId="36A589FC">
        <w:tblPrEx>
          <w:tblCellMar>
            <w:top w:w="0" w:type="dxa"/>
            <w:left w:w="108" w:type="dxa"/>
            <w:bottom w:w="0" w:type="dxa"/>
            <w:right w:w="108" w:type="dxa"/>
          </w:tblCellMar>
        </w:tblPrEx>
        <w:trPr>
          <w:trHeight w:val="690" w:hRule="atLeast"/>
        </w:trPr>
        <w:tc>
          <w:tcPr>
            <w:tcW w:w="701" w:type="dxa"/>
            <w:tcBorders>
              <w:top w:val="single" w:color="auto" w:sz="4" w:space="0"/>
              <w:left w:val="single" w:color="auto" w:sz="4" w:space="0"/>
              <w:bottom w:val="single" w:color="auto" w:sz="4" w:space="0"/>
              <w:right w:val="single" w:color="000000" w:sz="4" w:space="0"/>
            </w:tcBorders>
            <w:vAlign w:val="center"/>
          </w:tcPr>
          <w:p w14:paraId="065B7B4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2.6</w:t>
            </w:r>
          </w:p>
        </w:tc>
        <w:tc>
          <w:tcPr>
            <w:tcW w:w="1734" w:type="dxa"/>
            <w:tcBorders>
              <w:top w:val="single" w:color="auto" w:sz="4" w:space="0"/>
              <w:left w:val="single" w:color="000000" w:sz="4" w:space="0"/>
              <w:bottom w:val="single" w:color="auto" w:sz="4" w:space="0"/>
              <w:right w:val="single" w:color="000000" w:sz="4" w:space="0"/>
            </w:tcBorders>
            <w:vAlign w:val="center"/>
          </w:tcPr>
          <w:p w14:paraId="7E944A0C">
            <w:pPr>
              <w:pStyle w:val="32"/>
              <w:spacing w:before="65" w:line="360" w:lineRule="auto"/>
              <w:ind w:left="121" w:right="28" w:hanging="9"/>
              <w:jc w:val="center"/>
              <w:rPr>
                <w:rFonts w:hint="eastAsia"/>
                <w:color w:val="auto"/>
                <w:spacing w:val="8"/>
                <w:sz w:val="21"/>
                <w:szCs w:val="21"/>
                <w:highlight w:val="none"/>
                <w:lang w:eastAsia="zh-CN"/>
              </w:rPr>
            </w:pPr>
            <w:r>
              <w:rPr>
                <w:rFonts w:hint="eastAsia"/>
                <w:color w:val="auto"/>
                <w:spacing w:val="8"/>
                <w:sz w:val="21"/>
                <w:szCs w:val="21"/>
                <w:highlight w:val="none"/>
                <w:lang w:eastAsia="zh-CN"/>
              </w:rPr>
              <w:t>硬件设备维保服务方案（满分10分）</w:t>
            </w:r>
          </w:p>
          <w:p w14:paraId="19E99B9C">
            <w:pPr>
              <w:pStyle w:val="32"/>
              <w:spacing w:before="65" w:line="360" w:lineRule="auto"/>
              <w:ind w:left="121" w:right="28" w:hanging="9"/>
              <w:jc w:val="center"/>
              <w:rPr>
                <w:rFonts w:hint="eastAsia"/>
                <w:color w:val="auto"/>
                <w:spacing w:val="8"/>
                <w:sz w:val="21"/>
                <w:szCs w:val="21"/>
                <w:highlight w:val="none"/>
                <w:lang w:eastAsia="zh-CN"/>
              </w:rPr>
            </w:pPr>
          </w:p>
        </w:tc>
        <w:tc>
          <w:tcPr>
            <w:tcW w:w="6761" w:type="dxa"/>
            <w:tcBorders>
              <w:top w:val="single" w:color="auto" w:sz="4" w:space="0"/>
              <w:left w:val="single" w:color="000000" w:sz="4" w:space="0"/>
              <w:bottom w:val="single" w:color="auto" w:sz="4" w:space="0"/>
              <w:right w:val="single" w:color="000000" w:sz="4" w:space="0"/>
            </w:tcBorders>
          </w:tcPr>
          <w:p w14:paraId="32035CDB">
            <w:pPr>
              <w:pStyle w:val="32"/>
              <w:tabs>
                <w:tab w:val="left" w:pos="691"/>
              </w:tabs>
              <w:spacing w:line="360" w:lineRule="auto"/>
              <w:rPr>
                <w:rFonts w:hint="eastAsia"/>
                <w:bCs/>
                <w:color w:val="auto"/>
                <w:szCs w:val="21"/>
                <w:highlight w:val="none"/>
                <w:lang w:eastAsia="zh-CN"/>
              </w:rPr>
            </w:pPr>
            <w:r>
              <w:rPr>
                <w:rFonts w:hint="eastAsia"/>
                <w:color w:val="auto"/>
                <w:spacing w:val="8"/>
                <w:sz w:val="21"/>
                <w:szCs w:val="21"/>
                <w:highlight w:val="none"/>
                <w:lang w:eastAsia="zh-CN"/>
              </w:rPr>
              <w:t>第一档（3分）：方案覆盖定期巡检、预防性维护、故障维修、固件升级、服务报告等。提供明确的服务响应与时效承诺，且明确承诺电话响应≤10分钟、远程接入诊断≤30分钟；现场到场时间：同城≤1小时；故障修复时间：普通故障≤4小时、严重故障≤12小时等模块。</w:t>
            </w:r>
            <w:r>
              <w:rPr>
                <w:rFonts w:hint="eastAsia"/>
                <w:bCs/>
                <w:color w:val="auto"/>
                <w:sz w:val="21"/>
                <w:szCs w:val="21"/>
                <w:highlight w:val="none"/>
                <w:lang w:eastAsia="zh-CN"/>
              </w:rPr>
              <w:t>仅覆盖本档规定内容，满足本档全部内容要求</w:t>
            </w:r>
          </w:p>
          <w:p w14:paraId="460E0557">
            <w:pPr>
              <w:pStyle w:val="32"/>
              <w:tabs>
                <w:tab w:val="left" w:pos="691"/>
              </w:tabs>
              <w:spacing w:line="360" w:lineRule="auto"/>
              <w:rPr>
                <w:rFonts w:hint="eastAsia"/>
                <w:bCs/>
                <w:color w:val="auto"/>
                <w:sz w:val="21"/>
                <w:szCs w:val="21"/>
                <w:highlight w:val="none"/>
                <w:lang w:eastAsia="zh-CN"/>
              </w:rPr>
            </w:pPr>
            <w:r>
              <w:rPr>
                <w:rFonts w:hint="eastAsia"/>
                <w:bCs/>
                <w:color w:val="auto"/>
                <w:sz w:val="21"/>
                <w:szCs w:val="21"/>
                <w:highlight w:val="none"/>
                <w:lang w:eastAsia="zh-CN"/>
              </w:rPr>
              <w:t>；</w:t>
            </w:r>
          </w:p>
          <w:p w14:paraId="22EFB4E5">
            <w:pPr>
              <w:pStyle w:val="32"/>
              <w:tabs>
                <w:tab w:val="left" w:pos="691"/>
              </w:tabs>
              <w:spacing w:line="360" w:lineRule="auto"/>
              <w:rPr>
                <w:rFonts w:hint="eastAsia"/>
                <w:bCs/>
                <w:color w:val="auto"/>
                <w:sz w:val="21"/>
                <w:szCs w:val="21"/>
                <w:highlight w:val="none"/>
                <w:lang w:eastAsia="zh-CN"/>
              </w:rPr>
            </w:pPr>
            <w:r>
              <w:rPr>
                <w:rFonts w:hint="eastAsia"/>
                <w:bCs/>
                <w:color w:val="auto"/>
                <w:sz w:val="21"/>
                <w:szCs w:val="21"/>
                <w:highlight w:val="none"/>
                <w:lang w:eastAsia="zh-CN"/>
              </w:rPr>
              <w:t>第二档（6分）：方案覆盖定期巡检、预防性维护、故障维修、固件升级、服务报告等。提供明确的服务响应与时效承诺，且明确承诺电话响应≤5分钟、远程接入诊断≤20分钟；现场到场时间：同城≤1小时；故障修复时间：普通故障≤2小时、严重故障≤8小时等。提供完整的备品备件保障能力、备件更换与测试等。完整覆盖本档规定内容，满足本档全部内容要求；</w:t>
            </w:r>
          </w:p>
          <w:p w14:paraId="60FB8A4F">
            <w:pPr>
              <w:pStyle w:val="32"/>
              <w:tabs>
                <w:tab w:val="left" w:pos="691"/>
              </w:tabs>
              <w:spacing w:line="360" w:lineRule="auto"/>
              <w:rPr>
                <w:rFonts w:hint="eastAsia"/>
                <w:bCs/>
                <w:color w:val="auto"/>
                <w:sz w:val="21"/>
                <w:szCs w:val="21"/>
                <w:highlight w:val="none"/>
                <w:lang w:eastAsia="zh-CN"/>
              </w:rPr>
            </w:pPr>
            <w:r>
              <w:rPr>
                <w:rFonts w:hint="eastAsia"/>
                <w:bCs/>
                <w:color w:val="auto"/>
                <w:sz w:val="21"/>
                <w:szCs w:val="21"/>
                <w:highlight w:val="none"/>
                <w:lang w:eastAsia="zh-CN"/>
              </w:rPr>
              <w:t>第三档（10分）：方案覆盖定期巡检、预防性维护、故障维修、固件升级、服务报告等。提供明确的服务响应与时效承诺，且明确承诺电话响应≤5分钟、远程接入诊断≤20分钟；现场到场时间：同城≤1小时；故障修复时间：普通故障≤2小时、严重故障≤8小时等。提供完整的备品备件保障能力、备件更换与测试等。提供完整的维保管理体系，建立完善的ITIL标准化运维流程，覆盖事件管理、问题管理、变更管理、配置管理及发布管理五大核心领域。完整覆盖本档全部规定内容，满足本档全部内容要求；</w:t>
            </w:r>
          </w:p>
          <w:p w14:paraId="2CF5DFBA">
            <w:pPr>
              <w:pStyle w:val="32"/>
              <w:spacing w:before="71" w:line="360" w:lineRule="auto"/>
              <w:rPr>
                <w:rFonts w:hint="eastAsia"/>
                <w:color w:val="auto"/>
                <w:spacing w:val="8"/>
                <w:sz w:val="21"/>
                <w:szCs w:val="21"/>
                <w:highlight w:val="none"/>
                <w:lang w:eastAsia="zh-CN"/>
              </w:rPr>
            </w:pPr>
            <w:r>
              <w:rPr>
                <w:rFonts w:hint="eastAsia"/>
                <w:b/>
                <w:bCs/>
                <w:color w:val="auto"/>
                <w:spacing w:val="8"/>
                <w:sz w:val="21"/>
                <w:szCs w:val="21"/>
                <w:highlight w:val="none"/>
                <w:lang w:eastAsia="zh-CN"/>
              </w:rPr>
              <w:t>注：响应文件中未提供方案或所提供的方案不满足以上进档要求的，得0分。</w:t>
            </w:r>
          </w:p>
        </w:tc>
        <w:tc>
          <w:tcPr>
            <w:tcW w:w="738" w:type="dxa"/>
            <w:tcBorders>
              <w:top w:val="single" w:color="auto" w:sz="4" w:space="0"/>
              <w:left w:val="single" w:color="000000" w:sz="4" w:space="0"/>
              <w:bottom w:val="single" w:color="auto" w:sz="4" w:space="0"/>
              <w:right w:val="single" w:color="auto" w:sz="4" w:space="0"/>
            </w:tcBorders>
            <w:vAlign w:val="center"/>
          </w:tcPr>
          <w:p w14:paraId="6F94B30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10</w:t>
            </w:r>
          </w:p>
        </w:tc>
      </w:tr>
      <w:tr w14:paraId="311EACEF">
        <w:tblPrEx>
          <w:tblCellMar>
            <w:top w:w="0" w:type="dxa"/>
            <w:left w:w="108" w:type="dxa"/>
            <w:bottom w:w="0" w:type="dxa"/>
            <w:right w:w="108" w:type="dxa"/>
          </w:tblCellMar>
        </w:tblPrEx>
        <w:trPr>
          <w:trHeight w:val="690" w:hRule="atLeast"/>
        </w:trPr>
        <w:tc>
          <w:tcPr>
            <w:tcW w:w="701" w:type="dxa"/>
            <w:tcBorders>
              <w:top w:val="single" w:color="auto" w:sz="4" w:space="0"/>
              <w:left w:val="single" w:color="auto" w:sz="4" w:space="0"/>
              <w:bottom w:val="single" w:color="auto" w:sz="4" w:space="0"/>
              <w:right w:val="single" w:color="000000" w:sz="4" w:space="0"/>
            </w:tcBorders>
            <w:vAlign w:val="center"/>
          </w:tcPr>
          <w:p w14:paraId="07AB4C1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2.7</w:t>
            </w:r>
          </w:p>
        </w:tc>
        <w:tc>
          <w:tcPr>
            <w:tcW w:w="1734" w:type="dxa"/>
            <w:tcBorders>
              <w:top w:val="single" w:color="auto" w:sz="4" w:space="0"/>
              <w:left w:val="single" w:color="000000" w:sz="4" w:space="0"/>
              <w:bottom w:val="single" w:color="auto" w:sz="4" w:space="0"/>
              <w:right w:val="single" w:color="000000" w:sz="4" w:space="0"/>
            </w:tcBorders>
            <w:vAlign w:val="center"/>
          </w:tcPr>
          <w:p w14:paraId="5191A82D">
            <w:pPr>
              <w:pStyle w:val="32"/>
              <w:tabs>
                <w:tab w:val="left" w:pos="647"/>
              </w:tabs>
              <w:spacing w:before="65" w:line="360" w:lineRule="auto"/>
              <w:ind w:left="121" w:right="28" w:hanging="9"/>
              <w:jc w:val="left"/>
              <w:rPr>
                <w:rFonts w:hint="eastAsia"/>
                <w:color w:val="auto"/>
                <w:spacing w:val="8"/>
                <w:sz w:val="21"/>
                <w:szCs w:val="21"/>
                <w:highlight w:val="none"/>
                <w:lang w:eastAsia="zh-CN"/>
              </w:rPr>
            </w:pPr>
            <w:r>
              <w:rPr>
                <w:rFonts w:hint="eastAsia"/>
                <w:color w:val="auto"/>
                <w:spacing w:val="8"/>
                <w:sz w:val="21"/>
                <w:szCs w:val="21"/>
                <w:highlight w:val="none"/>
                <w:lang w:eastAsia="zh-CN"/>
              </w:rPr>
              <w:tab/>
            </w:r>
            <w:r>
              <w:rPr>
                <w:rFonts w:hint="eastAsia"/>
                <w:color w:val="auto"/>
                <w:spacing w:val="8"/>
                <w:sz w:val="21"/>
                <w:szCs w:val="21"/>
                <w:highlight w:val="none"/>
                <w:lang w:eastAsia="zh-CN"/>
              </w:rPr>
              <w:t>云平台资源优化方案（满分10分）</w:t>
            </w:r>
          </w:p>
          <w:p w14:paraId="5BEDA02F">
            <w:pPr>
              <w:pStyle w:val="32"/>
              <w:tabs>
                <w:tab w:val="left" w:pos="647"/>
              </w:tabs>
              <w:spacing w:before="65" w:line="360" w:lineRule="auto"/>
              <w:ind w:left="121" w:right="28" w:hanging="9"/>
              <w:jc w:val="left"/>
              <w:rPr>
                <w:rFonts w:hint="eastAsia"/>
                <w:color w:val="auto"/>
                <w:spacing w:val="8"/>
                <w:sz w:val="21"/>
                <w:szCs w:val="21"/>
                <w:highlight w:val="none"/>
                <w:lang w:eastAsia="zh-CN"/>
              </w:rPr>
            </w:pPr>
          </w:p>
        </w:tc>
        <w:tc>
          <w:tcPr>
            <w:tcW w:w="6761" w:type="dxa"/>
            <w:tcBorders>
              <w:top w:val="single" w:color="auto" w:sz="4" w:space="0"/>
              <w:left w:val="single" w:color="000000" w:sz="4" w:space="0"/>
              <w:bottom w:val="single" w:color="auto" w:sz="4" w:space="0"/>
              <w:right w:val="single" w:color="000000" w:sz="4" w:space="0"/>
            </w:tcBorders>
          </w:tcPr>
          <w:p w14:paraId="4627231C">
            <w:pPr>
              <w:pStyle w:val="32"/>
              <w:tabs>
                <w:tab w:val="left" w:pos="691"/>
              </w:tabs>
              <w:spacing w:line="360" w:lineRule="auto"/>
              <w:rPr>
                <w:rFonts w:hint="eastAsia"/>
                <w:bCs/>
                <w:color w:val="auto"/>
                <w:sz w:val="21"/>
                <w:szCs w:val="21"/>
                <w:highlight w:val="none"/>
                <w:lang w:eastAsia="zh-CN"/>
              </w:rPr>
            </w:pPr>
            <w:r>
              <w:rPr>
                <w:rFonts w:hint="eastAsia"/>
                <w:color w:val="auto"/>
                <w:spacing w:val="8"/>
                <w:sz w:val="21"/>
                <w:szCs w:val="21"/>
                <w:highlight w:val="none"/>
                <w:lang w:eastAsia="zh-CN"/>
              </w:rPr>
              <w:t>第一档（3分）：针对本期项目，分析现有云平台资源现状、提出优化方案。</w:t>
            </w:r>
            <w:r>
              <w:rPr>
                <w:rFonts w:hint="eastAsia"/>
                <w:bCs/>
                <w:color w:val="auto"/>
                <w:sz w:val="21"/>
                <w:szCs w:val="21"/>
                <w:highlight w:val="none"/>
                <w:lang w:eastAsia="zh-CN"/>
              </w:rPr>
              <w:t>覆盖本档规定内容，满足本档全部内容要求；</w:t>
            </w:r>
          </w:p>
          <w:p w14:paraId="667AC28F">
            <w:pPr>
              <w:pStyle w:val="32"/>
              <w:tabs>
                <w:tab w:val="left" w:pos="691"/>
              </w:tabs>
              <w:spacing w:line="360" w:lineRule="auto"/>
              <w:rPr>
                <w:rFonts w:hint="eastAsia"/>
                <w:bCs/>
                <w:color w:val="auto"/>
                <w:sz w:val="21"/>
                <w:szCs w:val="21"/>
                <w:highlight w:val="none"/>
                <w:lang w:eastAsia="zh-CN"/>
              </w:rPr>
            </w:pPr>
            <w:r>
              <w:rPr>
                <w:rFonts w:hint="eastAsia"/>
                <w:bCs/>
                <w:color w:val="auto"/>
                <w:sz w:val="21"/>
                <w:szCs w:val="21"/>
                <w:highlight w:val="none"/>
                <w:lang w:eastAsia="zh-CN"/>
              </w:rPr>
              <w:t>第二档（6分）：针对本期项目，分析现有云平台资源现状、提出优化方案，方案含计算资源、存储资源、数据库资源等。完整覆盖本档规定内容，满足本档全部内容要求；</w:t>
            </w:r>
          </w:p>
          <w:p w14:paraId="0E86DC8A">
            <w:pPr>
              <w:pStyle w:val="32"/>
              <w:tabs>
                <w:tab w:val="left" w:pos="691"/>
              </w:tabs>
              <w:spacing w:line="360" w:lineRule="auto"/>
              <w:rPr>
                <w:rFonts w:hint="eastAsia"/>
                <w:color w:val="auto"/>
                <w:spacing w:val="8"/>
                <w:sz w:val="21"/>
                <w:szCs w:val="21"/>
                <w:highlight w:val="none"/>
                <w:lang w:eastAsia="zh-CN"/>
              </w:rPr>
            </w:pPr>
            <w:r>
              <w:rPr>
                <w:rFonts w:hint="eastAsia"/>
                <w:bCs/>
                <w:color w:val="auto"/>
                <w:sz w:val="21"/>
                <w:szCs w:val="21"/>
                <w:highlight w:val="none"/>
                <w:lang w:eastAsia="zh-CN"/>
              </w:rPr>
              <w:t>第三档（10分）：针对本期项目，分析现有云平台资源现状，能对现有云资源进行全量盘点，出具完整的资源清单（计算实例、存储卷、数据库、镜像等），标注当前配置规格、容量及所属业务系统。能结合现状提出优化方案，方案含计算资源、存储资源、数据库资源等。能绘制业务流量拓扑图，标注关键链路的传输瓶颈。</w:t>
            </w:r>
            <w:r>
              <w:rPr>
                <w:rFonts w:hint="eastAsia"/>
                <w:bCs/>
                <w:color w:val="auto"/>
                <w:sz w:val="21"/>
                <w:szCs w:val="21"/>
                <w:highlight w:val="none"/>
                <w:lang w:eastAsia="zh-CN" w:bidi="ar"/>
              </w:rPr>
              <w:t>完整覆盖本档全部规定内容，满足本档全部内容要求。</w:t>
            </w:r>
          </w:p>
          <w:p w14:paraId="66C765E2">
            <w:pPr>
              <w:pStyle w:val="32"/>
              <w:spacing w:before="71" w:line="360" w:lineRule="auto"/>
              <w:rPr>
                <w:rFonts w:hint="eastAsia"/>
                <w:b/>
                <w:bCs/>
                <w:color w:val="auto"/>
                <w:spacing w:val="8"/>
                <w:sz w:val="21"/>
                <w:szCs w:val="21"/>
                <w:highlight w:val="none"/>
                <w:lang w:eastAsia="zh-CN"/>
              </w:rPr>
            </w:pPr>
            <w:r>
              <w:rPr>
                <w:rFonts w:hint="eastAsia"/>
                <w:b/>
                <w:bCs/>
                <w:color w:val="auto"/>
                <w:spacing w:val="8"/>
                <w:sz w:val="21"/>
                <w:szCs w:val="21"/>
                <w:highlight w:val="none"/>
                <w:lang w:eastAsia="zh-CN"/>
              </w:rPr>
              <w:t>注：响应文件中未提供方案或所提供的方案不满足以上进档要求的，得0分。</w:t>
            </w:r>
          </w:p>
        </w:tc>
        <w:tc>
          <w:tcPr>
            <w:tcW w:w="738" w:type="dxa"/>
            <w:tcBorders>
              <w:top w:val="single" w:color="auto" w:sz="4" w:space="0"/>
              <w:left w:val="single" w:color="000000" w:sz="4" w:space="0"/>
              <w:bottom w:val="single" w:color="auto" w:sz="4" w:space="0"/>
              <w:right w:val="single" w:color="auto" w:sz="4" w:space="0"/>
            </w:tcBorders>
            <w:vAlign w:val="center"/>
          </w:tcPr>
          <w:p w14:paraId="0A9C817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10</w:t>
            </w:r>
          </w:p>
        </w:tc>
      </w:tr>
      <w:tr w14:paraId="5ECA9144">
        <w:tblPrEx>
          <w:tblCellMar>
            <w:top w:w="0" w:type="dxa"/>
            <w:left w:w="108" w:type="dxa"/>
            <w:bottom w:w="0" w:type="dxa"/>
            <w:right w:w="108" w:type="dxa"/>
          </w:tblCellMar>
        </w:tblPrEx>
        <w:trPr>
          <w:trHeight w:val="690" w:hRule="atLeast"/>
        </w:trPr>
        <w:tc>
          <w:tcPr>
            <w:tcW w:w="701" w:type="dxa"/>
            <w:tcBorders>
              <w:top w:val="single" w:color="auto" w:sz="4" w:space="0"/>
              <w:left w:val="single" w:color="auto" w:sz="4" w:space="0"/>
              <w:bottom w:val="single" w:color="auto" w:sz="4" w:space="0"/>
              <w:right w:val="single" w:color="000000" w:sz="4" w:space="0"/>
            </w:tcBorders>
            <w:vAlign w:val="center"/>
          </w:tcPr>
          <w:p w14:paraId="00DD215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2.8</w:t>
            </w:r>
          </w:p>
        </w:tc>
        <w:tc>
          <w:tcPr>
            <w:tcW w:w="1734" w:type="dxa"/>
            <w:tcBorders>
              <w:top w:val="single" w:color="auto" w:sz="4" w:space="0"/>
              <w:left w:val="single" w:color="000000" w:sz="4" w:space="0"/>
              <w:bottom w:val="single" w:color="auto" w:sz="4" w:space="0"/>
              <w:right w:val="single" w:color="000000" w:sz="4" w:space="0"/>
            </w:tcBorders>
            <w:vAlign w:val="center"/>
          </w:tcPr>
          <w:p w14:paraId="3E55029D">
            <w:pPr>
              <w:pStyle w:val="32"/>
              <w:tabs>
                <w:tab w:val="left" w:pos="647"/>
              </w:tabs>
              <w:spacing w:before="65" w:line="360" w:lineRule="auto"/>
              <w:ind w:left="121" w:right="28" w:hanging="9"/>
              <w:jc w:val="left"/>
              <w:rPr>
                <w:rFonts w:hint="eastAsia"/>
                <w:color w:val="auto"/>
                <w:spacing w:val="8"/>
                <w:sz w:val="21"/>
                <w:szCs w:val="21"/>
                <w:highlight w:val="none"/>
                <w:lang w:eastAsia="zh-CN"/>
              </w:rPr>
            </w:pPr>
            <w:r>
              <w:rPr>
                <w:rFonts w:hint="eastAsia"/>
                <w:color w:val="auto"/>
                <w:spacing w:val="8"/>
                <w:sz w:val="21"/>
                <w:szCs w:val="21"/>
                <w:highlight w:val="none"/>
                <w:lang w:eastAsia="zh-CN"/>
              </w:rPr>
              <w:t>医保网络运维服务方案(满分12分)</w:t>
            </w:r>
          </w:p>
        </w:tc>
        <w:tc>
          <w:tcPr>
            <w:tcW w:w="6761" w:type="dxa"/>
            <w:tcBorders>
              <w:top w:val="single" w:color="auto" w:sz="4" w:space="0"/>
              <w:left w:val="single" w:color="000000" w:sz="4" w:space="0"/>
              <w:bottom w:val="single" w:color="auto" w:sz="4" w:space="0"/>
              <w:right w:val="single" w:color="000000" w:sz="4" w:space="0"/>
            </w:tcBorders>
          </w:tcPr>
          <w:p w14:paraId="5E520C1D">
            <w:pPr>
              <w:pStyle w:val="32"/>
              <w:tabs>
                <w:tab w:val="left" w:pos="691"/>
              </w:tabs>
              <w:spacing w:line="360" w:lineRule="auto"/>
              <w:rPr>
                <w:rFonts w:hint="eastAsia"/>
                <w:bCs/>
                <w:color w:val="auto"/>
                <w:sz w:val="21"/>
                <w:szCs w:val="21"/>
                <w:highlight w:val="none"/>
                <w:lang w:eastAsia="zh-CN"/>
              </w:rPr>
            </w:pPr>
            <w:r>
              <w:rPr>
                <w:rFonts w:hint="eastAsia"/>
                <w:color w:val="auto"/>
                <w:spacing w:val="8"/>
                <w:sz w:val="21"/>
                <w:szCs w:val="21"/>
                <w:highlight w:val="none"/>
                <w:lang w:eastAsia="zh-CN"/>
              </w:rPr>
              <w:t>第一档（4分）：结合医保网络设备现状，绘制详细的二层/三层网络拓扑，提出网络优化方案。梳理现有网络链路，识别拥塞链路并分析成因。识别网络设备安全配置基线进行全面检查（SNMP版本、Telnet/SSH协议、ACL策略合理性、端口安全、ARP防护等</w:t>
            </w:r>
            <w:r>
              <w:rPr>
                <w:rFonts w:hint="eastAsia"/>
                <w:bCs/>
                <w:color w:val="auto"/>
                <w:sz w:val="21"/>
                <w:szCs w:val="21"/>
                <w:highlight w:val="none"/>
                <w:lang w:eastAsia="zh-CN"/>
              </w:rPr>
              <w:t>）。仅覆盖本档规定内容，满足本档全部内容要求。</w:t>
            </w:r>
          </w:p>
          <w:p w14:paraId="0CA799FE">
            <w:pPr>
              <w:pStyle w:val="32"/>
              <w:tabs>
                <w:tab w:val="left" w:pos="691"/>
              </w:tabs>
              <w:spacing w:line="360" w:lineRule="auto"/>
              <w:rPr>
                <w:rFonts w:hint="eastAsia"/>
                <w:bCs/>
                <w:color w:val="auto"/>
                <w:sz w:val="21"/>
                <w:szCs w:val="21"/>
                <w:highlight w:val="none"/>
                <w:lang w:eastAsia="zh-CN"/>
              </w:rPr>
            </w:pPr>
            <w:r>
              <w:rPr>
                <w:rFonts w:hint="eastAsia"/>
                <w:bCs/>
                <w:color w:val="auto"/>
                <w:sz w:val="21"/>
                <w:szCs w:val="21"/>
                <w:highlight w:val="none"/>
                <w:lang w:eastAsia="zh-CN"/>
              </w:rPr>
              <w:t>第二档（8分）：结合医保网络设备现状，绘制详细的二层/三层网络拓扑，提出网络优化方案。梳理现有网络链路，识别拥塞链路并分析成因。识别网络设备安全配置基线进行全面检查（SNMP版本、Telnet/SSH协议、ACL策略合理性、端口安全、ARP防护等）。提供网络运维服务方案，覆盖日常运维与巡检、网络监控与告警处理、网络变更管理与风险控制等。完整覆盖本档规定内容，满足本档全部内容要求；</w:t>
            </w:r>
          </w:p>
          <w:p w14:paraId="14CB5681">
            <w:pPr>
              <w:pStyle w:val="32"/>
              <w:tabs>
                <w:tab w:val="left" w:pos="691"/>
              </w:tabs>
              <w:spacing w:line="360" w:lineRule="auto"/>
              <w:rPr>
                <w:rFonts w:hint="eastAsia"/>
                <w:color w:val="auto"/>
                <w:spacing w:val="8"/>
                <w:sz w:val="21"/>
                <w:szCs w:val="21"/>
                <w:highlight w:val="none"/>
                <w:lang w:eastAsia="zh-CN"/>
              </w:rPr>
            </w:pPr>
            <w:r>
              <w:rPr>
                <w:rFonts w:hint="eastAsia"/>
                <w:bCs/>
                <w:color w:val="auto"/>
                <w:sz w:val="21"/>
                <w:szCs w:val="21"/>
                <w:highlight w:val="none"/>
                <w:lang w:eastAsia="zh-CN"/>
              </w:rPr>
              <w:t>第三档（11分）：结合医保网络设备现状，绘制详细的二层/三层网络拓扑，提出网络优化方案。梳理现有网络链路，识别拥塞链路并分析成因。识别网络设备安全配置基线进行全面检查（SNMP版本、Telnet/SSH协议、ACL策略合理性、端口安全、ARP防护等）。提供网络运维服务方案，覆盖日常运维与巡检、网络监控与告警处理、网络变更管理与风险控制。提供完善的终端接入（GRE）服务方案，包含：GRE现状分析、优化方案。</w:t>
            </w:r>
            <w:r>
              <w:rPr>
                <w:rFonts w:hint="eastAsia"/>
                <w:bCs/>
                <w:color w:val="auto"/>
                <w:sz w:val="21"/>
                <w:szCs w:val="21"/>
                <w:highlight w:val="none"/>
                <w:lang w:eastAsia="zh-CN" w:bidi="ar"/>
              </w:rPr>
              <w:t>完整覆盖本档全部规定内容，满足本档全部内容要求</w:t>
            </w:r>
            <w:r>
              <w:rPr>
                <w:rFonts w:hint="eastAsia"/>
                <w:color w:val="auto"/>
                <w:spacing w:val="8"/>
                <w:sz w:val="21"/>
                <w:szCs w:val="21"/>
                <w:highlight w:val="none"/>
                <w:lang w:eastAsia="zh-CN"/>
              </w:rPr>
              <w:t>。</w:t>
            </w:r>
          </w:p>
          <w:p w14:paraId="57C2534D">
            <w:pPr>
              <w:pStyle w:val="32"/>
              <w:spacing w:before="71" w:line="360" w:lineRule="auto"/>
              <w:rPr>
                <w:rFonts w:hint="eastAsia"/>
                <w:b/>
                <w:bCs/>
                <w:color w:val="auto"/>
                <w:spacing w:val="8"/>
                <w:sz w:val="21"/>
                <w:szCs w:val="21"/>
                <w:highlight w:val="none"/>
                <w:lang w:eastAsia="zh-CN"/>
              </w:rPr>
            </w:pPr>
            <w:r>
              <w:rPr>
                <w:rFonts w:hint="eastAsia"/>
                <w:b/>
                <w:bCs/>
                <w:color w:val="auto"/>
                <w:spacing w:val="8"/>
                <w:sz w:val="21"/>
                <w:szCs w:val="21"/>
                <w:highlight w:val="none"/>
                <w:lang w:eastAsia="zh-CN"/>
              </w:rPr>
              <w:t>注：响应文件中未提供方案或所提供的方案不满足以上进档要求的，得0分。</w:t>
            </w:r>
          </w:p>
        </w:tc>
        <w:tc>
          <w:tcPr>
            <w:tcW w:w="738" w:type="dxa"/>
            <w:tcBorders>
              <w:top w:val="single" w:color="auto" w:sz="4" w:space="0"/>
              <w:left w:val="single" w:color="000000" w:sz="4" w:space="0"/>
              <w:bottom w:val="single" w:color="auto" w:sz="4" w:space="0"/>
              <w:right w:val="single" w:color="auto" w:sz="4" w:space="0"/>
            </w:tcBorders>
            <w:vAlign w:val="center"/>
          </w:tcPr>
          <w:p w14:paraId="550292E7">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w:t>
            </w:r>
          </w:p>
        </w:tc>
      </w:tr>
      <w:tr w14:paraId="232B7177">
        <w:tblPrEx>
          <w:tblCellMar>
            <w:top w:w="0" w:type="dxa"/>
            <w:left w:w="108" w:type="dxa"/>
            <w:bottom w:w="0" w:type="dxa"/>
            <w:right w:w="108" w:type="dxa"/>
          </w:tblCellMar>
        </w:tblPrEx>
        <w:trPr>
          <w:trHeight w:val="495" w:hRule="atLeast"/>
        </w:trPr>
        <w:tc>
          <w:tcPr>
            <w:tcW w:w="701" w:type="dxa"/>
            <w:tcBorders>
              <w:top w:val="single" w:color="auto" w:sz="4" w:space="0"/>
              <w:left w:val="single" w:color="000000" w:sz="4" w:space="0"/>
              <w:bottom w:val="single" w:color="000000" w:sz="4" w:space="0"/>
              <w:right w:val="single" w:color="000000" w:sz="4" w:space="0"/>
            </w:tcBorders>
            <w:vAlign w:val="center"/>
          </w:tcPr>
          <w:p w14:paraId="1C33C661">
            <w:pPr>
              <w:widowControl/>
              <w:spacing w:line="360" w:lineRule="auto"/>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3</w:t>
            </w:r>
          </w:p>
        </w:tc>
        <w:tc>
          <w:tcPr>
            <w:tcW w:w="8495" w:type="dxa"/>
            <w:gridSpan w:val="2"/>
            <w:tcBorders>
              <w:top w:val="single" w:color="auto" w:sz="4" w:space="0"/>
              <w:left w:val="single" w:color="000000" w:sz="4" w:space="0"/>
              <w:bottom w:val="single" w:color="000000" w:sz="4" w:space="0"/>
              <w:right w:val="single" w:color="000000" w:sz="4" w:space="0"/>
            </w:tcBorders>
            <w:vAlign w:val="center"/>
          </w:tcPr>
          <w:p w14:paraId="094E4791">
            <w:pPr>
              <w:widowControl/>
              <w:spacing w:line="360" w:lineRule="auto"/>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商务分</w:t>
            </w:r>
          </w:p>
        </w:tc>
        <w:tc>
          <w:tcPr>
            <w:tcW w:w="738" w:type="dxa"/>
            <w:tcBorders>
              <w:top w:val="single" w:color="auto" w:sz="4" w:space="0"/>
              <w:left w:val="single" w:color="000000" w:sz="4" w:space="0"/>
              <w:bottom w:val="single" w:color="000000" w:sz="4" w:space="0"/>
              <w:right w:val="single" w:color="000000" w:sz="4" w:space="0"/>
            </w:tcBorders>
            <w:vAlign w:val="center"/>
          </w:tcPr>
          <w:p w14:paraId="1B1C2E5D">
            <w:pPr>
              <w:widowControl/>
              <w:spacing w:line="360" w:lineRule="auto"/>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30</w:t>
            </w:r>
          </w:p>
        </w:tc>
      </w:tr>
      <w:tr w14:paraId="5657525C">
        <w:tblPrEx>
          <w:tblCellMar>
            <w:top w:w="0" w:type="dxa"/>
            <w:left w:w="108" w:type="dxa"/>
            <w:bottom w:w="0" w:type="dxa"/>
            <w:right w:w="108" w:type="dxa"/>
          </w:tblCellMar>
        </w:tblPrEx>
        <w:trPr>
          <w:trHeight w:val="750" w:hRule="atLeast"/>
        </w:trPr>
        <w:tc>
          <w:tcPr>
            <w:tcW w:w="701" w:type="dxa"/>
            <w:tcBorders>
              <w:top w:val="single" w:color="000000" w:sz="4" w:space="0"/>
              <w:left w:val="single" w:color="000000" w:sz="4" w:space="0"/>
              <w:bottom w:val="single" w:color="000000" w:sz="4" w:space="0"/>
              <w:right w:val="single" w:color="000000" w:sz="4" w:space="0"/>
            </w:tcBorders>
            <w:vAlign w:val="center"/>
          </w:tcPr>
          <w:p w14:paraId="54ACA73D">
            <w:pPr>
              <w:widowControl/>
              <w:spacing w:line="360" w:lineRule="auto"/>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3.1</w:t>
            </w:r>
          </w:p>
        </w:tc>
        <w:tc>
          <w:tcPr>
            <w:tcW w:w="1734" w:type="dxa"/>
            <w:tcBorders>
              <w:top w:val="single" w:color="000000" w:sz="4" w:space="0"/>
              <w:left w:val="single" w:color="000000" w:sz="4" w:space="0"/>
              <w:bottom w:val="single" w:color="000000" w:sz="4" w:space="0"/>
              <w:right w:val="single" w:color="000000" w:sz="4" w:space="0"/>
            </w:tcBorders>
            <w:vAlign w:val="center"/>
          </w:tcPr>
          <w:p w14:paraId="7E98B429">
            <w:pPr>
              <w:pStyle w:val="32"/>
              <w:tabs>
                <w:tab w:val="left" w:pos="595"/>
              </w:tabs>
              <w:spacing w:before="65" w:line="360" w:lineRule="auto"/>
              <w:ind w:left="113" w:right="108"/>
              <w:jc w:val="left"/>
              <w:rPr>
                <w:rFonts w:hint="eastAsia"/>
                <w:color w:val="auto"/>
                <w:sz w:val="21"/>
                <w:szCs w:val="21"/>
                <w:highlight w:val="none"/>
                <w:lang w:eastAsia="zh-CN"/>
              </w:rPr>
            </w:pPr>
            <w:r>
              <w:rPr>
                <w:rFonts w:hint="eastAsia"/>
                <w:color w:val="auto"/>
                <w:sz w:val="21"/>
                <w:szCs w:val="21"/>
                <w:highlight w:val="none"/>
                <w:lang w:eastAsia="zh-CN"/>
              </w:rPr>
              <w:t>团队服务能力分（满分18分）</w:t>
            </w:r>
          </w:p>
          <w:p w14:paraId="43448367">
            <w:pPr>
              <w:pStyle w:val="32"/>
              <w:tabs>
                <w:tab w:val="left" w:pos="595"/>
              </w:tabs>
              <w:spacing w:before="65" w:line="360" w:lineRule="auto"/>
              <w:ind w:left="113" w:right="108"/>
              <w:jc w:val="left"/>
              <w:rPr>
                <w:rFonts w:hint="eastAsia"/>
                <w:color w:val="auto"/>
                <w:sz w:val="21"/>
                <w:szCs w:val="21"/>
                <w:highlight w:val="none"/>
                <w:lang w:eastAsia="zh-CN"/>
              </w:rPr>
            </w:pPr>
          </w:p>
        </w:tc>
        <w:tc>
          <w:tcPr>
            <w:tcW w:w="6761" w:type="dxa"/>
            <w:tcBorders>
              <w:top w:val="single" w:color="000000" w:sz="4" w:space="0"/>
              <w:left w:val="single" w:color="000000" w:sz="4" w:space="0"/>
              <w:bottom w:val="single" w:color="000000" w:sz="4" w:space="0"/>
              <w:right w:val="single" w:color="000000" w:sz="4" w:space="0"/>
            </w:tcBorders>
          </w:tcPr>
          <w:p w14:paraId="3671DFA9">
            <w:pPr>
              <w:pStyle w:val="32"/>
              <w:spacing w:before="103" w:line="360" w:lineRule="auto"/>
              <w:rPr>
                <w:rFonts w:hint="eastAsia"/>
                <w:color w:val="auto"/>
                <w:spacing w:val="8"/>
                <w:sz w:val="21"/>
                <w:szCs w:val="21"/>
                <w:highlight w:val="none"/>
                <w:lang w:eastAsia="zh-CN"/>
              </w:rPr>
            </w:pPr>
            <w:r>
              <w:rPr>
                <w:rFonts w:hint="eastAsia"/>
                <w:color w:val="auto"/>
                <w:spacing w:val="8"/>
                <w:sz w:val="21"/>
                <w:szCs w:val="21"/>
                <w:highlight w:val="none"/>
                <w:lang w:eastAsia="zh-CN"/>
              </w:rPr>
              <w:t>1）项目经理1人（满分5分）</w:t>
            </w:r>
          </w:p>
          <w:p w14:paraId="499E16AF">
            <w:pPr>
              <w:pStyle w:val="32"/>
              <w:spacing w:before="103" w:line="360" w:lineRule="auto"/>
              <w:rPr>
                <w:rFonts w:hint="eastAsia"/>
                <w:color w:val="auto"/>
                <w:spacing w:val="8"/>
                <w:sz w:val="21"/>
                <w:szCs w:val="21"/>
                <w:highlight w:val="none"/>
                <w:lang w:eastAsia="zh-CN"/>
              </w:rPr>
            </w:pPr>
            <w:r>
              <w:rPr>
                <w:rFonts w:hint="eastAsia"/>
                <w:color w:val="auto"/>
                <w:spacing w:val="8"/>
                <w:sz w:val="21"/>
                <w:szCs w:val="21"/>
                <w:highlight w:val="none"/>
                <w:lang w:eastAsia="zh-CN"/>
              </w:rPr>
              <w:t>项目经理具有以下证书：</w:t>
            </w:r>
          </w:p>
          <w:p w14:paraId="50D90B91">
            <w:pPr>
              <w:pStyle w:val="32"/>
              <w:spacing w:before="103" w:line="360" w:lineRule="auto"/>
              <w:rPr>
                <w:rFonts w:hint="eastAsia"/>
                <w:color w:val="auto"/>
                <w:spacing w:val="8"/>
                <w:sz w:val="21"/>
                <w:szCs w:val="21"/>
                <w:highlight w:val="none"/>
                <w:lang w:eastAsia="zh-CN"/>
              </w:rPr>
            </w:pPr>
            <w:r>
              <w:rPr>
                <w:rFonts w:hint="eastAsia"/>
                <w:color w:val="auto"/>
                <w:spacing w:val="8"/>
                <w:sz w:val="21"/>
                <w:szCs w:val="21"/>
                <w:highlight w:val="none"/>
                <w:lang w:eastAsia="zh-CN"/>
              </w:rPr>
              <w:t xml:space="preserve">①具有信息系统项目管理师证书得2分； </w:t>
            </w:r>
          </w:p>
          <w:p w14:paraId="319DAB45">
            <w:pPr>
              <w:pStyle w:val="32"/>
              <w:spacing w:before="103" w:line="360" w:lineRule="auto"/>
              <w:rPr>
                <w:rFonts w:hint="eastAsia"/>
                <w:color w:val="auto"/>
                <w:spacing w:val="8"/>
                <w:sz w:val="21"/>
                <w:szCs w:val="21"/>
                <w:highlight w:val="none"/>
                <w:lang w:eastAsia="zh-CN"/>
              </w:rPr>
            </w:pPr>
            <w:r>
              <w:rPr>
                <w:rFonts w:hint="eastAsia"/>
                <w:color w:val="auto"/>
                <w:spacing w:val="8"/>
                <w:sz w:val="21"/>
                <w:szCs w:val="21"/>
                <w:highlight w:val="none"/>
                <w:lang w:eastAsia="zh-CN"/>
              </w:rPr>
              <w:t>②具有系统规划与管理师或系统架构设计师证书得2分；</w:t>
            </w:r>
          </w:p>
          <w:p w14:paraId="08C037A2">
            <w:pPr>
              <w:pStyle w:val="32"/>
              <w:spacing w:before="103" w:line="360" w:lineRule="auto"/>
              <w:rPr>
                <w:rFonts w:hint="eastAsia"/>
                <w:color w:val="auto"/>
                <w:spacing w:val="8"/>
                <w:sz w:val="21"/>
                <w:szCs w:val="21"/>
                <w:highlight w:val="none"/>
                <w:lang w:eastAsia="zh-CN"/>
              </w:rPr>
            </w:pPr>
            <w:r>
              <w:rPr>
                <w:rFonts w:hint="eastAsia"/>
                <w:color w:val="auto"/>
                <w:spacing w:val="8"/>
                <w:sz w:val="21"/>
                <w:szCs w:val="21"/>
                <w:highlight w:val="none"/>
                <w:lang w:eastAsia="zh-CN"/>
              </w:rPr>
              <w:t>③具有通信相关专业高级工程师及以上职称证书得1分。</w:t>
            </w:r>
          </w:p>
          <w:p w14:paraId="5122F2DB">
            <w:pPr>
              <w:pStyle w:val="32"/>
              <w:spacing w:before="103" w:line="360" w:lineRule="auto"/>
              <w:rPr>
                <w:rFonts w:hint="eastAsia"/>
                <w:color w:val="auto"/>
                <w:spacing w:val="8"/>
                <w:sz w:val="21"/>
                <w:szCs w:val="21"/>
                <w:highlight w:val="none"/>
                <w:lang w:eastAsia="zh-CN"/>
              </w:rPr>
            </w:pPr>
            <w:r>
              <w:rPr>
                <w:rFonts w:hint="eastAsia"/>
                <w:color w:val="auto"/>
                <w:spacing w:val="8"/>
                <w:sz w:val="21"/>
                <w:szCs w:val="21"/>
                <w:highlight w:val="none"/>
                <w:lang w:eastAsia="zh-CN"/>
              </w:rPr>
              <w:t>2）技术负责人1人（满分7分）</w:t>
            </w:r>
          </w:p>
          <w:p w14:paraId="44CB8D75">
            <w:pPr>
              <w:pStyle w:val="32"/>
              <w:spacing w:before="103" w:line="360" w:lineRule="auto"/>
              <w:rPr>
                <w:rFonts w:hint="eastAsia"/>
                <w:color w:val="auto"/>
                <w:spacing w:val="8"/>
                <w:sz w:val="21"/>
                <w:szCs w:val="21"/>
                <w:highlight w:val="none"/>
                <w:lang w:eastAsia="zh-CN"/>
              </w:rPr>
            </w:pPr>
            <w:r>
              <w:rPr>
                <w:rFonts w:hint="eastAsia"/>
                <w:color w:val="auto"/>
                <w:spacing w:val="8"/>
                <w:sz w:val="21"/>
                <w:szCs w:val="21"/>
                <w:highlight w:val="none"/>
                <w:lang w:eastAsia="zh-CN"/>
              </w:rPr>
              <w:t>技术负责人有以下证书的：</w:t>
            </w:r>
          </w:p>
          <w:p w14:paraId="4FFE896F">
            <w:pPr>
              <w:pStyle w:val="32"/>
              <w:spacing w:before="103" w:line="360" w:lineRule="auto"/>
              <w:rPr>
                <w:rFonts w:hint="eastAsia"/>
                <w:color w:val="auto"/>
                <w:spacing w:val="8"/>
                <w:sz w:val="21"/>
                <w:szCs w:val="21"/>
                <w:highlight w:val="none"/>
                <w:lang w:eastAsia="zh-CN"/>
              </w:rPr>
            </w:pPr>
            <w:r>
              <w:rPr>
                <w:rFonts w:hint="eastAsia"/>
                <w:color w:val="auto"/>
                <w:spacing w:val="8"/>
                <w:sz w:val="21"/>
                <w:szCs w:val="21"/>
                <w:highlight w:val="none"/>
                <w:lang w:eastAsia="zh-CN"/>
              </w:rPr>
              <w:t xml:space="preserve">①具有信息系统项目管理师证书得2分； </w:t>
            </w:r>
          </w:p>
          <w:p w14:paraId="72EB4F8C">
            <w:pPr>
              <w:pStyle w:val="32"/>
              <w:spacing w:before="103" w:line="360" w:lineRule="auto"/>
              <w:rPr>
                <w:rFonts w:hint="eastAsia"/>
                <w:color w:val="auto"/>
                <w:spacing w:val="8"/>
                <w:sz w:val="21"/>
                <w:szCs w:val="21"/>
                <w:highlight w:val="none"/>
                <w:lang w:eastAsia="zh-CN"/>
              </w:rPr>
            </w:pPr>
            <w:r>
              <w:rPr>
                <w:rFonts w:hint="eastAsia"/>
                <w:color w:val="auto"/>
                <w:spacing w:val="8"/>
                <w:sz w:val="21"/>
                <w:szCs w:val="21"/>
                <w:highlight w:val="none"/>
                <w:lang w:eastAsia="zh-CN"/>
              </w:rPr>
              <w:t>②具有系统架构设计师证书得2分；</w:t>
            </w:r>
          </w:p>
          <w:p w14:paraId="4857A119">
            <w:pPr>
              <w:pStyle w:val="32"/>
              <w:spacing w:before="103" w:line="360" w:lineRule="auto"/>
              <w:rPr>
                <w:rFonts w:hint="eastAsia"/>
                <w:color w:val="auto"/>
                <w:spacing w:val="8"/>
                <w:sz w:val="21"/>
                <w:szCs w:val="21"/>
                <w:highlight w:val="none"/>
                <w:lang w:eastAsia="zh-CN"/>
              </w:rPr>
            </w:pPr>
            <w:r>
              <w:rPr>
                <w:rFonts w:hint="eastAsia"/>
                <w:color w:val="auto"/>
                <w:spacing w:val="8"/>
                <w:sz w:val="21"/>
                <w:szCs w:val="21"/>
                <w:highlight w:val="none"/>
                <w:lang w:eastAsia="zh-CN"/>
              </w:rPr>
              <w:t>③具有系统分析师证书得2分；</w:t>
            </w:r>
          </w:p>
          <w:p w14:paraId="64CC2401">
            <w:pPr>
              <w:pStyle w:val="32"/>
              <w:spacing w:before="103" w:line="360" w:lineRule="auto"/>
              <w:rPr>
                <w:rFonts w:hint="eastAsia"/>
                <w:color w:val="auto"/>
                <w:spacing w:val="8"/>
                <w:sz w:val="21"/>
                <w:szCs w:val="21"/>
                <w:highlight w:val="none"/>
                <w:lang w:eastAsia="zh-CN"/>
              </w:rPr>
            </w:pPr>
            <w:r>
              <w:rPr>
                <w:rFonts w:hint="eastAsia"/>
                <w:color w:val="auto"/>
                <w:spacing w:val="8"/>
                <w:sz w:val="21"/>
                <w:szCs w:val="21"/>
                <w:highlight w:val="none"/>
                <w:lang w:eastAsia="zh-CN"/>
              </w:rPr>
              <w:t>④具有通信相关专业高级工程师及以上职称证书或注册信息安全专业人员(CISP)，得1分。</w:t>
            </w:r>
          </w:p>
          <w:p w14:paraId="068E3819">
            <w:pPr>
              <w:pStyle w:val="32"/>
              <w:spacing w:before="103" w:line="360" w:lineRule="auto"/>
              <w:rPr>
                <w:rFonts w:hint="eastAsia"/>
                <w:color w:val="auto"/>
                <w:spacing w:val="8"/>
                <w:sz w:val="21"/>
                <w:szCs w:val="21"/>
                <w:highlight w:val="none"/>
                <w:lang w:eastAsia="zh-CN"/>
              </w:rPr>
            </w:pPr>
            <w:r>
              <w:rPr>
                <w:rFonts w:hint="eastAsia"/>
                <w:color w:val="auto"/>
                <w:spacing w:val="8"/>
                <w:sz w:val="21"/>
                <w:szCs w:val="21"/>
                <w:highlight w:val="none"/>
                <w:lang w:eastAsia="zh-CN"/>
              </w:rPr>
              <w:t>3）团队成员（满分6分）</w:t>
            </w:r>
          </w:p>
          <w:p w14:paraId="190AC29E">
            <w:pPr>
              <w:pStyle w:val="32"/>
              <w:spacing w:before="103" w:line="360" w:lineRule="auto"/>
              <w:rPr>
                <w:rFonts w:hint="eastAsia"/>
                <w:color w:val="auto"/>
                <w:spacing w:val="8"/>
                <w:sz w:val="21"/>
                <w:szCs w:val="21"/>
                <w:highlight w:val="none"/>
                <w:lang w:eastAsia="zh-CN"/>
              </w:rPr>
            </w:pPr>
            <w:r>
              <w:rPr>
                <w:rFonts w:hint="eastAsia"/>
                <w:color w:val="auto"/>
                <w:spacing w:val="8"/>
                <w:sz w:val="21"/>
                <w:szCs w:val="21"/>
                <w:highlight w:val="none"/>
                <w:lang w:eastAsia="zh-CN"/>
              </w:rPr>
              <w:t>团队成员（不含项目经理、技术负责人）具有以下资格的：</w:t>
            </w:r>
          </w:p>
          <w:p w14:paraId="4CD8EF54">
            <w:pPr>
              <w:pStyle w:val="32"/>
              <w:spacing w:before="103" w:line="360" w:lineRule="auto"/>
              <w:rPr>
                <w:rFonts w:hint="eastAsia"/>
                <w:color w:val="auto"/>
                <w:spacing w:val="8"/>
                <w:sz w:val="21"/>
                <w:szCs w:val="21"/>
                <w:highlight w:val="none"/>
                <w:lang w:eastAsia="zh-CN"/>
              </w:rPr>
            </w:pPr>
            <w:r>
              <w:rPr>
                <w:rFonts w:hint="eastAsia"/>
                <w:color w:val="auto"/>
                <w:spacing w:val="8"/>
                <w:sz w:val="21"/>
                <w:szCs w:val="21"/>
                <w:highlight w:val="none"/>
                <w:lang w:eastAsia="zh-CN"/>
              </w:rPr>
              <w:t>①具有系统架构设计师证书的，每个得1分，满分1分；</w:t>
            </w:r>
          </w:p>
          <w:p w14:paraId="396251BE">
            <w:pPr>
              <w:pStyle w:val="32"/>
              <w:spacing w:before="103" w:line="360" w:lineRule="auto"/>
              <w:rPr>
                <w:rFonts w:hint="eastAsia"/>
                <w:color w:val="auto"/>
                <w:spacing w:val="8"/>
                <w:sz w:val="21"/>
                <w:szCs w:val="21"/>
                <w:highlight w:val="none"/>
                <w:lang w:eastAsia="zh-CN"/>
              </w:rPr>
            </w:pPr>
            <w:r>
              <w:rPr>
                <w:rFonts w:hint="eastAsia"/>
                <w:color w:val="auto"/>
                <w:spacing w:val="8"/>
                <w:sz w:val="21"/>
                <w:szCs w:val="21"/>
                <w:highlight w:val="none"/>
                <w:lang w:eastAsia="zh-CN"/>
              </w:rPr>
              <w:t>②具有注册信息安全专业人员(CISP)</w:t>
            </w:r>
            <w:r>
              <w:rPr>
                <w:rFonts w:hint="eastAsia"/>
                <w:color w:val="auto"/>
                <w:spacing w:val="8"/>
                <w:sz w:val="21"/>
                <w:szCs w:val="21"/>
                <w:highlight w:val="none"/>
                <w:lang w:val="en-US" w:eastAsia="zh-CN"/>
              </w:rPr>
              <w:t>或</w:t>
            </w:r>
            <w:r>
              <w:rPr>
                <w:rFonts w:hint="eastAsia"/>
                <w:color w:val="auto"/>
                <w:spacing w:val="8"/>
                <w:sz w:val="21"/>
                <w:szCs w:val="21"/>
                <w:highlight w:val="none"/>
                <w:lang w:eastAsia="zh-CN"/>
              </w:rPr>
              <w:t>网络规划设计师证书的，每个得1分，满分1分；</w:t>
            </w:r>
          </w:p>
          <w:p w14:paraId="0BE6B2E7">
            <w:pPr>
              <w:pStyle w:val="32"/>
              <w:spacing w:before="103" w:line="360" w:lineRule="auto"/>
              <w:rPr>
                <w:rFonts w:hint="eastAsia"/>
                <w:color w:val="auto"/>
                <w:spacing w:val="8"/>
                <w:sz w:val="21"/>
                <w:szCs w:val="21"/>
                <w:highlight w:val="none"/>
                <w:lang w:eastAsia="zh-CN"/>
              </w:rPr>
            </w:pPr>
            <w:r>
              <w:rPr>
                <w:rFonts w:hint="eastAsia"/>
                <w:color w:val="auto"/>
                <w:spacing w:val="8"/>
                <w:sz w:val="21"/>
                <w:szCs w:val="21"/>
                <w:highlight w:val="none"/>
                <w:lang w:eastAsia="zh-CN"/>
              </w:rPr>
              <w:t>③具有信息系统项目管理师证书的，每个得1分，满分2分；</w:t>
            </w:r>
          </w:p>
          <w:p w14:paraId="2C6A0955">
            <w:pPr>
              <w:pStyle w:val="32"/>
              <w:spacing w:before="103" w:line="360" w:lineRule="auto"/>
              <w:rPr>
                <w:rFonts w:hint="eastAsia"/>
                <w:color w:val="auto"/>
                <w:spacing w:val="8"/>
                <w:sz w:val="21"/>
                <w:szCs w:val="21"/>
                <w:highlight w:val="none"/>
                <w:lang w:eastAsia="zh-CN"/>
              </w:rPr>
            </w:pPr>
            <w:r>
              <w:rPr>
                <w:rFonts w:hint="eastAsia"/>
                <w:color w:val="auto"/>
                <w:spacing w:val="8"/>
                <w:sz w:val="21"/>
                <w:szCs w:val="21"/>
                <w:highlight w:val="none"/>
                <w:lang w:eastAsia="zh-CN"/>
              </w:rPr>
              <w:t>④具有通信相关专业高级工程师及以上职称证书</w:t>
            </w:r>
            <w:r>
              <w:rPr>
                <w:rFonts w:hint="eastAsia"/>
                <w:color w:val="auto"/>
                <w:spacing w:val="8"/>
                <w:sz w:val="21"/>
                <w:szCs w:val="21"/>
                <w:highlight w:val="none"/>
                <w:lang w:val="en-US" w:eastAsia="zh-CN"/>
              </w:rPr>
              <w:t>的</w:t>
            </w:r>
            <w:r>
              <w:rPr>
                <w:rFonts w:hint="eastAsia"/>
                <w:color w:val="auto"/>
                <w:spacing w:val="8"/>
                <w:sz w:val="21"/>
                <w:szCs w:val="21"/>
                <w:highlight w:val="none"/>
                <w:lang w:eastAsia="zh-CN"/>
              </w:rPr>
              <w:t>，每个得1分，满分2分。</w:t>
            </w:r>
          </w:p>
          <w:p w14:paraId="7AF4CB4E">
            <w:pPr>
              <w:pStyle w:val="32"/>
              <w:spacing w:before="103" w:line="360" w:lineRule="auto"/>
              <w:rPr>
                <w:rFonts w:hint="eastAsia"/>
                <w:color w:val="auto"/>
                <w:spacing w:val="8"/>
                <w:sz w:val="21"/>
                <w:szCs w:val="21"/>
                <w:highlight w:val="none"/>
                <w:lang w:eastAsia="zh-CN"/>
              </w:rPr>
            </w:pPr>
            <w:r>
              <w:rPr>
                <w:rFonts w:hint="eastAsia"/>
                <w:color w:val="auto"/>
                <w:spacing w:val="8"/>
                <w:sz w:val="21"/>
                <w:szCs w:val="21"/>
                <w:highlight w:val="none"/>
                <w:lang w:eastAsia="zh-CN"/>
              </w:rPr>
              <w:t>以上评分项不累计，每人最多评其中一项。拟投入人员必须为本公司职员或分公司职员。响应文件提供拟投入人员相关资格（职称）证书及</w:t>
            </w:r>
            <w:r>
              <w:rPr>
                <w:rFonts w:hint="eastAsia"/>
                <w:color w:val="auto"/>
                <w:sz w:val="21"/>
                <w:szCs w:val="21"/>
                <w:highlight w:val="none"/>
                <w:lang w:eastAsia="zh-CN"/>
              </w:rPr>
              <w:t>竞标截止时间前半年内任意1个月竞标人为其缴纳个人社保证明复印件（原件或复印件）扫描件或劳动合同或工资支付记录亦可。</w:t>
            </w:r>
            <w:r>
              <w:rPr>
                <w:rFonts w:hint="eastAsia"/>
                <w:color w:val="auto"/>
                <w:spacing w:val="8"/>
                <w:sz w:val="21"/>
                <w:szCs w:val="21"/>
                <w:highlight w:val="none"/>
                <w:lang w:eastAsia="zh-CN"/>
              </w:rPr>
              <w:t>（并加投标人公章）</w:t>
            </w:r>
            <w:r>
              <w:rPr>
                <w:rFonts w:hint="eastAsia"/>
                <w:b/>
                <w:bCs/>
                <w:color w:val="auto"/>
                <w:spacing w:val="8"/>
                <w:sz w:val="21"/>
                <w:szCs w:val="21"/>
                <w:highlight w:val="none"/>
                <w:lang w:eastAsia="zh-CN"/>
              </w:rPr>
              <w:t>。</w:t>
            </w:r>
          </w:p>
        </w:tc>
        <w:tc>
          <w:tcPr>
            <w:tcW w:w="738" w:type="dxa"/>
            <w:tcBorders>
              <w:top w:val="single" w:color="000000" w:sz="4" w:space="0"/>
              <w:left w:val="single" w:color="000000" w:sz="4" w:space="0"/>
              <w:bottom w:val="single" w:color="000000" w:sz="4" w:space="0"/>
              <w:right w:val="single" w:color="000000" w:sz="4" w:space="0"/>
            </w:tcBorders>
            <w:vAlign w:val="center"/>
          </w:tcPr>
          <w:p w14:paraId="1C286FD7">
            <w:pPr>
              <w:widowControl/>
              <w:spacing w:line="360" w:lineRule="auto"/>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18</w:t>
            </w:r>
          </w:p>
        </w:tc>
      </w:tr>
      <w:tr w14:paraId="0CB715AB">
        <w:tblPrEx>
          <w:tblCellMar>
            <w:top w:w="0" w:type="dxa"/>
            <w:left w:w="108" w:type="dxa"/>
            <w:bottom w:w="0" w:type="dxa"/>
            <w:right w:w="108" w:type="dxa"/>
          </w:tblCellMar>
        </w:tblPrEx>
        <w:trPr>
          <w:trHeight w:val="750" w:hRule="atLeast"/>
        </w:trPr>
        <w:tc>
          <w:tcPr>
            <w:tcW w:w="701" w:type="dxa"/>
            <w:tcBorders>
              <w:top w:val="single" w:color="000000" w:sz="4" w:space="0"/>
              <w:left w:val="single" w:color="000000" w:sz="4" w:space="0"/>
              <w:bottom w:val="single" w:color="000000" w:sz="4" w:space="0"/>
              <w:right w:val="single" w:color="000000" w:sz="4" w:space="0"/>
            </w:tcBorders>
            <w:vAlign w:val="center"/>
          </w:tcPr>
          <w:p w14:paraId="6EFF89A8">
            <w:pPr>
              <w:widowControl/>
              <w:spacing w:line="360" w:lineRule="auto"/>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3.2</w:t>
            </w:r>
          </w:p>
        </w:tc>
        <w:tc>
          <w:tcPr>
            <w:tcW w:w="1734" w:type="dxa"/>
            <w:tcBorders>
              <w:top w:val="single" w:color="000000" w:sz="4" w:space="0"/>
              <w:left w:val="single" w:color="000000" w:sz="4" w:space="0"/>
              <w:bottom w:val="single" w:color="000000" w:sz="4" w:space="0"/>
              <w:right w:val="single" w:color="000000" w:sz="4" w:space="0"/>
            </w:tcBorders>
            <w:vAlign w:val="center"/>
          </w:tcPr>
          <w:p w14:paraId="5C50E3FF">
            <w:pPr>
              <w:pStyle w:val="32"/>
              <w:spacing w:before="65" w:line="360" w:lineRule="auto"/>
              <w:ind w:left="113" w:right="108"/>
              <w:jc w:val="center"/>
              <w:rPr>
                <w:rFonts w:hint="eastAsia"/>
                <w:color w:val="auto"/>
                <w:sz w:val="21"/>
                <w:szCs w:val="21"/>
                <w:highlight w:val="none"/>
                <w:lang w:eastAsia="zh-CN"/>
              </w:rPr>
            </w:pPr>
            <w:r>
              <w:rPr>
                <w:rFonts w:hint="eastAsia"/>
                <w:color w:val="auto"/>
                <w:sz w:val="21"/>
                <w:szCs w:val="21"/>
                <w:highlight w:val="none"/>
                <w:lang w:eastAsia="zh-CN"/>
              </w:rPr>
              <w:t xml:space="preserve">信誉分（满分7分） </w:t>
            </w:r>
          </w:p>
        </w:tc>
        <w:tc>
          <w:tcPr>
            <w:tcW w:w="6761" w:type="dxa"/>
            <w:tcBorders>
              <w:top w:val="single" w:color="000000" w:sz="4" w:space="0"/>
              <w:left w:val="single" w:color="000000" w:sz="4" w:space="0"/>
              <w:bottom w:val="single" w:color="000000" w:sz="4" w:space="0"/>
              <w:right w:val="single" w:color="000000" w:sz="4" w:space="0"/>
            </w:tcBorders>
          </w:tcPr>
          <w:p w14:paraId="2647921E">
            <w:pPr>
              <w:pStyle w:val="32"/>
              <w:tabs>
                <w:tab w:val="left" w:pos="816"/>
              </w:tabs>
              <w:spacing w:before="103" w:line="360" w:lineRule="auto"/>
              <w:rPr>
                <w:rFonts w:hint="eastAsia"/>
                <w:color w:val="auto"/>
                <w:spacing w:val="8"/>
                <w:sz w:val="21"/>
                <w:szCs w:val="21"/>
                <w:highlight w:val="none"/>
                <w:lang w:eastAsia="zh-CN"/>
              </w:rPr>
            </w:pPr>
            <w:r>
              <w:rPr>
                <w:rFonts w:hint="eastAsia"/>
                <w:color w:val="auto"/>
                <w:spacing w:val="8"/>
                <w:sz w:val="21"/>
                <w:szCs w:val="21"/>
                <w:highlight w:val="none"/>
                <w:lang w:eastAsia="zh-CN"/>
              </w:rPr>
              <w:t>①投标人具有ISO9001质量管理体系认证、ISO20000信息技术服务管理体系认证、ISO27001信息安全管理体系认证、ISO27017云服务信息安全管理体系认证、ISO27701隐私信息管理体系认证，提供相关证明复印件并加盖单位印章，每个得1分，满分5分。</w:t>
            </w:r>
          </w:p>
          <w:p w14:paraId="22BD52A1">
            <w:pPr>
              <w:pStyle w:val="32"/>
              <w:tabs>
                <w:tab w:val="left" w:pos="816"/>
              </w:tabs>
              <w:spacing w:before="103" w:line="360" w:lineRule="auto"/>
              <w:rPr>
                <w:rFonts w:hint="eastAsia"/>
                <w:color w:val="auto"/>
                <w:spacing w:val="8"/>
                <w:sz w:val="21"/>
                <w:szCs w:val="21"/>
                <w:highlight w:val="none"/>
                <w:lang w:eastAsia="zh-CN"/>
              </w:rPr>
            </w:pPr>
            <w:r>
              <w:rPr>
                <w:rFonts w:hint="eastAsia"/>
                <w:color w:val="auto"/>
                <w:spacing w:val="8"/>
                <w:sz w:val="21"/>
                <w:szCs w:val="21"/>
                <w:highlight w:val="none"/>
                <w:lang w:eastAsia="zh-CN"/>
              </w:rPr>
              <w:t>②供应商具备ITSS信息技术服务标准认证(运行维护服务)一级或二级证书得1分，三级或四级证书得0.5分，提供相关证明复印件并加盖单位印章，满分1分，否则不得分。</w:t>
            </w:r>
          </w:p>
          <w:p w14:paraId="5417BA23">
            <w:pPr>
              <w:pStyle w:val="32"/>
              <w:tabs>
                <w:tab w:val="left" w:pos="816"/>
              </w:tabs>
              <w:spacing w:before="103" w:line="360" w:lineRule="auto"/>
              <w:rPr>
                <w:rFonts w:hint="eastAsia"/>
                <w:color w:val="auto"/>
                <w:spacing w:val="8"/>
                <w:sz w:val="21"/>
                <w:szCs w:val="21"/>
                <w:highlight w:val="none"/>
                <w:lang w:eastAsia="zh-CN"/>
              </w:rPr>
            </w:pPr>
            <w:r>
              <w:rPr>
                <w:rFonts w:hint="eastAsia"/>
                <w:color w:val="auto"/>
                <w:spacing w:val="8"/>
                <w:sz w:val="21"/>
                <w:szCs w:val="21"/>
                <w:highlight w:val="none"/>
                <w:lang w:eastAsia="zh-CN"/>
              </w:rPr>
              <w:t>③供应商具备CCRC信息安全服务资质认证（信息系统安全运维）一级证书得1分，二级证书得0.5分，三级证书得0.2分，提供相关证明复印件并加盖单位印章，满分1分，否则不得分。</w:t>
            </w:r>
          </w:p>
          <w:p w14:paraId="2D4CADC7">
            <w:pPr>
              <w:pStyle w:val="32"/>
              <w:tabs>
                <w:tab w:val="left" w:pos="816"/>
              </w:tabs>
              <w:spacing w:before="103" w:line="360" w:lineRule="auto"/>
              <w:rPr>
                <w:rFonts w:hint="eastAsia"/>
                <w:color w:val="auto"/>
                <w:spacing w:val="8"/>
                <w:sz w:val="21"/>
                <w:szCs w:val="21"/>
                <w:highlight w:val="none"/>
                <w:lang w:eastAsia="zh-CN"/>
              </w:rPr>
            </w:pPr>
            <w:r>
              <w:rPr>
                <w:rFonts w:hint="eastAsia"/>
                <w:color w:val="auto"/>
                <w:spacing w:val="8"/>
                <w:sz w:val="21"/>
                <w:szCs w:val="21"/>
                <w:highlight w:val="none"/>
                <w:lang w:eastAsia="zh-CN"/>
              </w:rPr>
              <w:t>（以上所需认证证书，均需提供证明材料复印件并加盖公章，否则不得分）</w:t>
            </w:r>
          </w:p>
        </w:tc>
        <w:tc>
          <w:tcPr>
            <w:tcW w:w="738" w:type="dxa"/>
            <w:tcBorders>
              <w:top w:val="single" w:color="000000" w:sz="4" w:space="0"/>
              <w:left w:val="single" w:color="000000" w:sz="4" w:space="0"/>
              <w:bottom w:val="single" w:color="000000" w:sz="4" w:space="0"/>
              <w:right w:val="single" w:color="000000" w:sz="4" w:space="0"/>
            </w:tcBorders>
            <w:vAlign w:val="center"/>
          </w:tcPr>
          <w:p w14:paraId="71B375B2">
            <w:pPr>
              <w:widowControl/>
              <w:spacing w:line="360" w:lineRule="auto"/>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7</w:t>
            </w:r>
          </w:p>
        </w:tc>
      </w:tr>
      <w:tr w14:paraId="1E68DAEE">
        <w:tblPrEx>
          <w:tblCellMar>
            <w:top w:w="0" w:type="dxa"/>
            <w:left w:w="108" w:type="dxa"/>
            <w:bottom w:w="0" w:type="dxa"/>
            <w:right w:w="108" w:type="dxa"/>
          </w:tblCellMar>
        </w:tblPrEx>
        <w:trPr>
          <w:trHeight w:val="750" w:hRule="atLeast"/>
        </w:trPr>
        <w:tc>
          <w:tcPr>
            <w:tcW w:w="701" w:type="dxa"/>
            <w:tcBorders>
              <w:top w:val="single" w:color="000000" w:sz="4" w:space="0"/>
              <w:left w:val="single" w:color="000000" w:sz="4" w:space="0"/>
              <w:bottom w:val="single" w:color="000000" w:sz="4" w:space="0"/>
              <w:right w:val="single" w:color="000000" w:sz="4" w:space="0"/>
            </w:tcBorders>
            <w:vAlign w:val="center"/>
          </w:tcPr>
          <w:p w14:paraId="66C6F917">
            <w:pPr>
              <w:widowControl/>
              <w:spacing w:line="360" w:lineRule="auto"/>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3.3</w:t>
            </w:r>
          </w:p>
        </w:tc>
        <w:tc>
          <w:tcPr>
            <w:tcW w:w="1734" w:type="dxa"/>
            <w:tcBorders>
              <w:top w:val="single" w:color="000000" w:sz="4" w:space="0"/>
              <w:left w:val="single" w:color="000000" w:sz="4" w:space="0"/>
              <w:bottom w:val="single" w:color="000000" w:sz="4" w:space="0"/>
              <w:right w:val="single" w:color="000000" w:sz="4" w:space="0"/>
            </w:tcBorders>
            <w:vAlign w:val="center"/>
          </w:tcPr>
          <w:p w14:paraId="7A4EDB7E">
            <w:pPr>
              <w:pStyle w:val="32"/>
              <w:spacing w:before="65" w:line="360" w:lineRule="auto"/>
              <w:ind w:left="113" w:right="108"/>
              <w:jc w:val="center"/>
              <w:rPr>
                <w:rFonts w:hint="eastAsia"/>
                <w:color w:val="auto"/>
                <w:sz w:val="21"/>
                <w:szCs w:val="21"/>
                <w:highlight w:val="none"/>
                <w:lang w:eastAsia="zh-CN"/>
              </w:rPr>
            </w:pPr>
            <w:r>
              <w:rPr>
                <w:rFonts w:hint="eastAsia"/>
                <w:color w:val="auto"/>
                <w:sz w:val="21"/>
                <w:szCs w:val="21"/>
                <w:highlight w:val="none"/>
                <w:lang w:eastAsia="zh-CN"/>
              </w:rPr>
              <w:t>业绩案例（满分5分）</w:t>
            </w:r>
          </w:p>
        </w:tc>
        <w:tc>
          <w:tcPr>
            <w:tcW w:w="6761" w:type="dxa"/>
            <w:tcBorders>
              <w:top w:val="single" w:color="000000" w:sz="4" w:space="0"/>
              <w:left w:val="single" w:color="000000" w:sz="4" w:space="0"/>
              <w:bottom w:val="single" w:color="000000" w:sz="4" w:space="0"/>
              <w:right w:val="single" w:color="000000" w:sz="4" w:space="0"/>
            </w:tcBorders>
          </w:tcPr>
          <w:p w14:paraId="3E475F71">
            <w:pPr>
              <w:pStyle w:val="32"/>
              <w:tabs>
                <w:tab w:val="left" w:pos="816"/>
              </w:tabs>
              <w:spacing w:before="103" w:line="360" w:lineRule="auto"/>
              <w:rPr>
                <w:rFonts w:hint="eastAsia"/>
                <w:color w:val="auto"/>
                <w:spacing w:val="8"/>
                <w:sz w:val="21"/>
                <w:szCs w:val="21"/>
                <w:highlight w:val="none"/>
                <w:lang w:eastAsia="zh-CN"/>
              </w:rPr>
            </w:pPr>
            <w:r>
              <w:rPr>
                <w:rFonts w:hint="eastAsia"/>
                <w:color w:val="auto"/>
                <w:spacing w:val="8"/>
                <w:sz w:val="21"/>
                <w:szCs w:val="21"/>
                <w:highlight w:val="none"/>
                <w:lang w:eastAsia="zh-CN"/>
              </w:rPr>
              <w:t>供应商自2023年1月1日以来类似项目业绩证明每提供一项得1分，满分5分（提供合同复印件并加盖投标人公章，时间以合同签订时间为准，否则不得分）</w:t>
            </w:r>
          </w:p>
          <w:p w14:paraId="532556D4">
            <w:pPr>
              <w:pStyle w:val="32"/>
              <w:tabs>
                <w:tab w:val="left" w:pos="816"/>
              </w:tabs>
              <w:spacing w:before="103" w:line="360" w:lineRule="auto"/>
              <w:rPr>
                <w:rFonts w:hint="eastAsia"/>
                <w:color w:val="auto"/>
                <w:spacing w:val="8"/>
                <w:sz w:val="21"/>
                <w:szCs w:val="21"/>
                <w:highlight w:val="none"/>
                <w:lang w:eastAsia="zh-CN"/>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5A80E89E">
            <w:pPr>
              <w:widowControl/>
              <w:spacing w:line="360" w:lineRule="auto"/>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5</w:t>
            </w:r>
          </w:p>
        </w:tc>
      </w:tr>
      <w:tr w14:paraId="198AD3B7">
        <w:tblPrEx>
          <w:tblCellMar>
            <w:top w:w="0" w:type="dxa"/>
            <w:left w:w="108" w:type="dxa"/>
            <w:bottom w:w="0" w:type="dxa"/>
            <w:right w:w="108" w:type="dxa"/>
          </w:tblCellMar>
        </w:tblPrEx>
        <w:trPr>
          <w:trHeight w:val="750" w:hRule="atLeast"/>
        </w:trPr>
        <w:tc>
          <w:tcPr>
            <w:tcW w:w="9934" w:type="dxa"/>
            <w:gridSpan w:val="4"/>
            <w:tcBorders>
              <w:top w:val="single" w:color="000000" w:sz="4" w:space="0"/>
              <w:left w:val="single" w:color="000000" w:sz="4" w:space="0"/>
              <w:bottom w:val="single" w:color="000000" w:sz="4" w:space="0"/>
              <w:right w:val="single" w:color="000000" w:sz="4" w:space="0"/>
            </w:tcBorders>
            <w:vAlign w:val="center"/>
          </w:tcPr>
          <w:p w14:paraId="37A394A8">
            <w:pPr>
              <w:widowControl/>
              <w:spacing w:line="360" w:lineRule="auto"/>
              <w:jc w:val="left"/>
              <w:textAlignment w:val="center"/>
              <w:rPr>
                <w:rFonts w:hint="eastAsia" w:ascii="宋体" w:hAnsi="宋体" w:cs="宋体"/>
                <w:color w:val="auto"/>
                <w:szCs w:val="21"/>
                <w:highlight w:val="none"/>
              </w:rPr>
            </w:pPr>
            <w:r>
              <w:rPr>
                <w:rFonts w:hint="eastAsia" w:ascii="宋体" w:hAnsi="宋体" w:cs="宋体"/>
                <w:b/>
                <w:bCs/>
                <w:color w:val="auto"/>
                <w:spacing w:val="3"/>
                <w:highlight w:val="none"/>
              </w:rPr>
              <w:t>总得分=1+2+3。</w:t>
            </w:r>
          </w:p>
        </w:tc>
      </w:tr>
    </w:tbl>
    <w:p w14:paraId="7DE8CF6B">
      <w:pPr>
        <w:spacing w:line="360" w:lineRule="auto"/>
        <w:ind w:firstLine="420" w:firstLineChars="200"/>
        <w:rPr>
          <w:rFonts w:hint="eastAsia" w:ascii="宋体" w:hAnsi="宋体"/>
          <w:bCs/>
          <w:szCs w:val="21"/>
          <w:highlight w:val="none"/>
        </w:rPr>
      </w:pPr>
      <w:r>
        <w:rPr>
          <w:rFonts w:hint="eastAsia" w:ascii="宋体" w:hAnsi="宋体"/>
          <w:bCs/>
          <w:szCs w:val="21"/>
          <w:highlight w:val="none"/>
        </w:rPr>
        <w:t>6</w:t>
      </w:r>
      <w:r>
        <w:rPr>
          <w:rFonts w:ascii="宋体" w:hAnsi="宋体"/>
          <w:bCs/>
          <w:szCs w:val="21"/>
          <w:highlight w:val="none"/>
        </w:rPr>
        <w:t>.</w:t>
      </w:r>
      <w:r>
        <w:rPr>
          <w:rFonts w:hint="eastAsia" w:ascii="宋体" w:hAnsi="宋体"/>
          <w:bCs/>
          <w:szCs w:val="21"/>
          <w:highlight w:val="none"/>
        </w:rPr>
        <w:t>评审依据：磋商小组将以磋商响应文件为评审依据，对供应商的报价、技术、商务等方面内容按百分制打分。（计分方法按四舍五入取至百分位）</w:t>
      </w:r>
    </w:p>
    <w:p w14:paraId="676A480F">
      <w:pPr>
        <w:spacing w:line="360" w:lineRule="auto"/>
        <w:ind w:firstLine="420" w:firstLineChars="200"/>
        <w:rPr>
          <w:rFonts w:hint="eastAsia" w:ascii="宋体" w:hAnsi="宋体"/>
          <w:bCs/>
          <w:szCs w:val="21"/>
          <w:highlight w:val="none"/>
        </w:rPr>
      </w:pPr>
      <w:r>
        <w:rPr>
          <w:rFonts w:ascii="宋体" w:hAnsi="宋体"/>
          <w:bCs/>
          <w:szCs w:val="21"/>
          <w:highlight w:val="none"/>
        </w:rPr>
        <w:t>7.</w:t>
      </w:r>
      <w:r>
        <w:rPr>
          <w:rFonts w:hint="eastAsia" w:ascii="宋体" w:hAnsi="宋体"/>
          <w:bCs/>
          <w:szCs w:val="21"/>
          <w:highlight w:val="none"/>
        </w:rPr>
        <w:t>1由磋商小组根据综合评分情况，按照评审得分由高到低顺序推荐3名成交候选供应商，并编写评审报告，</w:t>
      </w:r>
      <w:r>
        <w:rPr>
          <w:rFonts w:hint="eastAsia" w:ascii="宋体" w:hAnsi="宋体" w:cs="宋体"/>
          <w:highlight w:val="none"/>
        </w:rPr>
        <w:t>评审报告</w:t>
      </w:r>
      <w:r>
        <w:rPr>
          <w:rFonts w:hint="eastAsia" w:hAnsi="宋体"/>
          <w:highlight w:val="none"/>
        </w:rPr>
        <w:t>通过电子交易平台向采购人、采购代理机构提交。</w:t>
      </w:r>
      <w:r>
        <w:rPr>
          <w:rFonts w:hint="eastAsia" w:ascii="宋体" w:hAnsi="宋体"/>
          <w:bCs/>
          <w:szCs w:val="21"/>
          <w:highlight w:val="none"/>
        </w:rPr>
        <w:t>符合本章第</w:t>
      </w:r>
      <w:r>
        <w:rPr>
          <w:rFonts w:ascii="宋体" w:hAnsi="宋体"/>
          <w:bCs/>
          <w:szCs w:val="21"/>
          <w:highlight w:val="none"/>
        </w:rPr>
        <w:t>4.3</w:t>
      </w:r>
      <w:r>
        <w:rPr>
          <w:rFonts w:hint="eastAsia" w:ascii="宋体" w:hAnsi="宋体"/>
          <w:bCs/>
          <w:szCs w:val="21"/>
          <w:highlight w:val="none"/>
        </w:rPr>
        <w:t>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技术要求偏离分由高到低排序）。评审得分、最后报价（不计算价格折扣）、技术得分、技术要求偏离分均相同的，由磋商小组随机抽取推荐。</w:t>
      </w:r>
    </w:p>
    <w:p w14:paraId="735B61F4">
      <w:pPr>
        <w:spacing w:line="360" w:lineRule="auto"/>
        <w:ind w:firstLine="420" w:firstLineChars="200"/>
        <w:rPr>
          <w:rFonts w:hint="eastAsia" w:ascii="宋体" w:hAnsi="宋体"/>
          <w:szCs w:val="21"/>
          <w:highlight w:val="none"/>
        </w:rPr>
      </w:pPr>
      <w:r>
        <w:rPr>
          <w:highlight w:val="none"/>
        </w:rPr>
        <w:br w:type="page"/>
      </w:r>
    </w:p>
    <w:p w14:paraId="13C9CD2C">
      <w:pPr>
        <w:rPr>
          <w:highlight w:val="none"/>
        </w:rPr>
      </w:pPr>
    </w:p>
    <w:p w14:paraId="3FD0CA74">
      <w:pPr>
        <w:rPr>
          <w:highlight w:val="none"/>
        </w:rPr>
      </w:pPr>
    </w:p>
    <w:p w14:paraId="47F3AA31">
      <w:pPr>
        <w:rPr>
          <w:highlight w:val="none"/>
        </w:rPr>
      </w:pPr>
    </w:p>
    <w:p w14:paraId="69D502C6">
      <w:pPr>
        <w:rPr>
          <w:highlight w:val="none"/>
        </w:rPr>
      </w:pPr>
    </w:p>
    <w:p w14:paraId="2BD85221">
      <w:pPr>
        <w:rPr>
          <w:highlight w:val="none"/>
        </w:rPr>
      </w:pPr>
    </w:p>
    <w:p w14:paraId="24D37A8E">
      <w:pPr>
        <w:rPr>
          <w:highlight w:val="none"/>
        </w:rPr>
      </w:pPr>
    </w:p>
    <w:p w14:paraId="601166C3">
      <w:pPr>
        <w:rPr>
          <w:highlight w:val="none"/>
        </w:rPr>
      </w:pPr>
    </w:p>
    <w:p w14:paraId="16A02421">
      <w:pPr>
        <w:rPr>
          <w:highlight w:val="none"/>
        </w:rPr>
      </w:pPr>
    </w:p>
    <w:p w14:paraId="1896BEF0">
      <w:pPr>
        <w:rPr>
          <w:highlight w:val="none"/>
        </w:rPr>
      </w:pPr>
    </w:p>
    <w:p w14:paraId="6A27B276">
      <w:pPr>
        <w:rPr>
          <w:highlight w:val="none"/>
        </w:rPr>
      </w:pPr>
    </w:p>
    <w:p w14:paraId="0FF63854">
      <w:pPr>
        <w:rPr>
          <w:highlight w:val="none"/>
        </w:rPr>
      </w:pPr>
    </w:p>
    <w:p w14:paraId="73DBB1B9">
      <w:pPr>
        <w:rPr>
          <w:highlight w:val="none"/>
        </w:rPr>
      </w:pPr>
    </w:p>
    <w:p w14:paraId="4E3E03C9">
      <w:pPr>
        <w:rPr>
          <w:highlight w:val="none"/>
        </w:rPr>
      </w:pPr>
    </w:p>
    <w:p w14:paraId="3C242058">
      <w:pPr>
        <w:pStyle w:val="4"/>
        <w:jc w:val="center"/>
        <w:rPr>
          <w:highlight w:val="none"/>
        </w:rPr>
      </w:pPr>
      <w:bookmarkStart w:id="68" w:name="_Toc151675540"/>
      <w:r>
        <w:rPr>
          <w:rFonts w:hint="eastAsia"/>
          <w:highlight w:val="none"/>
        </w:rPr>
        <w:t xml:space="preserve">第五章 </w:t>
      </w:r>
      <w:r>
        <w:rPr>
          <w:highlight w:val="none"/>
        </w:rPr>
        <w:t xml:space="preserve"> </w:t>
      </w:r>
      <w:r>
        <w:rPr>
          <w:rFonts w:hint="eastAsia"/>
          <w:highlight w:val="none"/>
        </w:rPr>
        <w:t>响应文件格式</w:t>
      </w:r>
      <w:bookmarkEnd w:id="68"/>
    </w:p>
    <w:p w14:paraId="50F9A024">
      <w:pPr>
        <w:spacing w:line="240" w:lineRule="atLeast"/>
        <w:rPr>
          <w:rFonts w:hint="eastAsia" w:ascii="宋体" w:hAnsi="宋体"/>
          <w:b/>
          <w:sz w:val="32"/>
          <w:szCs w:val="32"/>
          <w:highlight w:val="none"/>
        </w:rPr>
      </w:pPr>
    </w:p>
    <w:p w14:paraId="13816C8F">
      <w:pPr>
        <w:spacing w:line="240" w:lineRule="atLeast"/>
        <w:rPr>
          <w:rFonts w:hint="eastAsia" w:ascii="宋体" w:hAnsi="宋体"/>
          <w:b/>
          <w:sz w:val="32"/>
          <w:szCs w:val="32"/>
          <w:highlight w:val="none"/>
        </w:rPr>
      </w:pPr>
    </w:p>
    <w:p w14:paraId="672E5781">
      <w:pPr>
        <w:spacing w:line="240" w:lineRule="atLeast"/>
        <w:rPr>
          <w:rFonts w:hint="eastAsia" w:ascii="宋体" w:hAnsi="宋体"/>
          <w:b/>
          <w:sz w:val="32"/>
          <w:szCs w:val="32"/>
          <w:highlight w:val="none"/>
        </w:rPr>
      </w:pPr>
    </w:p>
    <w:p w14:paraId="77DFDA7C">
      <w:pPr>
        <w:spacing w:line="240" w:lineRule="atLeast"/>
        <w:rPr>
          <w:rFonts w:hint="eastAsia" w:ascii="宋体" w:hAnsi="宋体"/>
          <w:b/>
          <w:sz w:val="32"/>
          <w:szCs w:val="32"/>
          <w:highlight w:val="none"/>
        </w:rPr>
      </w:pPr>
    </w:p>
    <w:p w14:paraId="61CDB317">
      <w:pPr>
        <w:spacing w:line="240" w:lineRule="atLeast"/>
        <w:rPr>
          <w:rFonts w:hint="eastAsia" w:ascii="宋体" w:hAnsi="宋体"/>
          <w:b/>
          <w:sz w:val="32"/>
          <w:szCs w:val="32"/>
          <w:highlight w:val="none"/>
        </w:rPr>
      </w:pPr>
    </w:p>
    <w:p w14:paraId="2B5C76DD">
      <w:pPr>
        <w:spacing w:line="240" w:lineRule="atLeast"/>
        <w:rPr>
          <w:rFonts w:hint="eastAsia" w:ascii="宋体" w:hAnsi="宋体"/>
          <w:b/>
          <w:sz w:val="32"/>
          <w:szCs w:val="32"/>
          <w:highlight w:val="none"/>
        </w:rPr>
      </w:pPr>
    </w:p>
    <w:p w14:paraId="1548B948">
      <w:pPr>
        <w:spacing w:line="240" w:lineRule="atLeast"/>
        <w:rPr>
          <w:rFonts w:hint="eastAsia" w:ascii="宋体" w:hAnsi="宋体"/>
          <w:b/>
          <w:sz w:val="32"/>
          <w:szCs w:val="32"/>
          <w:highlight w:val="none"/>
        </w:rPr>
      </w:pPr>
    </w:p>
    <w:p w14:paraId="21F8AD17">
      <w:pPr>
        <w:spacing w:line="240" w:lineRule="atLeast"/>
        <w:rPr>
          <w:rFonts w:hint="eastAsia" w:ascii="宋体" w:hAnsi="宋体"/>
          <w:b/>
          <w:sz w:val="32"/>
          <w:szCs w:val="32"/>
          <w:highlight w:val="none"/>
        </w:rPr>
      </w:pPr>
    </w:p>
    <w:p w14:paraId="5C150C18">
      <w:pPr>
        <w:spacing w:line="240" w:lineRule="atLeast"/>
        <w:rPr>
          <w:rFonts w:hint="eastAsia" w:ascii="宋体" w:hAnsi="宋体"/>
          <w:b/>
          <w:sz w:val="32"/>
          <w:szCs w:val="32"/>
          <w:highlight w:val="none"/>
        </w:rPr>
      </w:pPr>
    </w:p>
    <w:p w14:paraId="2E7DCC29">
      <w:pPr>
        <w:spacing w:line="240" w:lineRule="atLeast"/>
        <w:rPr>
          <w:rFonts w:hint="eastAsia" w:ascii="宋体" w:hAnsi="宋体"/>
          <w:b/>
          <w:sz w:val="32"/>
          <w:szCs w:val="32"/>
          <w:highlight w:val="none"/>
        </w:rPr>
      </w:pPr>
    </w:p>
    <w:p w14:paraId="2B0E19C3">
      <w:pPr>
        <w:spacing w:line="240" w:lineRule="atLeast"/>
        <w:rPr>
          <w:rFonts w:hint="eastAsia" w:ascii="宋体" w:hAnsi="宋体"/>
          <w:b/>
          <w:sz w:val="32"/>
          <w:szCs w:val="32"/>
          <w:highlight w:val="none"/>
        </w:rPr>
      </w:pPr>
    </w:p>
    <w:p w14:paraId="56FF11A6">
      <w:pPr>
        <w:rPr>
          <w:highlight w:val="none"/>
        </w:rPr>
      </w:pPr>
    </w:p>
    <w:p w14:paraId="1254F5E8">
      <w:pPr>
        <w:rPr>
          <w:highlight w:val="none"/>
        </w:rPr>
      </w:pPr>
    </w:p>
    <w:p w14:paraId="606A8EA2">
      <w:pPr>
        <w:snapToGrid w:val="0"/>
        <w:spacing w:before="156" w:beforeLines="50" w:after="50"/>
        <w:jc w:val="center"/>
        <w:rPr>
          <w:rFonts w:hint="eastAsia" w:ascii="仿宋_GB2312" w:hAnsi="仿宋_GB2312" w:eastAsia="仿宋_GB2312" w:cs="仿宋_GB2312"/>
          <w:bCs/>
          <w:sz w:val="32"/>
          <w:szCs w:val="32"/>
          <w:highlight w:val="none"/>
        </w:rPr>
      </w:pPr>
    </w:p>
    <w:p w14:paraId="72EED662">
      <w:pPr>
        <w:rPr>
          <w:b/>
          <w:sz w:val="32"/>
          <w:szCs w:val="32"/>
          <w:highlight w:val="none"/>
        </w:rPr>
      </w:pPr>
      <w:bookmarkStart w:id="69" w:name="_Toc44229899"/>
      <w:bookmarkStart w:id="70" w:name="_Toc31728084"/>
      <w:bookmarkStart w:id="71" w:name="_Toc31723070"/>
      <w:bookmarkStart w:id="72" w:name="_Toc71366186"/>
      <w:bookmarkStart w:id="73" w:name="_Toc35611516"/>
      <w:bookmarkStart w:id="74" w:name="_Toc35611438"/>
      <w:r>
        <w:rPr>
          <w:rFonts w:hint="eastAsia"/>
          <w:b/>
          <w:sz w:val="32"/>
          <w:szCs w:val="32"/>
          <w:highlight w:val="none"/>
        </w:rPr>
        <w:t>一、资格证明文件格式</w:t>
      </w:r>
      <w:bookmarkEnd w:id="69"/>
      <w:bookmarkEnd w:id="70"/>
      <w:bookmarkEnd w:id="71"/>
      <w:bookmarkEnd w:id="72"/>
      <w:bookmarkEnd w:id="73"/>
      <w:bookmarkEnd w:id="74"/>
    </w:p>
    <w:p w14:paraId="4FA35F44">
      <w:pPr>
        <w:snapToGrid w:val="0"/>
        <w:spacing w:before="156" w:beforeLines="50" w:after="50" w:line="360" w:lineRule="auto"/>
        <w:jc w:val="left"/>
        <w:rPr>
          <w:rFonts w:hint="eastAsia" w:ascii="宋体" w:hAnsi="宋体"/>
          <w:b/>
          <w:sz w:val="24"/>
          <w:highlight w:val="none"/>
        </w:rPr>
      </w:pPr>
      <w:r>
        <w:rPr>
          <w:rFonts w:hint="eastAsia" w:ascii="宋体" w:hAnsi="宋体"/>
          <w:b/>
          <w:sz w:val="32"/>
          <w:szCs w:val="32"/>
          <w:highlight w:val="none"/>
        </w:rPr>
        <w:t>1.资格证明文件封面格式：</w:t>
      </w:r>
    </w:p>
    <w:p w14:paraId="498AA2AC">
      <w:pPr>
        <w:snapToGrid w:val="0"/>
        <w:spacing w:before="156" w:beforeLines="50" w:after="50"/>
        <w:jc w:val="center"/>
        <w:rPr>
          <w:rFonts w:hint="eastAsia" w:ascii="宋体" w:hAnsi="宋体"/>
          <w:sz w:val="44"/>
          <w:szCs w:val="44"/>
          <w:highlight w:val="none"/>
        </w:rPr>
      </w:pPr>
    </w:p>
    <w:p w14:paraId="668F7AB2">
      <w:pPr>
        <w:snapToGrid w:val="0"/>
        <w:spacing w:before="156" w:beforeLines="50" w:after="50"/>
        <w:jc w:val="center"/>
        <w:rPr>
          <w:rFonts w:hint="eastAsia" w:ascii="宋体" w:hAnsi="宋体"/>
          <w:sz w:val="44"/>
          <w:szCs w:val="44"/>
          <w:highlight w:val="none"/>
        </w:rPr>
      </w:pPr>
      <w:r>
        <w:rPr>
          <w:rFonts w:hint="eastAsia" w:ascii="宋体" w:hAnsi="宋体"/>
          <w:sz w:val="44"/>
          <w:szCs w:val="44"/>
          <w:highlight w:val="none"/>
        </w:rPr>
        <w:t>电子响应文件</w:t>
      </w:r>
    </w:p>
    <w:p w14:paraId="2962F32E">
      <w:pPr>
        <w:snapToGrid w:val="0"/>
        <w:spacing w:before="156" w:beforeLines="50" w:after="50"/>
        <w:rPr>
          <w:rFonts w:hint="eastAsia" w:ascii="宋体" w:hAnsi="宋体"/>
          <w:sz w:val="24"/>
          <w:szCs w:val="20"/>
          <w:highlight w:val="none"/>
        </w:rPr>
      </w:pPr>
    </w:p>
    <w:p w14:paraId="5417F07F">
      <w:pPr>
        <w:snapToGrid w:val="0"/>
        <w:spacing w:before="156" w:beforeLines="50" w:after="50"/>
        <w:jc w:val="center"/>
        <w:rPr>
          <w:rFonts w:hint="eastAsia" w:ascii="微软雅黑" w:hAnsi="微软雅黑" w:eastAsia="微软雅黑" w:cs="微软雅黑"/>
          <w:bCs/>
          <w:sz w:val="44"/>
          <w:szCs w:val="44"/>
          <w:highlight w:val="none"/>
        </w:rPr>
      </w:pPr>
      <w:r>
        <w:rPr>
          <w:rFonts w:hint="eastAsia" w:ascii="微软雅黑" w:hAnsi="微软雅黑" w:eastAsia="微软雅黑" w:cs="微软雅黑"/>
          <w:bCs/>
          <w:sz w:val="44"/>
          <w:szCs w:val="44"/>
          <w:highlight w:val="none"/>
        </w:rPr>
        <w:t>资格证明文件</w:t>
      </w:r>
    </w:p>
    <w:p w14:paraId="3572083C">
      <w:pPr>
        <w:snapToGrid w:val="0"/>
        <w:spacing w:before="156" w:beforeLines="50" w:after="50"/>
        <w:rPr>
          <w:rFonts w:hint="eastAsia" w:ascii="宋体" w:hAnsi="宋体"/>
          <w:bCs/>
          <w:sz w:val="24"/>
          <w:szCs w:val="20"/>
          <w:highlight w:val="none"/>
        </w:rPr>
      </w:pPr>
    </w:p>
    <w:p w14:paraId="72B2C64D">
      <w:pPr>
        <w:snapToGrid w:val="0"/>
        <w:spacing w:before="156" w:beforeLines="50" w:after="50"/>
        <w:rPr>
          <w:rFonts w:hint="eastAsia" w:ascii="宋体" w:hAnsi="宋体"/>
          <w:bCs/>
          <w:sz w:val="24"/>
          <w:szCs w:val="20"/>
          <w:highlight w:val="none"/>
        </w:rPr>
      </w:pPr>
    </w:p>
    <w:p w14:paraId="4F6E7660">
      <w:pPr>
        <w:snapToGrid w:val="0"/>
        <w:spacing w:before="156" w:beforeLines="50" w:after="50"/>
        <w:rPr>
          <w:rFonts w:hint="eastAsia" w:ascii="宋体" w:hAnsi="宋体"/>
          <w:bCs/>
          <w:sz w:val="24"/>
          <w:szCs w:val="20"/>
          <w:highlight w:val="none"/>
        </w:rPr>
      </w:pPr>
    </w:p>
    <w:p w14:paraId="5BC02B32">
      <w:pPr>
        <w:snapToGrid w:val="0"/>
        <w:spacing w:before="156" w:beforeLines="50" w:after="50"/>
        <w:rPr>
          <w:rFonts w:hint="eastAsia" w:ascii="宋体" w:hAnsi="宋体"/>
          <w:bCs/>
          <w:sz w:val="24"/>
          <w:szCs w:val="20"/>
          <w:highlight w:val="none"/>
        </w:rPr>
      </w:pPr>
    </w:p>
    <w:p w14:paraId="764613B3">
      <w:pPr>
        <w:snapToGrid w:val="0"/>
        <w:spacing w:before="156" w:beforeLines="50" w:after="50"/>
        <w:rPr>
          <w:rFonts w:hint="eastAsia" w:ascii="宋体" w:hAnsi="宋体"/>
          <w:bCs/>
          <w:sz w:val="24"/>
          <w:szCs w:val="20"/>
          <w:highlight w:val="none"/>
        </w:rPr>
      </w:pPr>
    </w:p>
    <w:p w14:paraId="796EA180">
      <w:pPr>
        <w:snapToGrid w:val="0"/>
        <w:spacing w:before="156" w:beforeLines="50" w:after="50"/>
        <w:ind w:firstLine="640" w:firstLineChars="200"/>
        <w:rPr>
          <w:rFonts w:hint="eastAsia" w:ascii="宋体" w:hAnsi="宋体" w:cs="仿宋_GB2312"/>
          <w:bCs/>
          <w:sz w:val="32"/>
          <w:szCs w:val="32"/>
          <w:highlight w:val="none"/>
        </w:rPr>
      </w:pPr>
      <w:r>
        <w:rPr>
          <w:rFonts w:hint="eastAsia" w:ascii="宋体" w:hAnsi="宋体" w:cs="仿宋_GB2312"/>
          <w:bCs/>
          <w:sz w:val="32"/>
          <w:szCs w:val="32"/>
          <w:highlight w:val="none"/>
        </w:rPr>
        <w:t>项目名称：</w:t>
      </w:r>
    </w:p>
    <w:p w14:paraId="2436A5DC">
      <w:pPr>
        <w:snapToGrid w:val="0"/>
        <w:spacing w:before="156" w:beforeLines="50" w:after="50"/>
        <w:ind w:firstLine="720" w:firstLineChars="225"/>
        <w:rPr>
          <w:rFonts w:hint="eastAsia" w:ascii="宋体" w:hAnsi="宋体" w:cs="仿宋_GB2312"/>
          <w:bCs/>
          <w:sz w:val="32"/>
          <w:szCs w:val="32"/>
          <w:highlight w:val="none"/>
        </w:rPr>
      </w:pPr>
    </w:p>
    <w:p w14:paraId="5F85B439">
      <w:pPr>
        <w:snapToGrid w:val="0"/>
        <w:spacing w:before="156" w:beforeLines="50" w:after="50"/>
        <w:ind w:firstLine="720" w:firstLineChars="225"/>
        <w:rPr>
          <w:rFonts w:hint="eastAsia" w:ascii="宋体" w:hAnsi="宋体" w:cs="仿宋_GB2312"/>
          <w:bCs/>
          <w:sz w:val="32"/>
          <w:szCs w:val="32"/>
          <w:highlight w:val="none"/>
        </w:rPr>
      </w:pPr>
      <w:r>
        <w:rPr>
          <w:rFonts w:hint="eastAsia" w:ascii="宋体" w:hAnsi="宋体" w:cs="仿宋_GB2312"/>
          <w:bCs/>
          <w:sz w:val="32"/>
          <w:szCs w:val="32"/>
          <w:highlight w:val="none"/>
        </w:rPr>
        <w:t>项目编号：</w:t>
      </w:r>
    </w:p>
    <w:p w14:paraId="275FDD9A">
      <w:pPr>
        <w:snapToGrid w:val="0"/>
        <w:spacing w:before="156" w:beforeLines="50" w:after="50"/>
        <w:ind w:firstLine="720" w:firstLineChars="225"/>
        <w:rPr>
          <w:rFonts w:hint="eastAsia" w:ascii="宋体" w:hAnsi="宋体" w:cs="仿宋_GB2312"/>
          <w:bCs/>
          <w:sz w:val="32"/>
          <w:szCs w:val="32"/>
          <w:highlight w:val="none"/>
        </w:rPr>
      </w:pPr>
    </w:p>
    <w:p w14:paraId="23C53031">
      <w:pPr>
        <w:snapToGrid w:val="0"/>
        <w:spacing w:before="156" w:beforeLines="50" w:after="50"/>
        <w:ind w:firstLine="720" w:firstLineChars="225"/>
        <w:rPr>
          <w:rFonts w:hint="eastAsia" w:ascii="宋体" w:hAnsi="宋体" w:cs="仿宋_GB2312"/>
          <w:bCs/>
          <w:sz w:val="32"/>
          <w:szCs w:val="32"/>
          <w:highlight w:val="none"/>
        </w:rPr>
      </w:pPr>
      <w:r>
        <w:rPr>
          <w:rFonts w:hint="eastAsia" w:ascii="宋体" w:hAnsi="宋体" w:cs="仿宋_GB2312"/>
          <w:bCs/>
          <w:sz w:val="32"/>
          <w:szCs w:val="32"/>
          <w:highlight w:val="none"/>
        </w:rPr>
        <w:t>所竞分标（如有则填写，无分标时填写“无”或者留空）：</w:t>
      </w:r>
    </w:p>
    <w:p w14:paraId="5ED69A12">
      <w:pPr>
        <w:snapToGrid w:val="0"/>
        <w:spacing w:before="156" w:beforeLines="50" w:after="50"/>
        <w:ind w:firstLine="720" w:firstLineChars="225"/>
        <w:rPr>
          <w:rFonts w:hint="eastAsia" w:ascii="宋体" w:hAnsi="宋体" w:cs="仿宋_GB2312"/>
          <w:bCs/>
          <w:sz w:val="32"/>
          <w:szCs w:val="32"/>
          <w:highlight w:val="none"/>
        </w:rPr>
      </w:pPr>
    </w:p>
    <w:p w14:paraId="69E18F4F">
      <w:pPr>
        <w:pStyle w:val="9"/>
        <w:snapToGrid w:val="0"/>
        <w:spacing w:before="50" w:after="50"/>
        <w:ind w:firstLine="720" w:firstLineChars="225"/>
        <w:rPr>
          <w:rFonts w:hint="eastAsia" w:ascii="宋体" w:hAnsi="宋体" w:cs="仿宋_GB2312"/>
          <w:bCs/>
          <w:sz w:val="32"/>
          <w:szCs w:val="32"/>
          <w:highlight w:val="none"/>
        </w:rPr>
      </w:pPr>
      <w:r>
        <w:rPr>
          <w:rFonts w:hint="eastAsia" w:ascii="宋体" w:hAnsi="宋体" w:cs="仿宋_GB2312"/>
          <w:bCs/>
          <w:sz w:val="32"/>
          <w:szCs w:val="32"/>
          <w:highlight w:val="none"/>
        </w:rPr>
        <w:t>供应商名称：</w:t>
      </w:r>
    </w:p>
    <w:p w14:paraId="0D43C3B0">
      <w:pPr>
        <w:snapToGrid w:val="0"/>
        <w:spacing w:before="156" w:beforeLines="50" w:after="50"/>
        <w:ind w:firstLine="640" w:firstLineChars="200"/>
        <w:rPr>
          <w:rFonts w:hint="eastAsia" w:ascii="宋体" w:hAnsi="宋体" w:cs="仿宋_GB2312"/>
          <w:bCs/>
          <w:sz w:val="32"/>
          <w:szCs w:val="32"/>
          <w:highlight w:val="none"/>
        </w:rPr>
      </w:pPr>
    </w:p>
    <w:p w14:paraId="7BB6DF52">
      <w:pPr>
        <w:pStyle w:val="9"/>
        <w:snapToGrid w:val="0"/>
        <w:spacing w:before="50" w:after="50"/>
        <w:ind w:firstLine="720" w:firstLineChars="225"/>
        <w:rPr>
          <w:rFonts w:hint="eastAsia" w:ascii="宋体" w:hAnsi="宋体" w:cs="仿宋_GB2312"/>
          <w:bCs/>
          <w:sz w:val="32"/>
          <w:szCs w:val="32"/>
          <w:highlight w:val="none"/>
        </w:rPr>
      </w:pPr>
    </w:p>
    <w:p w14:paraId="31A24952">
      <w:pPr>
        <w:pStyle w:val="9"/>
        <w:snapToGrid w:val="0"/>
        <w:spacing w:before="50" w:after="50"/>
        <w:ind w:firstLine="720" w:firstLineChars="225"/>
        <w:rPr>
          <w:rFonts w:hint="eastAsia" w:ascii="宋体" w:hAnsi="宋体" w:cs="仿宋_GB2312"/>
          <w:bCs/>
          <w:sz w:val="32"/>
          <w:szCs w:val="32"/>
          <w:highlight w:val="none"/>
        </w:rPr>
      </w:pPr>
    </w:p>
    <w:p w14:paraId="39E3A46F">
      <w:pPr>
        <w:pStyle w:val="9"/>
        <w:snapToGrid w:val="0"/>
        <w:spacing w:before="50" w:after="50"/>
        <w:ind w:firstLine="1280" w:firstLineChars="400"/>
        <w:rPr>
          <w:rFonts w:hint="eastAsia" w:ascii="宋体" w:hAnsi="宋体" w:cs="仿宋_GB2312"/>
          <w:bCs/>
          <w:sz w:val="32"/>
          <w:szCs w:val="32"/>
          <w:highlight w:val="none"/>
        </w:rPr>
      </w:pPr>
    </w:p>
    <w:p w14:paraId="6D280166">
      <w:pPr>
        <w:snapToGrid w:val="0"/>
        <w:spacing w:before="156" w:beforeLines="50" w:after="50"/>
        <w:jc w:val="center"/>
        <w:rPr>
          <w:rFonts w:hint="eastAsia" w:ascii="宋体" w:hAnsi="宋体" w:cs="仿宋_GB2312"/>
          <w:sz w:val="32"/>
          <w:szCs w:val="32"/>
          <w:highlight w:val="none"/>
        </w:rPr>
      </w:pPr>
      <w:r>
        <w:rPr>
          <w:rFonts w:hint="eastAsia" w:ascii="宋体" w:hAnsi="宋体" w:cs="仿宋_GB2312"/>
          <w:sz w:val="32"/>
          <w:szCs w:val="32"/>
          <w:highlight w:val="none"/>
        </w:rPr>
        <w:t>年月日</w:t>
      </w:r>
    </w:p>
    <w:p w14:paraId="32CAA668">
      <w:pPr>
        <w:snapToGrid w:val="0"/>
        <w:spacing w:before="156" w:beforeLines="50" w:after="50" w:line="360" w:lineRule="auto"/>
        <w:ind w:left="142"/>
        <w:jc w:val="left"/>
        <w:rPr>
          <w:rFonts w:hint="eastAsia" w:ascii="宋体" w:hAnsi="宋体"/>
          <w:b/>
          <w:bCs/>
          <w:sz w:val="32"/>
          <w:szCs w:val="32"/>
          <w:highlight w:val="none"/>
        </w:rPr>
      </w:pPr>
      <w:r>
        <w:rPr>
          <w:rFonts w:ascii="宋体" w:hAnsi="宋体"/>
          <w:sz w:val="24"/>
          <w:highlight w:val="none"/>
        </w:rPr>
        <w:br w:type="page"/>
      </w:r>
      <w:r>
        <w:rPr>
          <w:rFonts w:hint="eastAsia" w:ascii="宋体" w:hAnsi="宋体"/>
          <w:b/>
          <w:bCs/>
          <w:sz w:val="32"/>
          <w:szCs w:val="32"/>
          <w:highlight w:val="none"/>
        </w:rPr>
        <w:t>2.资格证明文件目录</w:t>
      </w:r>
    </w:p>
    <w:p w14:paraId="235EC377">
      <w:pPr>
        <w:snapToGrid w:val="0"/>
        <w:spacing w:before="156" w:beforeLines="50" w:after="50" w:line="360" w:lineRule="auto"/>
        <w:ind w:firstLine="645"/>
        <w:rPr>
          <w:rFonts w:hint="eastAsia" w:ascii="宋体" w:hAnsi="宋体"/>
          <w:sz w:val="32"/>
          <w:szCs w:val="32"/>
          <w:highlight w:val="none"/>
        </w:rPr>
      </w:pPr>
      <w:r>
        <w:rPr>
          <w:rFonts w:hint="eastAsia" w:ascii="宋体" w:hAnsi="宋体"/>
          <w:sz w:val="32"/>
          <w:szCs w:val="32"/>
          <w:highlight w:val="none"/>
        </w:rPr>
        <w:t>根据磋商文件规定及供应商提供的材料自行编写目录（部分格式后附）。</w:t>
      </w:r>
    </w:p>
    <w:p w14:paraId="057D845A">
      <w:pPr>
        <w:snapToGrid w:val="0"/>
        <w:spacing w:before="156" w:beforeLines="50" w:after="50"/>
        <w:rPr>
          <w:rFonts w:hint="eastAsia" w:ascii="宋体" w:hAnsi="宋体"/>
          <w:sz w:val="24"/>
          <w:szCs w:val="20"/>
          <w:highlight w:val="none"/>
        </w:rPr>
      </w:pPr>
    </w:p>
    <w:p w14:paraId="3B4B1530">
      <w:pPr>
        <w:spacing w:line="300" w:lineRule="auto"/>
        <w:rPr>
          <w:rFonts w:hint="eastAsia" w:ascii="宋体" w:hAnsi="宋体"/>
          <w:szCs w:val="21"/>
          <w:highlight w:val="none"/>
        </w:rPr>
      </w:pPr>
    </w:p>
    <w:p w14:paraId="4A789785">
      <w:pPr>
        <w:spacing w:line="300" w:lineRule="auto"/>
        <w:rPr>
          <w:rFonts w:hint="eastAsia" w:ascii="宋体" w:hAnsi="宋体"/>
          <w:szCs w:val="21"/>
          <w:highlight w:val="none"/>
        </w:rPr>
      </w:pPr>
    </w:p>
    <w:p w14:paraId="0F59B54B">
      <w:pPr>
        <w:spacing w:line="300" w:lineRule="auto"/>
        <w:rPr>
          <w:rFonts w:hint="eastAsia" w:ascii="宋体" w:hAnsi="宋体"/>
          <w:szCs w:val="21"/>
          <w:highlight w:val="none"/>
        </w:rPr>
      </w:pPr>
    </w:p>
    <w:p w14:paraId="7F8CA7E7">
      <w:pPr>
        <w:spacing w:line="300" w:lineRule="auto"/>
        <w:rPr>
          <w:rFonts w:hint="eastAsia" w:ascii="宋体" w:hAnsi="宋体"/>
          <w:szCs w:val="21"/>
          <w:highlight w:val="none"/>
        </w:rPr>
      </w:pPr>
    </w:p>
    <w:p w14:paraId="521248D2">
      <w:pPr>
        <w:spacing w:line="300" w:lineRule="auto"/>
        <w:rPr>
          <w:rFonts w:hint="eastAsia" w:ascii="宋体" w:hAnsi="宋体"/>
          <w:szCs w:val="21"/>
          <w:highlight w:val="none"/>
        </w:rPr>
      </w:pPr>
    </w:p>
    <w:p w14:paraId="22807C87">
      <w:pPr>
        <w:spacing w:line="300" w:lineRule="auto"/>
        <w:rPr>
          <w:rFonts w:hint="eastAsia" w:ascii="宋体" w:hAnsi="宋体"/>
          <w:szCs w:val="21"/>
          <w:highlight w:val="none"/>
        </w:rPr>
      </w:pPr>
    </w:p>
    <w:p w14:paraId="36361186">
      <w:pPr>
        <w:spacing w:line="300" w:lineRule="auto"/>
        <w:rPr>
          <w:rFonts w:hint="eastAsia" w:ascii="宋体" w:hAnsi="宋体"/>
          <w:szCs w:val="21"/>
          <w:highlight w:val="none"/>
        </w:rPr>
      </w:pPr>
    </w:p>
    <w:p w14:paraId="534B0A49">
      <w:pPr>
        <w:spacing w:line="300" w:lineRule="auto"/>
        <w:rPr>
          <w:rFonts w:hint="eastAsia" w:ascii="宋体" w:hAnsi="宋体"/>
          <w:szCs w:val="21"/>
          <w:highlight w:val="none"/>
        </w:rPr>
      </w:pPr>
    </w:p>
    <w:p w14:paraId="00D66CBD">
      <w:pPr>
        <w:spacing w:line="300" w:lineRule="auto"/>
        <w:rPr>
          <w:rFonts w:hint="eastAsia" w:ascii="宋体" w:hAnsi="宋体"/>
          <w:szCs w:val="21"/>
          <w:highlight w:val="none"/>
        </w:rPr>
      </w:pPr>
    </w:p>
    <w:p w14:paraId="3D163673">
      <w:pPr>
        <w:spacing w:line="300" w:lineRule="auto"/>
        <w:rPr>
          <w:rFonts w:hint="eastAsia" w:ascii="宋体" w:hAnsi="宋体"/>
          <w:szCs w:val="21"/>
          <w:highlight w:val="none"/>
        </w:rPr>
      </w:pPr>
    </w:p>
    <w:p w14:paraId="18339E91">
      <w:pPr>
        <w:spacing w:line="300" w:lineRule="auto"/>
        <w:rPr>
          <w:rFonts w:hint="eastAsia" w:ascii="宋体" w:hAnsi="宋体"/>
          <w:szCs w:val="21"/>
          <w:highlight w:val="none"/>
        </w:rPr>
      </w:pPr>
    </w:p>
    <w:p w14:paraId="0F56D5E1">
      <w:pPr>
        <w:spacing w:line="300" w:lineRule="auto"/>
        <w:rPr>
          <w:rFonts w:hint="eastAsia" w:ascii="宋体" w:hAnsi="宋体"/>
          <w:szCs w:val="21"/>
          <w:highlight w:val="none"/>
        </w:rPr>
      </w:pPr>
    </w:p>
    <w:p w14:paraId="1157CADE">
      <w:pPr>
        <w:spacing w:line="300" w:lineRule="auto"/>
        <w:rPr>
          <w:rFonts w:hint="eastAsia" w:ascii="宋体" w:hAnsi="宋体"/>
          <w:szCs w:val="21"/>
          <w:highlight w:val="none"/>
        </w:rPr>
      </w:pPr>
    </w:p>
    <w:p w14:paraId="700E6DFA">
      <w:pPr>
        <w:spacing w:line="300" w:lineRule="auto"/>
        <w:rPr>
          <w:rFonts w:hint="eastAsia" w:ascii="宋体" w:hAnsi="宋体"/>
          <w:szCs w:val="21"/>
          <w:highlight w:val="none"/>
        </w:rPr>
      </w:pPr>
    </w:p>
    <w:p w14:paraId="749E0D06">
      <w:pPr>
        <w:spacing w:line="300" w:lineRule="auto"/>
        <w:rPr>
          <w:rFonts w:hint="eastAsia" w:ascii="宋体" w:hAnsi="宋体"/>
          <w:szCs w:val="21"/>
          <w:highlight w:val="none"/>
        </w:rPr>
      </w:pPr>
    </w:p>
    <w:p w14:paraId="6E668D19">
      <w:pPr>
        <w:spacing w:line="320" w:lineRule="exact"/>
        <w:jc w:val="left"/>
        <w:rPr>
          <w:rFonts w:hint="eastAsia" w:ascii="宋体" w:hAnsi="宋体"/>
          <w:szCs w:val="21"/>
          <w:highlight w:val="none"/>
        </w:rPr>
      </w:pPr>
      <w:r>
        <w:rPr>
          <w:rFonts w:ascii="宋体" w:hAnsi="宋体"/>
          <w:szCs w:val="21"/>
          <w:highlight w:val="none"/>
        </w:rPr>
        <w:br w:type="page"/>
      </w:r>
    </w:p>
    <w:p w14:paraId="6F3FE3E7">
      <w:pPr>
        <w:wordWrap w:val="0"/>
        <w:spacing w:before="156" w:beforeLines="50" w:after="50" w:line="320" w:lineRule="exact"/>
        <w:ind w:right="482" w:firstLine="210" w:firstLineChars="100"/>
        <w:contextualSpacing/>
        <w:jc w:val="center"/>
        <w:rPr>
          <w:rFonts w:hint="eastAsia" w:ascii="宋体" w:hAnsi="宋体"/>
          <w:szCs w:val="21"/>
          <w:highlight w:val="none"/>
        </w:rPr>
      </w:pPr>
    </w:p>
    <w:p w14:paraId="0116FD72">
      <w:pPr>
        <w:spacing w:line="320" w:lineRule="exact"/>
        <w:jc w:val="center"/>
        <w:rPr>
          <w:rFonts w:hint="eastAsia" w:ascii="宋体" w:hAnsi="宋体"/>
          <w:b/>
          <w:sz w:val="32"/>
          <w:szCs w:val="32"/>
          <w:highlight w:val="none"/>
        </w:rPr>
      </w:pPr>
      <w:r>
        <w:rPr>
          <w:rFonts w:hint="eastAsia" w:ascii="宋体" w:hAnsi="宋体"/>
          <w:b/>
          <w:sz w:val="32"/>
          <w:szCs w:val="32"/>
          <w:highlight w:val="none"/>
        </w:rPr>
        <w:t>供应商直接控股、管理关系信息表</w:t>
      </w:r>
    </w:p>
    <w:p w14:paraId="6A05C0E0">
      <w:pPr>
        <w:snapToGrid w:val="0"/>
        <w:spacing w:before="156" w:beforeLines="50" w:after="50" w:line="360" w:lineRule="auto"/>
        <w:jc w:val="center"/>
        <w:rPr>
          <w:rFonts w:hint="eastAsia" w:ascii="宋体" w:hAnsi="宋体"/>
          <w:b/>
          <w:sz w:val="24"/>
          <w:highlight w:val="none"/>
        </w:rPr>
      </w:pPr>
    </w:p>
    <w:p w14:paraId="79C52FA2">
      <w:pPr>
        <w:spacing w:line="360" w:lineRule="auto"/>
        <w:contextualSpacing/>
        <w:jc w:val="center"/>
        <w:rPr>
          <w:rFonts w:hint="eastAsia" w:ascii="宋体" w:hAnsi="宋体"/>
          <w:b/>
          <w:sz w:val="32"/>
          <w:szCs w:val="32"/>
          <w:highlight w:val="none"/>
        </w:rPr>
      </w:pPr>
      <w:r>
        <w:rPr>
          <w:rFonts w:hint="eastAsia" w:ascii="宋体" w:hAnsi="宋体"/>
          <w:b/>
          <w:sz w:val="32"/>
          <w:szCs w:val="32"/>
          <w:highlight w:val="none"/>
        </w:rPr>
        <w:t>供应商直接控股股东信息表</w:t>
      </w:r>
    </w:p>
    <w:p w14:paraId="1CC1527D">
      <w:pPr>
        <w:spacing w:line="360" w:lineRule="auto"/>
        <w:contextualSpacing/>
        <w:jc w:val="center"/>
        <w:rPr>
          <w:rFonts w:hint="eastAsia" w:ascii="宋体" w:hAnsi="宋体"/>
          <w:b/>
          <w:sz w:val="24"/>
          <w:highlight w:val="none"/>
        </w:rPr>
      </w:pPr>
    </w:p>
    <w:tbl>
      <w:tblPr>
        <w:tblStyle w:val="24"/>
        <w:tblW w:w="10147" w:type="dxa"/>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06C2E9D4">
        <w:tblPrEx>
          <w:shd w:val="clear" w:color="auto" w:fill="FBFBFB"/>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F8649F8">
            <w:pPr>
              <w:widowControl/>
              <w:spacing w:line="360" w:lineRule="auto"/>
              <w:contextualSpacing/>
              <w:jc w:val="center"/>
              <w:rPr>
                <w:rFonts w:hint="eastAsia" w:ascii="宋体" w:hAnsi="宋体" w:cs="宋体"/>
                <w:b/>
                <w:bCs/>
                <w:kern w:val="0"/>
                <w:sz w:val="24"/>
                <w:highlight w:val="none"/>
              </w:rPr>
            </w:pPr>
            <w:r>
              <w:rPr>
                <w:rFonts w:hint="eastAsia" w:ascii="宋体" w:hAnsi="宋体" w:cs="宋体"/>
                <w:b/>
                <w:bCs/>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DD090A7">
            <w:pPr>
              <w:widowControl/>
              <w:spacing w:line="360" w:lineRule="auto"/>
              <w:contextualSpacing/>
              <w:jc w:val="center"/>
              <w:rPr>
                <w:rFonts w:hint="eastAsia" w:ascii="宋体" w:hAnsi="宋体" w:cs="宋体"/>
                <w:b/>
                <w:bCs/>
                <w:kern w:val="0"/>
                <w:sz w:val="24"/>
                <w:highlight w:val="none"/>
              </w:rPr>
            </w:pPr>
            <w:r>
              <w:rPr>
                <w:rFonts w:hint="eastAsia" w:ascii="宋体" w:hAnsi="宋体" w:cs="宋体"/>
                <w:b/>
                <w:bCs/>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54A1D2C">
            <w:pPr>
              <w:widowControl/>
              <w:spacing w:line="360" w:lineRule="auto"/>
              <w:contextualSpacing/>
              <w:jc w:val="center"/>
              <w:rPr>
                <w:rFonts w:hint="eastAsia" w:ascii="宋体" w:hAnsi="宋体" w:cs="宋体"/>
                <w:b/>
                <w:bCs/>
                <w:kern w:val="0"/>
                <w:sz w:val="24"/>
                <w:highlight w:val="none"/>
              </w:rPr>
            </w:pPr>
            <w:r>
              <w:rPr>
                <w:rFonts w:hint="eastAsia" w:ascii="宋体" w:hAnsi="宋体" w:cs="宋体"/>
                <w:b/>
                <w:bCs/>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74E1E43">
            <w:pPr>
              <w:widowControl/>
              <w:spacing w:line="360" w:lineRule="auto"/>
              <w:contextualSpacing/>
              <w:jc w:val="center"/>
              <w:rPr>
                <w:rFonts w:hint="eastAsia" w:ascii="宋体" w:hAnsi="宋体" w:cs="宋体"/>
                <w:b/>
                <w:bCs/>
                <w:kern w:val="0"/>
                <w:sz w:val="24"/>
                <w:highlight w:val="none"/>
              </w:rPr>
            </w:pPr>
            <w:r>
              <w:rPr>
                <w:rFonts w:hint="eastAsia" w:ascii="宋体" w:hAnsi="宋体" w:cs="宋体"/>
                <w:b/>
                <w:bCs/>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AEBE527">
            <w:pPr>
              <w:widowControl/>
              <w:spacing w:line="360" w:lineRule="auto"/>
              <w:contextualSpacing/>
              <w:jc w:val="center"/>
              <w:rPr>
                <w:rFonts w:hint="eastAsia" w:ascii="宋体" w:hAnsi="宋体" w:cs="宋体"/>
                <w:b/>
                <w:bCs/>
                <w:kern w:val="0"/>
                <w:sz w:val="24"/>
                <w:highlight w:val="none"/>
              </w:rPr>
            </w:pPr>
            <w:r>
              <w:rPr>
                <w:rFonts w:hint="eastAsia" w:ascii="宋体" w:hAnsi="宋体" w:cs="宋体"/>
                <w:b/>
                <w:bCs/>
                <w:kern w:val="0"/>
                <w:sz w:val="24"/>
                <w:highlight w:val="none"/>
              </w:rPr>
              <w:t>备注</w:t>
            </w:r>
          </w:p>
        </w:tc>
      </w:tr>
      <w:tr w14:paraId="75B72192">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E9129A0">
            <w:pPr>
              <w:widowControl/>
              <w:spacing w:line="360" w:lineRule="auto"/>
              <w:contextualSpacing/>
              <w:jc w:val="center"/>
              <w:rPr>
                <w:rFonts w:hint="eastAsia" w:ascii="宋体" w:hAnsi="宋体" w:cs="宋体"/>
                <w:kern w:val="0"/>
                <w:sz w:val="24"/>
                <w:highlight w:val="none"/>
              </w:rPr>
            </w:pPr>
            <w:r>
              <w:rPr>
                <w:rFonts w:hint="eastAsia" w:ascii="宋体" w:hAnsi="宋体" w:cs="宋体"/>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1F6E77F">
            <w:pPr>
              <w:widowControl/>
              <w:spacing w:line="360" w:lineRule="auto"/>
              <w:contextualSpacing/>
              <w:jc w:val="center"/>
              <w:rPr>
                <w:rFonts w:hint="eastAsia" w:ascii="宋体" w:hAnsi="宋体" w:cs="宋体"/>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81BBD18">
            <w:pPr>
              <w:widowControl/>
              <w:spacing w:line="360" w:lineRule="auto"/>
              <w:contextualSpacing/>
              <w:jc w:val="center"/>
              <w:rPr>
                <w:rFonts w:hint="eastAsia" w:ascii="宋体" w:hAnsi="宋体" w:cs="宋体"/>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B31FFE8">
            <w:pPr>
              <w:widowControl/>
              <w:spacing w:line="360" w:lineRule="auto"/>
              <w:contextualSpacing/>
              <w:jc w:val="center"/>
              <w:rPr>
                <w:rFonts w:hint="eastAsia" w:ascii="宋体" w:hAnsi="宋体" w:cs="宋体"/>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8335E58">
            <w:pPr>
              <w:widowControl/>
              <w:spacing w:line="360" w:lineRule="auto"/>
              <w:contextualSpacing/>
              <w:jc w:val="center"/>
              <w:rPr>
                <w:rFonts w:hint="eastAsia" w:ascii="宋体" w:hAnsi="宋体" w:cs="宋体"/>
                <w:kern w:val="0"/>
                <w:sz w:val="24"/>
                <w:highlight w:val="none"/>
              </w:rPr>
            </w:pPr>
          </w:p>
        </w:tc>
      </w:tr>
      <w:tr w14:paraId="72B3461C">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D8FC272">
            <w:pPr>
              <w:widowControl/>
              <w:spacing w:line="360" w:lineRule="auto"/>
              <w:contextualSpacing/>
              <w:jc w:val="center"/>
              <w:rPr>
                <w:rFonts w:hint="eastAsia" w:ascii="宋体" w:hAnsi="宋体" w:cs="宋体"/>
                <w:kern w:val="0"/>
                <w:sz w:val="24"/>
                <w:highlight w:val="none"/>
              </w:rPr>
            </w:pPr>
            <w:r>
              <w:rPr>
                <w:rFonts w:hint="eastAsia" w:ascii="宋体" w:hAnsi="宋体" w:cs="宋体"/>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F23522C">
            <w:pPr>
              <w:widowControl/>
              <w:spacing w:line="360" w:lineRule="auto"/>
              <w:contextualSpacing/>
              <w:jc w:val="center"/>
              <w:rPr>
                <w:rFonts w:hint="eastAsia" w:ascii="宋体" w:hAnsi="宋体" w:cs="宋体"/>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9145C1E">
            <w:pPr>
              <w:widowControl/>
              <w:spacing w:line="360" w:lineRule="auto"/>
              <w:contextualSpacing/>
              <w:jc w:val="center"/>
              <w:rPr>
                <w:rFonts w:hint="eastAsia" w:ascii="宋体" w:hAnsi="宋体" w:cs="宋体"/>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D1EC796">
            <w:pPr>
              <w:widowControl/>
              <w:spacing w:line="360" w:lineRule="auto"/>
              <w:contextualSpacing/>
              <w:jc w:val="center"/>
              <w:rPr>
                <w:rFonts w:hint="eastAsia" w:ascii="宋体" w:hAnsi="宋体" w:cs="宋体"/>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0DB936B">
            <w:pPr>
              <w:widowControl/>
              <w:spacing w:line="360" w:lineRule="auto"/>
              <w:contextualSpacing/>
              <w:jc w:val="center"/>
              <w:rPr>
                <w:rFonts w:hint="eastAsia" w:ascii="宋体" w:hAnsi="宋体" w:cs="宋体"/>
                <w:kern w:val="0"/>
                <w:sz w:val="24"/>
                <w:highlight w:val="none"/>
              </w:rPr>
            </w:pPr>
          </w:p>
        </w:tc>
      </w:tr>
      <w:tr w14:paraId="5824C258">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295A2FF">
            <w:pPr>
              <w:widowControl/>
              <w:spacing w:line="360" w:lineRule="auto"/>
              <w:contextualSpacing/>
              <w:jc w:val="center"/>
              <w:rPr>
                <w:rFonts w:hint="eastAsia" w:ascii="宋体" w:hAnsi="宋体" w:cs="宋体"/>
                <w:kern w:val="0"/>
                <w:sz w:val="24"/>
                <w:highlight w:val="none"/>
              </w:rPr>
            </w:pPr>
            <w:r>
              <w:rPr>
                <w:rFonts w:hint="eastAsia" w:ascii="宋体" w:hAnsi="宋体" w:cs="宋体"/>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19AF02C">
            <w:pPr>
              <w:widowControl/>
              <w:spacing w:line="360" w:lineRule="auto"/>
              <w:contextualSpacing/>
              <w:jc w:val="center"/>
              <w:rPr>
                <w:rFonts w:hint="eastAsia" w:ascii="宋体" w:hAnsi="宋体" w:cs="宋体"/>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FFC922A">
            <w:pPr>
              <w:widowControl/>
              <w:spacing w:line="360" w:lineRule="auto"/>
              <w:contextualSpacing/>
              <w:jc w:val="center"/>
              <w:rPr>
                <w:rFonts w:hint="eastAsia" w:ascii="宋体" w:hAnsi="宋体" w:cs="宋体"/>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780285B">
            <w:pPr>
              <w:widowControl/>
              <w:spacing w:line="360" w:lineRule="auto"/>
              <w:contextualSpacing/>
              <w:jc w:val="center"/>
              <w:rPr>
                <w:rFonts w:hint="eastAsia" w:ascii="宋体" w:hAnsi="宋体" w:cs="宋体"/>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A98EF64">
            <w:pPr>
              <w:widowControl/>
              <w:spacing w:line="360" w:lineRule="auto"/>
              <w:contextualSpacing/>
              <w:jc w:val="center"/>
              <w:rPr>
                <w:rFonts w:hint="eastAsia" w:ascii="宋体" w:hAnsi="宋体" w:cs="宋体"/>
                <w:kern w:val="0"/>
                <w:sz w:val="24"/>
                <w:highlight w:val="none"/>
              </w:rPr>
            </w:pPr>
          </w:p>
        </w:tc>
      </w:tr>
      <w:tr w14:paraId="0BD3F441">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5407CEB">
            <w:pPr>
              <w:widowControl/>
              <w:spacing w:line="360" w:lineRule="auto"/>
              <w:contextualSpacing/>
              <w:jc w:val="center"/>
              <w:rPr>
                <w:rFonts w:hint="eastAsia" w:ascii="宋体" w:hAnsi="宋体" w:cs="宋体"/>
                <w:kern w:val="0"/>
                <w:sz w:val="24"/>
                <w:highlight w:val="none"/>
              </w:rPr>
            </w:pPr>
            <w:r>
              <w:rPr>
                <w:rFonts w:hint="eastAsia" w:ascii="宋体" w:hAnsi="宋体" w:cs="宋体"/>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604F9C4">
            <w:pPr>
              <w:widowControl/>
              <w:spacing w:line="360" w:lineRule="auto"/>
              <w:contextualSpacing/>
              <w:jc w:val="center"/>
              <w:rPr>
                <w:rFonts w:hint="eastAsia" w:ascii="宋体" w:hAnsi="宋体" w:cs="宋体"/>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7EECF75">
            <w:pPr>
              <w:widowControl/>
              <w:spacing w:line="360" w:lineRule="auto"/>
              <w:contextualSpacing/>
              <w:jc w:val="center"/>
              <w:rPr>
                <w:rFonts w:hint="eastAsia" w:ascii="宋体" w:hAnsi="宋体" w:cs="宋体"/>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F99B3FD">
            <w:pPr>
              <w:widowControl/>
              <w:spacing w:line="360" w:lineRule="auto"/>
              <w:contextualSpacing/>
              <w:jc w:val="center"/>
              <w:rPr>
                <w:rFonts w:hint="eastAsia" w:ascii="宋体" w:hAnsi="宋体" w:cs="宋体"/>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69ACDBF">
            <w:pPr>
              <w:widowControl/>
              <w:spacing w:line="360" w:lineRule="auto"/>
              <w:contextualSpacing/>
              <w:jc w:val="center"/>
              <w:rPr>
                <w:rFonts w:hint="eastAsia" w:ascii="宋体" w:hAnsi="宋体" w:cs="宋体"/>
                <w:kern w:val="0"/>
                <w:sz w:val="24"/>
                <w:highlight w:val="none"/>
              </w:rPr>
            </w:pPr>
          </w:p>
        </w:tc>
      </w:tr>
    </w:tbl>
    <w:p w14:paraId="5D4E0940">
      <w:pPr>
        <w:spacing w:line="360" w:lineRule="auto"/>
        <w:contextualSpacing/>
        <w:jc w:val="left"/>
        <w:rPr>
          <w:rFonts w:hint="eastAsia" w:ascii="宋体" w:hAnsi="宋体" w:cs="宋体"/>
          <w:sz w:val="24"/>
          <w:highlight w:val="none"/>
        </w:rPr>
      </w:pPr>
      <w:r>
        <w:rPr>
          <w:rFonts w:hint="eastAsia" w:ascii="宋体" w:hAnsi="宋体" w:cs="宋体"/>
          <w:sz w:val="24"/>
          <w:highlight w:val="none"/>
        </w:rPr>
        <w:t>注：</w:t>
      </w:r>
    </w:p>
    <w:p w14:paraId="15C5B977">
      <w:pPr>
        <w:spacing w:line="360" w:lineRule="auto"/>
        <w:ind w:firstLine="480" w:firstLineChars="200"/>
        <w:contextualSpacing/>
        <w:jc w:val="left"/>
        <w:rPr>
          <w:rFonts w:hint="eastAsia" w:ascii="宋体" w:hAnsi="宋体" w:cs="宋体"/>
          <w:sz w:val="24"/>
          <w:highlight w:val="none"/>
        </w:rPr>
      </w:pPr>
      <w:r>
        <w:rPr>
          <w:rFonts w:hint="eastAsia" w:ascii="宋体" w:hAnsi="宋体" w:cs="宋体"/>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D68BC35">
      <w:pPr>
        <w:spacing w:line="360" w:lineRule="auto"/>
        <w:ind w:firstLine="480" w:firstLineChars="200"/>
        <w:contextualSpacing/>
        <w:jc w:val="left"/>
        <w:rPr>
          <w:rFonts w:hint="eastAsia" w:ascii="宋体" w:hAnsi="宋体" w:cs="宋体"/>
          <w:sz w:val="24"/>
          <w:highlight w:val="none"/>
        </w:rPr>
      </w:pPr>
      <w:r>
        <w:rPr>
          <w:rFonts w:hint="eastAsia" w:ascii="宋体" w:hAnsi="宋体" w:cs="宋体"/>
          <w:sz w:val="24"/>
          <w:highlight w:val="none"/>
        </w:rPr>
        <w:t>2.本表所指的控股关系仅限于直接控股关系，不包括间接的控股关系。公司实际控制人与公司之间的关系不属于本表所指的直接控股关系。</w:t>
      </w:r>
    </w:p>
    <w:p w14:paraId="16091D04">
      <w:pPr>
        <w:spacing w:line="360" w:lineRule="auto"/>
        <w:ind w:firstLine="480" w:firstLineChars="200"/>
        <w:contextualSpacing/>
        <w:jc w:val="left"/>
        <w:rPr>
          <w:rFonts w:hint="eastAsia" w:ascii="宋体" w:hAnsi="宋体" w:cs="宋体"/>
          <w:sz w:val="24"/>
          <w:highlight w:val="none"/>
        </w:rPr>
      </w:pPr>
      <w:r>
        <w:rPr>
          <w:rFonts w:hint="eastAsia" w:ascii="宋体" w:hAnsi="宋体" w:cs="宋体"/>
          <w:sz w:val="24"/>
          <w:highlight w:val="none"/>
        </w:rPr>
        <w:t>3.供应商不存在直接控股股东的，</w:t>
      </w:r>
      <w:r>
        <w:rPr>
          <w:rFonts w:hint="eastAsia" w:ascii="宋体" w:hAnsi="宋体"/>
          <w:sz w:val="24"/>
          <w:highlight w:val="none"/>
        </w:rPr>
        <w:t>则在“直接控股股东名称”填“无”</w:t>
      </w:r>
      <w:r>
        <w:rPr>
          <w:rFonts w:hint="eastAsia" w:ascii="宋体" w:hAnsi="宋体" w:cs="宋体"/>
          <w:sz w:val="24"/>
          <w:highlight w:val="none"/>
        </w:rPr>
        <w:t>。</w:t>
      </w:r>
    </w:p>
    <w:p w14:paraId="76AADB2C">
      <w:pPr>
        <w:spacing w:line="360" w:lineRule="auto"/>
        <w:ind w:firstLine="420" w:firstLineChars="200"/>
        <w:contextualSpacing/>
        <w:jc w:val="left"/>
        <w:rPr>
          <w:rFonts w:hint="eastAsia" w:ascii="宋体" w:hAnsi="宋体" w:cs="宋体"/>
          <w:szCs w:val="21"/>
          <w:highlight w:val="none"/>
        </w:rPr>
      </w:pPr>
    </w:p>
    <w:p w14:paraId="13A71415">
      <w:pPr>
        <w:spacing w:line="360" w:lineRule="auto"/>
        <w:ind w:firstLine="560" w:firstLineChars="200"/>
        <w:contextualSpacing/>
        <w:jc w:val="left"/>
        <w:rPr>
          <w:rFonts w:hint="eastAsia" w:ascii="宋体" w:hAnsi="宋体" w:cs="宋体"/>
          <w:sz w:val="28"/>
          <w:szCs w:val="28"/>
          <w:highlight w:val="none"/>
        </w:rPr>
      </w:pPr>
    </w:p>
    <w:p w14:paraId="0BBA2F17">
      <w:pPr>
        <w:spacing w:line="360" w:lineRule="auto"/>
        <w:ind w:right="480"/>
        <w:contextualSpacing/>
        <w:jc w:val="center"/>
        <w:rPr>
          <w:rFonts w:hint="eastAsia" w:ascii="宋体" w:hAnsi="宋体"/>
          <w:sz w:val="24"/>
          <w:highlight w:val="none"/>
          <w:u w:val="single"/>
        </w:rPr>
      </w:pPr>
      <w:r>
        <w:rPr>
          <w:rFonts w:hint="eastAsia" w:ascii="宋体" w:hAnsi="宋体"/>
          <w:sz w:val="24"/>
          <w:highlight w:val="none"/>
        </w:rPr>
        <w:t>法定代表人或者委托代理人（签字或者电子签名）：</w:t>
      </w:r>
    </w:p>
    <w:p w14:paraId="00AD4772">
      <w:pPr>
        <w:spacing w:line="360" w:lineRule="auto"/>
        <w:ind w:right="480" w:firstLine="3360" w:firstLineChars="1400"/>
        <w:contextualSpacing/>
        <w:rPr>
          <w:rFonts w:hint="eastAsia" w:ascii="宋体" w:hAnsi="宋体"/>
          <w:sz w:val="24"/>
          <w:highlight w:val="none"/>
        </w:rPr>
      </w:pPr>
      <w:r>
        <w:rPr>
          <w:rFonts w:hint="eastAsia" w:ascii="宋体" w:hAnsi="宋体"/>
          <w:sz w:val="24"/>
          <w:highlight w:val="none"/>
        </w:rPr>
        <w:t>供应商（电子签章）：</w:t>
      </w:r>
    </w:p>
    <w:p w14:paraId="129A9BD6">
      <w:pPr>
        <w:spacing w:line="360" w:lineRule="auto"/>
        <w:ind w:firstLine="4320" w:firstLineChars="1800"/>
        <w:contextualSpacing/>
        <w:jc w:val="left"/>
        <w:rPr>
          <w:rFonts w:hint="eastAsia" w:ascii="宋体" w:hAnsi="宋体"/>
          <w:sz w:val="28"/>
          <w:szCs w:val="28"/>
          <w:highlight w:val="none"/>
        </w:rPr>
      </w:pPr>
      <w:r>
        <w:rPr>
          <w:rFonts w:hint="eastAsia" w:ascii="宋体" w:hAnsi="宋体"/>
          <w:sz w:val="24"/>
          <w:highlight w:val="none"/>
        </w:rPr>
        <w:t>年月日</w:t>
      </w:r>
    </w:p>
    <w:p w14:paraId="505915CB">
      <w:pPr>
        <w:snapToGrid w:val="0"/>
        <w:jc w:val="center"/>
        <w:rPr>
          <w:rFonts w:hint="eastAsia" w:ascii="宋体" w:hAnsi="宋体"/>
          <w:b/>
          <w:sz w:val="28"/>
          <w:szCs w:val="28"/>
          <w:highlight w:val="none"/>
        </w:rPr>
      </w:pPr>
      <w:r>
        <w:rPr>
          <w:rFonts w:ascii="宋体" w:hAnsi="宋体"/>
          <w:b/>
          <w:sz w:val="28"/>
          <w:szCs w:val="28"/>
          <w:highlight w:val="none"/>
        </w:rPr>
        <w:br w:type="page"/>
      </w:r>
    </w:p>
    <w:p w14:paraId="04A5E2CE">
      <w:pPr>
        <w:spacing w:line="320" w:lineRule="exact"/>
        <w:jc w:val="center"/>
        <w:rPr>
          <w:rFonts w:hint="eastAsia" w:ascii="宋体" w:hAnsi="宋体"/>
          <w:b/>
          <w:sz w:val="32"/>
          <w:szCs w:val="32"/>
          <w:highlight w:val="none"/>
        </w:rPr>
      </w:pPr>
      <w:r>
        <w:rPr>
          <w:rFonts w:hint="eastAsia" w:ascii="宋体" w:hAnsi="宋体"/>
          <w:b/>
          <w:sz w:val="32"/>
          <w:szCs w:val="32"/>
          <w:highlight w:val="none"/>
        </w:rPr>
        <w:t>供应商直接管理关系信息表</w:t>
      </w:r>
    </w:p>
    <w:p w14:paraId="6AFAB0BB">
      <w:pPr>
        <w:snapToGrid w:val="0"/>
        <w:spacing w:line="360" w:lineRule="auto"/>
        <w:jc w:val="center"/>
        <w:rPr>
          <w:rFonts w:hint="eastAsia" w:ascii="宋体" w:hAnsi="宋体"/>
          <w:b/>
          <w:sz w:val="24"/>
          <w:highlight w:val="none"/>
        </w:rPr>
      </w:pPr>
    </w:p>
    <w:tbl>
      <w:tblPr>
        <w:tblStyle w:val="24"/>
        <w:tblW w:w="9652" w:type="dxa"/>
        <w:jc w:val="center"/>
        <w:shd w:val="clear" w:color="auto" w:fill="FBFBFB"/>
        <w:tblLayout w:type="fixed"/>
        <w:tblCellMar>
          <w:top w:w="0" w:type="dxa"/>
          <w:left w:w="0" w:type="dxa"/>
          <w:bottom w:w="0" w:type="dxa"/>
          <w:right w:w="0" w:type="dxa"/>
        </w:tblCellMar>
      </w:tblPr>
      <w:tblGrid>
        <w:gridCol w:w="808"/>
        <w:gridCol w:w="3600"/>
        <w:gridCol w:w="3555"/>
        <w:gridCol w:w="1689"/>
      </w:tblGrid>
      <w:tr w14:paraId="1F35F6C1">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E5AE31B">
            <w:pPr>
              <w:widowControl/>
              <w:spacing w:line="360" w:lineRule="auto"/>
              <w:contextualSpacing/>
              <w:jc w:val="center"/>
              <w:rPr>
                <w:rFonts w:hint="eastAsia" w:ascii="宋体" w:hAnsi="宋体" w:cs="宋体"/>
                <w:b/>
                <w:bCs/>
                <w:kern w:val="0"/>
                <w:sz w:val="24"/>
                <w:highlight w:val="none"/>
              </w:rPr>
            </w:pPr>
            <w:r>
              <w:rPr>
                <w:rFonts w:hint="eastAsia" w:ascii="宋体" w:hAnsi="宋体" w:cs="宋体"/>
                <w:b/>
                <w:bCs/>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FC74F4F">
            <w:pPr>
              <w:widowControl/>
              <w:spacing w:line="360" w:lineRule="auto"/>
              <w:contextualSpacing/>
              <w:jc w:val="center"/>
              <w:rPr>
                <w:rFonts w:hint="eastAsia" w:ascii="宋体" w:hAnsi="宋体" w:cs="宋体"/>
                <w:b/>
                <w:bCs/>
                <w:kern w:val="0"/>
                <w:sz w:val="24"/>
                <w:highlight w:val="none"/>
              </w:rPr>
            </w:pPr>
            <w:r>
              <w:rPr>
                <w:rFonts w:hint="eastAsia" w:ascii="宋体" w:hAnsi="宋体" w:cs="宋体"/>
                <w:b/>
                <w:bCs/>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C3A74FF">
            <w:pPr>
              <w:widowControl/>
              <w:spacing w:line="360" w:lineRule="auto"/>
              <w:contextualSpacing/>
              <w:jc w:val="center"/>
              <w:rPr>
                <w:rFonts w:hint="eastAsia" w:ascii="宋体" w:hAnsi="宋体" w:cs="宋体"/>
                <w:b/>
                <w:bCs/>
                <w:kern w:val="0"/>
                <w:sz w:val="24"/>
                <w:highlight w:val="none"/>
              </w:rPr>
            </w:pPr>
            <w:r>
              <w:rPr>
                <w:rFonts w:hint="eastAsia" w:ascii="宋体" w:hAnsi="宋体" w:cs="宋体"/>
                <w:b/>
                <w:bCs/>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9A738AB">
            <w:pPr>
              <w:widowControl/>
              <w:spacing w:line="360" w:lineRule="auto"/>
              <w:contextualSpacing/>
              <w:jc w:val="center"/>
              <w:rPr>
                <w:rFonts w:hint="eastAsia" w:ascii="宋体" w:hAnsi="宋体" w:cs="宋体"/>
                <w:b/>
                <w:bCs/>
                <w:kern w:val="0"/>
                <w:sz w:val="24"/>
                <w:highlight w:val="none"/>
              </w:rPr>
            </w:pPr>
            <w:r>
              <w:rPr>
                <w:rFonts w:hint="eastAsia" w:ascii="宋体" w:hAnsi="宋体" w:cs="宋体"/>
                <w:b/>
                <w:bCs/>
                <w:kern w:val="0"/>
                <w:sz w:val="24"/>
                <w:highlight w:val="none"/>
              </w:rPr>
              <w:t>备注</w:t>
            </w:r>
          </w:p>
        </w:tc>
      </w:tr>
      <w:tr w14:paraId="3984D354">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447FCB0">
            <w:pPr>
              <w:widowControl/>
              <w:spacing w:line="360" w:lineRule="auto"/>
              <w:contextualSpacing/>
              <w:jc w:val="center"/>
              <w:rPr>
                <w:rFonts w:hint="eastAsia" w:ascii="宋体" w:hAnsi="宋体" w:cs="宋体"/>
                <w:kern w:val="0"/>
                <w:sz w:val="24"/>
                <w:highlight w:val="none"/>
              </w:rPr>
            </w:pPr>
            <w:r>
              <w:rPr>
                <w:rFonts w:hint="eastAsia" w:ascii="宋体" w:hAnsi="宋体" w:cs="宋体"/>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8B5DD15">
            <w:pPr>
              <w:widowControl/>
              <w:spacing w:line="360" w:lineRule="auto"/>
              <w:contextualSpacing/>
              <w:jc w:val="center"/>
              <w:rPr>
                <w:rFonts w:hint="eastAsia" w:ascii="宋体" w:hAnsi="宋体" w:cs="宋体"/>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3EF2CE5">
            <w:pPr>
              <w:widowControl/>
              <w:spacing w:line="360" w:lineRule="auto"/>
              <w:contextualSpacing/>
              <w:jc w:val="center"/>
              <w:rPr>
                <w:rFonts w:hint="eastAsia" w:ascii="宋体" w:hAnsi="宋体" w:cs="宋体"/>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99A24DB">
            <w:pPr>
              <w:widowControl/>
              <w:spacing w:line="360" w:lineRule="auto"/>
              <w:contextualSpacing/>
              <w:jc w:val="center"/>
              <w:rPr>
                <w:rFonts w:hint="eastAsia" w:ascii="宋体" w:hAnsi="宋体" w:cs="宋体"/>
                <w:kern w:val="0"/>
                <w:sz w:val="24"/>
                <w:highlight w:val="none"/>
              </w:rPr>
            </w:pPr>
          </w:p>
        </w:tc>
      </w:tr>
      <w:tr w14:paraId="5165938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7AC1B54">
            <w:pPr>
              <w:widowControl/>
              <w:spacing w:line="360" w:lineRule="auto"/>
              <w:contextualSpacing/>
              <w:jc w:val="center"/>
              <w:rPr>
                <w:rFonts w:hint="eastAsia" w:ascii="宋体" w:hAnsi="宋体" w:cs="宋体"/>
                <w:kern w:val="0"/>
                <w:sz w:val="24"/>
                <w:highlight w:val="none"/>
              </w:rPr>
            </w:pPr>
            <w:r>
              <w:rPr>
                <w:rFonts w:hint="eastAsia" w:ascii="宋体" w:hAnsi="宋体" w:cs="宋体"/>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0A128E0">
            <w:pPr>
              <w:widowControl/>
              <w:spacing w:line="360" w:lineRule="auto"/>
              <w:contextualSpacing/>
              <w:jc w:val="center"/>
              <w:rPr>
                <w:rFonts w:hint="eastAsia" w:ascii="宋体" w:hAnsi="宋体" w:cs="宋体"/>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1A9FE88">
            <w:pPr>
              <w:widowControl/>
              <w:spacing w:line="360" w:lineRule="auto"/>
              <w:contextualSpacing/>
              <w:jc w:val="center"/>
              <w:rPr>
                <w:rFonts w:hint="eastAsia" w:ascii="宋体" w:hAnsi="宋体" w:cs="宋体"/>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1966321">
            <w:pPr>
              <w:widowControl/>
              <w:spacing w:line="360" w:lineRule="auto"/>
              <w:contextualSpacing/>
              <w:jc w:val="center"/>
              <w:rPr>
                <w:rFonts w:hint="eastAsia" w:ascii="宋体" w:hAnsi="宋体" w:cs="宋体"/>
                <w:kern w:val="0"/>
                <w:sz w:val="24"/>
                <w:highlight w:val="none"/>
              </w:rPr>
            </w:pPr>
          </w:p>
        </w:tc>
      </w:tr>
      <w:tr w14:paraId="3FAE194E">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0DA424B">
            <w:pPr>
              <w:widowControl/>
              <w:spacing w:line="360" w:lineRule="auto"/>
              <w:contextualSpacing/>
              <w:jc w:val="center"/>
              <w:rPr>
                <w:rFonts w:hint="eastAsia" w:ascii="宋体" w:hAnsi="宋体" w:cs="宋体"/>
                <w:kern w:val="0"/>
                <w:sz w:val="24"/>
                <w:highlight w:val="none"/>
              </w:rPr>
            </w:pPr>
            <w:r>
              <w:rPr>
                <w:rFonts w:hint="eastAsia" w:ascii="宋体" w:hAnsi="宋体" w:cs="宋体"/>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02E0852">
            <w:pPr>
              <w:widowControl/>
              <w:spacing w:line="360" w:lineRule="auto"/>
              <w:contextualSpacing/>
              <w:jc w:val="center"/>
              <w:rPr>
                <w:rFonts w:hint="eastAsia" w:ascii="宋体" w:hAnsi="宋体" w:cs="宋体"/>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101F9CB">
            <w:pPr>
              <w:widowControl/>
              <w:spacing w:line="360" w:lineRule="auto"/>
              <w:contextualSpacing/>
              <w:jc w:val="center"/>
              <w:rPr>
                <w:rFonts w:hint="eastAsia" w:ascii="宋体" w:hAnsi="宋体" w:cs="宋体"/>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3D8CFF0">
            <w:pPr>
              <w:widowControl/>
              <w:spacing w:line="360" w:lineRule="auto"/>
              <w:contextualSpacing/>
              <w:jc w:val="center"/>
              <w:rPr>
                <w:rFonts w:hint="eastAsia" w:ascii="宋体" w:hAnsi="宋体" w:cs="宋体"/>
                <w:kern w:val="0"/>
                <w:sz w:val="24"/>
                <w:highlight w:val="none"/>
              </w:rPr>
            </w:pPr>
          </w:p>
        </w:tc>
      </w:tr>
      <w:tr w14:paraId="719F0CE9">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50DAD7D">
            <w:pPr>
              <w:widowControl/>
              <w:spacing w:line="360" w:lineRule="auto"/>
              <w:contextualSpacing/>
              <w:jc w:val="center"/>
              <w:rPr>
                <w:rFonts w:hint="eastAsia" w:ascii="宋体" w:hAnsi="宋体" w:cs="宋体"/>
                <w:kern w:val="0"/>
                <w:sz w:val="24"/>
                <w:highlight w:val="none"/>
              </w:rPr>
            </w:pPr>
            <w:r>
              <w:rPr>
                <w:rFonts w:hint="eastAsia" w:ascii="宋体" w:hAnsi="宋体" w:cs="宋体"/>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8C55A51">
            <w:pPr>
              <w:widowControl/>
              <w:spacing w:line="360" w:lineRule="auto"/>
              <w:contextualSpacing/>
              <w:jc w:val="center"/>
              <w:rPr>
                <w:rFonts w:hint="eastAsia" w:ascii="宋体" w:hAnsi="宋体" w:cs="宋体"/>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626C152">
            <w:pPr>
              <w:widowControl/>
              <w:spacing w:line="360" w:lineRule="auto"/>
              <w:contextualSpacing/>
              <w:jc w:val="center"/>
              <w:rPr>
                <w:rFonts w:hint="eastAsia" w:ascii="宋体" w:hAnsi="宋体" w:cs="宋体"/>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7D35636">
            <w:pPr>
              <w:widowControl/>
              <w:spacing w:line="360" w:lineRule="auto"/>
              <w:contextualSpacing/>
              <w:jc w:val="center"/>
              <w:rPr>
                <w:rFonts w:hint="eastAsia" w:ascii="宋体" w:hAnsi="宋体" w:cs="宋体"/>
                <w:kern w:val="0"/>
                <w:sz w:val="24"/>
                <w:highlight w:val="none"/>
              </w:rPr>
            </w:pPr>
          </w:p>
        </w:tc>
      </w:tr>
    </w:tbl>
    <w:p w14:paraId="7DBF48CB">
      <w:pPr>
        <w:spacing w:line="360" w:lineRule="auto"/>
        <w:contextualSpacing/>
        <w:jc w:val="left"/>
        <w:rPr>
          <w:rFonts w:hint="eastAsia" w:ascii="宋体" w:hAnsi="宋体"/>
          <w:sz w:val="24"/>
          <w:highlight w:val="none"/>
        </w:rPr>
      </w:pPr>
      <w:r>
        <w:rPr>
          <w:rFonts w:hint="eastAsia" w:ascii="宋体" w:hAnsi="宋体"/>
          <w:sz w:val="24"/>
          <w:highlight w:val="none"/>
        </w:rPr>
        <w:t>注：</w:t>
      </w:r>
    </w:p>
    <w:p w14:paraId="2E588138">
      <w:pPr>
        <w:spacing w:line="360" w:lineRule="auto"/>
        <w:ind w:firstLine="480" w:firstLineChars="200"/>
        <w:contextualSpacing/>
        <w:jc w:val="left"/>
        <w:rPr>
          <w:rFonts w:hint="eastAsia" w:ascii="宋体" w:hAnsi="宋体"/>
          <w:sz w:val="24"/>
          <w:highlight w:val="none"/>
        </w:rPr>
      </w:pPr>
      <w:r>
        <w:rPr>
          <w:rFonts w:hint="eastAsia" w:ascii="宋体" w:hAnsi="宋体"/>
          <w:sz w:val="24"/>
          <w:highlight w:val="none"/>
        </w:rPr>
        <w:t>1.管理关系：是指不具有出资持股关系的其他单位之间存在的管理与被管理关系，如一些上下级关系的事业单位和团体组织。</w:t>
      </w:r>
    </w:p>
    <w:p w14:paraId="1462035C">
      <w:pPr>
        <w:spacing w:line="360" w:lineRule="auto"/>
        <w:ind w:firstLine="480" w:firstLineChars="200"/>
        <w:contextualSpacing/>
        <w:jc w:val="left"/>
        <w:rPr>
          <w:rFonts w:hint="eastAsia" w:ascii="宋体" w:hAnsi="宋体"/>
          <w:sz w:val="24"/>
          <w:highlight w:val="none"/>
        </w:rPr>
      </w:pPr>
      <w:r>
        <w:rPr>
          <w:rFonts w:hint="eastAsia" w:ascii="宋体" w:hAnsi="宋体"/>
          <w:sz w:val="24"/>
          <w:highlight w:val="none"/>
        </w:rPr>
        <w:t>2.</w:t>
      </w:r>
      <w:r>
        <w:rPr>
          <w:rFonts w:hint="eastAsia" w:ascii="宋体" w:hAnsi="宋体"/>
          <w:spacing w:val="-6"/>
          <w:sz w:val="24"/>
          <w:highlight w:val="none"/>
        </w:rPr>
        <w:t>本表所指的管理关系仅限于直接管理关系，不包括间接的管理关系。</w:t>
      </w:r>
    </w:p>
    <w:p w14:paraId="0F2794E0">
      <w:pPr>
        <w:spacing w:line="360" w:lineRule="auto"/>
        <w:ind w:firstLine="480" w:firstLineChars="200"/>
        <w:contextualSpacing/>
        <w:jc w:val="left"/>
        <w:rPr>
          <w:rFonts w:hint="eastAsia" w:ascii="宋体" w:hAnsi="宋体"/>
          <w:sz w:val="24"/>
          <w:highlight w:val="none"/>
        </w:rPr>
      </w:pPr>
      <w:r>
        <w:rPr>
          <w:rFonts w:hint="eastAsia" w:ascii="宋体" w:hAnsi="宋体"/>
          <w:sz w:val="24"/>
          <w:highlight w:val="none"/>
        </w:rPr>
        <w:t>3.供应商不存在直接管理关系的，则在“直接管理关系单位名称”填“无”。</w:t>
      </w:r>
    </w:p>
    <w:p w14:paraId="7C870E8B">
      <w:pPr>
        <w:spacing w:line="360" w:lineRule="auto"/>
        <w:contextualSpacing/>
        <w:jc w:val="left"/>
        <w:rPr>
          <w:rFonts w:hint="eastAsia" w:ascii="宋体" w:hAnsi="宋体"/>
          <w:sz w:val="28"/>
          <w:szCs w:val="28"/>
          <w:highlight w:val="none"/>
        </w:rPr>
      </w:pPr>
    </w:p>
    <w:p w14:paraId="6445DB09">
      <w:pPr>
        <w:spacing w:line="360" w:lineRule="auto"/>
        <w:contextualSpacing/>
        <w:jc w:val="left"/>
        <w:rPr>
          <w:rFonts w:hint="eastAsia" w:ascii="宋体" w:hAnsi="宋体"/>
          <w:sz w:val="28"/>
          <w:szCs w:val="28"/>
          <w:highlight w:val="none"/>
        </w:rPr>
      </w:pPr>
    </w:p>
    <w:p w14:paraId="66F0E1E0">
      <w:pPr>
        <w:spacing w:line="360" w:lineRule="auto"/>
        <w:contextualSpacing/>
        <w:jc w:val="left"/>
        <w:rPr>
          <w:sz w:val="28"/>
          <w:szCs w:val="28"/>
          <w:highlight w:val="none"/>
        </w:rPr>
      </w:pPr>
    </w:p>
    <w:p w14:paraId="42164702">
      <w:pPr>
        <w:spacing w:line="360" w:lineRule="auto"/>
        <w:contextualSpacing/>
        <w:jc w:val="left"/>
        <w:rPr>
          <w:sz w:val="28"/>
          <w:szCs w:val="28"/>
          <w:highlight w:val="none"/>
        </w:rPr>
      </w:pPr>
    </w:p>
    <w:p w14:paraId="6BAF027F">
      <w:pPr>
        <w:spacing w:line="360" w:lineRule="auto"/>
        <w:contextualSpacing/>
        <w:jc w:val="left"/>
        <w:rPr>
          <w:sz w:val="28"/>
          <w:szCs w:val="28"/>
          <w:highlight w:val="none"/>
        </w:rPr>
      </w:pPr>
    </w:p>
    <w:p w14:paraId="33FFBC1F">
      <w:pPr>
        <w:spacing w:line="360" w:lineRule="auto"/>
        <w:contextualSpacing/>
        <w:jc w:val="left"/>
        <w:rPr>
          <w:rFonts w:hint="eastAsia" w:ascii="宋体" w:hAnsi="宋体"/>
          <w:sz w:val="28"/>
          <w:szCs w:val="28"/>
          <w:highlight w:val="none"/>
        </w:rPr>
      </w:pPr>
    </w:p>
    <w:p w14:paraId="74E0C002">
      <w:pPr>
        <w:spacing w:line="360" w:lineRule="auto"/>
        <w:ind w:right="480"/>
        <w:contextualSpacing/>
        <w:jc w:val="center"/>
        <w:rPr>
          <w:rFonts w:hint="eastAsia" w:ascii="宋体" w:hAnsi="宋体"/>
          <w:sz w:val="24"/>
          <w:highlight w:val="none"/>
          <w:u w:val="single"/>
        </w:rPr>
      </w:pPr>
      <w:r>
        <w:rPr>
          <w:rFonts w:hint="eastAsia" w:ascii="宋体" w:hAnsi="宋体"/>
          <w:sz w:val="24"/>
          <w:highlight w:val="none"/>
        </w:rPr>
        <w:t>法定代表人或者委托代理人（签字或者电子签名）：</w:t>
      </w:r>
    </w:p>
    <w:p w14:paraId="6D330941">
      <w:pPr>
        <w:spacing w:line="360" w:lineRule="auto"/>
        <w:ind w:right="480" w:firstLine="3360" w:firstLineChars="1400"/>
        <w:contextualSpacing/>
        <w:rPr>
          <w:rFonts w:hint="eastAsia" w:ascii="宋体" w:hAnsi="宋体"/>
          <w:sz w:val="24"/>
          <w:highlight w:val="none"/>
        </w:rPr>
      </w:pPr>
      <w:r>
        <w:rPr>
          <w:rFonts w:hint="eastAsia" w:ascii="宋体" w:hAnsi="宋体"/>
          <w:sz w:val="24"/>
          <w:highlight w:val="none"/>
        </w:rPr>
        <w:t>供应商（电子签章）：</w:t>
      </w:r>
    </w:p>
    <w:p w14:paraId="59F6FE9E">
      <w:pPr>
        <w:spacing w:line="360" w:lineRule="auto"/>
        <w:ind w:firstLine="4320" w:firstLineChars="1800"/>
        <w:contextualSpacing/>
        <w:jc w:val="left"/>
        <w:rPr>
          <w:rFonts w:hint="eastAsia" w:ascii="宋体" w:hAnsi="宋体"/>
          <w:sz w:val="28"/>
          <w:szCs w:val="28"/>
          <w:highlight w:val="none"/>
        </w:rPr>
      </w:pPr>
      <w:r>
        <w:rPr>
          <w:rFonts w:hint="eastAsia" w:ascii="宋体" w:hAnsi="宋体"/>
          <w:sz w:val="24"/>
          <w:highlight w:val="none"/>
        </w:rPr>
        <w:t>年月日</w:t>
      </w:r>
    </w:p>
    <w:p w14:paraId="7392E4E9">
      <w:pPr>
        <w:spacing w:line="320" w:lineRule="exact"/>
        <w:jc w:val="center"/>
        <w:rPr>
          <w:rFonts w:hint="eastAsia" w:ascii="宋体" w:hAnsi="宋体"/>
          <w:b/>
          <w:sz w:val="32"/>
          <w:szCs w:val="32"/>
          <w:highlight w:val="none"/>
        </w:rPr>
      </w:pPr>
      <w:r>
        <w:rPr>
          <w:rFonts w:ascii="宋体" w:hAnsi="宋体"/>
          <w:sz w:val="28"/>
          <w:szCs w:val="28"/>
          <w:highlight w:val="none"/>
        </w:rPr>
        <w:br w:type="page"/>
      </w:r>
      <w:r>
        <w:rPr>
          <w:rFonts w:hint="eastAsia" w:ascii="宋体" w:hAnsi="宋体"/>
          <w:b/>
          <w:sz w:val="32"/>
          <w:szCs w:val="32"/>
          <w:highlight w:val="none"/>
        </w:rPr>
        <w:t>竞标声明</w:t>
      </w:r>
    </w:p>
    <w:p w14:paraId="6564C5F7">
      <w:pPr>
        <w:spacing w:line="320" w:lineRule="exact"/>
        <w:jc w:val="center"/>
        <w:rPr>
          <w:rFonts w:hint="eastAsia" w:ascii="宋体" w:hAnsi="宋体"/>
          <w:sz w:val="24"/>
          <w:szCs w:val="20"/>
          <w:highlight w:val="none"/>
        </w:rPr>
      </w:pPr>
    </w:p>
    <w:p w14:paraId="660B705E">
      <w:pPr>
        <w:spacing w:line="360" w:lineRule="auto"/>
        <w:contextualSpacing/>
        <w:rPr>
          <w:rFonts w:hint="eastAsia" w:ascii="宋体" w:hAnsi="宋体" w:cs="宋体"/>
          <w:sz w:val="24"/>
          <w:highlight w:val="none"/>
        </w:rPr>
      </w:pPr>
      <w:r>
        <w:rPr>
          <w:rFonts w:hint="eastAsia" w:ascii="宋体" w:hAnsi="宋体" w:cs="宋体"/>
          <w:sz w:val="24"/>
          <w:highlight w:val="none"/>
        </w:rPr>
        <w:t>致：</w:t>
      </w:r>
      <w:r>
        <w:rPr>
          <w:rFonts w:hint="eastAsia" w:ascii="宋体" w:hAnsi="宋体" w:cs="宋体"/>
          <w:sz w:val="24"/>
          <w:highlight w:val="none"/>
          <w:u w:val="single"/>
        </w:rPr>
        <w:t>（采购人名称）</w:t>
      </w:r>
      <w:r>
        <w:rPr>
          <w:rFonts w:hint="eastAsia" w:ascii="宋体" w:hAnsi="宋体" w:cs="宋体"/>
          <w:sz w:val="24"/>
          <w:highlight w:val="none"/>
        </w:rPr>
        <w:t>：</w:t>
      </w:r>
    </w:p>
    <w:p w14:paraId="5FE2A59B">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u w:val="single"/>
        </w:rPr>
        <w:t>（供应商名称）</w:t>
      </w:r>
      <w:r>
        <w:rPr>
          <w:rFonts w:hint="eastAsia" w:ascii="宋体" w:hAnsi="宋体" w:cs="宋体"/>
          <w:sz w:val="24"/>
          <w:highlight w:val="none"/>
        </w:rPr>
        <w:t>系中华人民共和国合法供应商，经营地址                       。</w:t>
      </w:r>
    </w:p>
    <w:p w14:paraId="14F814E3">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我方愿意参加贵方组织的</w:t>
      </w:r>
      <w:r>
        <w:rPr>
          <w:rFonts w:hint="eastAsia" w:ascii="宋体" w:hAnsi="宋体" w:cs="宋体"/>
          <w:sz w:val="24"/>
          <w:highlight w:val="none"/>
          <w:u w:val="single"/>
        </w:rPr>
        <w:t>（项目名称）</w:t>
      </w:r>
      <w:r>
        <w:rPr>
          <w:rFonts w:hint="eastAsia" w:ascii="宋体" w:hAnsi="宋体" w:cs="宋体"/>
          <w:sz w:val="24"/>
          <w:highlight w:val="none"/>
        </w:rPr>
        <w:t>项目的竞标，为便于贵方公正、择优地确定成交供应商及其竞标产品和服务，我方就本次竞标有关事项郑重声明如下：</w:t>
      </w:r>
    </w:p>
    <w:p w14:paraId="0C45F952">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1.我方向贵方提交的所有响应文件、资料都是准确的和真实的。</w:t>
      </w:r>
    </w:p>
    <w:p w14:paraId="737A82BF">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2.</w:t>
      </w:r>
      <w:r>
        <w:rPr>
          <w:rFonts w:hint="eastAsia" w:ascii="宋体" w:hAnsi="宋体"/>
          <w:sz w:val="24"/>
          <w:highlight w:val="none"/>
        </w:rPr>
        <w:t>我方不是为本次采购项目提供整体设计、规范编制或者项目管理、监理、检测等服务的供应商</w:t>
      </w:r>
      <w:r>
        <w:rPr>
          <w:rFonts w:hint="eastAsia" w:ascii="宋体" w:hAnsi="宋体" w:cs="宋体"/>
          <w:sz w:val="24"/>
          <w:highlight w:val="none"/>
        </w:rPr>
        <w:t>。</w:t>
      </w:r>
    </w:p>
    <w:p w14:paraId="3DF6CFEC">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3.在此，我方宣布同意如下：</w:t>
      </w:r>
    </w:p>
    <w:p w14:paraId="4093785C">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（1）将按磋商文件的约定履行合同责任和义务；</w:t>
      </w:r>
    </w:p>
    <w:p w14:paraId="747D4346">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（2）已详细审查全部磋商文件，包括澄清或者更正公告（如有）；</w:t>
      </w:r>
    </w:p>
    <w:p w14:paraId="048ADD2E">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（3）同意提供按照贵方可能要求的与磋商有关的一切数据或者资料；</w:t>
      </w:r>
    </w:p>
    <w:p w14:paraId="5E53CDDB">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（4）响应磋商文件规定的竞标有效期。</w:t>
      </w:r>
    </w:p>
    <w:p w14:paraId="500D217A">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4.我方承诺符合《中华人民共和国政府采购法》第二十二条规定：</w:t>
      </w:r>
    </w:p>
    <w:p w14:paraId="22CA13C6">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（1）具有独立承担民事责任的能力；</w:t>
      </w:r>
    </w:p>
    <w:p w14:paraId="3D654D39">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（2）具有良好的商业信誉和健全的财务会计制度；</w:t>
      </w:r>
    </w:p>
    <w:p w14:paraId="725069AF">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（3）具有履行合同所必需的设备和专业技术能力；</w:t>
      </w:r>
    </w:p>
    <w:p w14:paraId="11F34095">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（4）有依法缴纳税收和社会保障资金的良好记录；</w:t>
      </w:r>
    </w:p>
    <w:p w14:paraId="3C015E15">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（5）参加政府采购活动前三年内，在经营活动中没有重大违法记录；</w:t>
      </w:r>
    </w:p>
    <w:p w14:paraId="1B83302F">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（6）法律、行政法规规定的其他条件。</w:t>
      </w:r>
    </w:p>
    <w:p w14:paraId="12DC4BC6">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853B676">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2E8B83F1">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□我方本次响应文件</w:t>
      </w:r>
      <w:r>
        <w:rPr>
          <w:rFonts w:hint="eastAsia" w:ascii="宋体" w:hAnsi="宋体" w:cs="宋体"/>
          <w:kern w:val="0"/>
          <w:sz w:val="24"/>
          <w:highlight w:val="none"/>
        </w:rPr>
        <w:t>内容中</w:t>
      </w:r>
      <w:r>
        <w:rPr>
          <w:rFonts w:hint="eastAsia" w:ascii="宋体" w:hAnsi="宋体" w:cs="宋体"/>
          <w:sz w:val="24"/>
          <w:highlight w:val="none"/>
        </w:rPr>
        <w:t>未</w:t>
      </w:r>
      <w:r>
        <w:rPr>
          <w:rFonts w:hint="eastAsia" w:ascii="宋体" w:hAnsi="宋体" w:cs="宋体"/>
          <w:kern w:val="0"/>
          <w:sz w:val="24"/>
          <w:highlight w:val="none"/>
        </w:rPr>
        <w:t>涉及商业秘密；</w:t>
      </w:r>
    </w:p>
    <w:p w14:paraId="39517B6F">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□我方本次响应文件</w:t>
      </w:r>
      <w:r>
        <w:rPr>
          <w:rFonts w:hint="eastAsia" w:ascii="宋体" w:hAnsi="宋体" w:cs="宋体"/>
          <w:kern w:val="0"/>
          <w:sz w:val="24"/>
          <w:highlight w:val="none"/>
        </w:rPr>
        <w:t>涉及商业秘密的内容有：</w:t>
      </w:r>
      <w:r>
        <w:rPr>
          <w:rFonts w:hint="eastAsia" w:ascii="宋体" w:hAnsi="宋体" w:cs="宋体"/>
          <w:kern w:val="0"/>
          <w:sz w:val="24"/>
          <w:highlight w:val="none"/>
          <w:u w:val="single"/>
        </w:rPr>
        <w:t xml:space="preserve">             </w:t>
      </w:r>
      <w:r>
        <w:rPr>
          <w:rFonts w:hint="eastAsia" w:ascii="宋体" w:hAnsi="宋体" w:cs="宋体"/>
          <w:kern w:val="0"/>
          <w:sz w:val="24"/>
          <w:highlight w:val="none"/>
        </w:rPr>
        <w:t>；</w:t>
      </w:r>
    </w:p>
    <w:p w14:paraId="05F924B9">
      <w:pPr>
        <w:pStyle w:val="15"/>
        <w:spacing w:line="360" w:lineRule="auto"/>
        <w:ind w:firstLine="480" w:firstLineChars="200"/>
        <w:contextualSpacing/>
        <w:rPr>
          <w:rFonts w:hint="eastAsia" w:hAnsi="宋体" w:cs="宋体"/>
          <w:sz w:val="24"/>
          <w:szCs w:val="24"/>
          <w:highlight w:val="none"/>
          <w:u w:val="single"/>
        </w:rPr>
      </w:pPr>
      <w:r>
        <w:rPr>
          <w:rFonts w:hint="eastAsia" w:hAnsi="宋体" w:cs="宋体"/>
          <w:sz w:val="24"/>
          <w:szCs w:val="24"/>
          <w:highlight w:val="none"/>
        </w:rPr>
        <w:t>7.与本磋商有关的一切正式往来信函请寄：邮政编号：</w:t>
      </w:r>
    </w:p>
    <w:p w14:paraId="4202870D">
      <w:pPr>
        <w:pStyle w:val="15"/>
        <w:spacing w:line="360" w:lineRule="auto"/>
        <w:ind w:firstLine="480" w:firstLineChars="200"/>
        <w:contextualSpacing/>
        <w:rPr>
          <w:rFonts w:hint="eastAsia" w:hAnsi="宋体" w:cs="宋体"/>
          <w:sz w:val="24"/>
          <w:szCs w:val="24"/>
          <w:highlight w:val="none"/>
        </w:rPr>
      </w:pPr>
      <w:r>
        <w:rPr>
          <w:rFonts w:hint="eastAsia" w:hAnsi="宋体" w:cs="宋体"/>
          <w:sz w:val="24"/>
          <w:szCs w:val="24"/>
          <w:highlight w:val="none"/>
        </w:rPr>
        <w:t>电话/传真：电子邮箱：</w:t>
      </w:r>
    </w:p>
    <w:p w14:paraId="7603E040">
      <w:pPr>
        <w:pStyle w:val="14"/>
        <w:tabs>
          <w:tab w:val="left" w:pos="939"/>
        </w:tabs>
        <w:spacing w:line="360" w:lineRule="auto"/>
        <w:ind w:left="141" w:leftChars="67" w:firstLine="360" w:firstLineChars="150"/>
        <w:rPr>
          <w:rFonts w:hint="eastAsia" w:ascii="宋体" w:hAnsi="宋体" w:cs="宋体"/>
          <w:sz w:val="24"/>
          <w:highlight w:val="none"/>
        </w:rPr>
      </w:pPr>
      <w:r>
        <w:rPr>
          <w:rFonts w:hint="eastAsia" w:ascii="宋体" w:hAnsi="宋体" w:cs="宋体"/>
          <w:sz w:val="24"/>
          <w:highlight w:val="none"/>
        </w:rPr>
        <w:t>开户银行：帐号：</w:t>
      </w:r>
    </w:p>
    <w:p w14:paraId="0DBEF1FC">
      <w:pPr>
        <w:pStyle w:val="14"/>
        <w:tabs>
          <w:tab w:val="left" w:pos="939"/>
        </w:tabs>
        <w:spacing w:line="360" w:lineRule="auto"/>
        <w:ind w:left="0" w:leftChars="0" w:firstLine="480" w:firstLineChars="200"/>
        <w:rPr>
          <w:rFonts w:hint="eastAsia" w:ascii="宋体" w:hAnsi="宋体" w:cs="宋体"/>
          <w:sz w:val="24"/>
          <w:highlight w:val="none"/>
        </w:rPr>
      </w:pPr>
      <w:r>
        <w:rPr>
          <w:rFonts w:hint="eastAsia" w:ascii="宋体" w:hAnsi="宋体" w:cs="宋体"/>
          <w:sz w:val="24"/>
          <w:highlight w:val="none"/>
        </w:rPr>
        <w:t>8.以上事项如有虚假或者隐瞒，我方愿意承担一切后果，并不再寻求任何旨在减轻或者免除法律责任的辩解。</w:t>
      </w:r>
    </w:p>
    <w:p w14:paraId="71561867">
      <w:pPr>
        <w:pStyle w:val="14"/>
        <w:tabs>
          <w:tab w:val="left" w:pos="939"/>
        </w:tabs>
        <w:spacing w:line="360" w:lineRule="auto"/>
        <w:ind w:left="141" w:leftChars="67" w:firstLine="360" w:firstLineChars="150"/>
        <w:rPr>
          <w:rFonts w:hint="eastAsia" w:ascii="宋体" w:hAnsi="宋体" w:cs="宋体"/>
          <w:sz w:val="24"/>
          <w:highlight w:val="none"/>
        </w:rPr>
      </w:pPr>
      <w:r>
        <w:rPr>
          <w:rFonts w:hint="eastAsia" w:ascii="宋体" w:hAnsi="宋体" w:cs="宋体"/>
          <w:sz w:val="24"/>
          <w:highlight w:val="none"/>
        </w:rPr>
        <w:t>特此承诺。</w:t>
      </w:r>
    </w:p>
    <w:p w14:paraId="0EF308AE">
      <w:pPr>
        <w:spacing w:line="360" w:lineRule="auto"/>
        <w:contextualSpacing/>
        <w:jc w:val="left"/>
        <w:rPr>
          <w:rFonts w:hint="eastAsia" w:ascii="宋体" w:hAnsi="宋体"/>
          <w:b/>
          <w:sz w:val="24"/>
          <w:highlight w:val="none"/>
        </w:rPr>
      </w:pPr>
      <w:r>
        <w:rPr>
          <w:rFonts w:hint="eastAsia" w:ascii="宋体" w:hAnsi="宋体" w:cs="宋体"/>
          <w:b/>
          <w:sz w:val="24"/>
          <w:highlight w:val="none"/>
        </w:rPr>
        <w:t>注：</w:t>
      </w:r>
      <w:r>
        <w:rPr>
          <w:rFonts w:hint="eastAsia" w:ascii="宋体" w:hAnsi="宋体"/>
          <w:b/>
          <w:sz w:val="24"/>
          <w:highlight w:val="none"/>
        </w:rPr>
        <w:t>如为联合体竞标，盖章处须加盖联合体牵头人电子签章并由联合体牵头人法定代表人分别签字或者盖章或者电子签名，否则响应文件按无效处理。</w:t>
      </w:r>
    </w:p>
    <w:p w14:paraId="1CA0A5FF">
      <w:pPr>
        <w:spacing w:line="360" w:lineRule="auto"/>
        <w:contextualSpacing/>
        <w:jc w:val="left"/>
        <w:rPr>
          <w:rFonts w:hint="eastAsia" w:ascii="宋体" w:hAnsi="宋体" w:cs="宋体"/>
          <w:szCs w:val="21"/>
          <w:highlight w:val="none"/>
        </w:rPr>
      </w:pPr>
    </w:p>
    <w:p w14:paraId="5A0CF69C">
      <w:pPr>
        <w:spacing w:line="360" w:lineRule="auto"/>
        <w:ind w:firstLine="1575" w:firstLineChars="750"/>
        <w:contextualSpacing/>
        <w:rPr>
          <w:highlight w:val="none"/>
        </w:rPr>
      </w:pPr>
      <w:r>
        <w:rPr>
          <w:rFonts w:hint="eastAsia"/>
          <w:highlight w:val="none"/>
        </w:rPr>
        <w:t>法定代表人（</w:t>
      </w:r>
      <w:r>
        <w:rPr>
          <w:rFonts w:hint="eastAsia" w:ascii="宋体" w:hAnsi="宋体"/>
          <w:sz w:val="24"/>
          <w:highlight w:val="none"/>
        </w:rPr>
        <w:t>签字或者盖章或者电子签名</w:t>
      </w:r>
      <w:r>
        <w:rPr>
          <w:rFonts w:hint="eastAsia"/>
          <w:highlight w:val="none"/>
        </w:rPr>
        <w:t>）：</w:t>
      </w:r>
    </w:p>
    <w:p w14:paraId="3E5DA9BF">
      <w:pPr>
        <w:spacing w:line="360" w:lineRule="auto"/>
        <w:ind w:firstLine="3780" w:firstLineChars="1800"/>
        <w:contextualSpacing/>
        <w:rPr>
          <w:rFonts w:hint="eastAsia" w:ascii="宋体" w:hAnsi="宋体" w:cs="宋体"/>
          <w:szCs w:val="21"/>
          <w:highlight w:val="none"/>
          <w:u w:val="single"/>
        </w:rPr>
      </w:pPr>
      <w:r>
        <w:rPr>
          <w:rFonts w:hint="eastAsia"/>
          <w:highlight w:val="none"/>
        </w:rPr>
        <w:t>供应商（电子签章）：</w:t>
      </w:r>
    </w:p>
    <w:p w14:paraId="2A45CD85">
      <w:pPr>
        <w:pStyle w:val="14"/>
        <w:tabs>
          <w:tab w:val="left" w:pos="939"/>
        </w:tabs>
        <w:spacing w:line="360" w:lineRule="auto"/>
        <w:ind w:left="0" w:leftChars="0" w:firstLine="3780" w:firstLineChars="1800"/>
        <w:rPr>
          <w:sz w:val="24"/>
          <w:highlight w:val="none"/>
        </w:rPr>
      </w:pPr>
      <w:r>
        <w:rPr>
          <w:rFonts w:hint="eastAsia"/>
          <w:highlight w:val="none"/>
        </w:rPr>
        <w:t>年月日</w:t>
      </w:r>
    </w:p>
    <w:p w14:paraId="52EA2595">
      <w:pPr>
        <w:pStyle w:val="9"/>
        <w:overflowPunct w:val="0"/>
        <w:spacing w:line="520" w:lineRule="exact"/>
        <w:ind w:firstLine="0"/>
        <w:jc w:val="center"/>
        <w:rPr>
          <w:rFonts w:hint="eastAsia" w:ascii="微软雅黑" w:hAnsi="微软雅黑" w:eastAsia="微软雅黑" w:cs="微软雅黑"/>
          <w:sz w:val="44"/>
          <w:szCs w:val="44"/>
          <w:highlight w:val="none"/>
        </w:rPr>
      </w:pPr>
      <w:r>
        <w:rPr>
          <w:rFonts w:hint="eastAsia"/>
          <w:sz w:val="24"/>
          <w:highlight w:val="none"/>
        </w:rPr>
        <w:br w:type="page"/>
      </w:r>
      <w:r>
        <w:rPr>
          <w:rFonts w:hint="eastAsia" w:ascii="微软雅黑" w:hAnsi="微软雅黑" w:eastAsia="微软雅黑" w:cs="微软雅黑"/>
          <w:sz w:val="44"/>
          <w:szCs w:val="44"/>
          <w:highlight w:val="none"/>
        </w:rPr>
        <w:t>联合体竞标协议书</w:t>
      </w:r>
    </w:p>
    <w:p w14:paraId="7BB09CCB">
      <w:pPr>
        <w:pStyle w:val="9"/>
        <w:overflowPunct w:val="0"/>
        <w:spacing w:line="360" w:lineRule="auto"/>
        <w:ind w:firstLine="0"/>
        <w:rPr>
          <w:rFonts w:hint="eastAsia" w:ascii="宋体" w:hAnsi="宋体"/>
          <w:sz w:val="24"/>
          <w:szCs w:val="24"/>
          <w:highlight w:val="none"/>
        </w:rPr>
      </w:pPr>
    </w:p>
    <w:p w14:paraId="417C0584">
      <w:pPr>
        <w:pStyle w:val="9"/>
        <w:overflowPunct w:val="0"/>
        <w:spacing w:line="360" w:lineRule="auto"/>
        <w:ind w:firstLine="480" w:firstLineChars="200"/>
        <w:contextualSpacing/>
        <w:rPr>
          <w:rFonts w:hint="eastAsia" w:ascii="宋体" w:hAnsi="宋体" w:cs="仿宋_GB2312"/>
          <w:sz w:val="24"/>
          <w:szCs w:val="24"/>
          <w:highlight w:val="none"/>
        </w:rPr>
      </w:pPr>
      <w:r>
        <w:rPr>
          <w:rFonts w:hint="eastAsia" w:ascii="宋体" w:hAnsi="宋体" w:cs="仿宋_GB2312"/>
          <w:sz w:val="24"/>
          <w:szCs w:val="24"/>
          <w:highlight w:val="none"/>
        </w:rPr>
        <w:t>（所有成员单位名称）自愿组成（联合体名称）联合体，共同参加（项目名称）采购项目竞标。现就联合体竞标事宜订立如下协议。</w:t>
      </w:r>
    </w:p>
    <w:p w14:paraId="4DEC76D6">
      <w:pPr>
        <w:pStyle w:val="9"/>
        <w:overflowPunct w:val="0"/>
        <w:spacing w:line="360" w:lineRule="auto"/>
        <w:ind w:firstLine="480" w:firstLineChars="200"/>
        <w:contextualSpacing/>
        <w:rPr>
          <w:rFonts w:hint="eastAsia" w:ascii="宋体" w:hAnsi="宋体" w:cs="仿宋_GB2312"/>
          <w:sz w:val="24"/>
          <w:szCs w:val="24"/>
          <w:highlight w:val="none"/>
        </w:rPr>
      </w:pPr>
      <w:r>
        <w:rPr>
          <w:rFonts w:hint="eastAsia" w:ascii="宋体" w:hAnsi="宋体" w:cs="仿宋_GB2312"/>
          <w:sz w:val="24"/>
          <w:szCs w:val="24"/>
          <w:highlight w:val="none"/>
        </w:rPr>
        <w:t>1.</w:t>
      </w:r>
      <w:r>
        <w:rPr>
          <w:rFonts w:hint="eastAsia" w:ascii="宋体" w:hAnsi="宋体" w:cs="仿宋_GB2312"/>
          <w:sz w:val="24"/>
          <w:szCs w:val="24"/>
          <w:highlight w:val="none"/>
          <w:u w:val="single"/>
        </w:rPr>
        <w:tab/>
      </w:r>
      <w:r>
        <w:rPr>
          <w:rFonts w:hint="eastAsia" w:ascii="宋体" w:hAnsi="宋体" w:cs="仿宋_GB2312"/>
          <w:sz w:val="24"/>
          <w:szCs w:val="24"/>
          <w:highlight w:val="none"/>
        </w:rPr>
        <w:t>（某成员单位名称）为（联合体名称）牵头人。</w:t>
      </w:r>
    </w:p>
    <w:p w14:paraId="0397E070">
      <w:pPr>
        <w:pStyle w:val="9"/>
        <w:overflowPunct w:val="0"/>
        <w:spacing w:line="360" w:lineRule="auto"/>
        <w:ind w:firstLine="480" w:firstLineChars="200"/>
        <w:contextualSpacing/>
        <w:rPr>
          <w:rFonts w:hint="eastAsia" w:ascii="宋体" w:hAnsi="宋体" w:cs="仿宋_GB2312"/>
          <w:sz w:val="24"/>
          <w:szCs w:val="24"/>
          <w:highlight w:val="none"/>
        </w:rPr>
      </w:pPr>
      <w:r>
        <w:rPr>
          <w:rFonts w:hint="eastAsia" w:ascii="宋体" w:hAnsi="宋体" w:cs="仿宋_GB2312"/>
          <w:sz w:val="24"/>
          <w:szCs w:val="24"/>
          <w:highlight w:val="none"/>
        </w:rPr>
        <w:t>2.联合体各成员授权牵头人代表联合体参加竞标活动，签署文件及对文件的盖章，提交和接收相关的资料、信息及指示，进行合同磋商活动，负责合同实施阶段的组织和协调工作，以及处理与本竞标项目有关的一切事宜。</w:t>
      </w:r>
    </w:p>
    <w:p w14:paraId="7489E35A">
      <w:pPr>
        <w:pStyle w:val="9"/>
        <w:overflowPunct w:val="0"/>
        <w:spacing w:line="360" w:lineRule="auto"/>
        <w:ind w:firstLine="480" w:firstLineChars="200"/>
        <w:contextualSpacing/>
        <w:rPr>
          <w:rFonts w:hint="eastAsia" w:ascii="宋体" w:hAnsi="宋体" w:cs="仿宋_GB2312"/>
          <w:sz w:val="24"/>
          <w:szCs w:val="24"/>
          <w:highlight w:val="none"/>
        </w:rPr>
      </w:pPr>
      <w:r>
        <w:rPr>
          <w:rFonts w:hint="eastAsia" w:ascii="宋体" w:hAnsi="宋体" w:cs="仿宋_GB2312"/>
          <w:sz w:val="24"/>
          <w:szCs w:val="24"/>
          <w:highlight w:val="none"/>
        </w:rPr>
        <w:t>3.联合体牵头人在本项目中签署和盖章的一切文件和处理的一切事宜，联合体各成员均予以承认。联合体各成员将严格按照磋商文件、响应文件和合同的要求全面履行义务，并向采购人承担连带责任。</w:t>
      </w:r>
    </w:p>
    <w:p w14:paraId="68E3FC83">
      <w:pPr>
        <w:pStyle w:val="9"/>
        <w:overflowPunct w:val="0"/>
        <w:spacing w:line="360" w:lineRule="auto"/>
        <w:ind w:firstLine="480" w:firstLineChars="200"/>
        <w:contextualSpacing/>
        <w:rPr>
          <w:rFonts w:hint="eastAsia" w:ascii="宋体" w:hAnsi="宋体" w:cs="仿宋_GB2312"/>
          <w:sz w:val="24"/>
          <w:szCs w:val="24"/>
          <w:highlight w:val="none"/>
        </w:rPr>
      </w:pPr>
      <w:r>
        <w:rPr>
          <w:rFonts w:hint="eastAsia" w:ascii="宋体" w:hAnsi="宋体" w:cs="仿宋_GB2312"/>
          <w:sz w:val="24"/>
          <w:szCs w:val="24"/>
          <w:highlight w:val="none"/>
        </w:rPr>
        <w:t>4.联合体各成员单位内部的职责分工如下：。</w:t>
      </w:r>
    </w:p>
    <w:p w14:paraId="0D5B2182">
      <w:pPr>
        <w:pStyle w:val="9"/>
        <w:overflowPunct w:val="0"/>
        <w:spacing w:line="360" w:lineRule="auto"/>
        <w:ind w:firstLine="480" w:firstLineChars="200"/>
        <w:contextualSpacing/>
        <w:rPr>
          <w:rFonts w:hint="eastAsia" w:ascii="宋体" w:hAnsi="宋体" w:cs="仿宋_GB2312"/>
          <w:sz w:val="24"/>
          <w:szCs w:val="24"/>
          <w:highlight w:val="none"/>
        </w:rPr>
      </w:pPr>
      <w:r>
        <w:rPr>
          <w:rFonts w:hint="eastAsia" w:ascii="宋体" w:hAnsi="宋体" w:cs="仿宋_GB2312"/>
          <w:sz w:val="24"/>
          <w:szCs w:val="24"/>
          <w:highlight w:val="none"/>
        </w:rPr>
        <w:t>5.本</w:t>
      </w:r>
      <w:r>
        <w:rPr>
          <w:rFonts w:hint="eastAsia" w:ascii="宋体" w:hAnsi="宋体" w:cs="仿宋_GB2312"/>
          <w:spacing w:val="-6"/>
          <w:sz w:val="24"/>
          <w:szCs w:val="24"/>
          <w:highlight w:val="none"/>
        </w:rPr>
        <w:t>协议书自所有成员单位法定代表人（单位负责人）或者其委托代理人签字或者盖单位章之日起生效，合同履行完毕后自动失效。</w:t>
      </w:r>
    </w:p>
    <w:p w14:paraId="7C212BA0">
      <w:pPr>
        <w:pStyle w:val="9"/>
        <w:overflowPunct w:val="0"/>
        <w:spacing w:line="360" w:lineRule="auto"/>
        <w:ind w:firstLine="480" w:firstLineChars="200"/>
        <w:contextualSpacing/>
        <w:rPr>
          <w:rFonts w:hint="eastAsia" w:ascii="宋体" w:hAnsi="宋体" w:cs="仿宋_GB2312"/>
          <w:sz w:val="24"/>
          <w:szCs w:val="24"/>
          <w:highlight w:val="none"/>
        </w:rPr>
      </w:pPr>
      <w:r>
        <w:rPr>
          <w:rFonts w:hint="eastAsia" w:ascii="宋体" w:hAnsi="宋体" w:cs="仿宋_GB2312"/>
          <w:sz w:val="24"/>
          <w:szCs w:val="24"/>
          <w:highlight w:val="none"/>
        </w:rPr>
        <w:t>6.本协议书一式</w:t>
      </w:r>
      <w:r>
        <w:rPr>
          <w:rFonts w:hint="eastAsia" w:ascii="宋体" w:hAnsi="宋体" w:cs="仿宋_GB2312"/>
          <w:sz w:val="24"/>
          <w:szCs w:val="24"/>
          <w:highlight w:val="none"/>
          <w:u w:val="single"/>
        </w:rPr>
        <w:tab/>
      </w:r>
      <w:r>
        <w:rPr>
          <w:rFonts w:hint="eastAsia" w:ascii="宋体" w:hAnsi="宋体" w:cs="仿宋_GB2312"/>
          <w:sz w:val="24"/>
          <w:szCs w:val="24"/>
          <w:highlight w:val="none"/>
        </w:rPr>
        <w:t>份，联合体成员和采购人各执一份。</w:t>
      </w:r>
    </w:p>
    <w:p w14:paraId="1F938A32">
      <w:pPr>
        <w:pStyle w:val="9"/>
        <w:overflowPunct w:val="0"/>
        <w:spacing w:line="360" w:lineRule="auto"/>
        <w:ind w:firstLine="480" w:firstLineChars="200"/>
        <w:contextualSpacing/>
        <w:rPr>
          <w:rFonts w:hint="eastAsia" w:ascii="宋体" w:hAnsi="宋体" w:cs="仿宋_GB2312"/>
          <w:sz w:val="24"/>
          <w:szCs w:val="24"/>
          <w:highlight w:val="none"/>
        </w:rPr>
      </w:pPr>
      <w:r>
        <w:rPr>
          <w:rFonts w:hint="eastAsia" w:ascii="宋体" w:hAnsi="宋体" w:cs="仿宋_GB2312"/>
          <w:sz w:val="24"/>
          <w:szCs w:val="24"/>
          <w:highlight w:val="none"/>
        </w:rPr>
        <w:t>注：本协议书应附法定代表人身份证明书；有委托代理的，应附权委托书（格式自拟）。</w:t>
      </w:r>
    </w:p>
    <w:p w14:paraId="7A295762">
      <w:pPr>
        <w:pStyle w:val="9"/>
        <w:overflowPunct w:val="0"/>
        <w:spacing w:line="360" w:lineRule="auto"/>
        <w:ind w:firstLineChars="175"/>
        <w:contextualSpacing/>
        <w:rPr>
          <w:rFonts w:hint="eastAsia" w:ascii="宋体" w:hAnsi="宋体" w:cs="仿宋_GB2312"/>
          <w:sz w:val="24"/>
          <w:szCs w:val="24"/>
          <w:highlight w:val="none"/>
        </w:rPr>
      </w:pPr>
    </w:p>
    <w:p w14:paraId="1F0A45C9">
      <w:pPr>
        <w:pStyle w:val="9"/>
        <w:overflowPunct w:val="0"/>
        <w:spacing w:line="360" w:lineRule="auto"/>
        <w:ind w:firstLine="0"/>
        <w:contextualSpacing/>
        <w:rPr>
          <w:rFonts w:hint="eastAsia" w:ascii="宋体" w:hAnsi="宋体" w:cs="仿宋_GB2312"/>
          <w:sz w:val="24"/>
          <w:szCs w:val="24"/>
          <w:highlight w:val="none"/>
        </w:rPr>
      </w:pPr>
      <w:r>
        <w:rPr>
          <w:rFonts w:hint="eastAsia" w:ascii="宋体" w:hAnsi="宋体" w:cs="仿宋_GB2312"/>
          <w:sz w:val="24"/>
          <w:szCs w:val="24"/>
          <w:highlight w:val="none"/>
        </w:rPr>
        <w:t>联合体牵头人名称（电子签章）：</w:t>
      </w:r>
    </w:p>
    <w:p w14:paraId="6823FB2C">
      <w:pPr>
        <w:pStyle w:val="9"/>
        <w:overflowPunct w:val="0"/>
        <w:spacing w:line="360" w:lineRule="auto"/>
        <w:ind w:firstLine="0"/>
        <w:contextualSpacing/>
        <w:rPr>
          <w:rFonts w:hint="eastAsia" w:ascii="宋体" w:hAnsi="宋体" w:cs="仿宋_GB2312"/>
          <w:sz w:val="24"/>
          <w:szCs w:val="24"/>
          <w:highlight w:val="none"/>
        </w:rPr>
      </w:pPr>
      <w:r>
        <w:rPr>
          <w:rFonts w:hint="eastAsia" w:ascii="宋体" w:hAnsi="宋体" w:cs="仿宋_GB2312"/>
          <w:sz w:val="24"/>
          <w:szCs w:val="24"/>
          <w:highlight w:val="none"/>
        </w:rPr>
        <w:t>法定代表人或者其委托代理人（签字或者电子签名）：</w:t>
      </w:r>
    </w:p>
    <w:p w14:paraId="4767A7F1">
      <w:pPr>
        <w:pStyle w:val="9"/>
        <w:overflowPunct w:val="0"/>
        <w:spacing w:line="360" w:lineRule="auto"/>
        <w:ind w:firstLine="0"/>
        <w:contextualSpacing/>
        <w:rPr>
          <w:rFonts w:hint="eastAsia" w:ascii="宋体" w:hAnsi="宋体" w:cs="仿宋_GB2312"/>
          <w:sz w:val="24"/>
          <w:szCs w:val="24"/>
          <w:highlight w:val="none"/>
        </w:rPr>
      </w:pPr>
    </w:p>
    <w:p w14:paraId="6EA2A409">
      <w:pPr>
        <w:pStyle w:val="9"/>
        <w:overflowPunct w:val="0"/>
        <w:spacing w:line="360" w:lineRule="auto"/>
        <w:ind w:firstLine="0"/>
        <w:contextualSpacing/>
        <w:rPr>
          <w:rFonts w:hint="eastAsia" w:ascii="宋体" w:hAnsi="宋体" w:cs="仿宋_GB2312"/>
          <w:sz w:val="24"/>
          <w:szCs w:val="24"/>
          <w:highlight w:val="none"/>
        </w:rPr>
      </w:pPr>
      <w:r>
        <w:rPr>
          <w:rFonts w:hint="eastAsia" w:ascii="宋体" w:hAnsi="宋体" w:cs="仿宋_GB2312"/>
          <w:sz w:val="24"/>
          <w:szCs w:val="24"/>
          <w:highlight w:val="none"/>
        </w:rPr>
        <w:t>联合体成员名称（盖公章或者电子签章）：</w:t>
      </w:r>
    </w:p>
    <w:p w14:paraId="707BE527">
      <w:pPr>
        <w:pStyle w:val="9"/>
        <w:overflowPunct w:val="0"/>
        <w:spacing w:line="360" w:lineRule="auto"/>
        <w:ind w:firstLine="0"/>
        <w:contextualSpacing/>
        <w:rPr>
          <w:rFonts w:hint="eastAsia" w:ascii="宋体" w:hAnsi="宋体" w:cs="仿宋_GB2312"/>
          <w:sz w:val="24"/>
          <w:szCs w:val="24"/>
          <w:highlight w:val="none"/>
        </w:rPr>
      </w:pPr>
      <w:r>
        <w:rPr>
          <w:rFonts w:hint="eastAsia" w:ascii="宋体" w:hAnsi="宋体" w:cs="仿宋_GB2312"/>
          <w:sz w:val="24"/>
          <w:szCs w:val="24"/>
          <w:highlight w:val="none"/>
        </w:rPr>
        <w:t>法定代表人或者其委托代理人（签字或者电子签名）：</w:t>
      </w:r>
    </w:p>
    <w:p w14:paraId="5C12FAFC">
      <w:pPr>
        <w:pStyle w:val="9"/>
        <w:overflowPunct w:val="0"/>
        <w:spacing w:line="360" w:lineRule="auto"/>
        <w:ind w:firstLine="0"/>
        <w:contextualSpacing/>
        <w:rPr>
          <w:rFonts w:hint="eastAsia" w:ascii="宋体" w:hAnsi="宋体" w:cs="仿宋_GB2312"/>
          <w:sz w:val="24"/>
          <w:szCs w:val="24"/>
          <w:highlight w:val="none"/>
        </w:rPr>
      </w:pPr>
    </w:p>
    <w:p w14:paraId="5F336C16">
      <w:pPr>
        <w:pStyle w:val="9"/>
        <w:overflowPunct w:val="0"/>
        <w:spacing w:line="360" w:lineRule="auto"/>
        <w:ind w:firstLine="0"/>
        <w:contextualSpacing/>
        <w:rPr>
          <w:rFonts w:hint="eastAsia" w:ascii="宋体" w:hAnsi="宋体" w:cs="仿宋_GB2312"/>
          <w:sz w:val="24"/>
          <w:szCs w:val="24"/>
          <w:highlight w:val="none"/>
        </w:rPr>
      </w:pPr>
      <w:r>
        <w:rPr>
          <w:rFonts w:hint="eastAsia" w:ascii="宋体" w:hAnsi="宋体" w:cs="仿宋_GB2312"/>
          <w:sz w:val="24"/>
          <w:szCs w:val="24"/>
          <w:highlight w:val="none"/>
        </w:rPr>
        <w:t>联合体成员名称（盖公章或者电子签章）：</w:t>
      </w:r>
    </w:p>
    <w:p w14:paraId="52C68054">
      <w:pPr>
        <w:pStyle w:val="9"/>
        <w:overflowPunct w:val="0"/>
        <w:spacing w:line="360" w:lineRule="auto"/>
        <w:ind w:firstLine="0"/>
        <w:contextualSpacing/>
        <w:rPr>
          <w:rFonts w:hint="eastAsia" w:ascii="宋体" w:hAnsi="宋体" w:cs="仿宋_GB2312"/>
          <w:sz w:val="24"/>
          <w:szCs w:val="24"/>
          <w:highlight w:val="none"/>
        </w:rPr>
      </w:pPr>
      <w:r>
        <w:rPr>
          <w:rFonts w:hint="eastAsia" w:ascii="宋体" w:hAnsi="宋体" w:cs="仿宋_GB2312"/>
          <w:sz w:val="24"/>
          <w:szCs w:val="24"/>
          <w:highlight w:val="none"/>
        </w:rPr>
        <w:t>法定代表人或者其委托代理人（签字或者电子签名）：</w:t>
      </w:r>
    </w:p>
    <w:p w14:paraId="2435E56B">
      <w:pPr>
        <w:pStyle w:val="9"/>
        <w:overflowPunct w:val="0"/>
        <w:spacing w:line="360" w:lineRule="auto"/>
        <w:ind w:firstLine="0"/>
        <w:contextualSpacing/>
        <w:rPr>
          <w:rFonts w:hint="eastAsia" w:ascii="宋体" w:hAnsi="宋体" w:cs="仿宋_GB2312"/>
          <w:sz w:val="24"/>
          <w:szCs w:val="24"/>
          <w:highlight w:val="none"/>
        </w:rPr>
      </w:pPr>
      <w:r>
        <w:rPr>
          <w:rFonts w:hint="eastAsia" w:ascii="宋体" w:hAnsi="宋体" w:cs="仿宋_GB2312"/>
          <w:sz w:val="24"/>
          <w:szCs w:val="24"/>
          <w:highlight w:val="none"/>
        </w:rPr>
        <w:t>……</w:t>
      </w:r>
    </w:p>
    <w:p w14:paraId="42AEF79D">
      <w:pPr>
        <w:spacing w:line="360" w:lineRule="auto"/>
        <w:ind w:right="480" w:firstLine="240" w:firstLineChars="100"/>
        <w:contextualSpacing/>
        <w:jc w:val="center"/>
        <w:rPr>
          <w:rFonts w:hint="eastAsia" w:ascii="宋体" w:hAnsi="宋体" w:cs="仿宋_GB2312"/>
          <w:sz w:val="24"/>
          <w:highlight w:val="none"/>
        </w:rPr>
      </w:pPr>
    </w:p>
    <w:p w14:paraId="4D5E0F49">
      <w:pPr>
        <w:spacing w:line="360" w:lineRule="auto"/>
        <w:ind w:right="480" w:firstLine="240" w:firstLineChars="100"/>
        <w:contextualSpacing/>
        <w:jc w:val="center"/>
        <w:rPr>
          <w:rFonts w:hint="eastAsia" w:ascii="宋体" w:hAnsi="宋体"/>
          <w:b/>
          <w:bCs/>
          <w:sz w:val="32"/>
          <w:szCs w:val="32"/>
          <w:highlight w:val="none"/>
        </w:rPr>
      </w:pPr>
      <w:r>
        <w:rPr>
          <w:rFonts w:hint="eastAsia" w:ascii="宋体" w:hAnsi="宋体" w:cs="仿宋_GB2312"/>
          <w:sz w:val="24"/>
          <w:highlight w:val="none"/>
        </w:rPr>
        <w:t>年</w:t>
      </w:r>
      <w:r>
        <w:rPr>
          <w:rFonts w:hint="eastAsia" w:ascii="宋体" w:hAnsi="宋体" w:cs="仿宋_GB2312"/>
          <w:sz w:val="24"/>
          <w:highlight w:val="none"/>
        </w:rPr>
        <w:tab/>
      </w:r>
      <w:r>
        <w:rPr>
          <w:rFonts w:hint="eastAsia" w:ascii="宋体" w:hAnsi="宋体" w:cs="仿宋_GB2312"/>
          <w:sz w:val="24"/>
          <w:highlight w:val="none"/>
        </w:rPr>
        <w:t>月</w:t>
      </w:r>
      <w:r>
        <w:rPr>
          <w:rFonts w:hint="eastAsia" w:ascii="宋体" w:hAnsi="宋体" w:cs="仿宋_GB2312"/>
          <w:sz w:val="24"/>
          <w:highlight w:val="none"/>
        </w:rPr>
        <w:tab/>
      </w:r>
      <w:r>
        <w:rPr>
          <w:rFonts w:hint="eastAsia" w:ascii="宋体" w:hAnsi="宋体" w:cs="仿宋_GB2312"/>
          <w:sz w:val="24"/>
          <w:highlight w:val="none"/>
        </w:rPr>
        <w:t>日</w:t>
      </w:r>
    </w:p>
    <w:p w14:paraId="2C7D47C6">
      <w:pPr>
        <w:jc w:val="center"/>
        <w:rPr>
          <w:rFonts w:hint="eastAsia" w:ascii="微软雅黑" w:hAnsi="微软雅黑" w:eastAsia="微软雅黑" w:cs="微软雅黑"/>
          <w:sz w:val="44"/>
          <w:szCs w:val="44"/>
          <w:highlight w:val="none"/>
        </w:rPr>
      </w:pPr>
      <w:r>
        <w:rPr>
          <w:rFonts w:ascii="宋体" w:hAnsi="宋体"/>
          <w:b/>
          <w:bCs/>
          <w:sz w:val="32"/>
          <w:szCs w:val="32"/>
          <w:highlight w:val="none"/>
        </w:rPr>
        <w:br w:type="page"/>
      </w:r>
      <w:bookmarkStart w:id="75" w:name="_Toc71365926"/>
      <w:r>
        <w:rPr>
          <w:rFonts w:hint="eastAsia" w:ascii="微软雅黑" w:hAnsi="微软雅黑" w:eastAsia="微软雅黑" w:cs="微软雅黑"/>
          <w:sz w:val="44"/>
          <w:szCs w:val="44"/>
          <w:highlight w:val="none"/>
        </w:rPr>
        <w:t>中小企业声明函（服务）</w:t>
      </w:r>
      <w:bookmarkEnd w:id="75"/>
    </w:p>
    <w:p w14:paraId="5D37521E">
      <w:pPr>
        <w:spacing w:before="2" w:line="500" w:lineRule="exact"/>
        <w:ind w:firstLine="708" w:firstLineChars="294"/>
        <w:rPr>
          <w:rFonts w:hint="eastAsia" w:ascii="宋体" w:hAnsi="宋体" w:cs="宋体"/>
          <w:b/>
          <w:bCs/>
          <w:sz w:val="24"/>
          <w:highlight w:val="none"/>
        </w:rPr>
      </w:pPr>
    </w:p>
    <w:p w14:paraId="2E5624E9">
      <w:pPr>
        <w:pStyle w:val="3"/>
        <w:spacing w:line="500" w:lineRule="exact"/>
        <w:ind w:right="142" w:firstLine="705" w:firstLineChars="294"/>
        <w:rPr>
          <w:rFonts w:hint="eastAsia" w:ascii="宋体" w:hAnsi="宋体"/>
          <w:sz w:val="24"/>
          <w:highlight w:val="none"/>
        </w:rPr>
      </w:pPr>
      <w:r>
        <w:rPr>
          <w:rFonts w:hint="eastAsia" w:ascii="宋体" w:hAnsi="宋体"/>
          <w:sz w:val="24"/>
          <w:highlight w:val="none"/>
        </w:rPr>
        <w:t>本公司（联合体）郑重声明，根据《政府采购促进中小企业发展管理办法》（财库﹝2020﹞46号）的规定，本公司（联合体）参加</w:t>
      </w:r>
      <w:r>
        <w:rPr>
          <w:rFonts w:hint="eastAsia" w:ascii="宋体" w:hAnsi="宋体"/>
          <w:sz w:val="24"/>
          <w:highlight w:val="none"/>
          <w:u w:val="single"/>
        </w:rPr>
        <w:t>（单位名称）</w:t>
      </w:r>
      <w:r>
        <w:rPr>
          <w:rFonts w:hint="eastAsia" w:ascii="宋体" w:hAnsi="宋体"/>
          <w:sz w:val="24"/>
          <w:highlight w:val="none"/>
        </w:rPr>
        <w:t>的</w:t>
      </w:r>
      <w:r>
        <w:rPr>
          <w:rFonts w:hint="eastAsia" w:ascii="宋体" w:hAnsi="宋体"/>
          <w:sz w:val="24"/>
          <w:highlight w:val="none"/>
          <w:u w:val="single"/>
        </w:rPr>
        <w:t>（项目名称）</w:t>
      </w:r>
      <w:r>
        <w:rPr>
          <w:rFonts w:hint="eastAsia" w:ascii="宋体" w:hAnsi="宋体"/>
          <w:sz w:val="24"/>
          <w:highlight w:val="none"/>
        </w:rPr>
        <w:t>采购活动，服务全部由符合政策要求的中小企业承接。相关企业（含联合体中的中小企业、签订分包意向协议的中小企业）的具体情况如下：</w:t>
      </w:r>
    </w:p>
    <w:p w14:paraId="39D2DA95">
      <w:pPr>
        <w:tabs>
          <w:tab w:val="left" w:pos="1384"/>
          <w:tab w:val="left" w:pos="4562"/>
          <w:tab w:val="left" w:pos="6803"/>
        </w:tabs>
        <w:spacing w:before="13" w:line="500" w:lineRule="exact"/>
        <w:ind w:right="142" w:firstLine="772" w:firstLineChars="322"/>
        <w:rPr>
          <w:rFonts w:hint="eastAsia" w:ascii="宋体" w:hAnsi="宋体"/>
          <w:sz w:val="24"/>
          <w:highlight w:val="none"/>
        </w:rPr>
      </w:pPr>
      <w:r>
        <w:rPr>
          <w:rFonts w:hint="eastAsia" w:ascii="宋体" w:hAnsi="宋体"/>
          <w:sz w:val="24"/>
          <w:highlight w:val="none"/>
        </w:rPr>
        <w:t>1.</w:t>
      </w:r>
      <w:r>
        <w:rPr>
          <w:rFonts w:hint="eastAsia" w:ascii="宋体" w:hAnsi="宋体"/>
          <w:sz w:val="24"/>
          <w:highlight w:val="none"/>
          <w:u w:val="single"/>
        </w:rPr>
        <w:t>（标的名称）</w:t>
      </w:r>
      <w:r>
        <w:rPr>
          <w:rFonts w:hint="eastAsia" w:ascii="宋体" w:hAnsi="宋体"/>
          <w:sz w:val="24"/>
          <w:highlight w:val="none"/>
        </w:rPr>
        <w:t>，属于</w:t>
      </w:r>
      <w:r>
        <w:rPr>
          <w:rFonts w:hint="eastAsia" w:ascii="宋体" w:hAnsi="宋体"/>
          <w:sz w:val="24"/>
          <w:highlight w:val="none"/>
          <w:u w:val="single"/>
        </w:rPr>
        <w:t>（采购文件中明确的所属行业）</w:t>
      </w:r>
      <w:r>
        <w:rPr>
          <w:rFonts w:hint="eastAsia" w:ascii="宋体" w:hAnsi="宋体"/>
          <w:sz w:val="24"/>
          <w:highlight w:val="none"/>
        </w:rPr>
        <w:t>；承接企业为</w:t>
      </w:r>
      <w:r>
        <w:rPr>
          <w:rFonts w:hint="eastAsia" w:ascii="宋体" w:hAnsi="宋体"/>
          <w:sz w:val="24"/>
          <w:highlight w:val="none"/>
          <w:u w:val="single"/>
        </w:rPr>
        <w:t>（企业名称）</w:t>
      </w:r>
      <w:r>
        <w:rPr>
          <w:rFonts w:hint="eastAsia" w:ascii="宋体" w:hAnsi="宋体"/>
          <w:sz w:val="24"/>
          <w:highlight w:val="none"/>
        </w:rPr>
        <w:t>，从业人员</w:t>
      </w:r>
      <w:r>
        <w:rPr>
          <w:rFonts w:hint="eastAsia" w:ascii="宋体" w:hAnsi="宋体"/>
          <w:sz w:val="24"/>
          <w:highlight w:val="none"/>
          <w:u w:val="single"/>
        </w:rPr>
        <w:t xml:space="preserve">  </w:t>
      </w:r>
      <w:r>
        <w:rPr>
          <w:rFonts w:hint="eastAsia" w:ascii="宋体" w:hAnsi="宋体"/>
          <w:sz w:val="24"/>
          <w:highlight w:val="none"/>
        </w:rPr>
        <w:t>人，营业收入为</w:t>
      </w:r>
      <w:r>
        <w:rPr>
          <w:rFonts w:hint="eastAsia" w:ascii="宋体" w:hAnsi="宋体"/>
          <w:sz w:val="24"/>
          <w:highlight w:val="none"/>
          <w:u w:val="single"/>
        </w:rPr>
        <w:t xml:space="preserve">  </w:t>
      </w:r>
      <w:r>
        <w:rPr>
          <w:rFonts w:hint="eastAsia" w:ascii="宋体" w:hAnsi="宋体"/>
          <w:sz w:val="24"/>
          <w:highlight w:val="none"/>
        </w:rPr>
        <w:t>万元，资产总额为</w:t>
      </w:r>
      <w:r>
        <w:rPr>
          <w:rFonts w:hint="eastAsia" w:ascii="宋体" w:hAnsi="宋体"/>
          <w:sz w:val="24"/>
          <w:highlight w:val="none"/>
          <w:u w:val="single"/>
        </w:rPr>
        <w:t xml:space="preserve">  </w:t>
      </w:r>
      <w:r>
        <w:rPr>
          <w:rFonts w:hint="eastAsia" w:ascii="宋体" w:hAnsi="宋体"/>
          <w:sz w:val="24"/>
          <w:highlight w:val="none"/>
        </w:rPr>
        <w:t>万元，属于</w:t>
      </w:r>
      <w:r>
        <w:rPr>
          <w:rFonts w:hint="eastAsia" w:ascii="宋体" w:hAnsi="宋体"/>
          <w:sz w:val="24"/>
          <w:highlight w:val="none"/>
          <w:u w:val="single"/>
        </w:rPr>
        <w:t>（中型企业、小型企业、微型企业）</w:t>
      </w:r>
      <w:r>
        <w:rPr>
          <w:rFonts w:hint="eastAsia" w:ascii="宋体" w:hAnsi="宋体"/>
          <w:sz w:val="24"/>
          <w:highlight w:val="none"/>
        </w:rPr>
        <w:t>；</w:t>
      </w:r>
    </w:p>
    <w:p w14:paraId="69185B18">
      <w:pPr>
        <w:tabs>
          <w:tab w:val="left" w:pos="1065"/>
          <w:tab w:val="left" w:pos="4262"/>
          <w:tab w:val="left" w:pos="6477"/>
        </w:tabs>
        <w:spacing w:before="20" w:line="500" w:lineRule="exact"/>
        <w:ind w:right="84" w:firstLine="772" w:firstLineChars="322"/>
        <w:rPr>
          <w:rFonts w:hint="eastAsia" w:ascii="宋体" w:hAnsi="宋体"/>
          <w:sz w:val="24"/>
          <w:highlight w:val="none"/>
          <w:u w:val="single"/>
        </w:rPr>
      </w:pPr>
      <w:r>
        <w:rPr>
          <w:rFonts w:hint="eastAsia" w:ascii="宋体" w:hAnsi="宋体"/>
          <w:sz w:val="24"/>
          <w:highlight w:val="none"/>
        </w:rPr>
        <w:t>2.</w:t>
      </w:r>
      <w:r>
        <w:rPr>
          <w:rFonts w:hint="eastAsia" w:ascii="宋体" w:hAnsi="宋体"/>
          <w:sz w:val="24"/>
          <w:highlight w:val="none"/>
          <w:u w:val="single"/>
        </w:rPr>
        <w:t>（标的名称）</w:t>
      </w:r>
      <w:r>
        <w:rPr>
          <w:rFonts w:hint="eastAsia" w:ascii="宋体" w:hAnsi="宋体"/>
          <w:sz w:val="24"/>
          <w:highlight w:val="none"/>
        </w:rPr>
        <w:t>，属于</w:t>
      </w:r>
      <w:r>
        <w:rPr>
          <w:rFonts w:hint="eastAsia" w:ascii="宋体" w:hAnsi="宋体"/>
          <w:sz w:val="24"/>
          <w:highlight w:val="none"/>
          <w:u w:val="single"/>
        </w:rPr>
        <w:t>（采购文件中明确的所属行业）</w:t>
      </w:r>
      <w:r>
        <w:rPr>
          <w:rFonts w:hint="eastAsia" w:ascii="宋体" w:hAnsi="宋体"/>
          <w:sz w:val="24"/>
          <w:highlight w:val="none"/>
        </w:rPr>
        <w:t>；承接企业为</w:t>
      </w:r>
      <w:r>
        <w:rPr>
          <w:rFonts w:hint="eastAsia" w:ascii="宋体" w:hAnsi="宋体"/>
          <w:sz w:val="24"/>
          <w:highlight w:val="none"/>
          <w:u w:val="single"/>
        </w:rPr>
        <w:t>（企业名称）</w:t>
      </w:r>
      <w:r>
        <w:rPr>
          <w:rFonts w:hint="eastAsia" w:ascii="宋体" w:hAnsi="宋体"/>
          <w:sz w:val="24"/>
          <w:highlight w:val="none"/>
        </w:rPr>
        <w:t>，从业人员</w:t>
      </w:r>
      <w:r>
        <w:rPr>
          <w:rFonts w:hint="eastAsia" w:ascii="宋体" w:hAnsi="宋体"/>
          <w:sz w:val="24"/>
          <w:highlight w:val="none"/>
          <w:u w:val="single"/>
        </w:rPr>
        <w:t xml:space="preserve">  </w:t>
      </w:r>
      <w:r>
        <w:rPr>
          <w:rFonts w:hint="eastAsia" w:ascii="宋体" w:hAnsi="宋体"/>
          <w:sz w:val="24"/>
          <w:highlight w:val="none"/>
        </w:rPr>
        <w:t>人，营业收入为</w:t>
      </w:r>
      <w:r>
        <w:rPr>
          <w:rFonts w:hint="eastAsia" w:ascii="宋体" w:hAnsi="宋体"/>
          <w:sz w:val="24"/>
          <w:highlight w:val="none"/>
          <w:u w:val="single"/>
        </w:rPr>
        <w:t xml:space="preserve">  </w:t>
      </w:r>
      <w:r>
        <w:rPr>
          <w:rFonts w:hint="eastAsia" w:ascii="宋体" w:hAnsi="宋体"/>
          <w:sz w:val="24"/>
          <w:highlight w:val="none"/>
        </w:rPr>
        <w:t>万元，资产总额为</w:t>
      </w:r>
      <w:r>
        <w:rPr>
          <w:rFonts w:hint="eastAsia" w:ascii="宋体" w:hAnsi="宋体"/>
          <w:sz w:val="24"/>
          <w:highlight w:val="none"/>
          <w:u w:val="single"/>
        </w:rPr>
        <w:t xml:space="preserve">  </w:t>
      </w:r>
      <w:r>
        <w:rPr>
          <w:rFonts w:hint="eastAsia" w:ascii="宋体" w:hAnsi="宋体"/>
          <w:sz w:val="24"/>
          <w:highlight w:val="none"/>
        </w:rPr>
        <w:t>万元，属于</w:t>
      </w:r>
      <w:r>
        <w:rPr>
          <w:rFonts w:hint="eastAsia" w:ascii="宋体" w:hAnsi="宋体"/>
          <w:sz w:val="24"/>
          <w:highlight w:val="none"/>
          <w:u w:val="single"/>
        </w:rPr>
        <w:t>（中型企业、小型企业、微型企业）</w:t>
      </w:r>
      <w:r>
        <w:rPr>
          <w:rFonts w:hint="eastAsia" w:ascii="宋体" w:hAnsi="宋体"/>
          <w:sz w:val="24"/>
          <w:highlight w:val="none"/>
        </w:rPr>
        <w:t>；</w:t>
      </w:r>
    </w:p>
    <w:p w14:paraId="666BA72B">
      <w:pPr>
        <w:pStyle w:val="3"/>
        <w:spacing w:before="34" w:line="500" w:lineRule="exact"/>
        <w:ind w:right="142" w:firstLine="705" w:firstLineChars="294"/>
        <w:rPr>
          <w:rFonts w:hint="eastAsia" w:ascii="宋体" w:hAnsi="宋体"/>
          <w:sz w:val="24"/>
          <w:highlight w:val="none"/>
        </w:rPr>
      </w:pPr>
      <w:r>
        <w:rPr>
          <w:rFonts w:hint="eastAsia" w:ascii="宋体" w:hAnsi="宋体"/>
          <w:sz w:val="24"/>
          <w:highlight w:val="none"/>
        </w:rPr>
        <w:t>……</w:t>
      </w:r>
    </w:p>
    <w:p w14:paraId="4AF91BB3">
      <w:pPr>
        <w:pStyle w:val="3"/>
        <w:spacing w:before="34" w:line="500" w:lineRule="exact"/>
        <w:ind w:right="142" w:firstLine="705" w:firstLineChars="294"/>
        <w:rPr>
          <w:rFonts w:hint="eastAsia" w:ascii="宋体" w:hAnsi="宋体"/>
          <w:sz w:val="24"/>
          <w:highlight w:val="none"/>
        </w:rPr>
      </w:pPr>
      <w:r>
        <w:rPr>
          <w:rFonts w:hint="eastAsia" w:ascii="宋体" w:hAnsi="宋体"/>
          <w:sz w:val="24"/>
          <w:highlight w:val="none"/>
        </w:rPr>
        <w:t>以上企业，不属于大企业的分支机构，不存在控股股东为大企业的情形，也不存在与大企业的负责人为同一人的情形。</w:t>
      </w:r>
    </w:p>
    <w:p w14:paraId="51A87E43">
      <w:pPr>
        <w:pStyle w:val="3"/>
        <w:spacing w:before="25" w:line="500" w:lineRule="exact"/>
        <w:ind w:right="142" w:firstLine="705" w:firstLineChars="294"/>
        <w:rPr>
          <w:rFonts w:hint="eastAsia" w:ascii="宋体" w:hAnsi="宋体"/>
          <w:sz w:val="24"/>
          <w:highlight w:val="none"/>
        </w:rPr>
      </w:pPr>
      <w:r>
        <w:rPr>
          <w:rFonts w:hint="eastAsia" w:ascii="宋体" w:hAnsi="宋体"/>
          <w:sz w:val="24"/>
          <w:highlight w:val="none"/>
        </w:rPr>
        <w:t>本企业对上述声明内容的真实性负责。如有虚假，将依法承担相应责任。</w:t>
      </w:r>
    </w:p>
    <w:p w14:paraId="4800C12F">
      <w:pPr>
        <w:pStyle w:val="3"/>
        <w:spacing w:before="56" w:line="500" w:lineRule="exact"/>
        <w:ind w:right="1808" w:firstLine="705" w:firstLineChars="294"/>
        <w:rPr>
          <w:rFonts w:hint="eastAsia" w:ascii="宋体" w:hAnsi="宋体"/>
          <w:sz w:val="24"/>
          <w:highlight w:val="none"/>
        </w:rPr>
      </w:pPr>
    </w:p>
    <w:p w14:paraId="5FFFF0AE">
      <w:pPr>
        <w:pStyle w:val="3"/>
        <w:spacing w:before="56" w:line="500" w:lineRule="exact"/>
        <w:ind w:right="650" w:firstLine="5625" w:firstLineChars="2344"/>
        <w:rPr>
          <w:rFonts w:hint="eastAsia" w:ascii="宋体" w:hAnsi="宋体"/>
          <w:sz w:val="24"/>
          <w:highlight w:val="none"/>
        </w:rPr>
      </w:pPr>
      <w:r>
        <w:rPr>
          <w:rFonts w:hint="eastAsia" w:ascii="宋体" w:hAnsi="宋体"/>
          <w:sz w:val="24"/>
          <w:highlight w:val="none"/>
        </w:rPr>
        <w:t>企业名称（章）：</w:t>
      </w:r>
    </w:p>
    <w:p w14:paraId="78C11D6C">
      <w:pPr>
        <w:pStyle w:val="3"/>
        <w:spacing w:before="56" w:line="500" w:lineRule="exact"/>
        <w:ind w:right="1808" w:firstLine="5625" w:firstLineChars="2344"/>
        <w:rPr>
          <w:rFonts w:hint="eastAsia" w:ascii="宋体" w:hAnsi="宋体"/>
          <w:sz w:val="24"/>
          <w:highlight w:val="none"/>
        </w:rPr>
      </w:pPr>
      <w:r>
        <w:rPr>
          <w:rFonts w:hint="eastAsia" w:ascii="宋体" w:hAnsi="宋体"/>
          <w:sz w:val="24"/>
          <w:highlight w:val="none"/>
        </w:rPr>
        <w:t>日期：</w:t>
      </w:r>
    </w:p>
    <w:p w14:paraId="2392ACC0">
      <w:pPr>
        <w:spacing w:line="520" w:lineRule="exact"/>
        <w:jc w:val="left"/>
        <w:rPr>
          <w:rFonts w:hint="eastAsia" w:ascii="宋体" w:hAnsi="宋体" w:cs="仿宋_GB2312"/>
          <w:sz w:val="24"/>
          <w:highlight w:val="none"/>
        </w:rPr>
      </w:pPr>
      <w:r>
        <w:rPr>
          <w:rFonts w:hint="eastAsia" w:ascii="宋体" w:hAnsi="宋体" w:cs="仿宋_GB2312"/>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4CFA069C">
      <w:pPr>
        <w:spacing w:line="520" w:lineRule="exact"/>
        <w:jc w:val="center"/>
        <w:rPr>
          <w:rFonts w:hint="eastAsia" w:ascii="仿宋_GB2312" w:hAnsi="仿宋_GB2312" w:eastAsia="仿宋_GB2312" w:cs="仿宋_GB2312"/>
          <w:sz w:val="32"/>
          <w:szCs w:val="32"/>
          <w:highlight w:val="none"/>
        </w:rPr>
      </w:pPr>
      <w:r>
        <w:rPr>
          <w:rFonts w:hint="eastAsia" w:ascii="宋体" w:hAnsi="宋体"/>
          <w:sz w:val="24"/>
          <w:highlight w:val="none"/>
        </w:rPr>
        <w:br w:type="page"/>
      </w:r>
      <w:r>
        <w:rPr>
          <w:rFonts w:hint="eastAsia" w:ascii="微软雅黑" w:hAnsi="微软雅黑" w:eastAsia="微软雅黑" w:cs="微软雅黑"/>
          <w:sz w:val="44"/>
          <w:szCs w:val="44"/>
          <w:highlight w:val="none"/>
        </w:rPr>
        <w:t>残疾人福利性单位声明函</w:t>
      </w:r>
    </w:p>
    <w:p w14:paraId="2EDC65BD">
      <w:pPr>
        <w:spacing w:line="360" w:lineRule="auto"/>
        <w:rPr>
          <w:rFonts w:hint="eastAsia" w:ascii="仿宋_GB2312" w:hAnsi="仿宋_GB2312" w:eastAsia="仿宋_GB2312" w:cs="仿宋_GB2312"/>
          <w:sz w:val="32"/>
          <w:szCs w:val="32"/>
          <w:highlight w:val="none"/>
        </w:rPr>
      </w:pPr>
    </w:p>
    <w:p w14:paraId="5837E00C">
      <w:pPr>
        <w:spacing w:line="360" w:lineRule="auto"/>
        <w:ind w:firstLine="480" w:firstLineChars="200"/>
        <w:rPr>
          <w:rFonts w:hint="eastAsia" w:ascii="宋体" w:hAnsi="宋体" w:cs="仿宋_GB2312"/>
          <w:sz w:val="24"/>
          <w:highlight w:val="none"/>
        </w:rPr>
      </w:pPr>
      <w:r>
        <w:rPr>
          <w:rFonts w:hint="eastAsia" w:ascii="宋体" w:hAnsi="宋体" w:cs="仿宋_GB2312"/>
          <w:sz w:val="24"/>
          <w:highlight w:val="none"/>
        </w:rPr>
        <w:t>本单位郑重声明，根据《财政部民政部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729B04C6">
      <w:pPr>
        <w:spacing w:line="360" w:lineRule="auto"/>
        <w:ind w:firstLine="480" w:firstLineChars="200"/>
        <w:rPr>
          <w:rFonts w:hint="eastAsia" w:ascii="宋体" w:hAnsi="宋体" w:cs="仿宋_GB2312"/>
          <w:sz w:val="24"/>
          <w:highlight w:val="none"/>
        </w:rPr>
      </w:pPr>
      <w:r>
        <w:rPr>
          <w:rFonts w:hint="eastAsia" w:ascii="宋体" w:hAnsi="宋体" w:cs="仿宋_GB2312"/>
          <w:sz w:val="24"/>
          <w:highlight w:val="none"/>
        </w:rPr>
        <w:t>本单位对上述声明的真实性负责。如有虚假，将依法承担相应责任。</w:t>
      </w:r>
    </w:p>
    <w:p w14:paraId="401306A8">
      <w:pPr>
        <w:spacing w:line="360" w:lineRule="auto"/>
        <w:rPr>
          <w:rFonts w:hint="eastAsia" w:ascii="宋体" w:hAnsi="宋体" w:cs="仿宋_GB2312"/>
          <w:sz w:val="24"/>
          <w:highlight w:val="none"/>
        </w:rPr>
      </w:pPr>
    </w:p>
    <w:p w14:paraId="34F33612">
      <w:pPr>
        <w:spacing w:line="360" w:lineRule="auto"/>
        <w:rPr>
          <w:rFonts w:hint="eastAsia" w:ascii="宋体" w:hAnsi="宋体" w:cs="仿宋_GB2312"/>
          <w:sz w:val="24"/>
          <w:highlight w:val="none"/>
        </w:rPr>
      </w:pPr>
    </w:p>
    <w:p w14:paraId="716E1E9D">
      <w:pPr>
        <w:spacing w:line="360" w:lineRule="auto"/>
        <w:rPr>
          <w:rFonts w:hint="eastAsia" w:ascii="宋体" w:hAnsi="宋体" w:cs="仿宋_GB2312"/>
          <w:sz w:val="24"/>
          <w:highlight w:val="none"/>
        </w:rPr>
      </w:pPr>
    </w:p>
    <w:p w14:paraId="28995137">
      <w:pPr>
        <w:spacing w:line="360" w:lineRule="auto"/>
        <w:ind w:firstLine="2400" w:firstLineChars="1000"/>
        <w:rPr>
          <w:rFonts w:hint="eastAsia" w:ascii="宋体" w:hAnsi="宋体" w:cs="仿宋_GB2312"/>
          <w:sz w:val="24"/>
          <w:highlight w:val="none"/>
        </w:rPr>
      </w:pPr>
      <w:r>
        <w:rPr>
          <w:rFonts w:hint="eastAsia" w:ascii="宋体" w:hAnsi="宋体" w:cs="仿宋_GB2312"/>
          <w:sz w:val="24"/>
          <w:highlight w:val="none"/>
        </w:rPr>
        <w:t>单位名称（盖章）：</w:t>
      </w:r>
    </w:p>
    <w:p w14:paraId="1CCD7F47">
      <w:pPr>
        <w:spacing w:line="360" w:lineRule="auto"/>
        <w:ind w:firstLine="3600" w:firstLineChars="1500"/>
        <w:rPr>
          <w:rFonts w:hint="eastAsia" w:ascii="宋体" w:hAnsi="宋体" w:cs="仿宋_GB2312"/>
          <w:sz w:val="24"/>
          <w:highlight w:val="none"/>
        </w:rPr>
      </w:pPr>
      <w:r>
        <w:rPr>
          <w:rFonts w:hint="eastAsia" w:ascii="宋体" w:hAnsi="宋体" w:cs="仿宋_GB2312"/>
          <w:sz w:val="24"/>
          <w:highlight w:val="none"/>
        </w:rPr>
        <w:t>日期：</w:t>
      </w:r>
    </w:p>
    <w:p w14:paraId="12988789">
      <w:pPr>
        <w:spacing w:line="360" w:lineRule="auto"/>
        <w:rPr>
          <w:rFonts w:hint="eastAsia" w:ascii="宋体" w:hAnsi="宋体" w:cs="仿宋_GB2312"/>
          <w:sz w:val="24"/>
          <w:highlight w:val="none"/>
        </w:rPr>
      </w:pPr>
    </w:p>
    <w:p w14:paraId="009443DA">
      <w:pPr>
        <w:spacing w:line="360" w:lineRule="auto"/>
        <w:rPr>
          <w:rFonts w:hint="eastAsia" w:ascii="宋体" w:hAnsi="宋体" w:cs="仿宋_GB2312"/>
          <w:sz w:val="24"/>
          <w:highlight w:val="none"/>
        </w:rPr>
      </w:pPr>
    </w:p>
    <w:p w14:paraId="52FBB4B2">
      <w:pPr>
        <w:spacing w:line="360" w:lineRule="auto"/>
        <w:rPr>
          <w:rFonts w:hint="eastAsia" w:ascii="宋体" w:hAnsi="宋体" w:cs="仿宋_GB2312"/>
          <w:sz w:val="24"/>
          <w:highlight w:val="none"/>
        </w:rPr>
      </w:pPr>
    </w:p>
    <w:p w14:paraId="1D4FFAD7">
      <w:pPr>
        <w:spacing w:line="360" w:lineRule="auto"/>
        <w:rPr>
          <w:rFonts w:hint="eastAsia" w:ascii="宋体" w:hAnsi="宋体" w:cs="仿宋_GB2312"/>
          <w:sz w:val="24"/>
          <w:highlight w:val="none"/>
        </w:rPr>
      </w:pPr>
      <w:r>
        <w:rPr>
          <w:rFonts w:hint="eastAsia" w:ascii="宋体" w:hAnsi="宋体" w:cs="仿宋_GB2312"/>
          <w:sz w:val="24"/>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2056D7CF">
      <w:pPr>
        <w:spacing w:line="360" w:lineRule="auto"/>
        <w:ind w:right="420"/>
        <w:contextualSpacing/>
        <w:jc w:val="left"/>
        <w:rPr>
          <w:rFonts w:hint="eastAsia" w:ascii="宋体" w:hAnsi="宋体"/>
          <w:b/>
          <w:bCs/>
          <w:sz w:val="32"/>
          <w:szCs w:val="32"/>
          <w:highlight w:val="none"/>
        </w:rPr>
      </w:pPr>
    </w:p>
    <w:p w14:paraId="3EA1E189">
      <w:pPr>
        <w:spacing w:line="360" w:lineRule="auto"/>
        <w:ind w:right="420"/>
        <w:contextualSpacing/>
        <w:jc w:val="left"/>
        <w:rPr>
          <w:rFonts w:hint="eastAsia" w:ascii="宋体" w:hAnsi="宋体"/>
          <w:b/>
          <w:bCs/>
          <w:sz w:val="32"/>
          <w:szCs w:val="32"/>
          <w:highlight w:val="none"/>
        </w:rPr>
      </w:pPr>
    </w:p>
    <w:p w14:paraId="63562D98">
      <w:pPr>
        <w:pStyle w:val="33"/>
        <w:ind w:firstLine="480"/>
        <w:rPr>
          <w:highlight w:val="none"/>
        </w:rPr>
      </w:pPr>
    </w:p>
    <w:p w14:paraId="7C1FFE7A">
      <w:pPr>
        <w:rPr>
          <w:highlight w:val="none"/>
        </w:rPr>
      </w:pPr>
    </w:p>
    <w:p w14:paraId="72727B7D">
      <w:pPr>
        <w:pStyle w:val="33"/>
        <w:ind w:firstLine="480"/>
        <w:rPr>
          <w:highlight w:val="none"/>
        </w:rPr>
      </w:pPr>
    </w:p>
    <w:p w14:paraId="2CF85D47">
      <w:pPr>
        <w:rPr>
          <w:highlight w:val="none"/>
        </w:rPr>
      </w:pPr>
    </w:p>
    <w:p w14:paraId="4F1F31CD">
      <w:pPr>
        <w:pStyle w:val="33"/>
        <w:ind w:firstLine="480"/>
        <w:rPr>
          <w:highlight w:val="none"/>
        </w:rPr>
      </w:pPr>
    </w:p>
    <w:p w14:paraId="7AC66A79">
      <w:pPr>
        <w:rPr>
          <w:highlight w:val="none"/>
        </w:rPr>
      </w:pPr>
    </w:p>
    <w:p w14:paraId="28EF9E77">
      <w:pPr>
        <w:pStyle w:val="33"/>
        <w:ind w:firstLine="480"/>
        <w:rPr>
          <w:highlight w:val="none"/>
        </w:rPr>
      </w:pPr>
    </w:p>
    <w:p w14:paraId="0B9F1479">
      <w:pPr>
        <w:rPr>
          <w:highlight w:val="none"/>
        </w:rPr>
      </w:pPr>
    </w:p>
    <w:p w14:paraId="70E1263E">
      <w:pPr>
        <w:spacing w:line="360" w:lineRule="auto"/>
        <w:ind w:right="420"/>
        <w:contextualSpacing/>
        <w:jc w:val="left"/>
        <w:rPr>
          <w:rFonts w:hint="eastAsia" w:ascii="宋体" w:hAnsi="宋体"/>
          <w:b/>
          <w:bCs/>
          <w:sz w:val="32"/>
          <w:szCs w:val="32"/>
          <w:highlight w:val="none"/>
        </w:rPr>
      </w:pPr>
    </w:p>
    <w:p w14:paraId="088512E3">
      <w:pPr>
        <w:spacing w:line="360" w:lineRule="auto"/>
        <w:ind w:right="420"/>
        <w:contextualSpacing/>
        <w:jc w:val="left"/>
        <w:rPr>
          <w:rFonts w:hint="eastAsia" w:ascii="宋体" w:hAnsi="宋体"/>
          <w:b/>
          <w:sz w:val="32"/>
          <w:szCs w:val="32"/>
          <w:highlight w:val="none"/>
        </w:rPr>
      </w:pPr>
      <w:r>
        <w:rPr>
          <w:rFonts w:hint="eastAsia" w:ascii="宋体" w:hAnsi="宋体"/>
          <w:b/>
          <w:bCs/>
          <w:sz w:val="32"/>
          <w:szCs w:val="32"/>
          <w:highlight w:val="none"/>
        </w:rPr>
        <w:t>二、</w:t>
      </w:r>
      <w:r>
        <w:rPr>
          <w:rFonts w:hint="eastAsia" w:ascii="宋体" w:hAnsi="宋体"/>
          <w:b/>
          <w:sz w:val="32"/>
          <w:szCs w:val="32"/>
          <w:highlight w:val="none"/>
        </w:rPr>
        <w:t>报价文件格式</w:t>
      </w:r>
    </w:p>
    <w:p w14:paraId="74323367">
      <w:pPr>
        <w:snapToGrid w:val="0"/>
        <w:spacing w:before="156" w:beforeLines="50" w:after="50" w:line="360" w:lineRule="auto"/>
        <w:jc w:val="left"/>
        <w:rPr>
          <w:rFonts w:hint="eastAsia" w:ascii="宋体" w:hAnsi="宋体"/>
          <w:b/>
          <w:sz w:val="32"/>
          <w:szCs w:val="32"/>
          <w:highlight w:val="none"/>
        </w:rPr>
      </w:pPr>
      <w:r>
        <w:rPr>
          <w:rFonts w:hint="eastAsia" w:ascii="宋体" w:hAnsi="宋体"/>
          <w:b/>
          <w:sz w:val="32"/>
          <w:szCs w:val="32"/>
          <w:highlight w:val="none"/>
        </w:rPr>
        <w:t>1.报价文件封面格式</w:t>
      </w:r>
    </w:p>
    <w:p w14:paraId="44EAE550">
      <w:pPr>
        <w:snapToGrid w:val="0"/>
        <w:spacing w:before="156" w:beforeLines="50" w:after="50"/>
        <w:rPr>
          <w:rFonts w:hint="eastAsia" w:ascii="宋体" w:hAnsi="宋体"/>
          <w:bCs/>
          <w:sz w:val="32"/>
          <w:szCs w:val="20"/>
          <w:highlight w:val="none"/>
        </w:rPr>
      </w:pPr>
    </w:p>
    <w:p w14:paraId="026C0150">
      <w:pPr>
        <w:snapToGrid w:val="0"/>
        <w:spacing w:before="156" w:beforeLines="50" w:after="50"/>
        <w:jc w:val="center"/>
        <w:rPr>
          <w:rFonts w:hint="eastAsia" w:ascii="宋体" w:hAnsi="宋体"/>
          <w:sz w:val="24"/>
          <w:szCs w:val="20"/>
          <w:highlight w:val="none"/>
        </w:rPr>
      </w:pPr>
      <w:r>
        <w:rPr>
          <w:rFonts w:hint="eastAsia" w:ascii="宋体" w:hAnsi="宋体"/>
          <w:sz w:val="44"/>
          <w:szCs w:val="44"/>
          <w:highlight w:val="none"/>
        </w:rPr>
        <w:t>电子响应文件</w:t>
      </w:r>
    </w:p>
    <w:p w14:paraId="047B05F9">
      <w:pPr>
        <w:snapToGrid w:val="0"/>
        <w:spacing w:before="156" w:beforeLines="50" w:after="50"/>
        <w:rPr>
          <w:rFonts w:hint="eastAsia" w:ascii="宋体" w:hAnsi="宋体"/>
          <w:sz w:val="24"/>
          <w:szCs w:val="20"/>
          <w:highlight w:val="none"/>
        </w:rPr>
      </w:pPr>
    </w:p>
    <w:p w14:paraId="7EA0E5DE">
      <w:pPr>
        <w:snapToGrid w:val="0"/>
        <w:spacing w:before="156" w:beforeLines="50" w:after="50"/>
        <w:rPr>
          <w:rFonts w:hint="eastAsia" w:ascii="宋体" w:hAnsi="宋体"/>
          <w:sz w:val="24"/>
          <w:szCs w:val="20"/>
          <w:highlight w:val="none"/>
        </w:rPr>
      </w:pPr>
    </w:p>
    <w:p w14:paraId="7D9F6042">
      <w:pPr>
        <w:snapToGrid w:val="0"/>
        <w:spacing w:before="156" w:beforeLines="50" w:after="50"/>
        <w:jc w:val="center"/>
        <w:rPr>
          <w:rFonts w:hint="eastAsia" w:ascii="微软雅黑" w:hAnsi="微软雅黑" w:eastAsia="微软雅黑" w:cs="微软雅黑"/>
          <w:bCs/>
          <w:sz w:val="44"/>
          <w:szCs w:val="44"/>
          <w:highlight w:val="none"/>
        </w:rPr>
      </w:pPr>
      <w:r>
        <w:rPr>
          <w:rFonts w:hint="eastAsia" w:ascii="微软雅黑" w:hAnsi="微软雅黑" w:eastAsia="微软雅黑" w:cs="微软雅黑"/>
          <w:bCs/>
          <w:sz w:val="44"/>
          <w:szCs w:val="44"/>
          <w:highlight w:val="none"/>
        </w:rPr>
        <w:t>报价文件</w:t>
      </w:r>
    </w:p>
    <w:p w14:paraId="663CC72D">
      <w:pPr>
        <w:snapToGrid w:val="0"/>
        <w:spacing w:before="156" w:beforeLines="50" w:after="50"/>
        <w:rPr>
          <w:rFonts w:hint="eastAsia" w:ascii="宋体" w:hAnsi="宋体"/>
          <w:bCs/>
          <w:sz w:val="24"/>
          <w:szCs w:val="20"/>
          <w:highlight w:val="none"/>
        </w:rPr>
      </w:pPr>
    </w:p>
    <w:p w14:paraId="44B1E549">
      <w:pPr>
        <w:snapToGrid w:val="0"/>
        <w:spacing w:before="156" w:beforeLines="50" w:after="50"/>
        <w:rPr>
          <w:rFonts w:hint="eastAsia" w:ascii="宋体" w:hAnsi="宋体"/>
          <w:bCs/>
          <w:sz w:val="24"/>
          <w:szCs w:val="20"/>
          <w:highlight w:val="none"/>
        </w:rPr>
      </w:pPr>
    </w:p>
    <w:p w14:paraId="77B5F67C">
      <w:pPr>
        <w:snapToGrid w:val="0"/>
        <w:spacing w:before="156" w:beforeLines="50" w:after="50"/>
        <w:rPr>
          <w:rFonts w:hint="eastAsia" w:ascii="宋体" w:hAnsi="宋体"/>
          <w:bCs/>
          <w:sz w:val="24"/>
          <w:szCs w:val="20"/>
          <w:highlight w:val="none"/>
        </w:rPr>
      </w:pPr>
    </w:p>
    <w:p w14:paraId="1ABDF281">
      <w:pPr>
        <w:snapToGrid w:val="0"/>
        <w:spacing w:before="156" w:beforeLines="50" w:after="50"/>
        <w:rPr>
          <w:rFonts w:hint="eastAsia" w:ascii="宋体" w:hAnsi="宋体"/>
          <w:bCs/>
          <w:sz w:val="24"/>
          <w:szCs w:val="20"/>
          <w:highlight w:val="none"/>
        </w:rPr>
      </w:pPr>
    </w:p>
    <w:p w14:paraId="040CF14B">
      <w:pPr>
        <w:snapToGrid w:val="0"/>
        <w:spacing w:before="156" w:beforeLines="50" w:after="50"/>
        <w:rPr>
          <w:rFonts w:hint="eastAsia" w:ascii="宋体" w:hAnsi="宋体"/>
          <w:bCs/>
          <w:sz w:val="24"/>
          <w:szCs w:val="20"/>
          <w:highlight w:val="none"/>
        </w:rPr>
      </w:pPr>
    </w:p>
    <w:p w14:paraId="7F918716">
      <w:pPr>
        <w:snapToGrid w:val="0"/>
        <w:spacing w:before="156" w:beforeLines="50" w:after="50"/>
        <w:ind w:firstLine="640" w:firstLineChars="200"/>
        <w:rPr>
          <w:rFonts w:hint="eastAsia" w:ascii="宋体" w:hAnsi="宋体" w:cs="仿宋_GB2312"/>
          <w:bCs/>
          <w:sz w:val="32"/>
          <w:szCs w:val="32"/>
          <w:highlight w:val="none"/>
        </w:rPr>
      </w:pPr>
      <w:r>
        <w:rPr>
          <w:rFonts w:hint="eastAsia" w:ascii="宋体" w:hAnsi="宋体" w:cs="仿宋_GB2312"/>
          <w:bCs/>
          <w:sz w:val="32"/>
          <w:szCs w:val="32"/>
          <w:highlight w:val="none"/>
        </w:rPr>
        <w:t>项目名称：</w:t>
      </w:r>
    </w:p>
    <w:p w14:paraId="0CF843B7">
      <w:pPr>
        <w:snapToGrid w:val="0"/>
        <w:spacing w:before="156" w:beforeLines="50" w:after="50"/>
        <w:ind w:firstLine="720" w:firstLineChars="225"/>
        <w:rPr>
          <w:rFonts w:hint="eastAsia" w:ascii="宋体" w:hAnsi="宋体" w:cs="仿宋_GB2312"/>
          <w:bCs/>
          <w:sz w:val="32"/>
          <w:szCs w:val="32"/>
          <w:highlight w:val="none"/>
        </w:rPr>
      </w:pPr>
    </w:p>
    <w:p w14:paraId="2B4A8C8A">
      <w:pPr>
        <w:snapToGrid w:val="0"/>
        <w:spacing w:before="156" w:beforeLines="50" w:after="50"/>
        <w:ind w:firstLine="640" w:firstLineChars="200"/>
        <w:rPr>
          <w:rFonts w:hint="eastAsia" w:ascii="宋体" w:hAnsi="宋体" w:cs="仿宋_GB2312"/>
          <w:bCs/>
          <w:sz w:val="32"/>
          <w:szCs w:val="32"/>
          <w:highlight w:val="none"/>
        </w:rPr>
      </w:pPr>
      <w:r>
        <w:rPr>
          <w:rFonts w:hint="eastAsia" w:ascii="宋体" w:hAnsi="宋体" w:cs="仿宋_GB2312"/>
          <w:bCs/>
          <w:sz w:val="32"/>
          <w:szCs w:val="32"/>
          <w:highlight w:val="none"/>
        </w:rPr>
        <w:t>项目编号：</w:t>
      </w:r>
    </w:p>
    <w:p w14:paraId="65FE416E">
      <w:pPr>
        <w:snapToGrid w:val="0"/>
        <w:spacing w:before="156" w:beforeLines="50" w:after="50"/>
        <w:ind w:firstLine="720" w:firstLineChars="225"/>
        <w:rPr>
          <w:rFonts w:hint="eastAsia" w:ascii="宋体" w:hAnsi="宋体" w:cs="仿宋_GB2312"/>
          <w:bCs/>
          <w:sz w:val="32"/>
          <w:szCs w:val="32"/>
          <w:highlight w:val="none"/>
        </w:rPr>
      </w:pPr>
    </w:p>
    <w:p w14:paraId="6620F4BF">
      <w:pPr>
        <w:snapToGrid w:val="0"/>
        <w:spacing w:before="156" w:beforeLines="50" w:after="50"/>
        <w:ind w:firstLine="640" w:firstLineChars="200"/>
        <w:rPr>
          <w:rFonts w:hint="eastAsia" w:ascii="宋体" w:hAnsi="宋体" w:cs="仿宋_GB2312"/>
          <w:bCs/>
          <w:sz w:val="32"/>
          <w:szCs w:val="32"/>
          <w:highlight w:val="none"/>
        </w:rPr>
      </w:pPr>
      <w:r>
        <w:rPr>
          <w:rFonts w:hint="eastAsia" w:ascii="宋体" w:hAnsi="宋体" w:cs="仿宋_GB2312"/>
          <w:bCs/>
          <w:sz w:val="32"/>
          <w:szCs w:val="32"/>
          <w:highlight w:val="none"/>
        </w:rPr>
        <w:t>所竞分标（如有则填写，无分标时填写“无”或者留空）：</w:t>
      </w:r>
    </w:p>
    <w:p w14:paraId="195A30C9">
      <w:pPr>
        <w:snapToGrid w:val="0"/>
        <w:spacing w:before="156" w:beforeLines="50" w:after="50"/>
        <w:ind w:firstLine="720" w:firstLineChars="225"/>
        <w:rPr>
          <w:rFonts w:hint="eastAsia" w:ascii="宋体" w:hAnsi="宋体" w:cs="仿宋_GB2312"/>
          <w:bCs/>
          <w:sz w:val="32"/>
          <w:szCs w:val="32"/>
          <w:highlight w:val="none"/>
        </w:rPr>
      </w:pPr>
    </w:p>
    <w:p w14:paraId="340E49FD">
      <w:pPr>
        <w:pStyle w:val="9"/>
        <w:snapToGrid w:val="0"/>
        <w:spacing w:before="50" w:after="50"/>
        <w:ind w:firstLine="640" w:firstLineChars="200"/>
        <w:rPr>
          <w:rFonts w:hint="eastAsia" w:ascii="宋体" w:hAnsi="宋体" w:cs="仿宋_GB2312"/>
          <w:bCs/>
          <w:sz w:val="32"/>
          <w:szCs w:val="32"/>
          <w:highlight w:val="none"/>
        </w:rPr>
      </w:pPr>
      <w:r>
        <w:rPr>
          <w:rFonts w:hint="eastAsia" w:ascii="宋体" w:hAnsi="宋体" w:cs="仿宋_GB2312"/>
          <w:bCs/>
          <w:sz w:val="32"/>
          <w:szCs w:val="32"/>
          <w:highlight w:val="none"/>
        </w:rPr>
        <w:t>供应商名称：</w:t>
      </w:r>
    </w:p>
    <w:p w14:paraId="233946E1">
      <w:pPr>
        <w:pStyle w:val="9"/>
        <w:snapToGrid w:val="0"/>
        <w:spacing w:before="50" w:after="50"/>
        <w:ind w:firstLine="640" w:firstLineChars="200"/>
        <w:rPr>
          <w:rFonts w:hint="eastAsia" w:ascii="宋体" w:hAnsi="宋体" w:cs="仿宋_GB2312"/>
          <w:bCs/>
          <w:sz w:val="32"/>
          <w:szCs w:val="32"/>
          <w:highlight w:val="none"/>
        </w:rPr>
      </w:pPr>
    </w:p>
    <w:p w14:paraId="6760E2A7">
      <w:pPr>
        <w:pStyle w:val="9"/>
        <w:snapToGrid w:val="0"/>
        <w:spacing w:before="50" w:after="50"/>
        <w:ind w:firstLine="720" w:firstLineChars="225"/>
        <w:rPr>
          <w:rFonts w:hint="eastAsia" w:ascii="宋体" w:hAnsi="宋体" w:cs="仿宋_GB2312"/>
          <w:bCs/>
          <w:sz w:val="32"/>
          <w:szCs w:val="32"/>
          <w:highlight w:val="none"/>
        </w:rPr>
      </w:pPr>
    </w:p>
    <w:p w14:paraId="0AE4145C">
      <w:pPr>
        <w:pStyle w:val="9"/>
        <w:snapToGrid w:val="0"/>
        <w:spacing w:before="50" w:after="50"/>
        <w:ind w:firstLine="0"/>
        <w:rPr>
          <w:rFonts w:hint="eastAsia" w:ascii="宋体" w:hAnsi="宋体" w:cs="仿宋_GB2312"/>
          <w:bCs/>
          <w:sz w:val="32"/>
          <w:szCs w:val="32"/>
          <w:highlight w:val="none"/>
        </w:rPr>
      </w:pPr>
    </w:p>
    <w:p w14:paraId="6AEDD247">
      <w:pPr>
        <w:pStyle w:val="9"/>
        <w:snapToGrid w:val="0"/>
        <w:spacing w:before="50" w:after="50"/>
        <w:ind w:firstLine="1280" w:firstLineChars="400"/>
        <w:rPr>
          <w:rFonts w:hint="eastAsia" w:ascii="宋体" w:hAnsi="宋体" w:cs="仿宋_GB2312"/>
          <w:bCs/>
          <w:sz w:val="32"/>
          <w:szCs w:val="32"/>
          <w:highlight w:val="none"/>
        </w:rPr>
      </w:pPr>
    </w:p>
    <w:p w14:paraId="40A8EB39">
      <w:pPr>
        <w:snapToGrid w:val="0"/>
        <w:spacing w:before="156" w:beforeLines="50" w:after="50"/>
        <w:jc w:val="center"/>
        <w:rPr>
          <w:rFonts w:hint="eastAsia" w:ascii="宋体" w:hAnsi="宋体" w:cs="仿宋_GB2312"/>
          <w:sz w:val="32"/>
          <w:szCs w:val="32"/>
          <w:highlight w:val="none"/>
        </w:rPr>
      </w:pPr>
      <w:r>
        <w:rPr>
          <w:rFonts w:hint="eastAsia" w:ascii="宋体" w:hAnsi="宋体" w:cs="仿宋_GB2312"/>
          <w:sz w:val="32"/>
          <w:szCs w:val="32"/>
          <w:highlight w:val="none"/>
        </w:rPr>
        <w:t>年月日</w:t>
      </w:r>
    </w:p>
    <w:p w14:paraId="2B54C63F">
      <w:pPr>
        <w:snapToGrid w:val="0"/>
        <w:spacing w:before="156" w:beforeLines="50" w:after="50" w:line="360" w:lineRule="auto"/>
        <w:ind w:left="142"/>
        <w:jc w:val="left"/>
        <w:rPr>
          <w:rFonts w:hint="eastAsia" w:ascii="宋体" w:hAnsi="宋体"/>
          <w:b/>
          <w:bCs/>
          <w:sz w:val="24"/>
          <w:highlight w:val="none"/>
        </w:rPr>
      </w:pPr>
      <w:r>
        <w:rPr>
          <w:rFonts w:hint="eastAsia" w:ascii="宋体" w:hAnsi="宋体"/>
          <w:szCs w:val="21"/>
          <w:highlight w:val="none"/>
        </w:rPr>
        <w:br w:type="page"/>
      </w:r>
      <w:r>
        <w:rPr>
          <w:rFonts w:hint="eastAsia" w:ascii="宋体" w:hAnsi="宋体"/>
          <w:b/>
          <w:bCs/>
          <w:sz w:val="32"/>
          <w:szCs w:val="32"/>
          <w:highlight w:val="none"/>
        </w:rPr>
        <w:t>2.报价文件目录</w:t>
      </w:r>
    </w:p>
    <w:p w14:paraId="6E461EDF">
      <w:pPr>
        <w:pStyle w:val="15"/>
        <w:spacing w:line="500" w:lineRule="exact"/>
        <w:jc w:val="center"/>
        <w:rPr>
          <w:rFonts w:hint="eastAsia" w:ascii="微软雅黑" w:hAnsi="微软雅黑" w:eastAsia="微软雅黑" w:cs="微软雅黑"/>
          <w:bCs/>
          <w:kern w:val="2"/>
          <w:sz w:val="44"/>
          <w:szCs w:val="44"/>
          <w:highlight w:val="none"/>
        </w:rPr>
      </w:pPr>
      <w:r>
        <w:rPr>
          <w:rFonts w:hint="eastAsia" w:hAnsi="宋体"/>
          <w:sz w:val="32"/>
          <w:szCs w:val="32"/>
          <w:highlight w:val="none"/>
        </w:rPr>
        <w:t>根据磋商文件规定及供应商提供的材料自行编写目录（部分格式后附）。</w:t>
      </w:r>
      <w:r>
        <w:rPr>
          <w:rFonts w:hAnsi="宋体"/>
          <w:b/>
          <w:bCs/>
          <w:sz w:val="32"/>
          <w:szCs w:val="32"/>
          <w:highlight w:val="none"/>
        </w:rPr>
        <w:br w:type="page"/>
      </w:r>
      <w:r>
        <w:rPr>
          <w:rFonts w:hint="eastAsia" w:ascii="微软雅黑" w:hAnsi="微软雅黑" w:eastAsia="微软雅黑" w:cs="微软雅黑"/>
          <w:bCs/>
          <w:kern w:val="2"/>
          <w:sz w:val="44"/>
          <w:szCs w:val="44"/>
          <w:highlight w:val="none"/>
        </w:rPr>
        <w:t>响应函</w:t>
      </w:r>
    </w:p>
    <w:p w14:paraId="131B55DD">
      <w:pPr>
        <w:pStyle w:val="15"/>
        <w:spacing w:line="500" w:lineRule="exact"/>
        <w:rPr>
          <w:rFonts w:hint="eastAsia" w:hAnsi="宋体" w:cs="宋体"/>
          <w:sz w:val="32"/>
          <w:highlight w:val="none"/>
        </w:rPr>
      </w:pPr>
    </w:p>
    <w:p w14:paraId="1AB9B4B6">
      <w:pPr>
        <w:spacing w:line="360" w:lineRule="auto"/>
        <w:contextualSpacing/>
        <w:jc w:val="left"/>
        <w:rPr>
          <w:rFonts w:hint="eastAsia" w:ascii="宋体" w:hAnsi="宋体" w:cs="宋体"/>
          <w:sz w:val="24"/>
          <w:highlight w:val="none"/>
        </w:rPr>
      </w:pPr>
      <w:r>
        <w:rPr>
          <w:rFonts w:hint="eastAsia" w:ascii="宋体" w:hAnsi="宋体" w:cs="宋体"/>
          <w:sz w:val="24"/>
          <w:highlight w:val="none"/>
        </w:rPr>
        <w:t>致：</w:t>
      </w:r>
      <w:r>
        <w:rPr>
          <w:rFonts w:hint="eastAsia" w:ascii="宋体" w:hAnsi="宋体" w:cs="宋体"/>
          <w:sz w:val="24"/>
          <w:highlight w:val="none"/>
          <w:u w:val="single"/>
        </w:rPr>
        <w:t xml:space="preserve"> [采购组织机构]：</w:t>
      </w:r>
    </w:p>
    <w:p w14:paraId="61567126">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我方已仔细阅读了贵方组织的</w:t>
      </w:r>
      <w:r>
        <w:rPr>
          <w:rFonts w:hint="eastAsia" w:ascii="宋体" w:hAnsi="宋体" w:cs="宋体"/>
          <w:sz w:val="24"/>
          <w:highlight w:val="none"/>
          <w:u w:val="single"/>
        </w:rPr>
        <w:t xml:space="preserve"> [项目名称] </w:t>
      </w:r>
      <w:r>
        <w:rPr>
          <w:rFonts w:hint="eastAsia" w:ascii="宋体" w:hAnsi="宋体" w:cs="宋体"/>
          <w:sz w:val="24"/>
          <w:highlight w:val="none"/>
        </w:rPr>
        <w:t>项目</w:t>
      </w:r>
      <w:r>
        <w:rPr>
          <w:rFonts w:hint="eastAsia" w:ascii="宋体" w:hAnsi="宋体" w:cs="宋体"/>
          <w:sz w:val="24"/>
          <w:highlight w:val="none"/>
          <w:u w:val="single"/>
        </w:rPr>
        <w:t>（项目编号）</w:t>
      </w:r>
      <w:r>
        <w:rPr>
          <w:rFonts w:hint="eastAsia" w:ascii="宋体" w:hAnsi="宋体" w:cs="宋体"/>
          <w:sz w:val="24"/>
          <w:highlight w:val="none"/>
        </w:rPr>
        <w:t>的竞争性磋商采购文件的全部内容，现正式递交下述文件参加贵方组织的本次政府采购活动：</w:t>
      </w:r>
    </w:p>
    <w:p w14:paraId="4C3FA023">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一、报价文件电子版</w:t>
      </w:r>
      <w:r>
        <w:rPr>
          <w:rFonts w:hint="eastAsia" w:ascii="宋体" w:hAnsi="宋体" w:cs="宋体"/>
          <w:sz w:val="24"/>
          <w:highlight w:val="none"/>
          <w:u w:val="single"/>
        </w:rPr>
        <w:t xml:space="preserve">  </w:t>
      </w:r>
      <w:r>
        <w:rPr>
          <w:rFonts w:hint="eastAsia" w:ascii="宋体" w:hAnsi="宋体" w:cs="宋体"/>
          <w:sz w:val="24"/>
          <w:highlight w:val="none"/>
        </w:rPr>
        <w:t>份（包含按“第二章 供应商须知”提交的全部文件）；</w:t>
      </w:r>
    </w:p>
    <w:p w14:paraId="3FEF36AE">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二、技术文件电子版</w:t>
      </w:r>
      <w:r>
        <w:rPr>
          <w:rFonts w:hint="eastAsia" w:ascii="宋体" w:hAnsi="宋体" w:cs="宋体"/>
          <w:sz w:val="24"/>
          <w:highlight w:val="none"/>
          <w:u w:val="single"/>
        </w:rPr>
        <w:t xml:space="preserve">  </w:t>
      </w:r>
      <w:r>
        <w:rPr>
          <w:rFonts w:hint="eastAsia" w:ascii="宋体" w:hAnsi="宋体" w:cs="宋体"/>
          <w:sz w:val="24"/>
          <w:highlight w:val="none"/>
        </w:rPr>
        <w:t>份（包含按“第二章 供应商须知”提交的全部文件）；商务文件电子版</w:t>
      </w:r>
      <w:r>
        <w:rPr>
          <w:rFonts w:hint="eastAsia" w:ascii="宋体" w:hAnsi="宋体" w:cs="宋体"/>
          <w:sz w:val="24"/>
          <w:highlight w:val="none"/>
          <w:u w:val="single"/>
        </w:rPr>
        <w:t xml:space="preserve">  </w:t>
      </w:r>
      <w:r>
        <w:rPr>
          <w:rFonts w:hint="eastAsia" w:ascii="宋体" w:hAnsi="宋体" w:cs="宋体"/>
          <w:sz w:val="24"/>
          <w:highlight w:val="none"/>
        </w:rPr>
        <w:t>份（包含按“第二章 供应商须知”提交的全部文件）；（商务技术文件已合并装订成册）</w:t>
      </w:r>
    </w:p>
    <w:p w14:paraId="5711947D">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三、资格证明文件电子版（包含按“第二章供应商须知”提交的全部文件）；</w:t>
      </w:r>
    </w:p>
    <w:p w14:paraId="587A7319">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据此函，签字人兹宣布：</w:t>
      </w:r>
    </w:p>
    <w:p w14:paraId="6C9E714D">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1、我方愿意以</w:t>
      </w:r>
      <w:r>
        <w:rPr>
          <w:rFonts w:hint="eastAsia" w:ascii="宋体" w:hAnsi="宋体" w:cs="宋体"/>
          <w:sz w:val="24"/>
          <w:highlight w:val="none"/>
          <w:u w:val="single"/>
        </w:rPr>
        <w:t xml:space="preserve">      </w:t>
      </w:r>
      <w:r>
        <w:rPr>
          <w:rFonts w:hint="eastAsia" w:ascii="宋体" w:hAnsi="宋体" w:cs="宋体"/>
          <w:sz w:val="24"/>
          <w:highlight w:val="none"/>
        </w:rPr>
        <w:t>的竞标报价，提供本项目竞争性磋商采购文件第三章“采购需求”中相应的采购内容：</w:t>
      </w:r>
    </w:p>
    <w:p w14:paraId="156D9468">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2、我方同意自本项目竞争性磋商采购文件采购公告规定的递交响应文件截止时间起遵循本响应函，并承诺在“第二章 供应商须知”规定的响应有效期内不修改、撤销响应文件。</w:t>
      </w:r>
    </w:p>
    <w:p w14:paraId="27E30FF5">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3、我方在此声明，所递交的响应文件及有关资料内容完整、真实和准确。</w:t>
      </w:r>
    </w:p>
    <w:p w14:paraId="4CE7E9FE">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4、如本项目采购内容涉及须符合国家强制规定的，我方承诺我方本次竞标均符合国家有关强制规定。</w:t>
      </w:r>
    </w:p>
    <w:p w14:paraId="780893C1">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5、如我方成交，我方承诺在收到成交通知书后，在成交通知书规定的期限内，根据竞争性磋商采购文件、我方的响应文件及有关澄清承诺书的要求按第六章“合同文本”与采购人订立书面合同，并按照合同约定承担完成合同的责任和义务。</w:t>
      </w:r>
    </w:p>
    <w:p w14:paraId="7C19552F">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6、我方已详细审核竞争性磋商采购文件，我方知道必须放弃提出含糊不清或误解问题的权利。</w:t>
      </w:r>
    </w:p>
    <w:p w14:paraId="72E5F8DD">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7、我方承诺满足竞争性磋商采购文件第六章“合同文本”的条款，承担完成合同的责任和义务。</w:t>
      </w:r>
    </w:p>
    <w:p w14:paraId="7B891BCF">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8、我方同意应贵方要求提供与本竞标有关的任何数据或资料。若贵方需要，我方愿意提供我方作出的一切承诺的证明材料。</w:t>
      </w:r>
    </w:p>
    <w:p w14:paraId="55FCD932">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9、我方完全理解贵方不一定接受响应报价最低的竞标人为成交供应商的行为。</w:t>
      </w:r>
    </w:p>
    <w:p w14:paraId="60253CE3">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10、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0F9DB59F">
      <w:pPr>
        <w:spacing w:line="360" w:lineRule="auto"/>
        <w:ind w:firstLine="480" w:firstLineChars="200"/>
        <w:contextualSpacing/>
        <w:rPr>
          <w:rFonts w:hint="eastAsia" w:ascii="宋体" w:hAnsi="宋体" w:cs="宋体"/>
          <w:sz w:val="24"/>
          <w:highlight w:val="none"/>
        </w:rPr>
      </w:pPr>
    </w:p>
    <w:p w14:paraId="304D507B">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（1） 提供虚假材料谋取中标、成交的；</w:t>
      </w:r>
    </w:p>
    <w:p w14:paraId="21154F9C">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（1） 采取不正当手段诋毁、排挤其他供应商的；</w:t>
      </w:r>
    </w:p>
    <w:p w14:paraId="499BCDBE">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（2） 与采购人、其他供应商或者采购代理机构恶意串通的；</w:t>
      </w:r>
    </w:p>
    <w:p w14:paraId="7930C318">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（3） 向采购人、采购代理机构行贿或者提供其他不正当利益的；</w:t>
      </w:r>
    </w:p>
    <w:p w14:paraId="5EB95E16">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（4） 在采购过程中与采购人进行协商磋商的；</w:t>
      </w:r>
    </w:p>
    <w:p w14:paraId="085B6144">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（5） 拒绝有关部门监督检查或提供虚假情况的。</w:t>
      </w:r>
    </w:p>
    <w:p w14:paraId="34AF1711">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11.与本磋商有关的一切正式往来信函请寄：</w:t>
      </w:r>
    </w:p>
    <w:p w14:paraId="3C14A4D8">
      <w:pPr>
        <w:pStyle w:val="15"/>
        <w:spacing w:line="360" w:lineRule="auto"/>
        <w:ind w:firstLine="420"/>
        <w:rPr>
          <w:rFonts w:hint="eastAsia" w:hAnsi="宋体" w:cs="宋体"/>
          <w:sz w:val="24"/>
          <w:szCs w:val="24"/>
          <w:highlight w:val="none"/>
        </w:rPr>
      </w:pPr>
      <w:r>
        <w:rPr>
          <w:rFonts w:hint="eastAsia" w:hAnsi="宋体" w:cs="宋体"/>
          <w:sz w:val="24"/>
          <w:szCs w:val="24"/>
          <w:highlight w:val="none"/>
        </w:rPr>
        <w:t>地址：</w:t>
      </w:r>
      <w:r>
        <w:rPr>
          <w:rFonts w:hint="eastAsia" w:hAnsi="宋体" w:cs="宋体"/>
          <w:sz w:val="24"/>
          <w:szCs w:val="24"/>
          <w:highlight w:val="none"/>
          <w:u w:val="single"/>
        </w:rPr>
        <w:t xml:space="preserve">                                                        </w:t>
      </w:r>
      <w:r>
        <w:rPr>
          <w:rFonts w:hint="eastAsia" w:hAnsi="宋体" w:cs="宋体"/>
          <w:sz w:val="24"/>
          <w:szCs w:val="24"/>
          <w:highlight w:val="none"/>
        </w:rPr>
        <w:t xml:space="preserve"> </w:t>
      </w:r>
    </w:p>
    <w:p w14:paraId="7F04B8BF">
      <w:pPr>
        <w:pStyle w:val="15"/>
        <w:spacing w:line="360" w:lineRule="auto"/>
        <w:ind w:firstLine="420"/>
        <w:rPr>
          <w:rFonts w:hint="eastAsia" w:hAnsi="宋体" w:cs="宋体"/>
          <w:sz w:val="24"/>
          <w:szCs w:val="24"/>
          <w:highlight w:val="none"/>
          <w:u w:val="single"/>
        </w:rPr>
      </w:pPr>
      <w:r>
        <w:rPr>
          <w:rFonts w:hint="eastAsia" w:hAnsi="宋体" w:cs="宋体"/>
          <w:sz w:val="24"/>
          <w:szCs w:val="24"/>
          <w:highlight w:val="none"/>
        </w:rPr>
        <w:t>电话：</w:t>
      </w:r>
      <w:r>
        <w:rPr>
          <w:rFonts w:hint="eastAsia" w:hAnsi="宋体" w:cs="宋体"/>
          <w:sz w:val="24"/>
          <w:szCs w:val="24"/>
          <w:highlight w:val="none"/>
          <w:u w:val="single"/>
        </w:rPr>
        <w:t xml:space="preserve">                                      　　　　　　　　　</w:t>
      </w:r>
    </w:p>
    <w:p w14:paraId="7330861F">
      <w:pPr>
        <w:pStyle w:val="15"/>
        <w:spacing w:line="360" w:lineRule="auto"/>
        <w:ind w:firstLine="420"/>
        <w:rPr>
          <w:rFonts w:hint="eastAsia" w:hAnsi="宋体" w:cs="宋体"/>
          <w:sz w:val="24"/>
          <w:szCs w:val="24"/>
          <w:highlight w:val="none"/>
        </w:rPr>
      </w:pPr>
      <w:r>
        <w:rPr>
          <w:rFonts w:hint="eastAsia" w:hAnsi="宋体" w:cs="宋体"/>
          <w:sz w:val="24"/>
          <w:szCs w:val="24"/>
          <w:highlight w:val="none"/>
        </w:rPr>
        <w:t>传真：</w:t>
      </w:r>
      <w:r>
        <w:rPr>
          <w:rFonts w:hint="eastAsia" w:hAnsi="宋体" w:cs="宋体"/>
          <w:sz w:val="24"/>
          <w:szCs w:val="24"/>
          <w:highlight w:val="none"/>
          <w:u w:val="single"/>
        </w:rPr>
        <w:t>　　　　　　　　　　　　　　　　　　　　　　　　　　　　</w:t>
      </w:r>
    </w:p>
    <w:p w14:paraId="27965484">
      <w:pPr>
        <w:pStyle w:val="15"/>
        <w:spacing w:line="360" w:lineRule="auto"/>
        <w:ind w:firstLine="420"/>
        <w:rPr>
          <w:rFonts w:hint="eastAsia" w:hAnsi="宋体" w:cs="宋体"/>
          <w:sz w:val="24"/>
          <w:szCs w:val="24"/>
          <w:highlight w:val="none"/>
          <w:u w:val="single"/>
        </w:rPr>
      </w:pPr>
      <w:r>
        <w:rPr>
          <w:rFonts w:hint="eastAsia" w:hAnsi="宋体" w:cs="宋体"/>
          <w:sz w:val="24"/>
          <w:szCs w:val="24"/>
          <w:highlight w:val="none"/>
        </w:rPr>
        <w:t>邮政编码：</w:t>
      </w:r>
      <w:r>
        <w:rPr>
          <w:rFonts w:hint="eastAsia" w:hAnsi="宋体" w:cs="宋体"/>
          <w:sz w:val="24"/>
          <w:szCs w:val="24"/>
          <w:highlight w:val="none"/>
          <w:u w:val="single"/>
        </w:rPr>
        <w:t xml:space="preserve">                                                    </w:t>
      </w:r>
    </w:p>
    <w:p w14:paraId="4D350C2B">
      <w:pPr>
        <w:pStyle w:val="15"/>
        <w:spacing w:line="360" w:lineRule="auto"/>
        <w:ind w:firstLine="420"/>
        <w:rPr>
          <w:rFonts w:hint="eastAsia" w:hAnsi="宋体" w:cs="宋体"/>
          <w:sz w:val="24"/>
          <w:szCs w:val="24"/>
          <w:highlight w:val="none"/>
          <w:u w:val="single"/>
        </w:rPr>
      </w:pPr>
      <w:r>
        <w:rPr>
          <w:rFonts w:hint="eastAsia" w:hAnsi="宋体" w:cs="宋体"/>
          <w:sz w:val="24"/>
          <w:szCs w:val="24"/>
          <w:highlight w:val="none"/>
        </w:rPr>
        <w:t>开户名称：</w:t>
      </w:r>
      <w:r>
        <w:rPr>
          <w:rFonts w:hint="eastAsia" w:hAnsi="宋体" w:cs="宋体"/>
          <w:sz w:val="24"/>
          <w:szCs w:val="24"/>
          <w:highlight w:val="none"/>
          <w:u w:val="single"/>
        </w:rPr>
        <w:t xml:space="preserve">                                                    </w:t>
      </w:r>
    </w:p>
    <w:p w14:paraId="07209AA7">
      <w:pPr>
        <w:pStyle w:val="15"/>
        <w:spacing w:line="360" w:lineRule="auto"/>
        <w:ind w:firstLine="420"/>
        <w:rPr>
          <w:rFonts w:hint="eastAsia" w:hAnsi="宋体" w:cs="宋体"/>
          <w:sz w:val="24"/>
          <w:szCs w:val="24"/>
          <w:highlight w:val="none"/>
          <w:u w:val="single"/>
        </w:rPr>
      </w:pPr>
      <w:r>
        <w:rPr>
          <w:rFonts w:hint="eastAsia" w:hAnsi="宋体" w:cs="宋体"/>
          <w:sz w:val="24"/>
          <w:szCs w:val="24"/>
          <w:highlight w:val="none"/>
        </w:rPr>
        <w:t>开户银行：</w:t>
      </w:r>
      <w:r>
        <w:rPr>
          <w:rFonts w:hint="eastAsia" w:hAnsi="宋体" w:cs="宋体"/>
          <w:sz w:val="24"/>
          <w:szCs w:val="24"/>
          <w:highlight w:val="none"/>
          <w:u w:val="single"/>
        </w:rPr>
        <w:t xml:space="preserve">                                                    </w:t>
      </w:r>
    </w:p>
    <w:p w14:paraId="08D9A1A8">
      <w:pPr>
        <w:pStyle w:val="15"/>
        <w:spacing w:line="360" w:lineRule="auto"/>
        <w:ind w:firstLine="420"/>
        <w:rPr>
          <w:rFonts w:hint="eastAsia" w:hAnsi="宋体" w:cs="宋体"/>
          <w:sz w:val="24"/>
          <w:szCs w:val="24"/>
          <w:highlight w:val="none"/>
          <w:u w:val="single"/>
        </w:rPr>
      </w:pPr>
      <w:r>
        <w:rPr>
          <w:rFonts w:hint="eastAsia" w:hAnsi="宋体" w:cs="宋体"/>
          <w:sz w:val="24"/>
          <w:szCs w:val="24"/>
          <w:highlight w:val="none"/>
        </w:rPr>
        <w:t>银行账号：</w:t>
      </w:r>
      <w:r>
        <w:rPr>
          <w:rFonts w:hint="eastAsia" w:hAnsi="宋体" w:cs="宋体"/>
          <w:sz w:val="24"/>
          <w:szCs w:val="24"/>
          <w:highlight w:val="none"/>
          <w:u w:val="single"/>
        </w:rPr>
        <w:t xml:space="preserve">                                                    </w:t>
      </w:r>
    </w:p>
    <w:p w14:paraId="201B6B39">
      <w:pPr>
        <w:spacing w:line="360" w:lineRule="auto"/>
        <w:ind w:firstLine="480" w:firstLineChars="200"/>
        <w:contextualSpacing/>
        <w:rPr>
          <w:rFonts w:hint="eastAsia" w:ascii="宋体" w:hAnsi="宋体" w:cs="宋体"/>
          <w:sz w:val="24"/>
          <w:highlight w:val="none"/>
        </w:rPr>
      </w:pPr>
      <w:r>
        <w:rPr>
          <w:rFonts w:hint="eastAsia" w:ascii="宋体" w:hAnsi="宋体" w:cs="宋体"/>
          <w:sz w:val="24"/>
          <w:highlight w:val="none"/>
        </w:rPr>
        <w:t>特此承诺。</w:t>
      </w:r>
    </w:p>
    <w:p w14:paraId="56ED1E3B">
      <w:pPr>
        <w:spacing w:line="360" w:lineRule="auto"/>
        <w:ind w:firstLine="480" w:firstLineChars="200"/>
        <w:contextualSpacing/>
        <w:rPr>
          <w:rFonts w:hint="eastAsia" w:ascii="宋体" w:hAnsi="宋体" w:cs="宋体"/>
          <w:sz w:val="24"/>
          <w:highlight w:val="none"/>
        </w:rPr>
      </w:pPr>
    </w:p>
    <w:p w14:paraId="61ADA3EF">
      <w:pPr>
        <w:spacing w:line="360" w:lineRule="auto"/>
        <w:contextualSpacing/>
        <w:rPr>
          <w:rFonts w:hint="eastAsia" w:ascii="宋体" w:hAnsi="宋体" w:cs="宋体"/>
          <w:sz w:val="24"/>
          <w:highlight w:val="none"/>
        </w:rPr>
      </w:pPr>
      <w:r>
        <w:rPr>
          <w:rFonts w:hint="eastAsia" w:ascii="宋体" w:hAnsi="宋体" w:cs="宋体"/>
          <w:sz w:val="24"/>
          <w:highlight w:val="none"/>
        </w:rPr>
        <w:t>供应商名称（电子签章）：</w:t>
      </w:r>
    </w:p>
    <w:p w14:paraId="5D76F43E">
      <w:pPr>
        <w:spacing w:line="360" w:lineRule="auto"/>
        <w:contextualSpacing/>
        <w:rPr>
          <w:rFonts w:hint="eastAsia" w:ascii="宋体" w:hAnsi="宋体" w:cs="宋体"/>
          <w:sz w:val="24"/>
          <w:highlight w:val="none"/>
        </w:rPr>
      </w:pPr>
      <w:r>
        <w:rPr>
          <w:rFonts w:hint="eastAsia" w:ascii="宋体" w:hAnsi="宋体" w:cs="宋体"/>
          <w:sz w:val="24"/>
          <w:highlight w:val="none"/>
        </w:rPr>
        <w:t>日期：   年  月   日</w:t>
      </w:r>
    </w:p>
    <w:p w14:paraId="3784E85C">
      <w:pPr>
        <w:spacing w:line="520" w:lineRule="exact"/>
        <w:jc w:val="center"/>
        <w:rPr>
          <w:rFonts w:hint="eastAsia" w:ascii="微软雅黑" w:hAnsi="微软雅黑" w:eastAsia="微软雅黑" w:cs="微软雅黑"/>
          <w:bCs/>
          <w:sz w:val="44"/>
          <w:szCs w:val="44"/>
          <w:highlight w:val="none"/>
        </w:rPr>
      </w:pPr>
    </w:p>
    <w:p w14:paraId="00D2D23D">
      <w:pPr>
        <w:rPr>
          <w:rFonts w:hint="eastAsia" w:ascii="微软雅黑" w:hAnsi="微软雅黑" w:eastAsia="微软雅黑" w:cs="微软雅黑"/>
          <w:bCs/>
          <w:sz w:val="44"/>
          <w:szCs w:val="44"/>
          <w:highlight w:val="none"/>
        </w:rPr>
      </w:pPr>
      <w:r>
        <w:rPr>
          <w:rFonts w:hint="eastAsia" w:ascii="微软雅黑" w:hAnsi="微软雅黑" w:eastAsia="微软雅黑" w:cs="微软雅黑"/>
          <w:bCs/>
          <w:sz w:val="44"/>
          <w:szCs w:val="44"/>
          <w:highlight w:val="none"/>
        </w:rPr>
        <w:br w:type="page"/>
      </w:r>
    </w:p>
    <w:p w14:paraId="32D82635">
      <w:pPr>
        <w:spacing w:line="520" w:lineRule="exact"/>
        <w:jc w:val="center"/>
        <w:rPr>
          <w:rFonts w:hint="eastAsia" w:ascii="微软雅黑" w:hAnsi="微软雅黑" w:eastAsia="微软雅黑" w:cs="微软雅黑"/>
          <w:bCs/>
          <w:sz w:val="32"/>
          <w:szCs w:val="32"/>
          <w:highlight w:val="none"/>
        </w:rPr>
      </w:pPr>
      <w:r>
        <w:rPr>
          <w:rFonts w:hint="eastAsia" w:ascii="微软雅黑" w:hAnsi="微软雅黑" w:eastAsia="微软雅黑" w:cs="微软雅黑"/>
          <w:bCs/>
          <w:sz w:val="44"/>
          <w:szCs w:val="44"/>
          <w:highlight w:val="none"/>
        </w:rPr>
        <w:t>磋商报价表</w:t>
      </w:r>
    </w:p>
    <w:p w14:paraId="293E9400">
      <w:pPr>
        <w:spacing w:line="440" w:lineRule="exact"/>
        <w:jc w:val="center"/>
        <w:rPr>
          <w:rFonts w:hint="eastAsia" w:ascii="微软雅黑" w:hAnsi="微软雅黑" w:eastAsia="微软雅黑" w:cs="微软雅黑"/>
          <w:bCs/>
          <w:sz w:val="32"/>
          <w:szCs w:val="32"/>
          <w:highlight w:val="none"/>
        </w:rPr>
      </w:pPr>
    </w:p>
    <w:p w14:paraId="60C093AF">
      <w:pPr>
        <w:spacing w:line="360" w:lineRule="auto"/>
        <w:contextualSpacing/>
        <w:rPr>
          <w:rFonts w:hint="eastAsia" w:ascii="宋体" w:hAnsi="宋体" w:cs="仿宋_GB2312"/>
          <w:sz w:val="24"/>
          <w:highlight w:val="none"/>
        </w:rPr>
      </w:pPr>
      <w:r>
        <w:rPr>
          <w:rFonts w:hint="eastAsia" w:ascii="宋体" w:hAnsi="宋体" w:cs="仿宋_GB2312"/>
          <w:sz w:val="24"/>
          <w:highlight w:val="none"/>
        </w:rPr>
        <w:t>项目名称：</w:t>
      </w:r>
    </w:p>
    <w:p w14:paraId="56EE944D">
      <w:pPr>
        <w:spacing w:line="360" w:lineRule="auto"/>
        <w:contextualSpacing/>
        <w:rPr>
          <w:rFonts w:hint="eastAsia" w:ascii="宋体" w:hAnsi="宋体" w:cs="仿宋_GB2312"/>
          <w:sz w:val="24"/>
          <w:highlight w:val="none"/>
        </w:rPr>
      </w:pPr>
      <w:r>
        <w:rPr>
          <w:rFonts w:hint="eastAsia" w:ascii="宋体" w:hAnsi="宋体" w:cs="仿宋_GB2312"/>
          <w:sz w:val="24"/>
          <w:highlight w:val="none"/>
        </w:rPr>
        <w:t>项目编号：</w:t>
      </w:r>
    </w:p>
    <w:p w14:paraId="19BC298A">
      <w:pPr>
        <w:spacing w:line="360" w:lineRule="auto"/>
        <w:contextualSpacing/>
        <w:rPr>
          <w:rFonts w:hint="eastAsia" w:ascii="宋体" w:hAnsi="宋体" w:cs="仿宋_GB2312"/>
          <w:sz w:val="24"/>
          <w:highlight w:val="none"/>
          <w:u w:val="single"/>
        </w:rPr>
      </w:pPr>
      <w:r>
        <w:rPr>
          <w:rFonts w:hint="eastAsia" w:ascii="宋体" w:hAnsi="宋体" w:cs="仿宋_GB2312"/>
          <w:sz w:val="24"/>
          <w:highlight w:val="none"/>
        </w:rPr>
        <w:t>分标（如有）：</w:t>
      </w:r>
    </w:p>
    <w:p w14:paraId="62924542">
      <w:pPr>
        <w:spacing w:line="360" w:lineRule="auto"/>
        <w:contextualSpacing/>
        <w:rPr>
          <w:rFonts w:hint="eastAsia" w:ascii="宋体" w:hAnsi="宋体" w:cs="仿宋_GB2312"/>
          <w:sz w:val="24"/>
          <w:highlight w:val="none"/>
        </w:rPr>
      </w:pPr>
      <w:r>
        <w:rPr>
          <w:rFonts w:hint="eastAsia" w:ascii="宋体" w:hAnsi="宋体" w:cs="仿宋_GB2312"/>
          <w:sz w:val="24"/>
          <w:highlight w:val="none"/>
        </w:rPr>
        <w:t>供应商名称：</w:t>
      </w:r>
    </w:p>
    <w:tbl>
      <w:tblPr>
        <w:tblStyle w:val="24"/>
        <w:tblW w:w="9956"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2969"/>
        <w:gridCol w:w="671"/>
        <w:gridCol w:w="671"/>
        <w:gridCol w:w="2399"/>
        <w:gridCol w:w="1292"/>
        <w:gridCol w:w="1317"/>
      </w:tblGrid>
      <w:tr w14:paraId="1150A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637" w:type="dxa"/>
            <w:tcBorders>
              <w:top w:val="single" w:color="auto" w:sz="4" w:space="0"/>
              <w:left w:val="single" w:color="auto" w:sz="4" w:space="0"/>
              <w:bottom w:val="single" w:color="auto" w:sz="4" w:space="0"/>
              <w:right w:val="single" w:color="auto" w:sz="4" w:space="0"/>
            </w:tcBorders>
            <w:vAlign w:val="center"/>
          </w:tcPr>
          <w:p w14:paraId="2077E2AD">
            <w:pPr>
              <w:spacing w:line="360" w:lineRule="auto"/>
              <w:contextualSpacing/>
              <w:jc w:val="center"/>
              <w:rPr>
                <w:rFonts w:hint="eastAsia" w:ascii="宋体" w:hAnsi="宋体" w:cs="宋体"/>
                <w:sz w:val="24"/>
                <w:highlight w:val="none"/>
              </w:rPr>
            </w:pPr>
            <w:r>
              <w:rPr>
                <w:rFonts w:hint="eastAsia" w:ascii="宋体" w:hAnsi="宋体" w:cs="宋体"/>
                <w:sz w:val="24"/>
                <w:highlight w:val="none"/>
              </w:rPr>
              <w:t>序号</w:t>
            </w:r>
          </w:p>
        </w:tc>
        <w:tc>
          <w:tcPr>
            <w:tcW w:w="2969" w:type="dxa"/>
            <w:tcBorders>
              <w:top w:val="single" w:color="auto" w:sz="4" w:space="0"/>
              <w:left w:val="single" w:color="auto" w:sz="4" w:space="0"/>
              <w:bottom w:val="single" w:color="auto" w:sz="4" w:space="0"/>
              <w:right w:val="single" w:color="auto" w:sz="4" w:space="0"/>
            </w:tcBorders>
            <w:vAlign w:val="center"/>
          </w:tcPr>
          <w:p w14:paraId="323FB754">
            <w:pPr>
              <w:spacing w:line="360" w:lineRule="auto"/>
              <w:contextualSpacing/>
              <w:jc w:val="center"/>
              <w:rPr>
                <w:rFonts w:hint="eastAsia" w:ascii="宋体" w:hAnsi="宋体" w:cs="宋体"/>
                <w:sz w:val="24"/>
                <w:highlight w:val="none"/>
              </w:rPr>
            </w:pPr>
            <w:r>
              <w:rPr>
                <w:rFonts w:hint="eastAsia" w:ascii="宋体" w:hAnsi="宋体" w:cs="宋体"/>
                <w:sz w:val="24"/>
                <w:highlight w:val="none"/>
              </w:rPr>
              <w:t>标的的名称</w:t>
            </w:r>
          </w:p>
        </w:tc>
        <w:tc>
          <w:tcPr>
            <w:tcW w:w="671" w:type="dxa"/>
            <w:tcBorders>
              <w:top w:val="single" w:color="auto" w:sz="4" w:space="0"/>
              <w:left w:val="single" w:color="auto" w:sz="4" w:space="0"/>
              <w:bottom w:val="single" w:color="auto" w:sz="4" w:space="0"/>
              <w:right w:val="single" w:color="auto" w:sz="4" w:space="0"/>
            </w:tcBorders>
            <w:vAlign w:val="center"/>
          </w:tcPr>
          <w:p w14:paraId="5168D8FF">
            <w:pPr>
              <w:spacing w:line="360" w:lineRule="auto"/>
              <w:contextualSpacing/>
              <w:jc w:val="center"/>
              <w:rPr>
                <w:rFonts w:hint="eastAsia" w:ascii="宋体" w:hAnsi="宋体" w:cs="宋体"/>
                <w:sz w:val="24"/>
                <w:highlight w:val="none"/>
              </w:rPr>
            </w:pPr>
            <w:r>
              <w:rPr>
                <w:rFonts w:hint="eastAsia" w:ascii="宋体" w:hAnsi="宋体" w:cs="宋体"/>
                <w:sz w:val="24"/>
                <w:highlight w:val="none"/>
              </w:rPr>
              <w:t>数量</w:t>
            </w:r>
          </w:p>
        </w:tc>
        <w:tc>
          <w:tcPr>
            <w:tcW w:w="671" w:type="dxa"/>
            <w:tcBorders>
              <w:top w:val="single" w:color="auto" w:sz="4" w:space="0"/>
              <w:left w:val="single" w:color="auto" w:sz="4" w:space="0"/>
              <w:bottom w:val="single" w:color="auto" w:sz="4" w:space="0"/>
              <w:right w:val="single" w:color="auto" w:sz="4" w:space="0"/>
            </w:tcBorders>
            <w:vAlign w:val="center"/>
          </w:tcPr>
          <w:p w14:paraId="3E59936A">
            <w:pPr>
              <w:spacing w:line="360" w:lineRule="auto"/>
              <w:contextualSpacing/>
              <w:jc w:val="center"/>
              <w:rPr>
                <w:rFonts w:hint="eastAsia" w:ascii="宋体" w:hAnsi="宋体" w:cs="宋体"/>
                <w:sz w:val="24"/>
                <w:highlight w:val="none"/>
              </w:rPr>
            </w:pPr>
            <w:r>
              <w:rPr>
                <w:rFonts w:hint="eastAsia" w:ascii="宋体" w:hAnsi="宋体" w:cs="宋体"/>
                <w:sz w:val="24"/>
                <w:highlight w:val="none"/>
              </w:rPr>
              <w:t>单位</w:t>
            </w:r>
          </w:p>
        </w:tc>
        <w:tc>
          <w:tcPr>
            <w:tcW w:w="2399" w:type="dxa"/>
            <w:tcBorders>
              <w:top w:val="single" w:color="auto" w:sz="4" w:space="0"/>
              <w:left w:val="single" w:color="auto" w:sz="4" w:space="0"/>
              <w:bottom w:val="single" w:color="auto" w:sz="4" w:space="0"/>
              <w:right w:val="single" w:color="auto" w:sz="4" w:space="0"/>
            </w:tcBorders>
            <w:vAlign w:val="center"/>
          </w:tcPr>
          <w:p w14:paraId="0D792F1D">
            <w:pPr>
              <w:spacing w:line="360" w:lineRule="auto"/>
              <w:contextualSpacing/>
              <w:jc w:val="center"/>
              <w:rPr>
                <w:rFonts w:hint="eastAsia" w:ascii="宋体" w:hAnsi="宋体" w:cs="宋体"/>
                <w:sz w:val="24"/>
                <w:highlight w:val="none"/>
              </w:rPr>
            </w:pPr>
            <w:r>
              <w:rPr>
                <w:rFonts w:hint="eastAsia" w:ascii="宋体" w:hAnsi="宋体" w:cs="宋体"/>
                <w:sz w:val="24"/>
                <w:highlight w:val="none"/>
              </w:rPr>
              <w:t>单价</w:t>
            </w:r>
          </w:p>
        </w:tc>
        <w:tc>
          <w:tcPr>
            <w:tcW w:w="1292" w:type="dxa"/>
            <w:tcBorders>
              <w:top w:val="single" w:color="auto" w:sz="4" w:space="0"/>
              <w:left w:val="single" w:color="auto" w:sz="4" w:space="0"/>
              <w:bottom w:val="single" w:color="auto" w:sz="4" w:space="0"/>
              <w:right w:val="single" w:color="auto" w:sz="4" w:space="0"/>
            </w:tcBorders>
            <w:vAlign w:val="center"/>
          </w:tcPr>
          <w:p w14:paraId="7D112AB2">
            <w:pPr>
              <w:spacing w:line="360" w:lineRule="auto"/>
              <w:contextualSpacing/>
              <w:jc w:val="center"/>
              <w:rPr>
                <w:rFonts w:hint="eastAsia" w:ascii="宋体" w:hAnsi="宋体" w:cs="宋体"/>
                <w:sz w:val="24"/>
                <w:highlight w:val="none"/>
              </w:rPr>
            </w:pPr>
            <w:r>
              <w:rPr>
                <w:rFonts w:hint="eastAsia" w:ascii="宋体" w:hAnsi="宋体" w:cs="宋体"/>
                <w:sz w:val="24"/>
                <w:highlight w:val="none"/>
              </w:rPr>
              <w:t>总价</w:t>
            </w:r>
          </w:p>
        </w:tc>
        <w:tc>
          <w:tcPr>
            <w:tcW w:w="1317" w:type="dxa"/>
            <w:tcBorders>
              <w:top w:val="single" w:color="auto" w:sz="4" w:space="0"/>
              <w:left w:val="single" w:color="auto" w:sz="4" w:space="0"/>
              <w:bottom w:val="single" w:color="auto" w:sz="4" w:space="0"/>
              <w:right w:val="single" w:color="auto" w:sz="4" w:space="0"/>
            </w:tcBorders>
            <w:vAlign w:val="center"/>
          </w:tcPr>
          <w:p w14:paraId="169FF397">
            <w:pPr>
              <w:spacing w:line="360" w:lineRule="auto"/>
              <w:contextualSpacing/>
              <w:jc w:val="center"/>
              <w:rPr>
                <w:rFonts w:hint="eastAsia" w:ascii="宋体" w:hAnsi="宋体" w:cs="宋体"/>
                <w:sz w:val="24"/>
                <w:highlight w:val="none"/>
              </w:rPr>
            </w:pPr>
            <w:r>
              <w:rPr>
                <w:rFonts w:hint="eastAsia" w:ascii="宋体" w:hAnsi="宋体" w:cs="宋体"/>
                <w:sz w:val="24"/>
                <w:highlight w:val="none"/>
              </w:rPr>
              <w:t>备注</w:t>
            </w:r>
          </w:p>
        </w:tc>
      </w:tr>
      <w:tr w14:paraId="0BE4E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637" w:type="dxa"/>
            <w:tcBorders>
              <w:top w:val="single" w:color="auto" w:sz="4" w:space="0"/>
              <w:left w:val="single" w:color="auto" w:sz="4" w:space="0"/>
              <w:bottom w:val="single" w:color="auto" w:sz="4" w:space="0"/>
              <w:right w:val="single" w:color="auto" w:sz="4" w:space="0"/>
            </w:tcBorders>
            <w:vAlign w:val="center"/>
          </w:tcPr>
          <w:p w14:paraId="5DBCCE08">
            <w:pPr>
              <w:spacing w:line="360" w:lineRule="auto"/>
              <w:contextualSpacing/>
              <w:jc w:val="center"/>
              <w:rPr>
                <w:rFonts w:hint="eastAsia" w:ascii="宋体" w:hAnsi="宋体" w:cs="宋体"/>
                <w:sz w:val="24"/>
                <w:highlight w:val="none"/>
              </w:rPr>
            </w:pPr>
            <w:r>
              <w:rPr>
                <w:rFonts w:hint="eastAsia" w:ascii="宋体" w:hAnsi="宋体" w:cs="宋体"/>
                <w:sz w:val="24"/>
                <w:highlight w:val="none"/>
              </w:rPr>
              <w:t>1</w:t>
            </w:r>
          </w:p>
        </w:tc>
        <w:tc>
          <w:tcPr>
            <w:tcW w:w="2969" w:type="dxa"/>
            <w:tcBorders>
              <w:top w:val="single" w:color="auto" w:sz="4" w:space="0"/>
              <w:left w:val="single" w:color="auto" w:sz="4" w:space="0"/>
              <w:bottom w:val="single" w:color="auto" w:sz="4" w:space="0"/>
              <w:right w:val="single" w:color="auto" w:sz="4" w:space="0"/>
            </w:tcBorders>
            <w:vAlign w:val="center"/>
          </w:tcPr>
          <w:p w14:paraId="2F38E67E">
            <w:pPr>
              <w:spacing w:line="360" w:lineRule="auto"/>
              <w:contextualSpacing/>
              <w:rPr>
                <w:rFonts w:hint="eastAsia" w:ascii="宋体" w:hAnsi="宋体" w:cs="宋体"/>
                <w:sz w:val="24"/>
                <w:highlight w:val="none"/>
              </w:rPr>
            </w:pPr>
          </w:p>
        </w:tc>
        <w:tc>
          <w:tcPr>
            <w:tcW w:w="671" w:type="dxa"/>
            <w:tcBorders>
              <w:top w:val="single" w:color="auto" w:sz="4" w:space="0"/>
              <w:left w:val="single" w:color="auto" w:sz="4" w:space="0"/>
              <w:bottom w:val="single" w:color="auto" w:sz="4" w:space="0"/>
              <w:right w:val="single" w:color="auto" w:sz="4" w:space="0"/>
            </w:tcBorders>
            <w:vAlign w:val="center"/>
          </w:tcPr>
          <w:p w14:paraId="34EF4498">
            <w:pPr>
              <w:spacing w:line="360" w:lineRule="auto"/>
              <w:contextualSpacing/>
              <w:jc w:val="center"/>
              <w:rPr>
                <w:rFonts w:hint="eastAsia" w:ascii="宋体" w:hAnsi="宋体" w:cs="宋体"/>
                <w:sz w:val="24"/>
                <w:highlight w:val="none"/>
              </w:rPr>
            </w:pPr>
          </w:p>
        </w:tc>
        <w:tc>
          <w:tcPr>
            <w:tcW w:w="671" w:type="dxa"/>
            <w:tcBorders>
              <w:top w:val="single" w:color="auto" w:sz="4" w:space="0"/>
              <w:left w:val="single" w:color="auto" w:sz="4" w:space="0"/>
              <w:bottom w:val="single" w:color="auto" w:sz="4" w:space="0"/>
              <w:right w:val="single" w:color="auto" w:sz="4" w:space="0"/>
            </w:tcBorders>
          </w:tcPr>
          <w:p w14:paraId="5A27465F">
            <w:pPr>
              <w:spacing w:line="360" w:lineRule="auto"/>
              <w:contextualSpacing/>
              <w:rPr>
                <w:rFonts w:hint="eastAsia" w:ascii="宋体" w:hAnsi="宋体" w:cs="宋体"/>
                <w:sz w:val="24"/>
                <w:highlight w:val="none"/>
              </w:rPr>
            </w:pPr>
          </w:p>
        </w:tc>
        <w:tc>
          <w:tcPr>
            <w:tcW w:w="2399" w:type="dxa"/>
            <w:tcBorders>
              <w:top w:val="single" w:color="auto" w:sz="4" w:space="0"/>
              <w:left w:val="single" w:color="auto" w:sz="4" w:space="0"/>
              <w:bottom w:val="single" w:color="auto" w:sz="4" w:space="0"/>
              <w:right w:val="single" w:color="auto" w:sz="4" w:space="0"/>
            </w:tcBorders>
          </w:tcPr>
          <w:p w14:paraId="2FC38B78">
            <w:pPr>
              <w:spacing w:line="360" w:lineRule="auto"/>
              <w:contextualSpacing/>
              <w:rPr>
                <w:rFonts w:hint="eastAsia" w:ascii="宋体" w:hAnsi="宋体" w:cs="宋体"/>
                <w:sz w:val="24"/>
                <w:highlight w:val="none"/>
              </w:rPr>
            </w:pPr>
          </w:p>
        </w:tc>
        <w:tc>
          <w:tcPr>
            <w:tcW w:w="1292" w:type="dxa"/>
            <w:tcBorders>
              <w:top w:val="single" w:color="auto" w:sz="4" w:space="0"/>
              <w:left w:val="single" w:color="auto" w:sz="4" w:space="0"/>
              <w:bottom w:val="single" w:color="auto" w:sz="4" w:space="0"/>
              <w:right w:val="single" w:color="auto" w:sz="4" w:space="0"/>
            </w:tcBorders>
          </w:tcPr>
          <w:p w14:paraId="7BCA5614">
            <w:pPr>
              <w:spacing w:line="360" w:lineRule="auto"/>
              <w:contextualSpacing/>
              <w:rPr>
                <w:rFonts w:hint="eastAsia" w:ascii="宋体" w:hAnsi="宋体" w:cs="宋体"/>
                <w:sz w:val="24"/>
                <w:highlight w:val="none"/>
              </w:rPr>
            </w:pPr>
          </w:p>
        </w:tc>
        <w:tc>
          <w:tcPr>
            <w:tcW w:w="1317" w:type="dxa"/>
            <w:tcBorders>
              <w:top w:val="single" w:color="auto" w:sz="4" w:space="0"/>
              <w:left w:val="single" w:color="auto" w:sz="4" w:space="0"/>
              <w:bottom w:val="single" w:color="auto" w:sz="4" w:space="0"/>
              <w:right w:val="single" w:color="auto" w:sz="4" w:space="0"/>
            </w:tcBorders>
            <w:vAlign w:val="center"/>
          </w:tcPr>
          <w:p w14:paraId="1C553527">
            <w:pPr>
              <w:spacing w:line="360" w:lineRule="auto"/>
              <w:contextualSpacing/>
              <w:rPr>
                <w:rFonts w:hint="eastAsia" w:ascii="宋体" w:hAnsi="宋体" w:cs="宋体"/>
                <w:sz w:val="24"/>
                <w:highlight w:val="none"/>
              </w:rPr>
            </w:pPr>
          </w:p>
        </w:tc>
      </w:tr>
      <w:tr w14:paraId="0A16E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637" w:type="dxa"/>
            <w:tcBorders>
              <w:top w:val="single" w:color="auto" w:sz="4" w:space="0"/>
              <w:left w:val="single" w:color="auto" w:sz="4" w:space="0"/>
              <w:bottom w:val="single" w:color="auto" w:sz="4" w:space="0"/>
              <w:right w:val="single" w:color="auto" w:sz="4" w:space="0"/>
            </w:tcBorders>
            <w:vAlign w:val="center"/>
          </w:tcPr>
          <w:p w14:paraId="67237E3A">
            <w:pPr>
              <w:spacing w:line="360" w:lineRule="auto"/>
              <w:contextualSpacing/>
              <w:jc w:val="center"/>
              <w:rPr>
                <w:rFonts w:hint="eastAsia" w:ascii="宋体" w:hAnsi="宋体" w:cs="宋体"/>
                <w:sz w:val="24"/>
                <w:highlight w:val="none"/>
              </w:rPr>
            </w:pPr>
            <w:r>
              <w:rPr>
                <w:rFonts w:hint="eastAsia" w:ascii="宋体" w:hAnsi="宋体" w:cs="宋体"/>
                <w:sz w:val="24"/>
                <w:highlight w:val="none"/>
              </w:rPr>
              <w:t>2</w:t>
            </w:r>
          </w:p>
        </w:tc>
        <w:tc>
          <w:tcPr>
            <w:tcW w:w="2969" w:type="dxa"/>
            <w:tcBorders>
              <w:top w:val="single" w:color="auto" w:sz="4" w:space="0"/>
              <w:left w:val="single" w:color="auto" w:sz="4" w:space="0"/>
              <w:bottom w:val="single" w:color="auto" w:sz="4" w:space="0"/>
              <w:right w:val="single" w:color="auto" w:sz="4" w:space="0"/>
            </w:tcBorders>
            <w:vAlign w:val="center"/>
          </w:tcPr>
          <w:p w14:paraId="57AE6870">
            <w:pPr>
              <w:spacing w:line="360" w:lineRule="auto"/>
              <w:contextualSpacing/>
              <w:rPr>
                <w:rFonts w:hint="eastAsia" w:ascii="宋体" w:hAnsi="宋体" w:cs="宋体"/>
                <w:sz w:val="24"/>
                <w:highlight w:val="none"/>
              </w:rPr>
            </w:pPr>
          </w:p>
        </w:tc>
        <w:tc>
          <w:tcPr>
            <w:tcW w:w="671" w:type="dxa"/>
            <w:tcBorders>
              <w:top w:val="single" w:color="auto" w:sz="4" w:space="0"/>
              <w:left w:val="single" w:color="auto" w:sz="4" w:space="0"/>
              <w:bottom w:val="single" w:color="auto" w:sz="4" w:space="0"/>
              <w:right w:val="single" w:color="auto" w:sz="4" w:space="0"/>
            </w:tcBorders>
            <w:vAlign w:val="center"/>
          </w:tcPr>
          <w:p w14:paraId="58E963B5">
            <w:pPr>
              <w:spacing w:line="360" w:lineRule="auto"/>
              <w:contextualSpacing/>
              <w:jc w:val="center"/>
              <w:rPr>
                <w:rFonts w:hint="eastAsia" w:ascii="宋体" w:hAnsi="宋体" w:cs="宋体"/>
                <w:sz w:val="24"/>
                <w:highlight w:val="none"/>
              </w:rPr>
            </w:pPr>
          </w:p>
        </w:tc>
        <w:tc>
          <w:tcPr>
            <w:tcW w:w="671" w:type="dxa"/>
            <w:tcBorders>
              <w:top w:val="single" w:color="auto" w:sz="4" w:space="0"/>
              <w:left w:val="single" w:color="auto" w:sz="4" w:space="0"/>
              <w:bottom w:val="single" w:color="auto" w:sz="4" w:space="0"/>
              <w:right w:val="single" w:color="auto" w:sz="4" w:space="0"/>
            </w:tcBorders>
          </w:tcPr>
          <w:p w14:paraId="0CA2FA7D">
            <w:pPr>
              <w:spacing w:line="360" w:lineRule="auto"/>
              <w:contextualSpacing/>
              <w:rPr>
                <w:rFonts w:hint="eastAsia" w:ascii="宋体" w:hAnsi="宋体" w:cs="宋体"/>
                <w:sz w:val="24"/>
                <w:highlight w:val="none"/>
              </w:rPr>
            </w:pPr>
          </w:p>
        </w:tc>
        <w:tc>
          <w:tcPr>
            <w:tcW w:w="2399" w:type="dxa"/>
            <w:tcBorders>
              <w:top w:val="single" w:color="auto" w:sz="4" w:space="0"/>
              <w:left w:val="single" w:color="auto" w:sz="4" w:space="0"/>
              <w:bottom w:val="single" w:color="auto" w:sz="4" w:space="0"/>
              <w:right w:val="single" w:color="auto" w:sz="4" w:space="0"/>
            </w:tcBorders>
          </w:tcPr>
          <w:p w14:paraId="637037D1">
            <w:pPr>
              <w:spacing w:line="360" w:lineRule="auto"/>
              <w:contextualSpacing/>
              <w:rPr>
                <w:rFonts w:hint="eastAsia" w:ascii="宋体" w:hAnsi="宋体" w:cs="宋体"/>
                <w:sz w:val="24"/>
                <w:highlight w:val="none"/>
              </w:rPr>
            </w:pPr>
          </w:p>
        </w:tc>
        <w:tc>
          <w:tcPr>
            <w:tcW w:w="1292" w:type="dxa"/>
            <w:tcBorders>
              <w:top w:val="single" w:color="auto" w:sz="4" w:space="0"/>
              <w:left w:val="single" w:color="auto" w:sz="4" w:space="0"/>
              <w:bottom w:val="single" w:color="auto" w:sz="4" w:space="0"/>
              <w:right w:val="single" w:color="auto" w:sz="4" w:space="0"/>
            </w:tcBorders>
          </w:tcPr>
          <w:p w14:paraId="631A45C9">
            <w:pPr>
              <w:spacing w:line="360" w:lineRule="auto"/>
              <w:contextualSpacing/>
              <w:rPr>
                <w:rFonts w:hint="eastAsia" w:ascii="宋体" w:hAnsi="宋体" w:cs="宋体"/>
                <w:sz w:val="24"/>
                <w:highlight w:val="none"/>
              </w:rPr>
            </w:pPr>
          </w:p>
        </w:tc>
        <w:tc>
          <w:tcPr>
            <w:tcW w:w="1317" w:type="dxa"/>
            <w:tcBorders>
              <w:top w:val="single" w:color="auto" w:sz="4" w:space="0"/>
              <w:left w:val="single" w:color="auto" w:sz="4" w:space="0"/>
              <w:bottom w:val="single" w:color="auto" w:sz="4" w:space="0"/>
              <w:right w:val="single" w:color="auto" w:sz="4" w:space="0"/>
            </w:tcBorders>
            <w:vAlign w:val="center"/>
          </w:tcPr>
          <w:p w14:paraId="01F40957">
            <w:pPr>
              <w:spacing w:line="360" w:lineRule="auto"/>
              <w:contextualSpacing/>
              <w:rPr>
                <w:rFonts w:hint="eastAsia" w:ascii="宋体" w:hAnsi="宋体" w:cs="宋体"/>
                <w:sz w:val="24"/>
                <w:highlight w:val="none"/>
              </w:rPr>
            </w:pPr>
          </w:p>
        </w:tc>
      </w:tr>
      <w:tr w14:paraId="60E33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9956" w:type="dxa"/>
            <w:gridSpan w:val="7"/>
            <w:tcBorders>
              <w:top w:val="single" w:color="auto" w:sz="4" w:space="0"/>
              <w:left w:val="single" w:color="auto" w:sz="4" w:space="0"/>
              <w:bottom w:val="single" w:color="auto" w:sz="4" w:space="0"/>
              <w:right w:val="single" w:color="auto" w:sz="4" w:space="0"/>
            </w:tcBorders>
            <w:vAlign w:val="center"/>
          </w:tcPr>
          <w:p w14:paraId="2CEED161">
            <w:pPr>
              <w:spacing w:line="360" w:lineRule="auto"/>
              <w:contextualSpacing/>
              <w:rPr>
                <w:rFonts w:hint="eastAsia" w:ascii="宋体" w:hAnsi="宋体" w:cs="宋体"/>
                <w:sz w:val="24"/>
                <w:highlight w:val="none"/>
              </w:rPr>
            </w:pPr>
            <w:r>
              <w:rPr>
                <w:rFonts w:hint="eastAsia" w:ascii="宋体" w:hAnsi="宋体" w:cs="宋体"/>
                <w:sz w:val="24"/>
                <w:highlight w:val="none"/>
              </w:rPr>
              <w:t>合计金额大写：人民币</w:t>
            </w:r>
            <w:r>
              <w:rPr>
                <w:rFonts w:hint="eastAsia" w:ascii="宋体" w:hAnsi="宋体" w:cs="宋体"/>
                <w:sz w:val="24"/>
                <w:highlight w:val="none"/>
                <w:u w:val="single"/>
              </w:rPr>
              <w:t xml:space="preserve">           </w:t>
            </w:r>
            <w:r>
              <w:rPr>
                <w:rFonts w:hint="eastAsia" w:ascii="宋体" w:hAnsi="宋体" w:cs="宋体"/>
                <w:sz w:val="24"/>
                <w:highlight w:val="none"/>
              </w:rPr>
              <w:t>（￥</w:t>
            </w:r>
            <w:r>
              <w:rPr>
                <w:rFonts w:hint="eastAsia" w:ascii="宋体" w:hAnsi="宋体" w:cs="宋体"/>
                <w:sz w:val="24"/>
                <w:highlight w:val="none"/>
                <w:u w:val="single"/>
              </w:rPr>
              <w:t xml:space="preserve">           </w:t>
            </w:r>
            <w:r>
              <w:rPr>
                <w:rFonts w:hint="eastAsia" w:ascii="宋体" w:hAnsi="宋体" w:cs="宋体"/>
                <w:sz w:val="24"/>
                <w:highlight w:val="none"/>
              </w:rPr>
              <w:t>）</w:t>
            </w:r>
          </w:p>
        </w:tc>
      </w:tr>
      <w:tr w14:paraId="28EB5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9956" w:type="dxa"/>
            <w:gridSpan w:val="7"/>
            <w:tcBorders>
              <w:top w:val="single" w:color="auto" w:sz="4" w:space="0"/>
              <w:left w:val="single" w:color="auto" w:sz="4" w:space="0"/>
              <w:bottom w:val="single" w:color="auto" w:sz="4" w:space="0"/>
              <w:right w:val="single" w:color="auto" w:sz="4" w:space="0"/>
            </w:tcBorders>
            <w:vAlign w:val="center"/>
          </w:tcPr>
          <w:p w14:paraId="0714180D">
            <w:pPr>
              <w:spacing w:line="360" w:lineRule="auto"/>
              <w:contextualSpacing/>
              <w:rPr>
                <w:rFonts w:hint="eastAsia" w:ascii="宋体" w:hAnsi="宋体" w:cs="宋体"/>
                <w:sz w:val="24"/>
                <w:highlight w:val="none"/>
              </w:rPr>
            </w:pPr>
            <w:r>
              <w:rPr>
                <w:rFonts w:hint="eastAsia" w:ascii="宋体" w:hAnsi="宋体" w:cs="宋体"/>
                <w:sz w:val="24"/>
                <w:highlight w:val="none"/>
              </w:rPr>
              <w:t>合同履约期限：</w:t>
            </w:r>
          </w:p>
        </w:tc>
      </w:tr>
    </w:tbl>
    <w:p w14:paraId="68477F2C">
      <w:pPr>
        <w:spacing w:line="360" w:lineRule="auto"/>
        <w:contextualSpacing/>
        <w:jc w:val="left"/>
        <w:rPr>
          <w:rFonts w:hint="eastAsia" w:ascii="宋体" w:hAnsi="宋体" w:cs="仿宋_GB2312"/>
          <w:sz w:val="24"/>
          <w:highlight w:val="none"/>
        </w:rPr>
      </w:pPr>
      <w:r>
        <w:rPr>
          <w:rFonts w:hint="eastAsia" w:ascii="宋体" w:hAnsi="宋体" w:cs="仿宋_GB2312"/>
          <w:sz w:val="24"/>
          <w:highlight w:val="none"/>
        </w:rPr>
        <w:t xml:space="preserve">注: </w:t>
      </w:r>
    </w:p>
    <w:p w14:paraId="19E6A66F">
      <w:pPr>
        <w:spacing w:line="360" w:lineRule="auto"/>
        <w:ind w:firstLine="480" w:firstLineChars="200"/>
        <w:contextualSpacing/>
        <w:jc w:val="left"/>
        <w:rPr>
          <w:rFonts w:hint="eastAsia" w:ascii="宋体" w:hAnsi="宋体" w:cs="仿宋_GB2312"/>
          <w:sz w:val="24"/>
          <w:highlight w:val="none"/>
        </w:rPr>
      </w:pPr>
      <w:r>
        <w:rPr>
          <w:rFonts w:hint="eastAsia" w:ascii="宋体" w:hAnsi="宋体" w:cs="仿宋_GB2312"/>
          <w:sz w:val="24"/>
          <w:highlight w:val="none"/>
        </w:rPr>
        <w:t>1. 供应商的报价表必须加盖供应商电子签章并由法定代表人或者委托代理人签字或者电子签名，</w:t>
      </w:r>
      <w:r>
        <w:rPr>
          <w:rFonts w:hint="eastAsia" w:ascii="宋体" w:hAnsi="宋体" w:cs="仿宋_GB2312"/>
          <w:b/>
          <w:sz w:val="24"/>
          <w:highlight w:val="none"/>
        </w:rPr>
        <w:t>否则其响应文件按无效处理</w:t>
      </w:r>
      <w:r>
        <w:rPr>
          <w:rFonts w:hint="eastAsia" w:ascii="宋体" w:hAnsi="宋体" w:cs="仿宋_GB2312"/>
          <w:sz w:val="24"/>
          <w:highlight w:val="none"/>
        </w:rPr>
        <w:t>。</w:t>
      </w:r>
    </w:p>
    <w:p w14:paraId="408BB5EF">
      <w:pPr>
        <w:spacing w:line="360" w:lineRule="auto"/>
        <w:ind w:firstLine="480" w:firstLineChars="200"/>
        <w:contextualSpacing/>
        <w:jc w:val="left"/>
        <w:rPr>
          <w:rFonts w:hint="eastAsia" w:ascii="宋体" w:hAnsi="宋体" w:cs="仿宋_GB2312"/>
          <w:b/>
          <w:sz w:val="24"/>
          <w:highlight w:val="none"/>
        </w:rPr>
      </w:pPr>
      <w:r>
        <w:rPr>
          <w:rFonts w:hint="eastAsia" w:ascii="宋体" w:hAnsi="宋体" w:cs="仿宋_GB2312"/>
          <w:bCs/>
          <w:sz w:val="24"/>
          <w:highlight w:val="none"/>
        </w:rPr>
        <w:t>2.</w:t>
      </w:r>
      <w:r>
        <w:rPr>
          <w:rFonts w:hint="eastAsia" w:ascii="宋体" w:hAnsi="宋体" w:cs="仿宋_GB2312"/>
          <w:sz w:val="24"/>
          <w:highlight w:val="none"/>
        </w:rPr>
        <w:t>报价一经涂改，应在涂改处加盖供应商公章或者加盖电子签章或者由法定代表人或者授权委托人签字</w:t>
      </w:r>
      <w:r>
        <w:rPr>
          <w:rFonts w:hint="eastAsia" w:ascii="宋体" w:hAnsi="宋体"/>
          <w:sz w:val="24"/>
          <w:highlight w:val="none"/>
        </w:rPr>
        <w:t>（或者电子签名）</w:t>
      </w:r>
      <w:r>
        <w:rPr>
          <w:rFonts w:hint="eastAsia" w:ascii="宋体" w:hAnsi="宋体" w:cs="仿宋_GB2312"/>
          <w:b/>
          <w:sz w:val="24"/>
          <w:highlight w:val="none"/>
        </w:rPr>
        <w:t>，否则其响应文件按无效处理。</w:t>
      </w:r>
    </w:p>
    <w:p w14:paraId="4ACF61D9">
      <w:pPr>
        <w:spacing w:line="360" w:lineRule="auto"/>
        <w:ind w:firstLine="480" w:firstLineChars="200"/>
        <w:contextualSpacing/>
        <w:jc w:val="left"/>
        <w:rPr>
          <w:rFonts w:hint="eastAsia" w:ascii="宋体" w:hAnsi="宋体" w:cs="仿宋_GB2312"/>
          <w:b/>
          <w:sz w:val="24"/>
          <w:highlight w:val="none"/>
        </w:rPr>
      </w:pPr>
      <w:r>
        <w:rPr>
          <w:rFonts w:ascii="宋体" w:hAnsi="宋体" w:cs="仿宋_GB2312"/>
          <w:sz w:val="24"/>
          <w:highlight w:val="none"/>
        </w:rPr>
        <w:t>3</w:t>
      </w:r>
      <w:r>
        <w:rPr>
          <w:rFonts w:hint="eastAsia" w:ascii="宋体" w:hAnsi="宋体" w:cs="仿宋_GB2312"/>
          <w:sz w:val="24"/>
          <w:highlight w:val="none"/>
        </w:rPr>
        <w:t>.如为联合体竞标，“供应商名称”处必须列明联合体各方名称，标注联合体牵头人名称，</w:t>
      </w:r>
      <w:r>
        <w:rPr>
          <w:rFonts w:hint="eastAsia" w:ascii="宋体" w:hAnsi="宋体" w:cs="仿宋_GB2312"/>
          <w:b/>
          <w:sz w:val="24"/>
          <w:highlight w:val="none"/>
        </w:rPr>
        <w:t>否则其响应文件按无效响应处理。</w:t>
      </w:r>
    </w:p>
    <w:p w14:paraId="10E99B60">
      <w:pPr>
        <w:spacing w:line="360" w:lineRule="auto"/>
        <w:ind w:firstLine="480" w:firstLineChars="200"/>
        <w:contextualSpacing/>
        <w:jc w:val="left"/>
        <w:rPr>
          <w:rFonts w:hint="eastAsia" w:ascii="宋体" w:hAnsi="宋体" w:cs="仿宋_GB2312"/>
          <w:sz w:val="24"/>
          <w:highlight w:val="none"/>
        </w:rPr>
      </w:pPr>
      <w:r>
        <w:rPr>
          <w:rFonts w:ascii="宋体" w:hAnsi="宋体" w:cs="仿宋_GB2312"/>
          <w:sz w:val="24"/>
          <w:highlight w:val="none"/>
        </w:rPr>
        <w:t>4</w:t>
      </w:r>
      <w:r>
        <w:rPr>
          <w:rFonts w:hint="eastAsia" w:ascii="宋体" w:hAnsi="宋体" w:cs="仿宋_GB2312"/>
          <w:sz w:val="24"/>
          <w:highlight w:val="none"/>
        </w:rPr>
        <w:t>. 如为联合体竞标，</w:t>
      </w:r>
      <w:r>
        <w:rPr>
          <w:rFonts w:hint="eastAsia" w:ascii="宋体" w:hAnsi="宋体"/>
          <w:spacing w:val="-6"/>
          <w:sz w:val="24"/>
          <w:highlight w:val="none"/>
        </w:rPr>
        <w:t>盖章处须加盖联合体牵头人电子签章</w:t>
      </w:r>
      <w:r>
        <w:rPr>
          <w:rFonts w:hint="eastAsia" w:ascii="宋体" w:hAnsi="宋体" w:cs="仿宋_GB2312"/>
          <w:sz w:val="24"/>
          <w:highlight w:val="none"/>
        </w:rPr>
        <w:t>，</w:t>
      </w:r>
      <w:r>
        <w:rPr>
          <w:rFonts w:hint="eastAsia" w:ascii="宋体" w:hAnsi="宋体" w:cs="仿宋_GB2312"/>
          <w:b/>
          <w:sz w:val="24"/>
          <w:highlight w:val="none"/>
        </w:rPr>
        <w:t>否则其响应文件按无效处理。</w:t>
      </w:r>
    </w:p>
    <w:p w14:paraId="6CFA67AC">
      <w:pPr>
        <w:spacing w:line="360" w:lineRule="auto"/>
        <w:ind w:firstLine="480" w:firstLineChars="200"/>
        <w:contextualSpacing/>
        <w:rPr>
          <w:rFonts w:hint="eastAsia" w:ascii="宋体" w:hAnsi="宋体" w:cs="仿宋_GB2312"/>
          <w:sz w:val="24"/>
          <w:highlight w:val="none"/>
        </w:rPr>
      </w:pPr>
      <w:r>
        <w:rPr>
          <w:rFonts w:ascii="宋体" w:hAnsi="宋体" w:cs="仿宋_GB2312"/>
          <w:sz w:val="24"/>
          <w:highlight w:val="none"/>
        </w:rPr>
        <w:t>5</w:t>
      </w:r>
      <w:r>
        <w:rPr>
          <w:rFonts w:hint="eastAsia" w:ascii="宋体" w:hAnsi="宋体" w:cs="仿宋_GB2312"/>
          <w:sz w:val="24"/>
          <w:highlight w:val="none"/>
        </w:rPr>
        <w:t>.</w:t>
      </w:r>
      <w:r>
        <w:rPr>
          <w:rFonts w:hint="eastAsia" w:ascii="宋体" w:hAnsi="宋体" w:cs="仿宋_GB2312"/>
          <w:spacing w:val="-6"/>
          <w:sz w:val="24"/>
          <w:highlight w:val="none"/>
        </w:rPr>
        <w:t>如有多分标，分别列明各分标的报价表，</w:t>
      </w:r>
      <w:r>
        <w:rPr>
          <w:rFonts w:hint="eastAsia" w:ascii="宋体" w:hAnsi="宋体" w:cs="仿宋_GB2312"/>
          <w:b/>
          <w:spacing w:val="-6"/>
          <w:sz w:val="24"/>
          <w:highlight w:val="none"/>
        </w:rPr>
        <w:t>否则其响应文件按无效响应处理。</w:t>
      </w:r>
    </w:p>
    <w:p w14:paraId="5D681B5B">
      <w:pPr>
        <w:spacing w:line="360" w:lineRule="auto"/>
        <w:ind w:right="-817" w:rightChars="-389"/>
        <w:contextualSpacing/>
        <w:rPr>
          <w:rFonts w:hint="eastAsia" w:ascii="宋体" w:hAnsi="宋体" w:cs="仿宋_GB2312"/>
          <w:sz w:val="24"/>
          <w:highlight w:val="none"/>
        </w:rPr>
      </w:pPr>
    </w:p>
    <w:p w14:paraId="7DEE6538">
      <w:pPr>
        <w:spacing w:line="360" w:lineRule="auto"/>
        <w:ind w:right="-817" w:rightChars="-389" w:firstLine="2640" w:firstLineChars="1100"/>
        <w:contextualSpacing/>
        <w:rPr>
          <w:rFonts w:hint="eastAsia" w:ascii="宋体" w:hAnsi="宋体" w:cs="仿宋_GB2312"/>
          <w:sz w:val="24"/>
          <w:highlight w:val="none"/>
        </w:rPr>
      </w:pPr>
      <w:r>
        <w:rPr>
          <w:rFonts w:hint="eastAsia" w:ascii="宋体" w:hAnsi="宋体" w:cs="仿宋_GB2312"/>
          <w:sz w:val="24"/>
          <w:highlight w:val="none"/>
        </w:rPr>
        <w:t>法定代表人或者委托代理人（签字或者电子签名）：</w:t>
      </w:r>
    </w:p>
    <w:p w14:paraId="3DAE1C84">
      <w:pPr>
        <w:spacing w:line="360" w:lineRule="auto"/>
        <w:ind w:right="-817" w:rightChars="-389" w:firstLine="2640" w:firstLineChars="1100"/>
        <w:contextualSpacing/>
        <w:rPr>
          <w:rFonts w:hint="eastAsia" w:ascii="宋体" w:hAnsi="宋体" w:cs="仿宋_GB2312"/>
          <w:sz w:val="24"/>
          <w:highlight w:val="none"/>
        </w:rPr>
      </w:pPr>
      <w:r>
        <w:rPr>
          <w:rFonts w:hint="eastAsia" w:ascii="宋体" w:hAnsi="宋体" w:cs="仿宋_GB2312"/>
          <w:sz w:val="24"/>
          <w:highlight w:val="none"/>
        </w:rPr>
        <w:t>供应商（电子签章）：</w:t>
      </w:r>
    </w:p>
    <w:p w14:paraId="5B88C181">
      <w:pPr>
        <w:spacing w:line="360" w:lineRule="auto"/>
        <w:ind w:right="-817" w:rightChars="-389" w:firstLine="4080" w:firstLineChars="1700"/>
        <w:contextualSpacing/>
        <w:rPr>
          <w:rFonts w:hint="eastAsia" w:ascii="宋体" w:hAnsi="宋体" w:cs="仿宋_GB2312"/>
          <w:b/>
          <w:sz w:val="24"/>
          <w:highlight w:val="none"/>
        </w:rPr>
      </w:pPr>
      <w:r>
        <w:rPr>
          <w:rFonts w:hint="eastAsia" w:ascii="宋体" w:hAnsi="宋体" w:cs="仿宋_GB2312"/>
          <w:sz w:val="24"/>
          <w:highlight w:val="none"/>
        </w:rPr>
        <w:t>日期：年月日</w:t>
      </w:r>
    </w:p>
    <w:p w14:paraId="28744BA1">
      <w:pPr>
        <w:spacing w:line="360" w:lineRule="auto"/>
        <w:ind w:right="420"/>
        <w:contextualSpacing/>
        <w:jc w:val="left"/>
        <w:rPr>
          <w:rFonts w:hint="eastAsia" w:ascii="宋体" w:hAnsi="宋体"/>
          <w:b/>
          <w:sz w:val="32"/>
          <w:szCs w:val="32"/>
          <w:highlight w:val="none"/>
        </w:rPr>
      </w:pPr>
      <w:r>
        <w:rPr>
          <w:rFonts w:ascii="宋体" w:hAnsi="宋体"/>
          <w:b/>
          <w:bCs/>
          <w:sz w:val="32"/>
          <w:szCs w:val="32"/>
          <w:highlight w:val="none"/>
        </w:rPr>
        <w:br w:type="page"/>
      </w:r>
      <w:r>
        <w:rPr>
          <w:rFonts w:hint="eastAsia" w:ascii="宋体" w:hAnsi="宋体"/>
          <w:b/>
          <w:bCs/>
          <w:sz w:val="32"/>
          <w:szCs w:val="32"/>
          <w:highlight w:val="none"/>
        </w:rPr>
        <w:t>三、</w:t>
      </w:r>
      <w:r>
        <w:rPr>
          <w:rFonts w:hint="eastAsia" w:ascii="宋体" w:hAnsi="宋体"/>
          <w:b/>
          <w:sz w:val="32"/>
          <w:szCs w:val="32"/>
          <w:highlight w:val="none"/>
        </w:rPr>
        <w:t>商务技术文件格式</w:t>
      </w:r>
    </w:p>
    <w:p w14:paraId="10862A32">
      <w:pPr>
        <w:snapToGrid w:val="0"/>
        <w:spacing w:before="156" w:beforeLines="50" w:after="50" w:line="360" w:lineRule="auto"/>
        <w:jc w:val="left"/>
        <w:rPr>
          <w:rFonts w:hint="eastAsia" w:ascii="宋体" w:hAnsi="宋体"/>
          <w:b/>
          <w:sz w:val="32"/>
          <w:szCs w:val="32"/>
          <w:highlight w:val="none"/>
        </w:rPr>
      </w:pPr>
      <w:r>
        <w:rPr>
          <w:rFonts w:hint="eastAsia" w:ascii="宋体" w:hAnsi="宋体"/>
          <w:b/>
          <w:sz w:val="32"/>
          <w:szCs w:val="32"/>
          <w:highlight w:val="none"/>
        </w:rPr>
        <w:t>1.商务技术文件封面格式</w:t>
      </w:r>
    </w:p>
    <w:p w14:paraId="060D7751">
      <w:pPr>
        <w:snapToGrid w:val="0"/>
        <w:spacing w:before="156" w:beforeLines="50" w:after="50"/>
        <w:rPr>
          <w:rFonts w:hint="eastAsia" w:ascii="宋体" w:hAnsi="宋体"/>
          <w:bCs/>
          <w:sz w:val="32"/>
          <w:szCs w:val="20"/>
          <w:highlight w:val="none"/>
        </w:rPr>
      </w:pPr>
    </w:p>
    <w:p w14:paraId="4DA705EA">
      <w:pPr>
        <w:snapToGrid w:val="0"/>
        <w:spacing w:before="156" w:beforeLines="50" w:after="50"/>
        <w:jc w:val="center"/>
        <w:rPr>
          <w:rFonts w:hint="eastAsia" w:ascii="宋体" w:hAnsi="宋体"/>
          <w:sz w:val="24"/>
          <w:szCs w:val="20"/>
          <w:highlight w:val="none"/>
        </w:rPr>
      </w:pPr>
      <w:r>
        <w:rPr>
          <w:rFonts w:hint="eastAsia" w:ascii="宋体" w:hAnsi="宋体"/>
          <w:sz w:val="44"/>
          <w:szCs w:val="44"/>
          <w:highlight w:val="none"/>
        </w:rPr>
        <w:t>电子响应文件</w:t>
      </w:r>
    </w:p>
    <w:p w14:paraId="1B9AB149">
      <w:pPr>
        <w:snapToGrid w:val="0"/>
        <w:spacing w:before="156" w:beforeLines="50" w:after="50"/>
        <w:rPr>
          <w:rFonts w:hint="eastAsia" w:ascii="宋体" w:hAnsi="宋体"/>
          <w:sz w:val="24"/>
          <w:szCs w:val="20"/>
          <w:highlight w:val="none"/>
        </w:rPr>
      </w:pPr>
    </w:p>
    <w:p w14:paraId="188FF7BE">
      <w:pPr>
        <w:snapToGrid w:val="0"/>
        <w:spacing w:before="156" w:beforeLines="50" w:after="50"/>
        <w:rPr>
          <w:rFonts w:hint="eastAsia" w:ascii="宋体" w:hAnsi="宋体"/>
          <w:sz w:val="24"/>
          <w:szCs w:val="20"/>
          <w:highlight w:val="none"/>
        </w:rPr>
      </w:pPr>
    </w:p>
    <w:p w14:paraId="661FECAB">
      <w:pPr>
        <w:snapToGrid w:val="0"/>
        <w:spacing w:before="156" w:beforeLines="50" w:after="50"/>
        <w:jc w:val="center"/>
        <w:rPr>
          <w:rFonts w:hint="eastAsia" w:ascii="微软雅黑" w:hAnsi="微软雅黑" w:eastAsia="微软雅黑" w:cs="微软雅黑"/>
          <w:bCs/>
          <w:sz w:val="44"/>
          <w:szCs w:val="44"/>
          <w:highlight w:val="none"/>
        </w:rPr>
      </w:pPr>
      <w:r>
        <w:rPr>
          <w:rFonts w:hint="eastAsia" w:ascii="微软雅黑" w:hAnsi="微软雅黑" w:eastAsia="微软雅黑" w:cs="微软雅黑"/>
          <w:bCs/>
          <w:sz w:val="44"/>
          <w:szCs w:val="44"/>
          <w:highlight w:val="none"/>
        </w:rPr>
        <w:t>商务技术文件</w:t>
      </w:r>
    </w:p>
    <w:p w14:paraId="71C7423F">
      <w:pPr>
        <w:snapToGrid w:val="0"/>
        <w:spacing w:before="156" w:beforeLines="50" w:after="50"/>
        <w:rPr>
          <w:rFonts w:hint="eastAsia" w:ascii="宋体" w:hAnsi="宋体"/>
          <w:bCs/>
          <w:sz w:val="24"/>
          <w:szCs w:val="20"/>
          <w:highlight w:val="none"/>
        </w:rPr>
      </w:pPr>
    </w:p>
    <w:p w14:paraId="04455AD5">
      <w:pPr>
        <w:snapToGrid w:val="0"/>
        <w:spacing w:before="156" w:beforeLines="50" w:after="50"/>
        <w:rPr>
          <w:rFonts w:hint="eastAsia" w:ascii="宋体" w:hAnsi="宋体"/>
          <w:bCs/>
          <w:sz w:val="24"/>
          <w:szCs w:val="20"/>
          <w:highlight w:val="none"/>
        </w:rPr>
      </w:pPr>
    </w:p>
    <w:p w14:paraId="73BA5F3D">
      <w:pPr>
        <w:snapToGrid w:val="0"/>
        <w:spacing w:before="156" w:beforeLines="50" w:after="50"/>
        <w:rPr>
          <w:rFonts w:hint="eastAsia" w:ascii="宋体" w:hAnsi="宋体"/>
          <w:bCs/>
          <w:sz w:val="24"/>
          <w:szCs w:val="20"/>
          <w:highlight w:val="none"/>
        </w:rPr>
      </w:pPr>
    </w:p>
    <w:p w14:paraId="4FE49A66">
      <w:pPr>
        <w:snapToGrid w:val="0"/>
        <w:spacing w:before="156" w:beforeLines="50" w:after="50"/>
        <w:rPr>
          <w:rFonts w:hint="eastAsia" w:ascii="宋体" w:hAnsi="宋体"/>
          <w:bCs/>
          <w:sz w:val="24"/>
          <w:szCs w:val="20"/>
          <w:highlight w:val="none"/>
        </w:rPr>
      </w:pPr>
    </w:p>
    <w:p w14:paraId="100422FC">
      <w:pPr>
        <w:snapToGrid w:val="0"/>
        <w:spacing w:before="156" w:beforeLines="50" w:after="50"/>
        <w:rPr>
          <w:rFonts w:hint="eastAsia" w:ascii="宋体" w:hAnsi="宋体"/>
          <w:bCs/>
          <w:sz w:val="24"/>
          <w:szCs w:val="20"/>
          <w:highlight w:val="none"/>
        </w:rPr>
      </w:pPr>
    </w:p>
    <w:p w14:paraId="09BECE8E">
      <w:pPr>
        <w:snapToGrid w:val="0"/>
        <w:spacing w:before="156" w:beforeLines="50" w:after="50"/>
        <w:ind w:firstLine="640" w:firstLineChars="200"/>
        <w:rPr>
          <w:rFonts w:hint="eastAsia" w:ascii="宋体" w:hAnsi="宋体" w:cs="仿宋_GB2312"/>
          <w:bCs/>
          <w:sz w:val="32"/>
          <w:szCs w:val="32"/>
          <w:highlight w:val="none"/>
        </w:rPr>
      </w:pPr>
      <w:r>
        <w:rPr>
          <w:rFonts w:hint="eastAsia" w:ascii="宋体" w:hAnsi="宋体" w:cs="仿宋_GB2312"/>
          <w:bCs/>
          <w:sz w:val="32"/>
          <w:szCs w:val="32"/>
          <w:highlight w:val="none"/>
        </w:rPr>
        <w:t>项目名称：</w:t>
      </w:r>
    </w:p>
    <w:p w14:paraId="7806C91E">
      <w:pPr>
        <w:snapToGrid w:val="0"/>
        <w:spacing w:before="156" w:beforeLines="50" w:after="50"/>
        <w:ind w:firstLine="720" w:firstLineChars="225"/>
        <w:rPr>
          <w:rFonts w:hint="eastAsia" w:ascii="宋体" w:hAnsi="宋体" w:cs="仿宋_GB2312"/>
          <w:bCs/>
          <w:sz w:val="32"/>
          <w:szCs w:val="32"/>
          <w:highlight w:val="none"/>
        </w:rPr>
      </w:pPr>
    </w:p>
    <w:p w14:paraId="375E7232">
      <w:pPr>
        <w:snapToGrid w:val="0"/>
        <w:spacing w:before="156" w:beforeLines="50" w:after="50"/>
        <w:ind w:firstLine="640" w:firstLineChars="200"/>
        <w:rPr>
          <w:rFonts w:hint="eastAsia" w:ascii="宋体" w:hAnsi="宋体" w:cs="仿宋_GB2312"/>
          <w:bCs/>
          <w:sz w:val="32"/>
          <w:szCs w:val="32"/>
          <w:highlight w:val="none"/>
        </w:rPr>
      </w:pPr>
      <w:r>
        <w:rPr>
          <w:rFonts w:hint="eastAsia" w:ascii="宋体" w:hAnsi="宋体" w:cs="仿宋_GB2312"/>
          <w:bCs/>
          <w:sz w:val="32"/>
          <w:szCs w:val="32"/>
          <w:highlight w:val="none"/>
        </w:rPr>
        <w:t>项目编号：</w:t>
      </w:r>
    </w:p>
    <w:p w14:paraId="3D4FAA07">
      <w:pPr>
        <w:snapToGrid w:val="0"/>
        <w:spacing w:before="156" w:beforeLines="50" w:after="50"/>
        <w:ind w:firstLine="720" w:firstLineChars="225"/>
        <w:rPr>
          <w:rFonts w:hint="eastAsia" w:ascii="宋体" w:hAnsi="宋体" w:cs="仿宋_GB2312"/>
          <w:bCs/>
          <w:sz w:val="32"/>
          <w:szCs w:val="32"/>
          <w:highlight w:val="none"/>
        </w:rPr>
      </w:pPr>
    </w:p>
    <w:p w14:paraId="343A9B6C">
      <w:pPr>
        <w:snapToGrid w:val="0"/>
        <w:spacing w:before="156" w:beforeLines="50" w:after="50"/>
        <w:ind w:firstLine="640" w:firstLineChars="200"/>
        <w:rPr>
          <w:rFonts w:hint="eastAsia" w:ascii="宋体" w:hAnsi="宋体" w:cs="仿宋_GB2312"/>
          <w:bCs/>
          <w:sz w:val="32"/>
          <w:szCs w:val="32"/>
          <w:highlight w:val="none"/>
        </w:rPr>
      </w:pPr>
      <w:r>
        <w:rPr>
          <w:rFonts w:hint="eastAsia" w:ascii="宋体" w:hAnsi="宋体" w:cs="仿宋_GB2312"/>
          <w:bCs/>
          <w:sz w:val="32"/>
          <w:szCs w:val="32"/>
          <w:highlight w:val="none"/>
        </w:rPr>
        <w:t>所竞分标（如有则填写，无分标时填写“无”或者留空）：</w:t>
      </w:r>
    </w:p>
    <w:p w14:paraId="47693FA6">
      <w:pPr>
        <w:snapToGrid w:val="0"/>
        <w:spacing w:before="156" w:beforeLines="50" w:after="50"/>
        <w:ind w:firstLine="720" w:firstLineChars="225"/>
        <w:rPr>
          <w:rFonts w:hint="eastAsia" w:ascii="宋体" w:hAnsi="宋体" w:cs="仿宋_GB2312"/>
          <w:bCs/>
          <w:sz w:val="32"/>
          <w:szCs w:val="32"/>
          <w:highlight w:val="none"/>
        </w:rPr>
      </w:pPr>
    </w:p>
    <w:p w14:paraId="2BBB8CBC">
      <w:pPr>
        <w:pStyle w:val="9"/>
        <w:snapToGrid w:val="0"/>
        <w:spacing w:before="50" w:after="50"/>
        <w:ind w:firstLine="640" w:firstLineChars="200"/>
        <w:rPr>
          <w:rFonts w:hint="eastAsia" w:ascii="宋体" w:hAnsi="宋体" w:cs="仿宋_GB2312"/>
          <w:bCs/>
          <w:sz w:val="32"/>
          <w:szCs w:val="32"/>
          <w:highlight w:val="none"/>
        </w:rPr>
      </w:pPr>
      <w:r>
        <w:rPr>
          <w:rFonts w:hint="eastAsia" w:ascii="宋体" w:hAnsi="宋体" w:cs="仿宋_GB2312"/>
          <w:bCs/>
          <w:sz w:val="32"/>
          <w:szCs w:val="32"/>
          <w:highlight w:val="none"/>
        </w:rPr>
        <w:t>供应商名称：</w:t>
      </w:r>
    </w:p>
    <w:p w14:paraId="5512E26F">
      <w:pPr>
        <w:pStyle w:val="9"/>
        <w:snapToGrid w:val="0"/>
        <w:spacing w:before="50" w:after="50"/>
        <w:ind w:firstLine="640" w:firstLineChars="200"/>
        <w:rPr>
          <w:rFonts w:hint="eastAsia" w:ascii="宋体" w:hAnsi="宋体" w:cs="仿宋_GB2312"/>
          <w:bCs/>
          <w:sz w:val="32"/>
          <w:szCs w:val="32"/>
          <w:highlight w:val="none"/>
        </w:rPr>
      </w:pPr>
    </w:p>
    <w:p w14:paraId="5085A9DE">
      <w:pPr>
        <w:pStyle w:val="9"/>
        <w:snapToGrid w:val="0"/>
        <w:spacing w:before="50" w:after="50"/>
        <w:ind w:firstLine="720" w:firstLineChars="225"/>
        <w:rPr>
          <w:rFonts w:hint="eastAsia" w:ascii="宋体" w:hAnsi="宋体" w:cs="仿宋_GB2312"/>
          <w:bCs/>
          <w:sz w:val="32"/>
          <w:szCs w:val="32"/>
          <w:highlight w:val="none"/>
        </w:rPr>
      </w:pPr>
    </w:p>
    <w:p w14:paraId="32D298EB">
      <w:pPr>
        <w:pStyle w:val="9"/>
        <w:snapToGrid w:val="0"/>
        <w:spacing w:before="50" w:after="50"/>
        <w:ind w:firstLine="0"/>
        <w:rPr>
          <w:rFonts w:hint="eastAsia" w:ascii="宋体" w:hAnsi="宋体" w:cs="仿宋_GB2312"/>
          <w:bCs/>
          <w:sz w:val="32"/>
          <w:szCs w:val="32"/>
          <w:highlight w:val="none"/>
        </w:rPr>
      </w:pPr>
    </w:p>
    <w:p w14:paraId="54413F18">
      <w:pPr>
        <w:pStyle w:val="9"/>
        <w:snapToGrid w:val="0"/>
        <w:spacing w:before="50" w:after="50"/>
        <w:ind w:firstLine="1280" w:firstLineChars="400"/>
        <w:rPr>
          <w:rFonts w:hint="eastAsia" w:ascii="宋体" w:hAnsi="宋体" w:cs="仿宋_GB2312"/>
          <w:bCs/>
          <w:sz w:val="32"/>
          <w:szCs w:val="32"/>
          <w:highlight w:val="none"/>
        </w:rPr>
      </w:pPr>
    </w:p>
    <w:p w14:paraId="661E5FBF">
      <w:pPr>
        <w:snapToGrid w:val="0"/>
        <w:spacing w:before="156" w:beforeLines="50" w:after="50"/>
        <w:jc w:val="center"/>
        <w:rPr>
          <w:rFonts w:hint="eastAsia" w:ascii="宋体" w:hAnsi="宋体" w:cs="仿宋_GB2312"/>
          <w:sz w:val="32"/>
          <w:szCs w:val="32"/>
          <w:highlight w:val="none"/>
        </w:rPr>
      </w:pPr>
      <w:r>
        <w:rPr>
          <w:rFonts w:hint="eastAsia" w:ascii="宋体" w:hAnsi="宋体" w:cs="仿宋_GB2312"/>
          <w:sz w:val="32"/>
          <w:szCs w:val="32"/>
          <w:highlight w:val="none"/>
        </w:rPr>
        <w:t>年月日</w:t>
      </w:r>
    </w:p>
    <w:p w14:paraId="364C0F09">
      <w:pPr>
        <w:snapToGrid w:val="0"/>
        <w:spacing w:before="156" w:beforeLines="50" w:after="50" w:line="360" w:lineRule="auto"/>
        <w:ind w:right="480" w:firstLine="240" w:firstLineChars="100"/>
        <w:jc w:val="left"/>
        <w:rPr>
          <w:rFonts w:hint="eastAsia" w:ascii="宋体" w:hAnsi="宋体"/>
          <w:b/>
          <w:bCs/>
          <w:sz w:val="24"/>
          <w:highlight w:val="none"/>
        </w:rPr>
      </w:pPr>
      <w:r>
        <w:rPr>
          <w:rFonts w:ascii="宋体" w:hAnsi="宋体"/>
          <w:sz w:val="24"/>
          <w:highlight w:val="none"/>
        </w:rPr>
        <w:br w:type="page"/>
      </w:r>
      <w:r>
        <w:rPr>
          <w:rFonts w:hint="eastAsia" w:ascii="宋体" w:hAnsi="宋体"/>
          <w:b/>
          <w:bCs/>
          <w:sz w:val="32"/>
          <w:szCs w:val="32"/>
          <w:highlight w:val="none"/>
        </w:rPr>
        <w:t>2.商务技术文件目录</w:t>
      </w:r>
    </w:p>
    <w:p w14:paraId="1EE98E49">
      <w:pPr>
        <w:snapToGrid w:val="0"/>
        <w:spacing w:before="156" w:beforeLines="50" w:after="50" w:line="360" w:lineRule="auto"/>
        <w:ind w:firstLine="640" w:firstLineChars="200"/>
        <w:rPr>
          <w:rFonts w:hint="eastAsia" w:ascii="宋体" w:hAnsi="宋体"/>
          <w:sz w:val="32"/>
          <w:szCs w:val="32"/>
          <w:highlight w:val="none"/>
        </w:rPr>
      </w:pPr>
      <w:r>
        <w:rPr>
          <w:rFonts w:hint="eastAsia" w:ascii="宋体" w:hAnsi="宋体"/>
          <w:sz w:val="32"/>
          <w:szCs w:val="32"/>
          <w:highlight w:val="none"/>
        </w:rPr>
        <w:t>根据磋商文件规定及供应商提供的材料自行编写目录（部分格式后附）。</w:t>
      </w:r>
    </w:p>
    <w:p w14:paraId="01043AF9">
      <w:pPr>
        <w:spacing w:line="400" w:lineRule="exact"/>
        <w:rPr>
          <w:rFonts w:hint="eastAsia" w:ascii="仿宋_GB2312" w:hAnsi="仿宋_GB2312" w:eastAsia="仿宋_GB2312" w:cs="仿宋_GB2312"/>
          <w:sz w:val="32"/>
          <w:szCs w:val="32"/>
          <w:highlight w:val="none"/>
        </w:rPr>
      </w:pPr>
    </w:p>
    <w:p w14:paraId="1A571BA1">
      <w:pPr>
        <w:spacing w:line="520" w:lineRule="exact"/>
        <w:jc w:val="center"/>
        <w:rPr>
          <w:rFonts w:hint="eastAsia" w:ascii="仿宋_GB2312" w:hAnsi="仿宋_GB2312" w:eastAsia="仿宋_GB2312" w:cs="仿宋_GB2312"/>
          <w:sz w:val="32"/>
          <w:szCs w:val="32"/>
          <w:highlight w:val="none"/>
        </w:rPr>
      </w:pPr>
      <w:r>
        <w:rPr>
          <w:rFonts w:hint="eastAsia" w:ascii="微软雅黑" w:hAnsi="微软雅黑" w:eastAsia="微软雅黑" w:cs="微软雅黑"/>
          <w:sz w:val="44"/>
          <w:szCs w:val="44"/>
          <w:highlight w:val="none"/>
        </w:rPr>
        <w:br w:type="page"/>
      </w:r>
      <w:r>
        <w:rPr>
          <w:rFonts w:hint="eastAsia" w:ascii="微软雅黑" w:hAnsi="微软雅黑" w:eastAsia="微软雅黑" w:cs="微软雅黑"/>
          <w:sz w:val="44"/>
          <w:szCs w:val="44"/>
          <w:highlight w:val="none"/>
        </w:rPr>
        <w:t>无串通竞标行为的承诺函</w:t>
      </w:r>
    </w:p>
    <w:p w14:paraId="1ACBB9AC">
      <w:pPr>
        <w:spacing w:line="360" w:lineRule="auto"/>
        <w:ind w:firstLine="640" w:firstLineChars="200"/>
        <w:contextualSpacing/>
        <w:rPr>
          <w:rFonts w:hint="eastAsia" w:ascii="仿宋_GB2312" w:hAnsi="仿宋_GB2312" w:eastAsia="仿宋_GB2312" w:cs="仿宋_GB2312"/>
          <w:sz w:val="32"/>
          <w:szCs w:val="32"/>
          <w:highlight w:val="none"/>
        </w:rPr>
      </w:pPr>
    </w:p>
    <w:p w14:paraId="149EB3B9">
      <w:pPr>
        <w:spacing w:line="360" w:lineRule="auto"/>
        <w:ind w:firstLine="482" w:firstLineChars="200"/>
        <w:contextualSpacing/>
        <w:rPr>
          <w:rFonts w:hint="eastAsia" w:ascii="宋体" w:hAnsi="宋体" w:cs="仿宋_GB2312"/>
          <w:b/>
          <w:bCs/>
          <w:sz w:val="24"/>
          <w:highlight w:val="none"/>
        </w:rPr>
      </w:pPr>
      <w:r>
        <w:rPr>
          <w:rFonts w:hint="eastAsia" w:ascii="宋体" w:hAnsi="宋体" w:cs="仿宋_GB2312"/>
          <w:b/>
          <w:bCs/>
          <w:sz w:val="24"/>
          <w:highlight w:val="none"/>
        </w:rPr>
        <w:t>一、我方承诺无下列相互串通竞标的情形：</w:t>
      </w:r>
    </w:p>
    <w:p w14:paraId="27616CD4">
      <w:pPr>
        <w:spacing w:line="360" w:lineRule="auto"/>
        <w:ind w:firstLine="480" w:firstLineChars="200"/>
        <w:contextualSpacing/>
        <w:rPr>
          <w:rFonts w:hint="eastAsia" w:ascii="宋体" w:hAnsi="宋体" w:cs="仿宋_GB2312"/>
          <w:sz w:val="24"/>
          <w:highlight w:val="none"/>
        </w:rPr>
      </w:pPr>
      <w:r>
        <w:rPr>
          <w:rFonts w:hint="eastAsia" w:ascii="宋体" w:hAnsi="宋体" w:cs="仿宋_GB2312"/>
          <w:sz w:val="24"/>
          <w:highlight w:val="none"/>
        </w:rPr>
        <w:t>1.不同供应商的响应文件由同一单位或者个人编制；</w:t>
      </w:r>
    </w:p>
    <w:p w14:paraId="5F98CE14">
      <w:pPr>
        <w:spacing w:line="360" w:lineRule="auto"/>
        <w:ind w:firstLine="480" w:firstLineChars="200"/>
        <w:contextualSpacing/>
        <w:rPr>
          <w:rFonts w:hint="eastAsia" w:ascii="宋体" w:hAnsi="宋体" w:cs="仿宋_GB2312"/>
          <w:sz w:val="24"/>
          <w:highlight w:val="none"/>
        </w:rPr>
      </w:pPr>
      <w:r>
        <w:rPr>
          <w:rFonts w:hint="eastAsia" w:ascii="宋体" w:hAnsi="宋体" w:cs="仿宋_GB2312"/>
          <w:sz w:val="24"/>
          <w:highlight w:val="none"/>
        </w:rPr>
        <w:t>2.不同供应商委托同一单位或者个人办理竞标事宜；</w:t>
      </w:r>
    </w:p>
    <w:p w14:paraId="0426BB49">
      <w:pPr>
        <w:spacing w:line="360" w:lineRule="auto"/>
        <w:ind w:firstLine="480" w:firstLineChars="200"/>
        <w:contextualSpacing/>
        <w:rPr>
          <w:rFonts w:hint="eastAsia" w:ascii="宋体" w:hAnsi="宋体" w:cs="仿宋_GB2312"/>
          <w:sz w:val="24"/>
          <w:highlight w:val="none"/>
        </w:rPr>
      </w:pPr>
      <w:r>
        <w:rPr>
          <w:rFonts w:hint="eastAsia" w:ascii="宋体" w:hAnsi="宋体" w:cs="仿宋_GB2312"/>
          <w:sz w:val="24"/>
          <w:highlight w:val="none"/>
        </w:rPr>
        <w:t>3.不同供应商的响应文件载明的项目管理员为同一个人；</w:t>
      </w:r>
    </w:p>
    <w:p w14:paraId="5CEB8B6D">
      <w:pPr>
        <w:spacing w:line="360" w:lineRule="auto"/>
        <w:ind w:firstLine="480" w:firstLineChars="200"/>
        <w:contextualSpacing/>
        <w:rPr>
          <w:rFonts w:hint="eastAsia" w:ascii="宋体" w:hAnsi="宋体" w:cs="仿宋_GB2312"/>
          <w:sz w:val="24"/>
          <w:highlight w:val="none"/>
        </w:rPr>
      </w:pPr>
      <w:r>
        <w:rPr>
          <w:rFonts w:hint="eastAsia" w:ascii="宋体" w:hAnsi="宋体" w:cs="仿宋_GB2312"/>
          <w:sz w:val="24"/>
          <w:highlight w:val="none"/>
        </w:rPr>
        <w:t>4.不</w:t>
      </w:r>
      <w:r>
        <w:rPr>
          <w:rFonts w:hint="eastAsia" w:ascii="宋体" w:hAnsi="宋体" w:cs="仿宋_GB2312"/>
          <w:spacing w:val="-6"/>
          <w:sz w:val="24"/>
          <w:highlight w:val="none"/>
        </w:rPr>
        <w:t>同供应商的响应文件异常一致或者竞标报价呈规律性差异；</w:t>
      </w:r>
    </w:p>
    <w:p w14:paraId="5350BF5F">
      <w:pPr>
        <w:spacing w:line="360" w:lineRule="auto"/>
        <w:ind w:firstLine="480" w:firstLineChars="200"/>
        <w:contextualSpacing/>
        <w:rPr>
          <w:rFonts w:hint="eastAsia" w:ascii="宋体" w:hAnsi="宋体" w:cs="仿宋_GB2312"/>
          <w:sz w:val="24"/>
          <w:highlight w:val="none"/>
        </w:rPr>
      </w:pPr>
      <w:r>
        <w:rPr>
          <w:rFonts w:hint="eastAsia" w:ascii="宋体" w:hAnsi="宋体" w:cs="仿宋_GB2312"/>
          <w:sz w:val="24"/>
          <w:highlight w:val="none"/>
        </w:rPr>
        <w:t>5.不同供应商的响应文件相互混装；</w:t>
      </w:r>
    </w:p>
    <w:p w14:paraId="5BCA7321">
      <w:pPr>
        <w:spacing w:line="360" w:lineRule="auto"/>
        <w:ind w:firstLine="480" w:firstLineChars="200"/>
        <w:contextualSpacing/>
        <w:rPr>
          <w:rFonts w:hint="eastAsia" w:ascii="宋体" w:hAnsi="宋体" w:cs="仿宋_GB2312"/>
          <w:sz w:val="24"/>
          <w:highlight w:val="none"/>
        </w:rPr>
      </w:pPr>
      <w:r>
        <w:rPr>
          <w:rFonts w:hint="eastAsia" w:ascii="宋体" w:hAnsi="宋体" w:cs="仿宋_GB2312"/>
          <w:sz w:val="24"/>
          <w:highlight w:val="none"/>
        </w:rPr>
        <w:t>6.不同供应商的磋商保证金从同一单位或者个人账户转出。</w:t>
      </w:r>
    </w:p>
    <w:p w14:paraId="00AFAE1B">
      <w:pPr>
        <w:spacing w:line="360" w:lineRule="auto"/>
        <w:ind w:firstLine="482" w:firstLineChars="200"/>
        <w:contextualSpacing/>
        <w:rPr>
          <w:rFonts w:hint="eastAsia" w:ascii="宋体" w:hAnsi="宋体" w:cs="仿宋_GB2312"/>
          <w:b/>
          <w:bCs/>
          <w:sz w:val="24"/>
          <w:highlight w:val="none"/>
        </w:rPr>
      </w:pPr>
      <w:r>
        <w:rPr>
          <w:rFonts w:hint="eastAsia" w:ascii="宋体" w:hAnsi="宋体" w:cs="仿宋_GB2312"/>
          <w:b/>
          <w:bCs/>
          <w:sz w:val="24"/>
          <w:highlight w:val="none"/>
        </w:rPr>
        <w:t>二、我方承诺无下列恶意串通的情形：</w:t>
      </w:r>
    </w:p>
    <w:p w14:paraId="6EB6F19C">
      <w:pPr>
        <w:spacing w:line="360" w:lineRule="auto"/>
        <w:ind w:firstLine="480" w:firstLineChars="200"/>
        <w:contextualSpacing/>
        <w:rPr>
          <w:rFonts w:hint="eastAsia" w:ascii="宋体" w:hAnsi="宋体" w:cs="仿宋_GB2312"/>
          <w:sz w:val="24"/>
          <w:highlight w:val="none"/>
        </w:rPr>
      </w:pPr>
      <w:r>
        <w:rPr>
          <w:rFonts w:hint="eastAsia" w:ascii="宋体" w:hAnsi="宋体" w:cs="仿宋_GB2312"/>
          <w:sz w:val="24"/>
          <w:highlight w:val="none"/>
        </w:rPr>
        <w:t>1.供应商直接或者间接从采购人或者采购代理机构处获得其他供应商的相关信息并修改其响应文件；</w:t>
      </w:r>
    </w:p>
    <w:p w14:paraId="7B5FE987">
      <w:pPr>
        <w:spacing w:line="360" w:lineRule="auto"/>
        <w:ind w:firstLine="480" w:firstLineChars="200"/>
        <w:contextualSpacing/>
        <w:rPr>
          <w:rFonts w:hint="eastAsia" w:ascii="宋体" w:hAnsi="宋体" w:cs="仿宋_GB2312"/>
          <w:sz w:val="24"/>
          <w:highlight w:val="none"/>
        </w:rPr>
      </w:pPr>
      <w:r>
        <w:rPr>
          <w:rFonts w:hint="eastAsia" w:ascii="宋体" w:hAnsi="宋体" w:cs="仿宋_GB2312"/>
          <w:sz w:val="24"/>
          <w:highlight w:val="none"/>
        </w:rPr>
        <w:t>2.供应商按照采购人或者采购代理机构的授意撤换、修改响应文件；</w:t>
      </w:r>
    </w:p>
    <w:p w14:paraId="298ECF2A">
      <w:pPr>
        <w:spacing w:line="360" w:lineRule="auto"/>
        <w:ind w:firstLine="480" w:firstLineChars="200"/>
        <w:contextualSpacing/>
        <w:rPr>
          <w:rFonts w:hint="eastAsia" w:ascii="宋体" w:hAnsi="宋体" w:cs="仿宋_GB2312"/>
          <w:sz w:val="24"/>
          <w:highlight w:val="none"/>
        </w:rPr>
      </w:pPr>
      <w:r>
        <w:rPr>
          <w:rFonts w:hint="eastAsia" w:ascii="宋体" w:hAnsi="宋体" w:cs="仿宋_GB2312"/>
          <w:sz w:val="24"/>
          <w:highlight w:val="none"/>
        </w:rPr>
        <w:t>3.供</w:t>
      </w:r>
      <w:r>
        <w:rPr>
          <w:rFonts w:hint="eastAsia" w:ascii="宋体" w:hAnsi="宋体" w:cs="仿宋_GB2312"/>
          <w:spacing w:val="-6"/>
          <w:sz w:val="24"/>
          <w:highlight w:val="none"/>
        </w:rPr>
        <w:t>应商之间协商报价、技术方案等响应文件的实质性内容；</w:t>
      </w:r>
    </w:p>
    <w:p w14:paraId="66AE401E">
      <w:pPr>
        <w:spacing w:line="360" w:lineRule="auto"/>
        <w:ind w:firstLine="480" w:firstLineChars="200"/>
        <w:contextualSpacing/>
        <w:rPr>
          <w:rFonts w:hint="eastAsia" w:ascii="宋体" w:hAnsi="宋体" w:cs="仿宋_GB2312"/>
          <w:sz w:val="24"/>
          <w:highlight w:val="none"/>
        </w:rPr>
      </w:pPr>
      <w:r>
        <w:rPr>
          <w:rFonts w:hint="eastAsia" w:ascii="宋体" w:hAnsi="宋体" w:cs="仿宋_GB2312"/>
          <w:sz w:val="24"/>
          <w:highlight w:val="none"/>
        </w:rPr>
        <w:t>4.属于同一集团、协会、商会等组织成员的供应商按照该组织要求协同参加政府采购活动；</w:t>
      </w:r>
    </w:p>
    <w:p w14:paraId="45DEB223">
      <w:pPr>
        <w:spacing w:line="360" w:lineRule="auto"/>
        <w:ind w:firstLine="480" w:firstLineChars="200"/>
        <w:contextualSpacing/>
        <w:rPr>
          <w:rFonts w:hint="eastAsia" w:ascii="宋体" w:hAnsi="宋体" w:cs="仿宋_GB2312"/>
          <w:sz w:val="24"/>
          <w:highlight w:val="none"/>
        </w:rPr>
      </w:pPr>
      <w:r>
        <w:rPr>
          <w:rFonts w:hint="eastAsia" w:ascii="宋体" w:hAnsi="宋体" w:cs="仿宋_GB2312"/>
          <w:sz w:val="24"/>
          <w:highlight w:val="none"/>
        </w:rPr>
        <w:t>5.供应商之间事先约定一致抬高或者压低竞标报价，或者在竞争性磋商项目中事先约定轮流以高价位或者低价位成交，或者事先约定由某一特定供应商成交，然后再参加竞标；</w:t>
      </w:r>
    </w:p>
    <w:p w14:paraId="0B64D07E">
      <w:pPr>
        <w:spacing w:line="360" w:lineRule="auto"/>
        <w:ind w:firstLine="480" w:firstLineChars="200"/>
        <w:contextualSpacing/>
        <w:rPr>
          <w:rFonts w:hint="eastAsia" w:ascii="宋体" w:hAnsi="宋体" w:cs="仿宋_GB2312"/>
          <w:sz w:val="24"/>
          <w:highlight w:val="none"/>
        </w:rPr>
      </w:pPr>
      <w:r>
        <w:rPr>
          <w:rFonts w:hint="eastAsia" w:ascii="宋体" w:hAnsi="宋体" w:cs="仿宋_GB2312"/>
          <w:sz w:val="24"/>
          <w:highlight w:val="none"/>
        </w:rPr>
        <w:t>6.供应商之间商定部分供应商放弃参加政府采购活动或者放弃成交；</w:t>
      </w:r>
    </w:p>
    <w:p w14:paraId="359F3B34">
      <w:pPr>
        <w:spacing w:line="360" w:lineRule="auto"/>
        <w:ind w:firstLine="480" w:firstLineChars="200"/>
        <w:contextualSpacing/>
        <w:rPr>
          <w:rFonts w:hint="eastAsia" w:ascii="宋体" w:hAnsi="宋体" w:cs="仿宋_GB2312"/>
          <w:sz w:val="24"/>
          <w:highlight w:val="none"/>
        </w:rPr>
      </w:pPr>
      <w:r>
        <w:rPr>
          <w:rFonts w:hint="eastAsia" w:ascii="宋体" w:hAnsi="宋体" w:cs="仿宋_GB2312"/>
          <w:sz w:val="24"/>
          <w:highlight w:val="none"/>
        </w:rPr>
        <w:t>7.供应商与采购人或者采购代理机构之间、供应商相互之间，为</w:t>
      </w:r>
      <w:r>
        <w:rPr>
          <w:rFonts w:hint="eastAsia" w:ascii="宋体" w:hAnsi="宋体" w:cs="仿宋_GB2312"/>
          <w:spacing w:val="-6"/>
          <w:sz w:val="24"/>
          <w:highlight w:val="none"/>
        </w:rPr>
        <w:t>谋求特定供应商成交或者排斥其他供应商的其他串通行为。</w:t>
      </w:r>
    </w:p>
    <w:p w14:paraId="38AF1408">
      <w:pPr>
        <w:spacing w:line="360" w:lineRule="auto"/>
        <w:ind w:firstLine="480" w:firstLineChars="200"/>
        <w:contextualSpacing/>
        <w:rPr>
          <w:rFonts w:hint="eastAsia" w:ascii="宋体" w:hAnsi="宋体" w:cs="仿宋_GB2312"/>
          <w:sz w:val="24"/>
          <w:highlight w:val="none"/>
        </w:rPr>
      </w:pPr>
    </w:p>
    <w:p w14:paraId="2FA03E17">
      <w:pPr>
        <w:spacing w:line="360" w:lineRule="auto"/>
        <w:ind w:firstLine="482" w:firstLineChars="200"/>
        <w:contextualSpacing/>
        <w:rPr>
          <w:rFonts w:hint="eastAsia" w:ascii="宋体" w:hAnsi="宋体" w:cs="仿宋_GB2312"/>
          <w:b/>
          <w:bCs/>
          <w:sz w:val="24"/>
          <w:highlight w:val="none"/>
        </w:rPr>
      </w:pPr>
      <w:r>
        <w:rPr>
          <w:rFonts w:hint="eastAsia" w:ascii="宋体" w:hAnsi="宋体" w:cs="仿宋_GB2312"/>
          <w:b/>
          <w:bCs/>
          <w:sz w:val="24"/>
          <w:highlight w:val="none"/>
        </w:rPr>
        <w:t>以上情形一经核查属实，我方愿意承担一切后果，并不再寻求任何旨在减轻或者免除法律责任的辩解。</w:t>
      </w:r>
    </w:p>
    <w:p w14:paraId="317AC143">
      <w:pPr>
        <w:spacing w:line="360" w:lineRule="auto"/>
        <w:contextualSpacing/>
        <w:rPr>
          <w:rFonts w:hint="eastAsia" w:ascii="宋体" w:hAnsi="宋体" w:cs="仿宋_GB2312"/>
          <w:sz w:val="24"/>
          <w:highlight w:val="none"/>
        </w:rPr>
      </w:pPr>
    </w:p>
    <w:p w14:paraId="4D54F710">
      <w:pPr>
        <w:spacing w:line="360" w:lineRule="auto"/>
        <w:ind w:firstLine="3600" w:firstLineChars="1500"/>
        <w:contextualSpacing/>
        <w:rPr>
          <w:rFonts w:hint="eastAsia" w:ascii="宋体" w:hAnsi="宋体" w:cs="仿宋_GB2312"/>
          <w:sz w:val="24"/>
          <w:highlight w:val="none"/>
        </w:rPr>
      </w:pPr>
      <w:r>
        <w:rPr>
          <w:rFonts w:hint="eastAsia" w:ascii="宋体" w:hAnsi="宋体" w:cs="仿宋_GB2312"/>
          <w:sz w:val="24"/>
          <w:highlight w:val="none"/>
        </w:rPr>
        <w:t>供应商（电子签章）：</w:t>
      </w:r>
    </w:p>
    <w:p w14:paraId="4F9704D7">
      <w:pPr>
        <w:spacing w:line="360" w:lineRule="auto"/>
        <w:ind w:firstLine="480" w:firstLineChars="200"/>
        <w:contextualSpacing/>
        <w:jc w:val="center"/>
        <w:rPr>
          <w:rFonts w:hint="eastAsia" w:ascii="仿宋_GB2312" w:hAnsi="仿宋_GB2312" w:eastAsia="仿宋_GB2312" w:cs="仿宋_GB2312"/>
          <w:sz w:val="32"/>
          <w:szCs w:val="32"/>
          <w:highlight w:val="none"/>
        </w:rPr>
      </w:pPr>
      <w:r>
        <w:rPr>
          <w:rFonts w:hint="eastAsia" w:ascii="宋体" w:hAnsi="宋体" w:cs="仿宋_GB2312"/>
          <w:sz w:val="24"/>
          <w:highlight w:val="none"/>
        </w:rPr>
        <w:t>年月日</w:t>
      </w:r>
    </w:p>
    <w:p w14:paraId="6FA198C0">
      <w:pPr>
        <w:spacing w:line="520" w:lineRule="exact"/>
        <w:jc w:val="center"/>
        <w:rPr>
          <w:rFonts w:hint="eastAsia" w:ascii="仿宋_GB2312" w:hAnsi="仿宋_GB2312" w:eastAsia="仿宋_GB2312" w:cs="仿宋_GB2312"/>
          <w:sz w:val="32"/>
          <w:szCs w:val="32"/>
          <w:highlight w:val="none"/>
        </w:rPr>
      </w:pPr>
      <w:r>
        <w:rPr>
          <w:rFonts w:hint="eastAsia" w:ascii="微软雅黑" w:hAnsi="微软雅黑" w:eastAsia="微软雅黑" w:cs="微软雅黑"/>
          <w:bCs/>
          <w:sz w:val="44"/>
          <w:szCs w:val="44"/>
          <w:highlight w:val="none"/>
        </w:rPr>
        <w:br w:type="page"/>
      </w:r>
      <w:r>
        <w:rPr>
          <w:rFonts w:hint="eastAsia" w:ascii="微软雅黑" w:hAnsi="微软雅黑" w:eastAsia="微软雅黑" w:cs="微软雅黑"/>
          <w:bCs/>
          <w:sz w:val="44"/>
          <w:szCs w:val="44"/>
          <w:highlight w:val="none"/>
        </w:rPr>
        <w:t>法定代表人证明书</w:t>
      </w:r>
    </w:p>
    <w:p w14:paraId="256DE621">
      <w:pPr>
        <w:spacing w:line="360" w:lineRule="auto"/>
        <w:ind w:left="540"/>
        <w:contextualSpacing/>
        <w:rPr>
          <w:rFonts w:hint="eastAsia" w:ascii="仿宋_GB2312" w:hAnsi="仿宋_GB2312" w:eastAsia="仿宋_GB2312" w:cs="仿宋_GB2312"/>
          <w:sz w:val="32"/>
          <w:szCs w:val="32"/>
          <w:highlight w:val="none"/>
        </w:rPr>
      </w:pPr>
    </w:p>
    <w:p w14:paraId="04223484">
      <w:pPr>
        <w:spacing w:line="360" w:lineRule="auto"/>
        <w:ind w:left="540"/>
        <w:contextualSpacing/>
        <w:rPr>
          <w:rFonts w:hint="eastAsia" w:ascii="宋体" w:hAnsi="宋体" w:cs="仿宋_GB2312"/>
          <w:sz w:val="24"/>
          <w:highlight w:val="none"/>
        </w:rPr>
      </w:pPr>
      <w:r>
        <w:rPr>
          <w:rFonts w:hint="eastAsia" w:ascii="宋体" w:hAnsi="宋体" w:cs="仿宋_GB2312"/>
          <w:sz w:val="24"/>
          <w:highlight w:val="none"/>
        </w:rPr>
        <w:t>供应商名称：</w:t>
      </w:r>
    </w:p>
    <w:p w14:paraId="2F456C18">
      <w:pPr>
        <w:spacing w:line="360" w:lineRule="auto"/>
        <w:ind w:left="540"/>
        <w:contextualSpacing/>
        <w:rPr>
          <w:rFonts w:hint="eastAsia" w:ascii="宋体" w:hAnsi="宋体" w:cs="仿宋_GB2312"/>
          <w:sz w:val="24"/>
          <w:highlight w:val="none"/>
        </w:rPr>
      </w:pPr>
      <w:r>
        <w:rPr>
          <w:rFonts w:hint="eastAsia" w:ascii="宋体" w:hAnsi="宋体" w:cs="仿宋_GB2312"/>
          <w:sz w:val="24"/>
          <w:highlight w:val="none"/>
        </w:rPr>
        <w:t>地址：</w:t>
      </w:r>
    </w:p>
    <w:p w14:paraId="15509AC8">
      <w:pPr>
        <w:spacing w:line="360" w:lineRule="auto"/>
        <w:ind w:left="540"/>
        <w:contextualSpacing/>
        <w:rPr>
          <w:rFonts w:hint="eastAsia" w:ascii="宋体" w:hAnsi="宋体" w:cs="仿宋_GB2312"/>
          <w:sz w:val="24"/>
          <w:highlight w:val="none"/>
        </w:rPr>
      </w:pPr>
      <w:r>
        <w:rPr>
          <w:rFonts w:hint="eastAsia" w:ascii="宋体" w:hAnsi="宋体" w:cs="仿宋_GB2312"/>
          <w:sz w:val="24"/>
          <w:highlight w:val="none"/>
        </w:rPr>
        <w:t>姓名：性别：</w:t>
      </w:r>
    </w:p>
    <w:p w14:paraId="504E97C3">
      <w:pPr>
        <w:spacing w:line="360" w:lineRule="auto"/>
        <w:ind w:left="540"/>
        <w:contextualSpacing/>
        <w:rPr>
          <w:rFonts w:hint="eastAsia" w:ascii="宋体" w:hAnsi="宋体" w:cs="仿宋_GB2312"/>
          <w:sz w:val="24"/>
          <w:highlight w:val="none"/>
          <w:u w:val="single"/>
        </w:rPr>
      </w:pPr>
      <w:r>
        <w:rPr>
          <w:rFonts w:hint="eastAsia" w:ascii="宋体" w:hAnsi="宋体" w:cs="仿宋_GB2312"/>
          <w:sz w:val="24"/>
          <w:highlight w:val="none"/>
        </w:rPr>
        <w:t>年龄：职务：</w:t>
      </w:r>
    </w:p>
    <w:p w14:paraId="7220FB03">
      <w:pPr>
        <w:spacing w:line="360" w:lineRule="auto"/>
        <w:ind w:left="540"/>
        <w:contextualSpacing/>
        <w:rPr>
          <w:rFonts w:hint="eastAsia" w:ascii="宋体" w:hAnsi="宋体" w:cs="仿宋_GB2312"/>
          <w:sz w:val="24"/>
          <w:highlight w:val="none"/>
        </w:rPr>
      </w:pPr>
      <w:r>
        <w:rPr>
          <w:rFonts w:hint="eastAsia" w:ascii="宋体" w:hAnsi="宋体" w:cs="仿宋_GB2312"/>
          <w:sz w:val="24"/>
          <w:highlight w:val="none"/>
        </w:rPr>
        <w:t>身份证号码：</w:t>
      </w:r>
    </w:p>
    <w:p w14:paraId="764AA6DC">
      <w:pPr>
        <w:spacing w:line="360" w:lineRule="auto"/>
        <w:ind w:firstLine="480" w:firstLineChars="200"/>
        <w:contextualSpacing/>
        <w:rPr>
          <w:rFonts w:hint="eastAsia" w:ascii="宋体" w:hAnsi="宋体" w:cs="仿宋_GB2312"/>
          <w:sz w:val="24"/>
          <w:highlight w:val="none"/>
        </w:rPr>
      </w:pPr>
      <w:r>
        <w:rPr>
          <w:rFonts w:hint="eastAsia" w:ascii="宋体" w:hAnsi="宋体" w:cs="仿宋_GB2312"/>
          <w:sz w:val="24"/>
          <w:highlight w:val="none"/>
        </w:rPr>
        <w:t>系</w:t>
      </w:r>
      <w:r>
        <w:rPr>
          <w:rFonts w:hint="eastAsia" w:ascii="宋体" w:hAnsi="宋体" w:cs="仿宋_GB2312"/>
          <w:sz w:val="24"/>
          <w:highlight w:val="none"/>
          <w:u w:val="single"/>
        </w:rPr>
        <w:t>（供应商名称）</w:t>
      </w:r>
      <w:r>
        <w:rPr>
          <w:rFonts w:hint="eastAsia" w:ascii="宋体" w:hAnsi="宋体" w:cs="仿宋_GB2312"/>
          <w:sz w:val="24"/>
          <w:highlight w:val="none"/>
        </w:rPr>
        <w:t>的法定代表人。</w:t>
      </w:r>
    </w:p>
    <w:p w14:paraId="28F04108">
      <w:pPr>
        <w:spacing w:line="360" w:lineRule="auto"/>
        <w:ind w:left="540"/>
        <w:contextualSpacing/>
        <w:rPr>
          <w:rFonts w:hint="eastAsia" w:ascii="宋体" w:hAnsi="宋体" w:cs="仿宋_GB2312"/>
          <w:sz w:val="24"/>
          <w:highlight w:val="none"/>
        </w:rPr>
      </w:pPr>
      <w:r>
        <w:rPr>
          <w:rFonts w:hint="eastAsia" w:ascii="宋体" w:hAnsi="宋体" w:cs="仿宋_GB2312"/>
          <w:sz w:val="24"/>
          <w:highlight w:val="none"/>
        </w:rPr>
        <w:t>特此证明。</w:t>
      </w:r>
    </w:p>
    <w:p w14:paraId="23FB942B">
      <w:pPr>
        <w:spacing w:line="360" w:lineRule="auto"/>
        <w:ind w:left="540"/>
        <w:contextualSpacing/>
        <w:rPr>
          <w:rFonts w:hint="eastAsia" w:ascii="宋体" w:hAnsi="宋体" w:cs="仿宋_GB2312"/>
          <w:sz w:val="24"/>
          <w:highlight w:val="none"/>
        </w:rPr>
      </w:pPr>
    </w:p>
    <w:p w14:paraId="056FFB4F">
      <w:pPr>
        <w:spacing w:line="360" w:lineRule="auto"/>
        <w:ind w:left="540"/>
        <w:contextualSpacing/>
        <w:rPr>
          <w:rFonts w:hint="eastAsia" w:ascii="宋体" w:hAnsi="宋体" w:cs="仿宋_GB2312"/>
          <w:sz w:val="24"/>
          <w:highlight w:val="none"/>
        </w:rPr>
      </w:pPr>
    </w:p>
    <w:p w14:paraId="3408B654">
      <w:pPr>
        <w:spacing w:line="360" w:lineRule="auto"/>
        <w:ind w:left="540"/>
        <w:contextualSpacing/>
        <w:rPr>
          <w:rFonts w:hint="eastAsia" w:ascii="宋体" w:hAnsi="宋体" w:cs="仿宋_GB2312"/>
          <w:sz w:val="24"/>
          <w:highlight w:val="none"/>
        </w:rPr>
      </w:pPr>
    </w:p>
    <w:p w14:paraId="4D4789EF">
      <w:pPr>
        <w:spacing w:line="360" w:lineRule="auto"/>
        <w:ind w:left="540"/>
        <w:contextualSpacing/>
        <w:rPr>
          <w:rFonts w:hint="eastAsia" w:ascii="宋体" w:hAnsi="宋体" w:cs="仿宋_GB2312"/>
          <w:sz w:val="24"/>
          <w:highlight w:val="none"/>
        </w:rPr>
      </w:pPr>
      <w:r>
        <w:rPr>
          <w:rFonts w:hint="eastAsia" w:ascii="宋体" w:hAnsi="宋体" w:cs="仿宋_GB2312"/>
          <w:sz w:val="24"/>
          <w:highlight w:val="none"/>
        </w:rPr>
        <w:t>附件：法定代表人有效身份证正反面复印件</w:t>
      </w:r>
    </w:p>
    <w:p w14:paraId="4C83725C">
      <w:pPr>
        <w:spacing w:line="360" w:lineRule="auto"/>
        <w:ind w:left="540"/>
        <w:contextualSpacing/>
        <w:rPr>
          <w:rFonts w:hint="eastAsia" w:ascii="宋体" w:hAnsi="宋体" w:cs="仿宋_GB2312"/>
          <w:sz w:val="24"/>
          <w:highlight w:val="none"/>
        </w:rPr>
      </w:pPr>
    </w:p>
    <w:p w14:paraId="69C719C6">
      <w:pPr>
        <w:spacing w:line="360" w:lineRule="auto"/>
        <w:ind w:left="540"/>
        <w:contextualSpacing/>
        <w:jc w:val="right"/>
        <w:rPr>
          <w:rFonts w:hint="eastAsia" w:ascii="宋体" w:hAnsi="宋体" w:cs="仿宋_GB2312"/>
          <w:sz w:val="24"/>
          <w:highlight w:val="none"/>
        </w:rPr>
      </w:pPr>
      <w:r>
        <w:rPr>
          <w:rFonts w:hint="eastAsia" w:ascii="宋体" w:hAnsi="宋体" w:cs="仿宋_GB2312"/>
          <w:sz w:val="24"/>
          <w:highlight w:val="none"/>
        </w:rPr>
        <w:t>供应商（电子签章）：</w:t>
      </w:r>
    </w:p>
    <w:p w14:paraId="16349F6B">
      <w:pPr>
        <w:spacing w:line="360" w:lineRule="auto"/>
        <w:ind w:firstLine="4080" w:firstLineChars="1700"/>
        <w:contextualSpacing/>
        <w:jc w:val="right"/>
        <w:rPr>
          <w:rFonts w:hint="eastAsia" w:ascii="宋体" w:hAnsi="宋体" w:cs="仿宋_GB2312"/>
          <w:sz w:val="24"/>
          <w:highlight w:val="none"/>
        </w:rPr>
      </w:pPr>
      <w:r>
        <w:rPr>
          <w:rFonts w:hint="eastAsia" w:ascii="宋体" w:hAnsi="宋体" w:cs="仿宋_GB2312"/>
          <w:sz w:val="24"/>
          <w:highlight w:val="none"/>
        </w:rPr>
        <w:t>年月日</w:t>
      </w:r>
    </w:p>
    <w:p w14:paraId="7BD48137">
      <w:pPr>
        <w:spacing w:line="360" w:lineRule="auto"/>
        <w:contextualSpacing/>
        <w:jc w:val="center"/>
        <w:rPr>
          <w:rFonts w:hint="eastAsia" w:ascii="宋体" w:hAnsi="宋体" w:cs="仿宋_GB2312"/>
          <w:b/>
          <w:sz w:val="24"/>
          <w:highlight w:val="none"/>
        </w:rPr>
      </w:pPr>
    </w:p>
    <w:p w14:paraId="226E27C6">
      <w:pPr>
        <w:spacing w:line="360" w:lineRule="auto"/>
        <w:contextualSpacing/>
        <w:jc w:val="left"/>
        <w:rPr>
          <w:rFonts w:hint="eastAsia" w:ascii="宋体" w:hAnsi="宋体" w:cs="仿宋_GB2312"/>
          <w:sz w:val="24"/>
          <w:highlight w:val="none"/>
        </w:rPr>
      </w:pPr>
    </w:p>
    <w:p w14:paraId="76F89617">
      <w:pPr>
        <w:spacing w:line="360" w:lineRule="auto"/>
        <w:contextualSpacing/>
        <w:jc w:val="left"/>
        <w:rPr>
          <w:rFonts w:hint="eastAsia" w:ascii="宋体" w:hAnsi="宋体" w:cs="仿宋_GB2312"/>
          <w:sz w:val="24"/>
          <w:highlight w:val="none"/>
        </w:rPr>
      </w:pPr>
      <w:r>
        <w:rPr>
          <w:rFonts w:hint="eastAsia" w:ascii="宋体" w:hAnsi="宋体" w:cs="仿宋_GB2312"/>
          <w:sz w:val="24"/>
          <w:highlight w:val="none"/>
        </w:rPr>
        <w:t>注：自然人竞标的无需提供，联合体竞标的只需牵头人出具。</w:t>
      </w:r>
    </w:p>
    <w:p w14:paraId="39A2F547">
      <w:pPr>
        <w:adjustRightInd w:val="0"/>
        <w:snapToGrid w:val="0"/>
        <w:spacing w:line="300" w:lineRule="auto"/>
        <w:jc w:val="left"/>
        <w:rPr>
          <w:rFonts w:hint="eastAsia" w:ascii="宋体" w:hAnsi="宋体"/>
          <w:b/>
          <w:szCs w:val="21"/>
          <w:highlight w:val="none"/>
        </w:rPr>
      </w:pPr>
    </w:p>
    <w:p w14:paraId="3BA887A0">
      <w:pPr>
        <w:spacing w:line="500" w:lineRule="exact"/>
        <w:jc w:val="center"/>
        <w:rPr>
          <w:rFonts w:hint="eastAsia" w:ascii="微软雅黑" w:hAnsi="微软雅黑" w:eastAsia="微软雅黑" w:cs="微软雅黑"/>
          <w:sz w:val="44"/>
          <w:szCs w:val="44"/>
          <w:highlight w:val="none"/>
        </w:rPr>
      </w:pPr>
      <w:r>
        <w:rPr>
          <w:rFonts w:hint="eastAsia" w:ascii="微软雅黑" w:hAnsi="微软雅黑" w:eastAsia="微软雅黑" w:cs="微软雅黑"/>
          <w:sz w:val="44"/>
          <w:szCs w:val="44"/>
          <w:highlight w:val="none"/>
        </w:rPr>
        <w:br w:type="page"/>
      </w:r>
    </w:p>
    <w:p w14:paraId="4B67CF01">
      <w:pPr>
        <w:spacing w:line="520" w:lineRule="exact"/>
        <w:jc w:val="center"/>
        <w:rPr>
          <w:rFonts w:hint="eastAsia" w:ascii="微软雅黑" w:hAnsi="微软雅黑" w:eastAsia="微软雅黑" w:cs="微软雅黑"/>
          <w:sz w:val="44"/>
          <w:szCs w:val="44"/>
          <w:highlight w:val="none"/>
        </w:rPr>
      </w:pPr>
      <w:bookmarkStart w:id="76" w:name="_Hlk65853643"/>
      <w:r>
        <w:rPr>
          <w:rFonts w:hint="eastAsia" w:ascii="微软雅黑" w:hAnsi="微软雅黑" w:eastAsia="微软雅黑" w:cs="微软雅黑"/>
          <w:sz w:val="44"/>
          <w:szCs w:val="44"/>
          <w:highlight w:val="none"/>
        </w:rPr>
        <w:t>授权委托书</w:t>
      </w:r>
    </w:p>
    <w:p w14:paraId="687D36F2">
      <w:pPr>
        <w:spacing w:line="520" w:lineRule="exact"/>
        <w:jc w:val="center"/>
        <w:rPr>
          <w:rFonts w:hint="eastAsia" w:ascii="微软雅黑" w:hAnsi="微软雅黑" w:eastAsia="微软雅黑" w:cs="微软雅黑"/>
          <w:sz w:val="32"/>
          <w:szCs w:val="32"/>
          <w:highlight w:val="none"/>
        </w:rPr>
      </w:pPr>
      <w:r>
        <w:rPr>
          <w:rFonts w:hint="eastAsia" w:ascii="微软雅黑" w:hAnsi="微软雅黑" w:eastAsia="微软雅黑" w:cs="微软雅黑"/>
          <w:sz w:val="32"/>
          <w:szCs w:val="32"/>
          <w:highlight w:val="none"/>
        </w:rPr>
        <w:t>（非联合体竞标格式）</w:t>
      </w:r>
    </w:p>
    <w:p w14:paraId="26B1DD19">
      <w:pPr>
        <w:spacing w:line="520" w:lineRule="exact"/>
        <w:jc w:val="center"/>
        <w:rPr>
          <w:rFonts w:hint="eastAsia" w:ascii="微软雅黑" w:hAnsi="微软雅黑" w:eastAsia="微软雅黑" w:cs="微软雅黑"/>
          <w:sz w:val="44"/>
          <w:szCs w:val="44"/>
          <w:highlight w:val="none"/>
        </w:rPr>
      </w:pPr>
      <w:r>
        <w:rPr>
          <w:rFonts w:hint="eastAsia" w:ascii="微软雅黑" w:hAnsi="微软雅黑" w:eastAsia="微软雅黑" w:cs="微软雅黑"/>
          <w:sz w:val="32"/>
          <w:szCs w:val="32"/>
          <w:highlight w:val="none"/>
        </w:rPr>
        <w:t>（如有委托时）</w:t>
      </w:r>
    </w:p>
    <w:p w14:paraId="107BD33D">
      <w:pPr>
        <w:spacing w:line="520" w:lineRule="exact"/>
        <w:rPr>
          <w:rFonts w:hint="eastAsia" w:ascii="仿宋_GB2312" w:hAnsi="仿宋_GB2312" w:eastAsia="仿宋_GB2312" w:cs="仿宋_GB2312"/>
          <w:sz w:val="32"/>
          <w:szCs w:val="32"/>
          <w:highlight w:val="none"/>
        </w:rPr>
      </w:pPr>
    </w:p>
    <w:p w14:paraId="796385C0">
      <w:pPr>
        <w:spacing w:line="360" w:lineRule="auto"/>
        <w:rPr>
          <w:rFonts w:hint="eastAsia" w:ascii="宋体" w:hAnsi="宋体" w:cs="仿宋_GB2312"/>
          <w:sz w:val="24"/>
          <w:highlight w:val="none"/>
        </w:rPr>
      </w:pPr>
      <w:r>
        <w:rPr>
          <w:rFonts w:hint="eastAsia" w:ascii="宋体" w:hAnsi="宋体" w:cs="仿宋_GB2312"/>
          <w:sz w:val="24"/>
          <w:highlight w:val="none"/>
        </w:rPr>
        <w:t>致：</w:t>
      </w:r>
      <w:r>
        <w:rPr>
          <w:rFonts w:hint="eastAsia" w:ascii="宋体" w:hAnsi="宋体" w:cs="仿宋_GB2312"/>
          <w:sz w:val="24"/>
          <w:highlight w:val="none"/>
          <w:u w:val="single"/>
        </w:rPr>
        <w:t>（采购人名称）</w:t>
      </w:r>
      <w:r>
        <w:rPr>
          <w:rFonts w:hint="eastAsia" w:ascii="宋体" w:hAnsi="宋体" w:cs="仿宋_GB2312"/>
          <w:sz w:val="24"/>
          <w:highlight w:val="none"/>
        </w:rPr>
        <w:t>：</w:t>
      </w:r>
    </w:p>
    <w:p w14:paraId="7A0F1899">
      <w:pPr>
        <w:spacing w:line="360" w:lineRule="auto"/>
        <w:ind w:firstLine="480" w:firstLineChars="200"/>
        <w:rPr>
          <w:rFonts w:hint="eastAsia" w:ascii="宋体" w:hAnsi="宋体" w:cs="仿宋_GB2312"/>
          <w:sz w:val="24"/>
          <w:highlight w:val="none"/>
        </w:rPr>
      </w:pPr>
      <w:r>
        <w:rPr>
          <w:rFonts w:hint="eastAsia" w:ascii="宋体" w:hAnsi="宋体" w:cs="仿宋_GB2312"/>
          <w:sz w:val="24"/>
          <w:highlight w:val="none"/>
        </w:rPr>
        <w:t>我</w:t>
      </w:r>
      <w:r>
        <w:rPr>
          <w:rFonts w:hint="eastAsia" w:ascii="宋体" w:hAnsi="宋体" w:cs="仿宋_GB2312"/>
          <w:sz w:val="24"/>
          <w:highlight w:val="none"/>
          <w:u w:val="single"/>
        </w:rPr>
        <w:t>（姓名）</w:t>
      </w:r>
      <w:r>
        <w:rPr>
          <w:rFonts w:hint="eastAsia" w:ascii="宋体" w:hAnsi="宋体" w:cs="仿宋_GB2312"/>
          <w:sz w:val="24"/>
          <w:highlight w:val="none"/>
        </w:rPr>
        <w:t>系</w:t>
      </w:r>
      <w:r>
        <w:rPr>
          <w:rFonts w:hint="eastAsia" w:ascii="宋体" w:hAnsi="宋体" w:cs="仿宋_GB2312"/>
          <w:sz w:val="24"/>
          <w:highlight w:val="none"/>
          <w:u w:val="single"/>
        </w:rPr>
        <w:t>（供应商名称）</w:t>
      </w:r>
      <w:r>
        <w:rPr>
          <w:rFonts w:hint="eastAsia" w:ascii="宋体" w:hAnsi="宋体" w:cs="仿宋_GB2312"/>
          <w:sz w:val="24"/>
          <w:highlight w:val="none"/>
        </w:rPr>
        <w:t>的（</w:t>
      </w:r>
      <w:r>
        <w:rPr>
          <w:rFonts w:hint="eastAsia" w:ascii="宋体" w:hAnsi="宋体" w:cs="仿宋_GB2312"/>
          <w:sz w:val="24"/>
          <w:highlight w:val="none"/>
          <w:u w:val="single"/>
        </w:rPr>
        <w:sym w:font="Wingdings 2" w:char="00A3"/>
      </w:r>
      <w:r>
        <w:rPr>
          <w:rFonts w:hint="eastAsia" w:ascii="宋体" w:hAnsi="宋体" w:cs="仿宋_GB2312"/>
          <w:sz w:val="24"/>
          <w:highlight w:val="none"/>
          <w:u w:val="single"/>
        </w:rPr>
        <w:t>法定代表人/□负责人/□自然人本人</w:t>
      </w:r>
      <w:r>
        <w:rPr>
          <w:rFonts w:hint="eastAsia" w:ascii="宋体" w:hAnsi="宋体" w:cs="仿宋_GB2312"/>
          <w:sz w:val="24"/>
          <w:highlight w:val="none"/>
        </w:rPr>
        <w:t>），现授权</w:t>
      </w:r>
      <w:r>
        <w:rPr>
          <w:rFonts w:hint="eastAsia" w:ascii="宋体" w:hAnsi="宋体" w:cs="仿宋_GB2312"/>
          <w:sz w:val="24"/>
          <w:highlight w:val="none"/>
          <w:u w:val="single"/>
        </w:rPr>
        <w:t>（姓名）</w:t>
      </w:r>
      <w:r>
        <w:rPr>
          <w:rFonts w:hint="eastAsia" w:ascii="宋体" w:hAnsi="宋体" w:cs="仿宋_GB2312"/>
          <w:sz w:val="24"/>
          <w:highlight w:val="none"/>
        </w:rPr>
        <w:t>以我方的名义参加项目的竞标活动，并代表我方全权办理针对上述项目的所有采购程序和环节的具体事务和签署相关文件。</w:t>
      </w:r>
    </w:p>
    <w:p w14:paraId="302F9D8B">
      <w:pPr>
        <w:spacing w:line="360" w:lineRule="auto"/>
        <w:rPr>
          <w:rFonts w:hint="eastAsia" w:ascii="宋体" w:hAnsi="宋体" w:cs="仿宋_GB2312"/>
          <w:sz w:val="24"/>
          <w:highlight w:val="none"/>
        </w:rPr>
      </w:pPr>
      <w:r>
        <w:rPr>
          <w:rFonts w:hint="eastAsia" w:ascii="宋体" w:hAnsi="宋体" w:cs="仿宋_GB2312"/>
          <w:sz w:val="24"/>
          <w:highlight w:val="none"/>
        </w:rPr>
        <w:t>我方对委托代理人的签字</w:t>
      </w:r>
      <w:r>
        <w:rPr>
          <w:rFonts w:hint="eastAsia" w:ascii="宋体" w:hAnsi="宋体"/>
          <w:sz w:val="24"/>
          <w:highlight w:val="none"/>
        </w:rPr>
        <w:t>或者电子签名</w:t>
      </w:r>
      <w:r>
        <w:rPr>
          <w:rFonts w:hint="eastAsia" w:ascii="宋体" w:hAnsi="宋体" w:cs="仿宋_GB2312"/>
          <w:sz w:val="24"/>
          <w:highlight w:val="none"/>
        </w:rPr>
        <w:t>事项负全部责任。</w:t>
      </w:r>
    </w:p>
    <w:p w14:paraId="2DBBAFFE">
      <w:pPr>
        <w:spacing w:line="360" w:lineRule="auto"/>
        <w:ind w:firstLine="480" w:firstLineChars="200"/>
        <w:rPr>
          <w:rFonts w:hint="eastAsia" w:ascii="宋体" w:hAnsi="宋体" w:cs="仿宋_GB2312"/>
          <w:sz w:val="24"/>
          <w:highlight w:val="none"/>
        </w:rPr>
      </w:pPr>
      <w:r>
        <w:rPr>
          <w:rFonts w:hint="eastAsia" w:ascii="宋体" w:hAnsi="宋体" w:cs="仿宋_GB2312"/>
          <w:sz w:val="24"/>
          <w:highlight w:val="none"/>
        </w:rPr>
        <w:t>本授权书自签署之日起生效，在撤销授权的书面通知以前，本授权书一直有效。委托代理人在授权书有效期内签署的所有文件不因授权的撤销而失效。</w:t>
      </w:r>
    </w:p>
    <w:p w14:paraId="145B7C97">
      <w:pPr>
        <w:spacing w:line="360" w:lineRule="auto"/>
        <w:ind w:firstLine="480" w:firstLineChars="200"/>
        <w:rPr>
          <w:rFonts w:hint="eastAsia" w:ascii="宋体" w:hAnsi="宋体" w:cs="仿宋_GB2312"/>
          <w:sz w:val="24"/>
          <w:highlight w:val="none"/>
        </w:rPr>
      </w:pPr>
      <w:r>
        <w:rPr>
          <w:rFonts w:hint="eastAsia" w:ascii="宋体" w:hAnsi="宋体" w:cs="仿宋_GB2312"/>
          <w:sz w:val="24"/>
          <w:highlight w:val="none"/>
        </w:rPr>
        <w:t>委托代理人无转委托权，特此委托。</w:t>
      </w:r>
    </w:p>
    <w:p w14:paraId="14C7741E">
      <w:pPr>
        <w:spacing w:line="360" w:lineRule="auto"/>
        <w:ind w:firstLine="480" w:firstLineChars="200"/>
        <w:rPr>
          <w:rFonts w:hint="eastAsia" w:ascii="宋体" w:hAnsi="宋体" w:cs="仿宋_GB2312"/>
          <w:sz w:val="24"/>
          <w:highlight w:val="none"/>
        </w:rPr>
      </w:pPr>
      <w:r>
        <w:rPr>
          <w:rFonts w:hint="eastAsia" w:ascii="宋体" w:hAnsi="宋体" w:cs="仿宋_GB2312"/>
          <w:sz w:val="24"/>
          <w:highlight w:val="none"/>
        </w:rPr>
        <w:t>附：法定代表人身份证明书及委托代理人有效身份证正反面复印件</w:t>
      </w:r>
    </w:p>
    <w:p w14:paraId="42BE4C69">
      <w:pPr>
        <w:spacing w:line="360" w:lineRule="auto"/>
        <w:rPr>
          <w:rFonts w:hint="eastAsia" w:ascii="宋体" w:hAnsi="宋体" w:cs="仿宋_GB2312"/>
          <w:sz w:val="24"/>
          <w:highlight w:val="none"/>
        </w:rPr>
      </w:pPr>
    </w:p>
    <w:p w14:paraId="198623C0">
      <w:pPr>
        <w:spacing w:line="360" w:lineRule="auto"/>
        <w:contextualSpacing/>
        <w:rPr>
          <w:rFonts w:hint="eastAsia" w:ascii="宋体" w:hAnsi="宋体" w:cs="仿宋_GB2312"/>
          <w:sz w:val="24"/>
          <w:highlight w:val="none"/>
        </w:rPr>
      </w:pPr>
      <w:r>
        <w:rPr>
          <w:rFonts w:hint="eastAsia" w:ascii="宋体" w:hAnsi="宋体" w:cs="仿宋_GB2312"/>
          <w:sz w:val="24"/>
          <w:highlight w:val="none"/>
        </w:rPr>
        <w:t>委托代理人（</w:t>
      </w:r>
      <w:r>
        <w:rPr>
          <w:rFonts w:hint="eastAsia" w:ascii="宋体" w:hAnsi="宋体"/>
          <w:sz w:val="24"/>
          <w:highlight w:val="none"/>
        </w:rPr>
        <w:t>签字或者电子签名</w:t>
      </w:r>
      <w:r>
        <w:rPr>
          <w:rFonts w:hint="eastAsia" w:ascii="宋体" w:hAnsi="宋体" w:cs="仿宋_GB2312"/>
          <w:sz w:val="24"/>
          <w:highlight w:val="none"/>
        </w:rPr>
        <w:t>）：法定代表人（签字或者盖章或者电子签名）：</w:t>
      </w:r>
    </w:p>
    <w:p w14:paraId="4A163ACA">
      <w:pPr>
        <w:spacing w:line="360" w:lineRule="auto"/>
        <w:contextualSpacing/>
        <w:rPr>
          <w:rFonts w:hint="eastAsia" w:ascii="宋体" w:hAnsi="宋体" w:cs="仿宋_GB2312"/>
          <w:sz w:val="24"/>
          <w:highlight w:val="none"/>
        </w:rPr>
      </w:pPr>
      <w:r>
        <w:rPr>
          <w:rFonts w:hint="eastAsia" w:ascii="宋体" w:hAnsi="宋体" w:cs="仿宋_GB2312"/>
          <w:sz w:val="24"/>
          <w:highlight w:val="none"/>
        </w:rPr>
        <w:t>委托代理人身份证号码：</w:t>
      </w:r>
    </w:p>
    <w:p w14:paraId="51DA4082">
      <w:pPr>
        <w:spacing w:line="360" w:lineRule="auto"/>
        <w:contextualSpacing/>
        <w:rPr>
          <w:rFonts w:hint="eastAsia" w:ascii="宋体" w:hAnsi="宋体" w:cs="仿宋_GB2312"/>
          <w:sz w:val="24"/>
          <w:highlight w:val="none"/>
        </w:rPr>
      </w:pPr>
    </w:p>
    <w:p w14:paraId="3CE98EFF">
      <w:pPr>
        <w:spacing w:line="360" w:lineRule="auto"/>
        <w:rPr>
          <w:rFonts w:hint="eastAsia" w:ascii="宋体" w:hAnsi="宋体" w:cs="仿宋_GB2312"/>
          <w:sz w:val="24"/>
          <w:highlight w:val="none"/>
        </w:rPr>
      </w:pPr>
      <w:r>
        <w:rPr>
          <w:rFonts w:hint="eastAsia" w:ascii="宋体" w:hAnsi="宋体" w:cs="仿宋_GB2312"/>
          <w:sz w:val="24"/>
          <w:highlight w:val="none"/>
        </w:rPr>
        <w:t>供应商（电子签章）：</w:t>
      </w:r>
    </w:p>
    <w:p w14:paraId="671FA952">
      <w:pPr>
        <w:spacing w:line="360" w:lineRule="auto"/>
        <w:rPr>
          <w:rFonts w:hint="eastAsia" w:ascii="宋体" w:hAnsi="宋体" w:cs="仿宋_GB2312"/>
          <w:sz w:val="24"/>
          <w:highlight w:val="none"/>
        </w:rPr>
      </w:pPr>
      <w:r>
        <w:rPr>
          <w:rFonts w:hint="eastAsia" w:ascii="宋体" w:hAnsi="宋体" w:cs="仿宋_GB2312"/>
          <w:sz w:val="24"/>
          <w:highlight w:val="none"/>
        </w:rPr>
        <w:t>年月日</w:t>
      </w:r>
    </w:p>
    <w:p w14:paraId="44AFA314">
      <w:pPr>
        <w:spacing w:line="360" w:lineRule="auto"/>
        <w:rPr>
          <w:rFonts w:hint="eastAsia" w:ascii="宋体" w:hAnsi="宋体" w:cs="仿宋_GB2312"/>
          <w:sz w:val="24"/>
          <w:highlight w:val="none"/>
        </w:rPr>
      </w:pPr>
    </w:p>
    <w:p w14:paraId="21100C83">
      <w:pPr>
        <w:spacing w:line="360" w:lineRule="auto"/>
        <w:rPr>
          <w:rFonts w:hint="eastAsia" w:ascii="宋体" w:hAnsi="宋体" w:cs="仿宋_GB2312"/>
          <w:sz w:val="24"/>
          <w:highlight w:val="none"/>
        </w:rPr>
      </w:pPr>
      <w:r>
        <w:rPr>
          <w:rFonts w:hint="eastAsia" w:ascii="宋体" w:hAnsi="宋体" w:cs="仿宋_GB2312"/>
          <w:sz w:val="24"/>
          <w:highlight w:val="none"/>
        </w:rPr>
        <w:t>注：1. 法定代表人必须在授权委托书上签字或者盖章</w:t>
      </w:r>
      <w:r>
        <w:rPr>
          <w:rFonts w:hint="eastAsia" w:ascii="宋体" w:hAnsi="宋体"/>
          <w:sz w:val="24"/>
          <w:highlight w:val="none"/>
        </w:rPr>
        <w:t>或者电子签名</w:t>
      </w:r>
      <w:r>
        <w:rPr>
          <w:rFonts w:hint="eastAsia" w:ascii="宋体" w:hAnsi="宋体" w:cs="仿宋_GB2312"/>
          <w:sz w:val="24"/>
          <w:highlight w:val="none"/>
        </w:rPr>
        <w:t>，委托代理人必须在授权委托书上签字或者电子签名，</w:t>
      </w:r>
      <w:r>
        <w:rPr>
          <w:rFonts w:hint="eastAsia" w:ascii="宋体" w:hAnsi="宋体" w:cs="仿宋_GB2312"/>
          <w:b/>
          <w:sz w:val="24"/>
          <w:highlight w:val="none"/>
        </w:rPr>
        <w:t>否则其响应文件按无效响应处理。</w:t>
      </w:r>
    </w:p>
    <w:p w14:paraId="7FBCB3AF">
      <w:pPr>
        <w:spacing w:line="360" w:lineRule="auto"/>
        <w:ind w:firstLine="480" w:firstLineChars="200"/>
        <w:jc w:val="left"/>
        <w:rPr>
          <w:rFonts w:hint="eastAsia" w:ascii="宋体" w:hAnsi="宋体" w:cs="仿宋_GB2312"/>
          <w:sz w:val="24"/>
          <w:highlight w:val="none"/>
        </w:rPr>
      </w:pPr>
      <w:r>
        <w:rPr>
          <w:rFonts w:ascii="宋体" w:hAnsi="宋体" w:cs="仿宋_GB2312"/>
          <w:sz w:val="24"/>
          <w:highlight w:val="none"/>
        </w:rPr>
        <w:t>2.</w:t>
      </w:r>
      <w:bookmarkStart w:id="77" w:name="_Hlk65853109"/>
      <w:bookmarkStart w:id="78" w:name="_Hlk65853542"/>
      <w:r>
        <w:rPr>
          <w:rFonts w:hint="eastAsia" w:ascii="宋体" w:hAnsi="宋体" w:cs="仿宋_GB2312"/>
          <w:sz w:val="24"/>
          <w:highlight w:val="none"/>
        </w:rPr>
        <w:t>法人、其他组织竞标时“我方”是指“我单位”，自然人竞标时“我方”是指“本人”。</w:t>
      </w:r>
      <w:bookmarkEnd w:id="77"/>
    </w:p>
    <w:bookmarkEnd w:id="78"/>
    <w:p w14:paraId="05464653">
      <w:pPr>
        <w:spacing w:line="360" w:lineRule="auto"/>
        <w:ind w:firstLine="420" w:firstLineChars="200"/>
        <w:jc w:val="left"/>
        <w:rPr>
          <w:rFonts w:hint="eastAsia" w:ascii="仿宋_GB2312" w:hAnsi="仿宋_GB2312" w:eastAsia="仿宋_GB2312" w:cs="仿宋_GB2312"/>
          <w:szCs w:val="21"/>
          <w:highlight w:val="none"/>
        </w:rPr>
      </w:pPr>
    </w:p>
    <w:p w14:paraId="74049A77">
      <w:pPr>
        <w:spacing w:line="500" w:lineRule="exact"/>
        <w:jc w:val="center"/>
        <w:rPr>
          <w:rFonts w:hint="eastAsia" w:ascii="微软雅黑" w:hAnsi="微软雅黑" w:eastAsia="微软雅黑" w:cs="微软雅黑"/>
          <w:sz w:val="44"/>
          <w:szCs w:val="44"/>
          <w:highlight w:val="none"/>
        </w:rPr>
      </w:pPr>
      <w:r>
        <w:rPr>
          <w:rFonts w:ascii="仿宋_GB2312" w:hAnsi="仿宋_GB2312" w:eastAsia="仿宋_GB2312" w:cs="仿宋_GB2312"/>
          <w:szCs w:val="21"/>
          <w:highlight w:val="none"/>
        </w:rPr>
        <w:br w:type="page"/>
      </w:r>
      <w:r>
        <w:rPr>
          <w:rFonts w:hint="eastAsia" w:ascii="微软雅黑" w:hAnsi="微软雅黑" w:eastAsia="微软雅黑" w:cs="微软雅黑"/>
          <w:sz w:val="44"/>
          <w:szCs w:val="44"/>
          <w:highlight w:val="none"/>
        </w:rPr>
        <w:t>授权委托书</w:t>
      </w:r>
    </w:p>
    <w:p w14:paraId="6FA6CFE6">
      <w:pPr>
        <w:spacing w:line="500" w:lineRule="exact"/>
        <w:jc w:val="center"/>
        <w:rPr>
          <w:rFonts w:hint="eastAsia" w:ascii="微软雅黑" w:hAnsi="微软雅黑" w:eastAsia="微软雅黑" w:cs="微软雅黑"/>
          <w:sz w:val="32"/>
          <w:szCs w:val="32"/>
          <w:highlight w:val="none"/>
        </w:rPr>
      </w:pPr>
      <w:r>
        <w:rPr>
          <w:rFonts w:hint="eastAsia" w:ascii="微软雅黑" w:hAnsi="微软雅黑" w:eastAsia="微软雅黑" w:cs="微软雅黑"/>
          <w:sz w:val="32"/>
          <w:szCs w:val="32"/>
          <w:highlight w:val="none"/>
        </w:rPr>
        <w:t>（联合体竞标格式）</w:t>
      </w:r>
    </w:p>
    <w:p w14:paraId="6D829061">
      <w:pPr>
        <w:spacing w:line="500" w:lineRule="exact"/>
        <w:jc w:val="center"/>
        <w:rPr>
          <w:rFonts w:hint="eastAsia" w:ascii="微软雅黑" w:hAnsi="微软雅黑" w:eastAsia="微软雅黑" w:cs="微软雅黑"/>
          <w:sz w:val="44"/>
          <w:szCs w:val="44"/>
          <w:highlight w:val="none"/>
        </w:rPr>
      </w:pPr>
      <w:r>
        <w:rPr>
          <w:rFonts w:hint="eastAsia" w:ascii="微软雅黑" w:hAnsi="微软雅黑" w:eastAsia="微软雅黑" w:cs="微软雅黑"/>
          <w:sz w:val="32"/>
          <w:szCs w:val="32"/>
          <w:highlight w:val="none"/>
        </w:rPr>
        <w:t>（如有委托时）</w:t>
      </w:r>
    </w:p>
    <w:p w14:paraId="44E9D3BF">
      <w:pPr>
        <w:spacing w:line="500" w:lineRule="exact"/>
        <w:jc w:val="center"/>
        <w:rPr>
          <w:rFonts w:hint="eastAsia" w:ascii="微软雅黑" w:hAnsi="微软雅黑" w:eastAsia="微软雅黑" w:cs="微软雅黑"/>
          <w:sz w:val="44"/>
          <w:szCs w:val="44"/>
          <w:highlight w:val="none"/>
        </w:rPr>
      </w:pPr>
    </w:p>
    <w:p w14:paraId="596D1FA0">
      <w:pPr>
        <w:spacing w:line="500" w:lineRule="exact"/>
        <w:jc w:val="center"/>
        <w:rPr>
          <w:rFonts w:hint="eastAsia" w:ascii="仿宋_GB2312" w:hAnsi="仿宋_GB2312" w:eastAsia="仿宋_GB2312" w:cs="仿宋_GB2312"/>
          <w:sz w:val="32"/>
          <w:szCs w:val="32"/>
          <w:highlight w:val="none"/>
        </w:rPr>
      </w:pPr>
    </w:p>
    <w:p w14:paraId="4A6323C7">
      <w:pPr>
        <w:spacing w:line="360" w:lineRule="auto"/>
        <w:ind w:firstLine="480" w:firstLineChars="200"/>
        <w:jc w:val="left"/>
        <w:rPr>
          <w:rFonts w:hint="eastAsia" w:ascii="宋体" w:hAnsi="宋体" w:cs="仿宋_GB2312"/>
          <w:sz w:val="24"/>
          <w:highlight w:val="none"/>
        </w:rPr>
      </w:pPr>
      <w:r>
        <w:rPr>
          <w:rFonts w:hint="eastAsia" w:ascii="宋体" w:hAnsi="宋体" w:cs="仿宋_GB2312"/>
          <w:sz w:val="24"/>
          <w:highlight w:val="none"/>
        </w:rPr>
        <w:t>本授权委托书声明：根据（牵头人名称）与（联合体其他成员名称）签订的《联合体竞标协议书》的内容，（牵头人名称）的法定代表人（姓名）现授权（姓名）为联合委托代理人，并代表我方全权办理针对上述项目的所有采购程序和环节的具体事务和签署相关文件。</w:t>
      </w:r>
    </w:p>
    <w:p w14:paraId="58605D49">
      <w:pPr>
        <w:spacing w:line="360" w:lineRule="auto"/>
        <w:ind w:firstLine="480" w:firstLineChars="200"/>
        <w:contextualSpacing/>
        <w:rPr>
          <w:rFonts w:hint="eastAsia" w:ascii="宋体" w:hAnsi="宋体" w:cs="仿宋_GB2312"/>
          <w:sz w:val="24"/>
          <w:highlight w:val="none"/>
        </w:rPr>
      </w:pPr>
      <w:r>
        <w:rPr>
          <w:rFonts w:hint="eastAsia" w:ascii="宋体" w:hAnsi="宋体" w:cs="仿宋_GB2312"/>
          <w:sz w:val="24"/>
          <w:highlight w:val="none"/>
        </w:rPr>
        <w:t>我方对委托代理人的</w:t>
      </w:r>
      <w:r>
        <w:rPr>
          <w:rFonts w:hint="eastAsia" w:ascii="宋体" w:hAnsi="宋体"/>
          <w:sz w:val="24"/>
          <w:highlight w:val="none"/>
        </w:rPr>
        <w:t>签字或者电子签名</w:t>
      </w:r>
      <w:r>
        <w:rPr>
          <w:rFonts w:hint="eastAsia" w:ascii="宋体" w:hAnsi="宋体" w:cs="仿宋_GB2312"/>
          <w:sz w:val="24"/>
          <w:highlight w:val="none"/>
        </w:rPr>
        <w:t>事项负全部责任。</w:t>
      </w:r>
    </w:p>
    <w:p w14:paraId="03E7AB1D">
      <w:pPr>
        <w:spacing w:line="360" w:lineRule="auto"/>
        <w:ind w:firstLine="480" w:firstLineChars="200"/>
        <w:contextualSpacing/>
        <w:rPr>
          <w:rFonts w:hint="eastAsia" w:ascii="宋体" w:hAnsi="宋体" w:cs="仿宋_GB2312"/>
          <w:sz w:val="24"/>
          <w:highlight w:val="none"/>
        </w:rPr>
      </w:pPr>
      <w:r>
        <w:rPr>
          <w:rFonts w:hint="eastAsia" w:ascii="宋体" w:hAnsi="宋体" w:cs="仿宋_GB2312"/>
          <w:sz w:val="24"/>
          <w:highlight w:val="none"/>
        </w:rPr>
        <w:t>本授权书自签署之日起生效，在撤销授权的书面通知以前，本授权书一直有效。委托代理人在授权书有效期内签署的所有文件不因授权的撤销而失效。</w:t>
      </w:r>
    </w:p>
    <w:p w14:paraId="699C3918">
      <w:pPr>
        <w:spacing w:line="360" w:lineRule="auto"/>
        <w:ind w:firstLine="480" w:firstLineChars="200"/>
        <w:contextualSpacing/>
        <w:rPr>
          <w:rFonts w:hint="eastAsia" w:ascii="宋体" w:hAnsi="宋体" w:cs="仿宋_GB2312"/>
          <w:sz w:val="24"/>
          <w:highlight w:val="none"/>
        </w:rPr>
      </w:pPr>
      <w:r>
        <w:rPr>
          <w:rFonts w:hint="eastAsia" w:ascii="宋体" w:hAnsi="宋体" w:cs="仿宋_GB2312"/>
          <w:sz w:val="24"/>
          <w:highlight w:val="none"/>
        </w:rPr>
        <w:t>委托代理人无转委托权，特此委托。</w:t>
      </w:r>
    </w:p>
    <w:p w14:paraId="29474B73">
      <w:pPr>
        <w:spacing w:line="360" w:lineRule="auto"/>
        <w:contextualSpacing/>
        <w:rPr>
          <w:rFonts w:hint="eastAsia" w:ascii="宋体" w:hAnsi="宋体" w:cs="仿宋_GB2312"/>
          <w:sz w:val="24"/>
          <w:highlight w:val="none"/>
        </w:rPr>
      </w:pPr>
      <w:r>
        <w:rPr>
          <w:rFonts w:hint="eastAsia" w:ascii="宋体" w:hAnsi="宋体" w:cs="仿宋_GB2312"/>
          <w:sz w:val="24"/>
          <w:highlight w:val="none"/>
        </w:rPr>
        <w:t>附：法定代表人身份证明书及委托代理人有效身份证正反面复印件</w:t>
      </w:r>
    </w:p>
    <w:p w14:paraId="2F264CAD">
      <w:pPr>
        <w:spacing w:line="360" w:lineRule="auto"/>
        <w:ind w:firstLine="480" w:firstLineChars="200"/>
        <w:contextualSpacing/>
        <w:rPr>
          <w:rFonts w:hint="eastAsia" w:ascii="宋体" w:hAnsi="宋体" w:cs="仿宋_GB2312"/>
          <w:sz w:val="24"/>
          <w:highlight w:val="none"/>
        </w:rPr>
      </w:pPr>
      <w:r>
        <w:rPr>
          <w:rFonts w:hint="eastAsia" w:ascii="宋体" w:hAnsi="宋体" w:cs="仿宋_GB2312"/>
          <w:sz w:val="24"/>
          <w:highlight w:val="none"/>
        </w:rPr>
        <w:t>牵头人法定代表人（签字或者盖章或者电子签名）：</w:t>
      </w:r>
    </w:p>
    <w:p w14:paraId="6B5850C7">
      <w:pPr>
        <w:spacing w:line="360" w:lineRule="auto"/>
        <w:ind w:firstLine="3120" w:firstLineChars="1300"/>
        <w:contextualSpacing/>
        <w:rPr>
          <w:rFonts w:hint="eastAsia" w:ascii="宋体" w:hAnsi="宋体" w:cs="仿宋_GB2312"/>
          <w:sz w:val="24"/>
          <w:highlight w:val="none"/>
        </w:rPr>
      </w:pPr>
      <w:r>
        <w:rPr>
          <w:rFonts w:hint="eastAsia" w:ascii="宋体" w:hAnsi="宋体" w:cs="仿宋_GB2312"/>
          <w:sz w:val="24"/>
          <w:highlight w:val="none"/>
        </w:rPr>
        <w:t>牵头人（电子签章）：</w:t>
      </w:r>
    </w:p>
    <w:p w14:paraId="361FCA85">
      <w:pPr>
        <w:spacing w:line="360" w:lineRule="auto"/>
        <w:ind w:firstLine="3840" w:firstLineChars="1600"/>
        <w:contextualSpacing/>
        <w:rPr>
          <w:rFonts w:hint="eastAsia" w:ascii="宋体" w:hAnsi="宋体" w:cs="仿宋_GB2312"/>
          <w:sz w:val="24"/>
          <w:highlight w:val="none"/>
        </w:rPr>
      </w:pPr>
      <w:r>
        <w:rPr>
          <w:rFonts w:hint="eastAsia" w:ascii="宋体" w:hAnsi="宋体" w:cs="仿宋_GB2312"/>
          <w:sz w:val="24"/>
          <w:highlight w:val="none"/>
        </w:rPr>
        <w:t>日期：年月日</w:t>
      </w:r>
    </w:p>
    <w:p w14:paraId="7CA91D44">
      <w:pPr>
        <w:spacing w:line="360" w:lineRule="auto"/>
        <w:contextualSpacing/>
        <w:rPr>
          <w:rFonts w:hint="eastAsia" w:ascii="宋体" w:hAnsi="宋体" w:cs="仿宋_GB2312"/>
          <w:sz w:val="24"/>
          <w:highlight w:val="none"/>
        </w:rPr>
      </w:pPr>
    </w:p>
    <w:p w14:paraId="7ED4A872">
      <w:pPr>
        <w:spacing w:line="360" w:lineRule="auto"/>
        <w:ind w:firstLine="3120" w:firstLineChars="1300"/>
        <w:contextualSpacing/>
        <w:rPr>
          <w:rFonts w:hint="eastAsia" w:ascii="宋体" w:hAnsi="宋体" w:cs="仿宋_GB2312"/>
          <w:sz w:val="24"/>
          <w:highlight w:val="none"/>
        </w:rPr>
      </w:pPr>
      <w:r>
        <w:rPr>
          <w:rFonts w:hint="eastAsia" w:ascii="宋体" w:hAnsi="宋体" w:cs="仿宋_GB2312"/>
          <w:sz w:val="24"/>
          <w:highlight w:val="none"/>
        </w:rPr>
        <w:t>被授权人（签字或者电子签名）：</w:t>
      </w:r>
    </w:p>
    <w:p w14:paraId="3F4F093C">
      <w:pPr>
        <w:spacing w:line="360" w:lineRule="auto"/>
        <w:ind w:firstLine="3840" w:firstLineChars="1600"/>
        <w:contextualSpacing/>
        <w:rPr>
          <w:rFonts w:hint="eastAsia" w:ascii="宋体" w:hAnsi="宋体" w:cs="仿宋_GB2312"/>
          <w:sz w:val="24"/>
          <w:highlight w:val="none"/>
        </w:rPr>
      </w:pPr>
      <w:r>
        <w:rPr>
          <w:rFonts w:hint="eastAsia" w:ascii="宋体" w:hAnsi="宋体" w:cs="仿宋_GB2312"/>
          <w:sz w:val="24"/>
          <w:highlight w:val="none"/>
        </w:rPr>
        <w:t>日期：年月日</w:t>
      </w:r>
    </w:p>
    <w:p w14:paraId="56222B52">
      <w:pPr>
        <w:spacing w:line="360" w:lineRule="auto"/>
        <w:contextualSpacing/>
        <w:rPr>
          <w:rFonts w:hint="eastAsia" w:ascii="宋体" w:hAnsi="宋体" w:cs="仿宋_GB2312"/>
          <w:sz w:val="24"/>
          <w:highlight w:val="none"/>
        </w:rPr>
      </w:pPr>
    </w:p>
    <w:p w14:paraId="77E4D189">
      <w:pPr>
        <w:spacing w:line="360" w:lineRule="auto"/>
        <w:contextualSpacing/>
        <w:rPr>
          <w:rFonts w:hint="eastAsia" w:ascii="宋体" w:hAnsi="宋体" w:cs="仿宋_GB2312"/>
          <w:sz w:val="24"/>
          <w:highlight w:val="none"/>
        </w:rPr>
      </w:pPr>
      <w:r>
        <w:rPr>
          <w:rFonts w:hint="eastAsia" w:ascii="宋体" w:hAnsi="宋体" w:cs="仿宋_GB2312"/>
          <w:sz w:val="24"/>
          <w:highlight w:val="none"/>
        </w:rPr>
        <w:t>注：1. 法定代表人必须在授权委托书上签字或者盖章</w:t>
      </w:r>
      <w:r>
        <w:rPr>
          <w:rFonts w:hint="eastAsia" w:ascii="宋体" w:hAnsi="宋体"/>
          <w:sz w:val="24"/>
          <w:highlight w:val="none"/>
        </w:rPr>
        <w:t>或者电子签名</w:t>
      </w:r>
      <w:r>
        <w:rPr>
          <w:rFonts w:hint="eastAsia" w:ascii="宋体" w:hAnsi="宋体" w:cs="仿宋_GB2312"/>
          <w:sz w:val="24"/>
          <w:highlight w:val="none"/>
        </w:rPr>
        <w:t>，委托代理人必须在授权委托书上签字或者电子签名，</w:t>
      </w:r>
      <w:r>
        <w:rPr>
          <w:rFonts w:hint="eastAsia" w:ascii="宋体" w:hAnsi="宋体" w:cs="仿宋_GB2312"/>
          <w:b/>
          <w:sz w:val="24"/>
          <w:highlight w:val="none"/>
        </w:rPr>
        <w:t>否则其响应文件按无效响应处理。</w:t>
      </w:r>
    </w:p>
    <w:p w14:paraId="2047726D">
      <w:pPr>
        <w:spacing w:line="360" w:lineRule="auto"/>
        <w:ind w:firstLine="480" w:firstLineChars="200"/>
        <w:jc w:val="left"/>
        <w:rPr>
          <w:rFonts w:hint="eastAsia" w:ascii="宋体" w:hAnsi="宋体" w:cs="仿宋_GB2312"/>
          <w:spacing w:val="-11"/>
          <w:sz w:val="24"/>
          <w:highlight w:val="none"/>
        </w:rPr>
      </w:pPr>
      <w:r>
        <w:rPr>
          <w:rFonts w:ascii="宋体" w:hAnsi="宋体" w:cs="仿宋_GB2312"/>
          <w:sz w:val="24"/>
          <w:highlight w:val="none"/>
        </w:rPr>
        <w:t>2.</w:t>
      </w:r>
      <w:r>
        <w:rPr>
          <w:rFonts w:hint="eastAsia" w:ascii="宋体" w:hAnsi="宋体" w:cs="仿宋_GB2312"/>
          <w:sz w:val="24"/>
          <w:highlight w:val="none"/>
        </w:rPr>
        <w:t>法人、其他组织竞标时“我方”是指“我单位”，自然人竞标时“我方”是指“本人”。</w:t>
      </w:r>
    </w:p>
    <w:bookmarkEnd w:id="76"/>
    <w:p w14:paraId="6FFD8A99">
      <w:pPr>
        <w:spacing w:line="500" w:lineRule="exact"/>
        <w:jc w:val="center"/>
        <w:rPr>
          <w:rFonts w:hint="eastAsia" w:ascii="微软雅黑" w:hAnsi="微软雅黑" w:eastAsia="微软雅黑" w:cs="微软雅黑"/>
          <w:bCs/>
          <w:sz w:val="44"/>
          <w:szCs w:val="44"/>
          <w:highlight w:val="none"/>
        </w:rPr>
      </w:pPr>
      <w:r>
        <w:rPr>
          <w:rFonts w:hint="eastAsia" w:ascii="仿宋_GB2312" w:hAnsi="仿宋_GB2312" w:eastAsia="仿宋_GB2312" w:cs="仿宋_GB2312"/>
          <w:sz w:val="32"/>
          <w:szCs w:val="32"/>
          <w:highlight w:val="none"/>
        </w:rPr>
        <w:br w:type="page"/>
      </w:r>
      <w:r>
        <w:rPr>
          <w:rFonts w:hint="eastAsia" w:ascii="微软雅黑" w:hAnsi="微软雅黑" w:eastAsia="微软雅黑" w:cs="微软雅黑"/>
          <w:bCs/>
          <w:sz w:val="44"/>
          <w:szCs w:val="44"/>
          <w:highlight w:val="none"/>
        </w:rPr>
        <w:t>商务要求偏离表</w:t>
      </w:r>
    </w:p>
    <w:p w14:paraId="6CBB08F7">
      <w:pPr>
        <w:spacing w:line="360" w:lineRule="auto"/>
        <w:contextualSpacing/>
        <w:jc w:val="left"/>
        <w:rPr>
          <w:rFonts w:hint="eastAsia" w:ascii="宋体" w:hAnsi="宋体"/>
          <w:sz w:val="24"/>
          <w:highlight w:val="none"/>
        </w:rPr>
      </w:pPr>
    </w:p>
    <w:p w14:paraId="5E53CF75">
      <w:pPr>
        <w:pStyle w:val="15"/>
        <w:spacing w:line="360" w:lineRule="auto"/>
        <w:contextualSpacing/>
        <w:rPr>
          <w:rFonts w:hint="eastAsia" w:hAnsi="宋体" w:cs="仿宋_GB2312"/>
          <w:sz w:val="24"/>
          <w:szCs w:val="24"/>
          <w:highlight w:val="none"/>
        </w:rPr>
      </w:pPr>
      <w:r>
        <w:rPr>
          <w:rFonts w:hint="eastAsia" w:hAnsi="宋体" w:cs="仿宋_GB2312"/>
          <w:sz w:val="24"/>
          <w:szCs w:val="24"/>
          <w:highlight w:val="none"/>
        </w:rPr>
        <w:t>所竞分标：</w:t>
      </w:r>
    </w:p>
    <w:p w14:paraId="504AB2B7">
      <w:pPr>
        <w:spacing w:line="360" w:lineRule="auto"/>
        <w:contextualSpacing/>
        <w:jc w:val="left"/>
        <w:rPr>
          <w:rFonts w:hint="eastAsia" w:ascii="宋体" w:hAnsi="宋体" w:cs="仿宋_GB2312"/>
          <w:sz w:val="24"/>
          <w:highlight w:val="none"/>
          <w:u w:val="single"/>
        </w:rPr>
      </w:pPr>
    </w:p>
    <w:tbl>
      <w:tblPr>
        <w:tblStyle w:val="24"/>
        <w:tblpPr w:leftFromText="180" w:rightFromText="180" w:vertAnchor="text" w:horzAnchor="margin" w:tblpY="-9"/>
        <w:tblOverlap w:val="never"/>
        <w:tblW w:w="930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89"/>
        <w:gridCol w:w="1089"/>
        <w:gridCol w:w="2668"/>
        <w:gridCol w:w="2350"/>
        <w:gridCol w:w="2112"/>
      </w:tblGrid>
      <w:tr w14:paraId="4AF43A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089" w:type="dxa"/>
            <w:tcBorders>
              <w:top w:val="single" w:color="auto" w:sz="4" w:space="0"/>
              <w:left w:val="single" w:color="auto" w:sz="4" w:space="0"/>
              <w:bottom w:val="single" w:color="auto" w:sz="4" w:space="0"/>
              <w:right w:val="single" w:color="auto" w:sz="4" w:space="0"/>
            </w:tcBorders>
            <w:vAlign w:val="center"/>
          </w:tcPr>
          <w:p w14:paraId="5CB6EFF2">
            <w:pPr>
              <w:spacing w:line="360" w:lineRule="auto"/>
              <w:contextualSpacing/>
              <w:jc w:val="center"/>
              <w:rPr>
                <w:rFonts w:hint="eastAsia" w:ascii="宋体" w:hAnsi="宋体" w:cs="仿宋_GB2312"/>
                <w:sz w:val="24"/>
                <w:highlight w:val="none"/>
              </w:rPr>
            </w:pPr>
            <w:r>
              <w:rPr>
                <w:rFonts w:hint="eastAsia" w:ascii="宋体" w:hAnsi="宋体" w:cs="仿宋_GB2312"/>
                <w:sz w:val="24"/>
                <w:highlight w:val="none"/>
              </w:rPr>
              <w:t>序号</w:t>
            </w:r>
          </w:p>
        </w:tc>
        <w:tc>
          <w:tcPr>
            <w:tcW w:w="1089" w:type="dxa"/>
            <w:tcBorders>
              <w:top w:val="single" w:color="auto" w:sz="4" w:space="0"/>
              <w:left w:val="single" w:color="auto" w:sz="4" w:space="0"/>
              <w:bottom w:val="single" w:color="auto" w:sz="4" w:space="0"/>
              <w:right w:val="single" w:color="auto" w:sz="4" w:space="0"/>
            </w:tcBorders>
            <w:vAlign w:val="center"/>
          </w:tcPr>
          <w:p w14:paraId="711FEC1B">
            <w:pPr>
              <w:spacing w:line="360" w:lineRule="auto"/>
              <w:contextualSpacing/>
              <w:jc w:val="center"/>
              <w:rPr>
                <w:rFonts w:hint="eastAsia" w:ascii="宋体" w:hAnsi="宋体" w:cs="仿宋_GB2312"/>
                <w:sz w:val="24"/>
                <w:highlight w:val="none"/>
              </w:rPr>
            </w:pPr>
            <w:r>
              <w:rPr>
                <w:rFonts w:hint="eastAsia" w:ascii="宋体" w:hAnsi="宋体" w:cs="仿宋_GB2312"/>
                <w:sz w:val="24"/>
                <w:highlight w:val="none"/>
              </w:rPr>
              <w:t>项目</w:t>
            </w:r>
          </w:p>
        </w:tc>
        <w:tc>
          <w:tcPr>
            <w:tcW w:w="2668" w:type="dxa"/>
            <w:tcBorders>
              <w:top w:val="single" w:color="auto" w:sz="4" w:space="0"/>
              <w:left w:val="single" w:color="auto" w:sz="4" w:space="0"/>
              <w:bottom w:val="single" w:color="auto" w:sz="4" w:space="0"/>
              <w:right w:val="single" w:color="auto" w:sz="4" w:space="0"/>
            </w:tcBorders>
            <w:vAlign w:val="center"/>
          </w:tcPr>
          <w:p w14:paraId="70B1B5CD">
            <w:pPr>
              <w:spacing w:line="360" w:lineRule="auto"/>
              <w:contextualSpacing/>
              <w:jc w:val="center"/>
              <w:rPr>
                <w:rFonts w:hint="eastAsia" w:ascii="宋体" w:hAnsi="宋体" w:cs="仿宋_GB2312"/>
                <w:sz w:val="24"/>
                <w:highlight w:val="none"/>
              </w:rPr>
            </w:pPr>
            <w:r>
              <w:rPr>
                <w:rFonts w:hint="eastAsia" w:ascii="宋体" w:hAnsi="宋体" w:cs="仿宋_GB2312"/>
                <w:sz w:val="24"/>
                <w:highlight w:val="none"/>
              </w:rPr>
              <w:t>磋商文件商务要求</w:t>
            </w:r>
          </w:p>
        </w:tc>
        <w:tc>
          <w:tcPr>
            <w:tcW w:w="2350" w:type="dxa"/>
            <w:tcBorders>
              <w:top w:val="single" w:color="auto" w:sz="4" w:space="0"/>
              <w:left w:val="single" w:color="auto" w:sz="4" w:space="0"/>
              <w:bottom w:val="single" w:color="auto" w:sz="4" w:space="0"/>
              <w:right w:val="single" w:color="auto" w:sz="4" w:space="0"/>
            </w:tcBorders>
            <w:vAlign w:val="center"/>
          </w:tcPr>
          <w:p w14:paraId="6C986C2F">
            <w:pPr>
              <w:spacing w:line="360" w:lineRule="auto"/>
              <w:contextualSpacing/>
              <w:jc w:val="center"/>
              <w:rPr>
                <w:rFonts w:hint="eastAsia" w:ascii="宋体" w:hAnsi="宋体" w:cs="仿宋_GB2312"/>
                <w:sz w:val="24"/>
                <w:highlight w:val="none"/>
              </w:rPr>
            </w:pPr>
            <w:r>
              <w:rPr>
                <w:rFonts w:hint="eastAsia" w:ascii="宋体" w:hAnsi="宋体" w:cs="仿宋_GB2312"/>
                <w:sz w:val="24"/>
                <w:highlight w:val="none"/>
              </w:rPr>
              <w:t>供应商的响应</w:t>
            </w:r>
          </w:p>
        </w:tc>
        <w:tc>
          <w:tcPr>
            <w:tcW w:w="2112" w:type="dxa"/>
            <w:tcBorders>
              <w:top w:val="single" w:color="auto" w:sz="4" w:space="0"/>
              <w:left w:val="single" w:color="auto" w:sz="4" w:space="0"/>
              <w:bottom w:val="single" w:color="auto" w:sz="4" w:space="0"/>
              <w:right w:val="single" w:color="auto" w:sz="4" w:space="0"/>
            </w:tcBorders>
            <w:vAlign w:val="center"/>
          </w:tcPr>
          <w:p w14:paraId="2E7B4AE0">
            <w:pPr>
              <w:spacing w:line="360" w:lineRule="auto"/>
              <w:contextualSpacing/>
              <w:jc w:val="center"/>
              <w:rPr>
                <w:rFonts w:hint="eastAsia" w:ascii="宋体" w:hAnsi="宋体" w:cs="仿宋_GB2312"/>
                <w:sz w:val="24"/>
                <w:highlight w:val="none"/>
              </w:rPr>
            </w:pPr>
            <w:r>
              <w:rPr>
                <w:rFonts w:hint="eastAsia" w:ascii="宋体" w:hAnsi="宋体" w:cs="仿宋_GB2312"/>
                <w:sz w:val="24"/>
                <w:highlight w:val="none"/>
              </w:rPr>
              <w:t>偏离说明</w:t>
            </w:r>
          </w:p>
        </w:tc>
      </w:tr>
      <w:tr w14:paraId="45911B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089" w:type="dxa"/>
            <w:tcBorders>
              <w:top w:val="single" w:color="auto" w:sz="4" w:space="0"/>
              <w:left w:val="single" w:color="auto" w:sz="4" w:space="0"/>
              <w:bottom w:val="single" w:color="auto" w:sz="4" w:space="0"/>
              <w:right w:val="single" w:color="auto" w:sz="4" w:space="0"/>
            </w:tcBorders>
            <w:vAlign w:val="center"/>
          </w:tcPr>
          <w:p w14:paraId="166EA93F">
            <w:pPr>
              <w:jc w:val="center"/>
              <w:rPr>
                <w:rFonts w:hint="eastAsia" w:ascii="宋体" w:hAnsi="宋体"/>
                <w:sz w:val="24"/>
                <w:highlight w:val="none"/>
              </w:rPr>
            </w:pPr>
          </w:p>
        </w:tc>
        <w:tc>
          <w:tcPr>
            <w:tcW w:w="1089" w:type="dxa"/>
            <w:tcBorders>
              <w:top w:val="single" w:color="auto" w:sz="4" w:space="0"/>
              <w:left w:val="single" w:color="auto" w:sz="4" w:space="0"/>
              <w:bottom w:val="single" w:color="auto" w:sz="4" w:space="0"/>
              <w:right w:val="single" w:color="auto" w:sz="4" w:space="0"/>
            </w:tcBorders>
            <w:vAlign w:val="center"/>
          </w:tcPr>
          <w:p w14:paraId="2E5F8B9D">
            <w:pPr>
              <w:jc w:val="center"/>
              <w:rPr>
                <w:rFonts w:hint="eastAsia" w:ascii="宋体" w:hAnsi="宋体"/>
                <w:sz w:val="24"/>
                <w:highlight w:val="none"/>
              </w:rPr>
            </w:pPr>
          </w:p>
        </w:tc>
        <w:tc>
          <w:tcPr>
            <w:tcW w:w="2668" w:type="dxa"/>
            <w:tcBorders>
              <w:top w:val="single" w:color="auto" w:sz="4" w:space="0"/>
              <w:left w:val="single" w:color="auto" w:sz="4" w:space="0"/>
              <w:bottom w:val="single" w:color="auto" w:sz="4" w:space="0"/>
              <w:right w:val="single" w:color="auto" w:sz="4" w:space="0"/>
            </w:tcBorders>
            <w:vAlign w:val="center"/>
          </w:tcPr>
          <w:p w14:paraId="227BC294">
            <w:pPr>
              <w:spacing w:line="360" w:lineRule="auto"/>
              <w:contextualSpacing/>
              <w:jc w:val="center"/>
              <w:rPr>
                <w:rFonts w:hint="eastAsia" w:ascii="宋体" w:hAnsi="宋体" w:cs="仿宋_GB2312"/>
                <w:sz w:val="24"/>
                <w:highlight w:val="none"/>
              </w:rPr>
            </w:pPr>
          </w:p>
        </w:tc>
        <w:tc>
          <w:tcPr>
            <w:tcW w:w="2350" w:type="dxa"/>
            <w:tcBorders>
              <w:top w:val="single" w:color="auto" w:sz="4" w:space="0"/>
              <w:left w:val="single" w:color="auto" w:sz="4" w:space="0"/>
              <w:bottom w:val="single" w:color="auto" w:sz="4" w:space="0"/>
              <w:right w:val="single" w:color="auto" w:sz="4" w:space="0"/>
            </w:tcBorders>
            <w:vAlign w:val="center"/>
          </w:tcPr>
          <w:p w14:paraId="00E4789E">
            <w:pPr>
              <w:spacing w:line="360" w:lineRule="auto"/>
              <w:contextualSpacing/>
              <w:jc w:val="center"/>
              <w:rPr>
                <w:rFonts w:hint="eastAsia" w:ascii="宋体" w:hAnsi="宋体" w:cs="仿宋_GB2312"/>
                <w:sz w:val="24"/>
                <w:highlight w:val="none"/>
              </w:rPr>
            </w:pPr>
          </w:p>
        </w:tc>
        <w:tc>
          <w:tcPr>
            <w:tcW w:w="2112" w:type="dxa"/>
            <w:tcBorders>
              <w:top w:val="single" w:color="auto" w:sz="4" w:space="0"/>
              <w:left w:val="single" w:color="auto" w:sz="4" w:space="0"/>
              <w:bottom w:val="single" w:color="auto" w:sz="4" w:space="0"/>
              <w:right w:val="single" w:color="auto" w:sz="4" w:space="0"/>
            </w:tcBorders>
            <w:vAlign w:val="center"/>
          </w:tcPr>
          <w:p w14:paraId="57F3F880">
            <w:pPr>
              <w:spacing w:line="360" w:lineRule="auto"/>
              <w:contextualSpacing/>
              <w:jc w:val="center"/>
              <w:rPr>
                <w:rFonts w:hint="eastAsia" w:ascii="宋体" w:hAnsi="宋体" w:cs="仿宋_GB2312"/>
                <w:sz w:val="24"/>
                <w:highlight w:val="none"/>
              </w:rPr>
            </w:pPr>
          </w:p>
        </w:tc>
      </w:tr>
      <w:tr w14:paraId="789053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1089" w:type="dxa"/>
            <w:tcBorders>
              <w:top w:val="single" w:color="auto" w:sz="4" w:space="0"/>
              <w:left w:val="single" w:color="auto" w:sz="4" w:space="0"/>
              <w:bottom w:val="single" w:color="auto" w:sz="4" w:space="0"/>
              <w:right w:val="single" w:color="auto" w:sz="4" w:space="0"/>
            </w:tcBorders>
            <w:vAlign w:val="center"/>
          </w:tcPr>
          <w:p w14:paraId="6AE04EC2">
            <w:pPr>
              <w:jc w:val="center"/>
              <w:rPr>
                <w:rFonts w:hint="eastAsia" w:ascii="宋体" w:hAnsi="宋体"/>
                <w:sz w:val="24"/>
                <w:highlight w:val="none"/>
              </w:rPr>
            </w:pPr>
          </w:p>
        </w:tc>
        <w:tc>
          <w:tcPr>
            <w:tcW w:w="1089" w:type="dxa"/>
            <w:tcBorders>
              <w:top w:val="single" w:color="auto" w:sz="4" w:space="0"/>
              <w:left w:val="single" w:color="auto" w:sz="4" w:space="0"/>
              <w:bottom w:val="single" w:color="auto" w:sz="4" w:space="0"/>
              <w:right w:val="single" w:color="auto" w:sz="4" w:space="0"/>
            </w:tcBorders>
            <w:vAlign w:val="center"/>
          </w:tcPr>
          <w:p w14:paraId="3A3A532D">
            <w:pPr>
              <w:jc w:val="center"/>
              <w:rPr>
                <w:rFonts w:hint="eastAsia" w:ascii="宋体" w:hAnsi="宋体"/>
                <w:sz w:val="24"/>
                <w:highlight w:val="none"/>
              </w:rPr>
            </w:pPr>
          </w:p>
        </w:tc>
        <w:tc>
          <w:tcPr>
            <w:tcW w:w="2668" w:type="dxa"/>
            <w:tcBorders>
              <w:top w:val="single" w:color="auto" w:sz="4" w:space="0"/>
              <w:left w:val="single" w:color="auto" w:sz="4" w:space="0"/>
              <w:bottom w:val="single" w:color="auto" w:sz="4" w:space="0"/>
              <w:right w:val="single" w:color="auto" w:sz="4" w:space="0"/>
            </w:tcBorders>
            <w:vAlign w:val="center"/>
          </w:tcPr>
          <w:p w14:paraId="6A95B1FF">
            <w:pPr>
              <w:spacing w:line="360" w:lineRule="auto"/>
              <w:contextualSpacing/>
              <w:jc w:val="center"/>
              <w:rPr>
                <w:rFonts w:hint="eastAsia" w:ascii="宋体" w:hAnsi="宋体" w:cs="仿宋_GB2312"/>
                <w:sz w:val="24"/>
                <w:highlight w:val="none"/>
              </w:rPr>
            </w:pPr>
          </w:p>
        </w:tc>
        <w:tc>
          <w:tcPr>
            <w:tcW w:w="2350" w:type="dxa"/>
            <w:tcBorders>
              <w:top w:val="single" w:color="auto" w:sz="4" w:space="0"/>
              <w:left w:val="single" w:color="auto" w:sz="4" w:space="0"/>
              <w:bottom w:val="single" w:color="auto" w:sz="4" w:space="0"/>
              <w:right w:val="single" w:color="auto" w:sz="4" w:space="0"/>
            </w:tcBorders>
            <w:vAlign w:val="center"/>
          </w:tcPr>
          <w:p w14:paraId="0BDA7CE0">
            <w:pPr>
              <w:spacing w:line="360" w:lineRule="auto"/>
              <w:ind w:left="43"/>
              <w:contextualSpacing/>
              <w:jc w:val="center"/>
              <w:rPr>
                <w:rFonts w:hint="eastAsia" w:ascii="宋体" w:hAnsi="宋体" w:cs="仿宋_GB2312"/>
                <w:sz w:val="24"/>
                <w:highlight w:val="none"/>
              </w:rPr>
            </w:pPr>
          </w:p>
        </w:tc>
        <w:tc>
          <w:tcPr>
            <w:tcW w:w="2112" w:type="dxa"/>
            <w:tcBorders>
              <w:top w:val="single" w:color="auto" w:sz="4" w:space="0"/>
              <w:left w:val="single" w:color="auto" w:sz="4" w:space="0"/>
              <w:bottom w:val="single" w:color="auto" w:sz="4" w:space="0"/>
              <w:right w:val="single" w:color="auto" w:sz="4" w:space="0"/>
            </w:tcBorders>
            <w:vAlign w:val="center"/>
          </w:tcPr>
          <w:p w14:paraId="57F54CCE">
            <w:pPr>
              <w:spacing w:line="360" w:lineRule="auto"/>
              <w:ind w:left="43"/>
              <w:contextualSpacing/>
              <w:jc w:val="center"/>
              <w:rPr>
                <w:rFonts w:hint="eastAsia" w:ascii="宋体" w:hAnsi="宋体" w:cs="仿宋_GB2312"/>
                <w:sz w:val="24"/>
                <w:highlight w:val="none"/>
              </w:rPr>
            </w:pPr>
          </w:p>
        </w:tc>
      </w:tr>
      <w:tr w14:paraId="4D5572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89" w:type="dxa"/>
            <w:tcBorders>
              <w:top w:val="single" w:color="auto" w:sz="4" w:space="0"/>
              <w:left w:val="single" w:color="auto" w:sz="4" w:space="0"/>
              <w:bottom w:val="single" w:color="auto" w:sz="4" w:space="0"/>
              <w:right w:val="single" w:color="auto" w:sz="4" w:space="0"/>
            </w:tcBorders>
            <w:vAlign w:val="center"/>
          </w:tcPr>
          <w:p w14:paraId="53EDA3F1">
            <w:pPr>
              <w:spacing w:line="360" w:lineRule="auto"/>
              <w:contextualSpacing/>
              <w:jc w:val="center"/>
              <w:rPr>
                <w:rFonts w:hint="eastAsia" w:ascii="宋体" w:hAnsi="宋体" w:cs="仿宋_GB2312"/>
                <w:sz w:val="24"/>
                <w:highlight w:val="none"/>
              </w:rPr>
            </w:pPr>
            <w:r>
              <w:rPr>
                <w:rFonts w:hint="eastAsia" w:ascii="宋体" w:hAnsi="宋体" w:cs="仿宋_GB2312"/>
                <w:sz w:val="24"/>
                <w:highlight w:val="none"/>
              </w:rPr>
              <w:t>…</w:t>
            </w:r>
          </w:p>
        </w:tc>
        <w:tc>
          <w:tcPr>
            <w:tcW w:w="1089" w:type="dxa"/>
            <w:tcBorders>
              <w:top w:val="single" w:color="auto" w:sz="4" w:space="0"/>
              <w:left w:val="single" w:color="auto" w:sz="4" w:space="0"/>
              <w:bottom w:val="single" w:color="auto" w:sz="4" w:space="0"/>
              <w:right w:val="single" w:color="auto" w:sz="4" w:space="0"/>
            </w:tcBorders>
            <w:vAlign w:val="center"/>
          </w:tcPr>
          <w:p w14:paraId="5EB734FB">
            <w:pPr>
              <w:spacing w:line="360" w:lineRule="auto"/>
              <w:contextualSpacing/>
              <w:jc w:val="center"/>
              <w:rPr>
                <w:rFonts w:hint="eastAsia" w:ascii="宋体" w:hAnsi="宋体" w:cs="仿宋_GB2312"/>
                <w:sz w:val="24"/>
                <w:highlight w:val="none"/>
              </w:rPr>
            </w:pPr>
            <w:r>
              <w:rPr>
                <w:rFonts w:hint="eastAsia" w:ascii="宋体" w:hAnsi="宋体" w:cs="仿宋_GB2312"/>
                <w:sz w:val="24"/>
                <w:highlight w:val="none"/>
              </w:rPr>
              <w:t>…</w:t>
            </w:r>
          </w:p>
        </w:tc>
        <w:tc>
          <w:tcPr>
            <w:tcW w:w="2668" w:type="dxa"/>
            <w:tcBorders>
              <w:top w:val="single" w:color="auto" w:sz="4" w:space="0"/>
              <w:left w:val="single" w:color="auto" w:sz="4" w:space="0"/>
              <w:bottom w:val="single" w:color="auto" w:sz="4" w:space="0"/>
              <w:right w:val="single" w:color="auto" w:sz="4" w:space="0"/>
            </w:tcBorders>
            <w:vAlign w:val="center"/>
          </w:tcPr>
          <w:p w14:paraId="3578789F">
            <w:pPr>
              <w:spacing w:line="360" w:lineRule="auto"/>
              <w:contextualSpacing/>
              <w:jc w:val="center"/>
              <w:rPr>
                <w:rFonts w:hint="eastAsia" w:ascii="宋体" w:hAnsi="宋体" w:cs="仿宋_GB2312"/>
                <w:sz w:val="24"/>
                <w:highlight w:val="none"/>
              </w:rPr>
            </w:pPr>
            <w:r>
              <w:rPr>
                <w:rFonts w:hint="eastAsia" w:ascii="宋体" w:hAnsi="宋体" w:cs="仿宋_GB2312"/>
                <w:sz w:val="24"/>
                <w:highlight w:val="none"/>
              </w:rPr>
              <w:t>…</w:t>
            </w:r>
          </w:p>
        </w:tc>
        <w:tc>
          <w:tcPr>
            <w:tcW w:w="2350" w:type="dxa"/>
            <w:tcBorders>
              <w:top w:val="single" w:color="auto" w:sz="4" w:space="0"/>
              <w:left w:val="single" w:color="auto" w:sz="4" w:space="0"/>
              <w:bottom w:val="single" w:color="auto" w:sz="4" w:space="0"/>
              <w:right w:val="single" w:color="auto" w:sz="4" w:space="0"/>
            </w:tcBorders>
            <w:vAlign w:val="center"/>
          </w:tcPr>
          <w:p w14:paraId="69B833C4">
            <w:pPr>
              <w:spacing w:line="360" w:lineRule="auto"/>
              <w:contextualSpacing/>
              <w:jc w:val="center"/>
              <w:rPr>
                <w:rFonts w:hint="eastAsia" w:ascii="宋体" w:hAnsi="宋体" w:cs="仿宋_GB2312"/>
                <w:sz w:val="24"/>
                <w:highlight w:val="none"/>
              </w:rPr>
            </w:pPr>
            <w:r>
              <w:rPr>
                <w:rFonts w:hint="eastAsia" w:ascii="宋体" w:hAnsi="宋体" w:cs="仿宋_GB2312"/>
                <w:sz w:val="24"/>
                <w:highlight w:val="none"/>
              </w:rPr>
              <w:t>…</w:t>
            </w:r>
          </w:p>
        </w:tc>
        <w:tc>
          <w:tcPr>
            <w:tcW w:w="2112" w:type="dxa"/>
            <w:tcBorders>
              <w:top w:val="single" w:color="auto" w:sz="4" w:space="0"/>
              <w:left w:val="single" w:color="auto" w:sz="4" w:space="0"/>
              <w:bottom w:val="single" w:color="auto" w:sz="4" w:space="0"/>
              <w:right w:val="single" w:color="auto" w:sz="4" w:space="0"/>
            </w:tcBorders>
            <w:vAlign w:val="center"/>
          </w:tcPr>
          <w:p w14:paraId="5AA6D565">
            <w:pPr>
              <w:spacing w:line="360" w:lineRule="auto"/>
              <w:contextualSpacing/>
              <w:jc w:val="center"/>
              <w:rPr>
                <w:rFonts w:hint="eastAsia" w:ascii="宋体" w:hAnsi="宋体" w:cs="仿宋_GB2312"/>
                <w:sz w:val="24"/>
                <w:highlight w:val="none"/>
              </w:rPr>
            </w:pPr>
            <w:r>
              <w:rPr>
                <w:rFonts w:hint="eastAsia" w:ascii="宋体" w:hAnsi="宋体" w:cs="仿宋_GB2312"/>
                <w:sz w:val="24"/>
                <w:highlight w:val="none"/>
              </w:rPr>
              <w:t>…</w:t>
            </w:r>
          </w:p>
        </w:tc>
      </w:tr>
    </w:tbl>
    <w:p w14:paraId="62225759">
      <w:pPr>
        <w:pStyle w:val="12"/>
        <w:spacing w:after="0" w:line="360" w:lineRule="auto"/>
        <w:contextualSpacing/>
        <w:rPr>
          <w:rFonts w:hint="eastAsia" w:ascii="宋体" w:hAnsi="宋体"/>
          <w:kern w:val="0"/>
          <w:sz w:val="24"/>
          <w:szCs w:val="24"/>
          <w:highlight w:val="none"/>
        </w:rPr>
      </w:pPr>
      <w:r>
        <w:rPr>
          <w:rFonts w:hint="eastAsia" w:ascii="宋体" w:hAnsi="宋体"/>
          <w:kern w:val="0"/>
          <w:sz w:val="24"/>
          <w:szCs w:val="24"/>
          <w:highlight w:val="none"/>
        </w:rPr>
        <w:t>注：</w:t>
      </w:r>
    </w:p>
    <w:p w14:paraId="5A7DDD9A">
      <w:pPr>
        <w:pStyle w:val="12"/>
        <w:spacing w:after="0" w:line="360" w:lineRule="auto"/>
        <w:contextualSpacing/>
        <w:rPr>
          <w:rFonts w:hint="eastAsia" w:ascii="宋体" w:hAnsi="宋体"/>
          <w:kern w:val="0"/>
          <w:sz w:val="24"/>
          <w:szCs w:val="24"/>
          <w:highlight w:val="none"/>
        </w:rPr>
      </w:pPr>
      <w:r>
        <w:rPr>
          <w:rFonts w:hint="eastAsia" w:ascii="宋体" w:hAnsi="宋体"/>
          <w:kern w:val="0"/>
          <w:sz w:val="24"/>
          <w:szCs w:val="24"/>
          <w:highlight w:val="none"/>
        </w:rPr>
        <w:t>1. 说明：应对照磋商文件“第三章采购需求”中的商务条款逐条作出明确响应，并作出偏离说明。</w:t>
      </w:r>
    </w:p>
    <w:p w14:paraId="29AB48D8">
      <w:pPr>
        <w:spacing w:line="360" w:lineRule="auto"/>
        <w:contextualSpacing/>
        <w:jc w:val="left"/>
        <w:rPr>
          <w:rFonts w:hint="eastAsia" w:ascii="宋体" w:hAnsi="宋体" w:cs="仿宋_GB2312"/>
          <w:sz w:val="24"/>
          <w:highlight w:val="none"/>
          <w:u w:val="single"/>
        </w:rPr>
      </w:pPr>
      <w:r>
        <w:rPr>
          <w:rFonts w:hint="eastAsia" w:ascii="宋体" w:hAnsi="宋体"/>
          <w:kern w:val="0"/>
          <w:sz w:val="24"/>
          <w:highlight w:val="none"/>
        </w:rPr>
        <w:t>2.供应商应根据自身的承诺，对照磋商文件要求在“偏离说明”中注明“正偏离”、“负偏离”或者“无偏离”。既不属于“正偏离”也不属于“负偏离”即为“无偏离”。</w:t>
      </w:r>
    </w:p>
    <w:p w14:paraId="2B164F87">
      <w:pPr>
        <w:spacing w:line="360" w:lineRule="auto"/>
        <w:ind w:right="-817" w:rightChars="-389"/>
        <w:contextualSpacing/>
        <w:rPr>
          <w:rFonts w:hint="eastAsia" w:ascii="宋体" w:hAnsi="宋体" w:cs="仿宋_GB2312"/>
          <w:sz w:val="24"/>
          <w:highlight w:val="none"/>
        </w:rPr>
      </w:pPr>
    </w:p>
    <w:p w14:paraId="11F5A558">
      <w:pPr>
        <w:spacing w:line="360" w:lineRule="auto"/>
        <w:ind w:right="-817" w:rightChars="-389"/>
        <w:contextualSpacing/>
        <w:jc w:val="center"/>
        <w:rPr>
          <w:rFonts w:hint="eastAsia" w:ascii="宋体" w:hAnsi="宋体" w:cs="仿宋_GB2312"/>
          <w:sz w:val="24"/>
          <w:highlight w:val="none"/>
        </w:rPr>
      </w:pPr>
      <w:r>
        <w:rPr>
          <w:rFonts w:hint="eastAsia" w:ascii="宋体" w:hAnsi="宋体" w:cs="仿宋_GB2312"/>
          <w:sz w:val="24"/>
          <w:highlight w:val="none"/>
        </w:rPr>
        <w:t>法定代表人或者委托代理人（签字或者电子签名）：</w:t>
      </w:r>
    </w:p>
    <w:p w14:paraId="17D4D665">
      <w:pPr>
        <w:spacing w:line="360" w:lineRule="auto"/>
        <w:ind w:right="-817" w:rightChars="-389" w:firstLine="2640" w:firstLineChars="1100"/>
        <w:contextualSpacing/>
        <w:rPr>
          <w:rFonts w:hint="eastAsia" w:ascii="宋体" w:hAnsi="宋体" w:cs="仿宋_GB2312"/>
          <w:sz w:val="24"/>
          <w:highlight w:val="none"/>
        </w:rPr>
      </w:pPr>
      <w:r>
        <w:rPr>
          <w:rFonts w:hint="eastAsia" w:ascii="宋体" w:hAnsi="宋体" w:cs="仿宋_GB2312"/>
          <w:sz w:val="24"/>
          <w:highlight w:val="none"/>
        </w:rPr>
        <w:t>供应商（电子签章）：</w:t>
      </w:r>
    </w:p>
    <w:p w14:paraId="5B31A7B9">
      <w:pPr>
        <w:spacing w:line="360" w:lineRule="auto"/>
        <w:ind w:right="-817" w:rightChars="-389" w:firstLine="4080" w:firstLineChars="1700"/>
        <w:contextualSpacing/>
        <w:rPr>
          <w:rFonts w:hint="eastAsia" w:ascii="仿宋_GB2312" w:hAnsi="仿宋_GB2312" w:eastAsia="仿宋_GB2312" w:cs="仿宋_GB2312"/>
          <w:b/>
          <w:sz w:val="32"/>
          <w:szCs w:val="32"/>
          <w:highlight w:val="none"/>
        </w:rPr>
      </w:pPr>
      <w:r>
        <w:rPr>
          <w:rFonts w:hint="eastAsia" w:ascii="宋体" w:hAnsi="宋体" w:cs="仿宋_GB2312"/>
          <w:sz w:val="24"/>
          <w:highlight w:val="none"/>
        </w:rPr>
        <w:t>日期：年月日</w:t>
      </w:r>
    </w:p>
    <w:p w14:paraId="1AFC458B">
      <w:pPr>
        <w:adjustRightInd w:val="0"/>
        <w:snapToGrid w:val="0"/>
        <w:spacing w:line="520" w:lineRule="exact"/>
        <w:ind w:firstLine="7040" w:firstLineChars="1600"/>
        <w:jc w:val="center"/>
        <w:rPr>
          <w:rFonts w:hint="eastAsia" w:ascii="微软雅黑" w:hAnsi="微软雅黑" w:eastAsia="微软雅黑" w:cs="微软雅黑"/>
          <w:bCs/>
          <w:sz w:val="44"/>
          <w:szCs w:val="44"/>
          <w:highlight w:val="none"/>
        </w:rPr>
      </w:pPr>
    </w:p>
    <w:p w14:paraId="5B049719">
      <w:pPr>
        <w:adjustRightInd w:val="0"/>
        <w:snapToGrid w:val="0"/>
        <w:spacing w:line="520" w:lineRule="exact"/>
        <w:ind w:firstLine="7040" w:firstLineChars="1600"/>
        <w:jc w:val="center"/>
        <w:rPr>
          <w:rFonts w:hint="eastAsia" w:ascii="微软雅黑" w:hAnsi="微软雅黑" w:eastAsia="微软雅黑" w:cs="微软雅黑"/>
          <w:bCs/>
          <w:sz w:val="44"/>
          <w:szCs w:val="44"/>
          <w:highlight w:val="none"/>
        </w:rPr>
      </w:pPr>
    </w:p>
    <w:p w14:paraId="5A257D5C">
      <w:pPr>
        <w:adjustRightInd w:val="0"/>
        <w:snapToGrid w:val="0"/>
        <w:spacing w:line="520" w:lineRule="exact"/>
        <w:ind w:firstLine="7040" w:firstLineChars="1600"/>
        <w:jc w:val="center"/>
        <w:rPr>
          <w:rFonts w:hint="eastAsia" w:ascii="微软雅黑" w:hAnsi="微软雅黑" w:eastAsia="微软雅黑" w:cs="微软雅黑"/>
          <w:bCs/>
          <w:sz w:val="44"/>
          <w:szCs w:val="44"/>
          <w:highlight w:val="none"/>
        </w:rPr>
      </w:pPr>
    </w:p>
    <w:p w14:paraId="6B47261C">
      <w:pPr>
        <w:adjustRightInd w:val="0"/>
        <w:snapToGrid w:val="0"/>
        <w:spacing w:line="520" w:lineRule="exact"/>
        <w:ind w:firstLine="7040" w:firstLineChars="1600"/>
        <w:jc w:val="center"/>
        <w:rPr>
          <w:rFonts w:hint="eastAsia" w:ascii="微软雅黑" w:hAnsi="微软雅黑" w:eastAsia="微软雅黑" w:cs="微软雅黑"/>
          <w:bCs/>
          <w:sz w:val="44"/>
          <w:szCs w:val="44"/>
          <w:highlight w:val="none"/>
        </w:rPr>
      </w:pPr>
    </w:p>
    <w:p w14:paraId="238DEB65">
      <w:pPr>
        <w:adjustRightInd w:val="0"/>
        <w:snapToGrid w:val="0"/>
        <w:spacing w:line="520" w:lineRule="exact"/>
        <w:rPr>
          <w:rFonts w:hint="eastAsia" w:ascii="宋体" w:hAnsi="宋体"/>
          <w:szCs w:val="21"/>
          <w:highlight w:val="none"/>
          <w:u w:val="single"/>
        </w:rPr>
      </w:pPr>
    </w:p>
    <w:p w14:paraId="168C58D6">
      <w:pPr>
        <w:adjustRightInd w:val="0"/>
        <w:snapToGrid w:val="0"/>
        <w:spacing w:line="300" w:lineRule="auto"/>
        <w:jc w:val="center"/>
        <w:rPr>
          <w:rFonts w:hint="eastAsia" w:ascii="微软雅黑" w:hAnsi="微软雅黑" w:eastAsia="微软雅黑" w:cs="微软雅黑"/>
          <w:bCs/>
          <w:sz w:val="44"/>
          <w:szCs w:val="44"/>
          <w:highlight w:val="none"/>
        </w:rPr>
      </w:pPr>
      <w:r>
        <w:rPr>
          <w:rFonts w:ascii="微软雅黑" w:hAnsi="微软雅黑" w:eastAsia="微软雅黑" w:cs="微软雅黑"/>
          <w:bCs/>
          <w:sz w:val="44"/>
          <w:szCs w:val="44"/>
          <w:highlight w:val="none"/>
        </w:rPr>
        <w:br w:type="page"/>
      </w:r>
      <w:r>
        <w:rPr>
          <w:rFonts w:hint="eastAsia" w:ascii="微软雅黑" w:hAnsi="微软雅黑" w:eastAsia="微软雅黑" w:cs="微软雅黑"/>
          <w:bCs/>
          <w:sz w:val="44"/>
          <w:szCs w:val="44"/>
          <w:highlight w:val="none"/>
        </w:rPr>
        <w:t>技术要求偏离表</w:t>
      </w:r>
    </w:p>
    <w:p w14:paraId="2138C6BC">
      <w:pPr>
        <w:spacing w:line="520" w:lineRule="exact"/>
        <w:rPr>
          <w:rFonts w:hint="eastAsia" w:ascii="仿宋_GB2312" w:hAnsi="仿宋_GB2312" w:eastAsia="仿宋_GB2312" w:cs="仿宋_GB2312"/>
          <w:sz w:val="32"/>
          <w:szCs w:val="32"/>
          <w:highlight w:val="none"/>
        </w:rPr>
      </w:pPr>
    </w:p>
    <w:p w14:paraId="1A2CEE98">
      <w:pPr>
        <w:spacing w:line="360" w:lineRule="auto"/>
        <w:contextualSpacing/>
        <w:rPr>
          <w:rFonts w:hint="eastAsia" w:ascii="宋体" w:hAnsi="宋体" w:cs="仿宋_GB2312"/>
          <w:sz w:val="24"/>
          <w:highlight w:val="none"/>
          <w:u w:val="single"/>
        </w:rPr>
      </w:pPr>
      <w:r>
        <w:rPr>
          <w:rFonts w:hint="eastAsia" w:ascii="宋体" w:hAnsi="宋体" w:cs="仿宋_GB2312"/>
          <w:sz w:val="24"/>
          <w:highlight w:val="none"/>
        </w:rPr>
        <w:t>采购项目编号：</w:t>
      </w:r>
    </w:p>
    <w:p w14:paraId="48C9FDF5">
      <w:pPr>
        <w:spacing w:line="360" w:lineRule="auto"/>
        <w:contextualSpacing/>
        <w:rPr>
          <w:rFonts w:hint="eastAsia" w:ascii="宋体" w:hAnsi="宋体" w:cs="仿宋_GB2312"/>
          <w:sz w:val="24"/>
          <w:highlight w:val="none"/>
        </w:rPr>
      </w:pPr>
      <w:r>
        <w:rPr>
          <w:rFonts w:hint="eastAsia" w:ascii="宋体" w:hAnsi="宋体" w:cs="仿宋_GB2312"/>
          <w:sz w:val="24"/>
          <w:highlight w:val="none"/>
        </w:rPr>
        <w:t>采购项目名称：</w:t>
      </w:r>
    </w:p>
    <w:p w14:paraId="08207773">
      <w:pPr>
        <w:spacing w:line="360" w:lineRule="auto"/>
        <w:contextualSpacing/>
        <w:rPr>
          <w:rFonts w:hint="eastAsia" w:ascii="宋体" w:hAnsi="宋体" w:cs="仿宋_GB2312"/>
          <w:sz w:val="24"/>
          <w:highlight w:val="none"/>
          <w:u w:val="single"/>
        </w:rPr>
      </w:pPr>
      <w:r>
        <w:rPr>
          <w:rFonts w:hint="eastAsia" w:ascii="宋体" w:hAnsi="宋体" w:cs="仿宋_GB2312"/>
          <w:sz w:val="24"/>
          <w:highlight w:val="none"/>
        </w:rPr>
        <w:t>分标号：</w:t>
      </w:r>
    </w:p>
    <w:tbl>
      <w:tblPr>
        <w:tblStyle w:val="24"/>
        <w:tblW w:w="9095"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16"/>
        <w:gridCol w:w="915"/>
        <w:gridCol w:w="3038"/>
        <w:gridCol w:w="2734"/>
        <w:gridCol w:w="1492"/>
      </w:tblGrid>
      <w:tr w14:paraId="649E74D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16" w:type="dxa"/>
            <w:vAlign w:val="center"/>
          </w:tcPr>
          <w:p w14:paraId="60932947">
            <w:pPr>
              <w:pStyle w:val="13"/>
              <w:spacing w:line="360" w:lineRule="auto"/>
              <w:ind w:firstLine="0" w:firstLineChars="0"/>
              <w:contextualSpacing/>
              <w:jc w:val="center"/>
              <w:rPr>
                <w:rFonts w:hint="eastAsia" w:ascii="宋体" w:hAnsi="宋体" w:eastAsia="宋体" w:cs="仿宋_GB2312"/>
                <w:kern w:val="2"/>
                <w:sz w:val="24"/>
                <w:szCs w:val="24"/>
                <w:highlight w:val="none"/>
              </w:rPr>
            </w:pPr>
            <w:bookmarkStart w:id="79" w:name="_Toc173211900"/>
            <w:bookmarkStart w:id="80" w:name="_Toc383699906"/>
            <w:bookmarkStart w:id="81" w:name="_Toc297193185"/>
            <w:bookmarkStart w:id="82" w:name="_Toc301781611"/>
            <w:bookmarkStart w:id="83" w:name="_Toc254970729"/>
            <w:bookmarkStart w:id="84" w:name="_Toc173066401"/>
            <w:bookmarkStart w:id="85" w:name="_Toc373333689"/>
            <w:bookmarkStart w:id="86" w:name="_Toc295404981"/>
            <w:bookmarkStart w:id="87" w:name="_Toc254970588"/>
            <w:r>
              <w:rPr>
                <w:rFonts w:hint="eastAsia" w:ascii="宋体" w:hAnsi="宋体" w:eastAsia="宋体" w:cs="仿宋_GB2312"/>
                <w:kern w:val="2"/>
                <w:sz w:val="24"/>
                <w:szCs w:val="24"/>
                <w:highlight w:val="none"/>
              </w:rPr>
              <w:t>序号</w:t>
            </w:r>
            <w:bookmarkEnd w:id="79"/>
            <w:bookmarkEnd w:id="80"/>
            <w:bookmarkEnd w:id="81"/>
            <w:bookmarkEnd w:id="82"/>
            <w:bookmarkEnd w:id="83"/>
            <w:bookmarkEnd w:id="84"/>
            <w:bookmarkEnd w:id="85"/>
            <w:bookmarkEnd w:id="86"/>
            <w:bookmarkEnd w:id="87"/>
          </w:p>
        </w:tc>
        <w:tc>
          <w:tcPr>
            <w:tcW w:w="915" w:type="dxa"/>
            <w:tcBorders>
              <w:right w:val="single" w:color="auto" w:sz="4" w:space="0"/>
            </w:tcBorders>
            <w:vAlign w:val="center"/>
          </w:tcPr>
          <w:p w14:paraId="08A372F8">
            <w:pPr>
              <w:pStyle w:val="13"/>
              <w:spacing w:line="360" w:lineRule="auto"/>
              <w:ind w:firstLine="0" w:firstLineChars="0"/>
              <w:contextualSpacing/>
              <w:jc w:val="center"/>
              <w:rPr>
                <w:rFonts w:hint="eastAsia" w:ascii="宋体" w:hAnsi="宋体" w:eastAsia="宋体" w:cs="仿宋_GB2312"/>
                <w:kern w:val="2"/>
                <w:sz w:val="24"/>
                <w:szCs w:val="24"/>
                <w:highlight w:val="none"/>
              </w:rPr>
            </w:pPr>
            <w:r>
              <w:rPr>
                <w:rFonts w:hint="eastAsia" w:ascii="宋体" w:hAnsi="宋体" w:eastAsia="宋体" w:cs="仿宋_GB2312"/>
                <w:kern w:val="2"/>
                <w:sz w:val="24"/>
                <w:szCs w:val="24"/>
                <w:highlight w:val="none"/>
              </w:rPr>
              <w:t>名称</w:t>
            </w:r>
          </w:p>
        </w:tc>
        <w:tc>
          <w:tcPr>
            <w:tcW w:w="3038" w:type="dxa"/>
            <w:tcBorders>
              <w:left w:val="single" w:color="auto" w:sz="4" w:space="0"/>
            </w:tcBorders>
            <w:vAlign w:val="center"/>
          </w:tcPr>
          <w:p w14:paraId="017E5656">
            <w:pPr>
              <w:pStyle w:val="13"/>
              <w:spacing w:line="360" w:lineRule="auto"/>
              <w:ind w:firstLine="0" w:firstLineChars="0"/>
              <w:contextualSpacing/>
              <w:jc w:val="center"/>
              <w:rPr>
                <w:rFonts w:hint="eastAsia" w:ascii="宋体" w:hAnsi="宋体" w:eastAsia="宋体" w:cs="仿宋_GB2312"/>
                <w:kern w:val="2"/>
                <w:sz w:val="24"/>
                <w:szCs w:val="24"/>
                <w:highlight w:val="none"/>
              </w:rPr>
            </w:pPr>
            <w:r>
              <w:rPr>
                <w:rFonts w:hint="eastAsia" w:ascii="宋体" w:hAnsi="宋体" w:eastAsia="宋体" w:cs="仿宋_GB2312"/>
                <w:kern w:val="2"/>
                <w:sz w:val="24"/>
                <w:szCs w:val="24"/>
                <w:highlight w:val="none"/>
              </w:rPr>
              <w:t>磋商文件技术要求</w:t>
            </w:r>
          </w:p>
        </w:tc>
        <w:tc>
          <w:tcPr>
            <w:tcW w:w="2734" w:type="dxa"/>
            <w:vAlign w:val="center"/>
          </w:tcPr>
          <w:p w14:paraId="66C2C43B">
            <w:pPr>
              <w:pStyle w:val="13"/>
              <w:spacing w:line="360" w:lineRule="auto"/>
              <w:ind w:firstLine="0" w:firstLineChars="0"/>
              <w:contextualSpacing/>
              <w:jc w:val="center"/>
              <w:rPr>
                <w:rFonts w:hint="eastAsia" w:ascii="宋体" w:hAnsi="宋体" w:eastAsia="宋体" w:cs="仿宋_GB2312"/>
                <w:kern w:val="2"/>
                <w:sz w:val="24"/>
                <w:szCs w:val="24"/>
                <w:highlight w:val="none"/>
              </w:rPr>
            </w:pPr>
            <w:bookmarkStart w:id="88" w:name="_Toc301781613"/>
            <w:bookmarkStart w:id="89" w:name="_Toc254970731"/>
            <w:bookmarkStart w:id="90" w:name="_Toc254970590"/>
            <w:bookmarkStart w:id="91" w:name="_Toc383699908"/>
            <w:bookmarkStart w:id="92" w:name="_Toc373333691"/>
            <w:bookmarkStart w:id="93" w:name="_Toc173066403"/>
            <w:bookmarkStart w:id="94" w:name="_Toc295404983"/>
            <w:bookmarkStart w:id="95" w:name="_Toc297193187"/>
            <w:bookmarkStart w:id="96" w:name="_Toc173211902"/>
            <w:r>
              <w:rPr>
                <w:rFonts w:hint="eastAsia" w:ascii="宋体" w:hAnsi="宋体" w:eastAsia="宋体" w:cs="仿宋_GB2312"/>
                <w:kern w:val="2"/>
                <w:sz w:val="24"/>
                <w:szCs w:val="24"/>
                <w:highlight w:val="none"/>
              </w:rPr>
              <w:t>竞标响应</w:t>
            </w:r>
            <w:bookmarkEnd w:id="88"/>
            <w:bookmarkEnd w:id="89"/>
            <w:bookmarkEnd w:id="90"/>
            <w:bookmarkEnd w:id="91"/>
            <w:bookmarkEnd w:id="92"/>
            <w:bookmarkEnd w:id="93"/>
            <w:bookmarkEnd w:id="94"/>
            <w:bookmarkEnd w:id="95"/>
            <w:bookmarkEnd w:id="96"/>
          </w:p>
        </w:tc>
        <w:tc>
          <w:tcPr>
            <w:tcW w:w="1492" w:type="dxa"/>
            <w:vAlign w:val="center"/>
          </w:tcPr>
          <w:p w14:paraId="58EF04F8">
            <w:pPr>
              <w:pStyle w:val="13"/>
              <w:spacing w:line="360" w:lineRule="auto"/>
              <w:ind w:firstLine="0" w:firstLineChars="0"/>
              <w:contextualSpacing/>
              <w:jc w:val="center"/>
              <w:rPr>
                <w:rFonts w:hint="eastAsia" w:ascii="宋体" w:hAnsi="宋体" w:eastAsia="宋体" w:cs="仿宋_GB2312"/>
                <w:kern w:val="2"/>
                <w:sz w:val="24"/>
                <w:szCs w:val="24"/>
                <w:highlight w:val="none"/>
              </w:rPr>
            </w:pPr>
            <w:bookmarkStart w:id="97" w:name="_Toc297193188"/>
            <w:bookmarkStart w:id="98" w:name="_Toc373333692"/>
            <w:bookmarkStart w:id="99" w:name="_Toc254970591"/>
            <w:bookmarkStart w:id="100" w:name="_Toc383699909"/>
            <w:bookmarkStart w:id="101" w:name="_Toc173066404"/>
            <w:bookmarkStart w:id="102" w:name="_Toc301781614"/>
            <w:bookmarkStart w:id="103" w:name="_Toc295404984"/>
            <w:bookmarkStart w:id="104" w:name="_Toc173211903"/>
            <w:bookmarkStart w:id="105" w:name="_Toc254970732"/>
            <w:r>
              <w:rPr>
                <w:rFonts w:hint="eastAsia" w:ascii="宋体" w:hAnsi="宋体" w:eastAsia="宋体" w:cs="仿宋_GB2312"/>
                <w:kern w:val="2"/>
                <w:sz w:val="24"/>
                <w:szCs w:val="24"/>
                <w:highlight w:val="none"/>
              </w:rPr>
              <w:t>偏离</w:t>
            </w:r>
            <w:bookmarkEnd w:id="97"/>
            <w:bookmarkEnd w:id="98"/>
            <w:bookmarkEnd w:id="99"/>
            <w:bookmarkEnd w:id="100"/>
            <w:bookmarkEnd w:id="101"/>
            <w:bookmarkEnd w:id="102"/>
            <w:bookmarkEnd w:id="103"/>
            <w:bookmarkEnd w:id="104"/>
            <w:bookmarkEnd w:id="105"/>
            <w:bookmarkStart w:id="106" w:name="_Toc297193189"/>
            <w:bookmarkStart w:id="107" w:name="_Toc301781615"/>
            <w:bookmarkStart w:id="108" w:name="_Toc173211904"/>
            <w:bookmarkStart w:id="109" w:name="_Toc373333693"/>
            <w:bookmarkStart w:id="110" w:name="_Toc254970592"/>
            <w:bookmarkStart w:id="111" w:name="_Toc254970733"/>
            <w:bookmarkStart w:id="112" w:name="_Toc295404985"/>
            <w:bookmarkStart w:id="113" w:name="_Toc173066405"/>
            <w:bookmarkStart w:id="114" w:name="_Toc383699910"/>
            <w:r>
              <w:rPr>
                <w:rFonts w:hint="eastAsia" w:ascii="宋体" w:hAnsi="宋体" w:eastAsia="宋体" w:cs="仿宋_GB2312"/>
                <w:kern w:val="2"/>
                <w:sz w:val="24"/>
                <w:szCs w:val="24"/>
                <w:highlight w:val="none"/>
              </w:rPr>
              <w:t>说明</w:t>
            </w:r>
            <w:bookmarkEnd w:id="106"/>
            <w:bookmarkEnd w:id="107"/>
            <w:bookmarkEnd w:id="108"/>
            <w:bookmarkEnd w:id="109"/>
            <w:bookmarkEnd w:id="110"/>
            <w:bookmarkEnd w:id="111"/>
            <w:bookmarkEnd w:id="112"/>
            <w:bookmarkEnd w:id="113"/>
            <w:bookmarkEnd w:id="114"/>
          </w:p>
        </w:tc>
      </w:tr>
      <w:tr w14:paraId="4D97284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16" w:type="dxa"/>
            <w:vAlign w:val="center"/>
          </w:tcPr>
          <w:p w14:paraId="2DF602CD">
            <w:pPr>
              <w:pStyle w:val="13"/>
              <w:spacing w:line="360" w:lineRule="auto"/>
              <w:ind w:firstLine="0" w:firstLineChars="0"/>
              <w:contextualSpacing/>
              <w:jc w:val="center"/>
              <w:rPr>
                <w:rFonts w:hint="eastAsia" w:ascii="宋体" w:hAnsi="宋体" w:eastAsia="宋体" w:cs="仿宋_GB2312"/>
                <w:kern w:val="2"/>
                <w:sz w:val="24"/>
                <w:szCs w:val="24"/>
                <w:highlight w:val="none"/>
              </w:rPr>
            </w:pPr>
          </w:p>
        </w:tc>
        <w:tc>
          <w:tcPr>
            <w:tcW w:w="915" w:type="dxa"/>
            <w:tcBorders>
              <w:right w:val="single" w:color="auto" w:sz="4" w:space="0"/>
            </w:tcBorders>
            <w:vAlign w:val="center"/>
          </w:tcPr>
          <w:p w14:paraId="51D63502">
            <w:pPr>
              <w:pStyle w:val="13"/>
              <w:spacing w:line="360" w:lineRule="auto"/>
              <w:ind w:firstLine="0" w:firstLineChars="0"/>
              <w:contextualSpacing/>
              <w:jc w:val="center"/>
              <w:rPr>
                <w:rFonts w:hint="eastAsia" w:ascii="宋体" w:hAnsi="宋体" w:eastAsia="宋体" w:cs="仿宋_GB2312"/>
                <w:kern w:val="2"/>
                <w:sz w:val="24"/>
                <w:szCs w:val="24"/>
                <w:highlight w:val="none"/>
              </w:rPr>
            </w:pPr>
          </w:p>
        </w:tc>
        <w:tc>
          <w:tcPr>
            <w:tcW w:w="3038" w:type="dxa"/>
            <w:tcBorders>
              <w:left w:val="single" w:color="auto" w:sz="4" w:space="0"/>
            </w:tcBorders>
            <w:vAlign w:val="center"/>
          </w:tcPr>
          <w:p w14:paraId="21BC72F5">
            <w:pPr>
              <w:pStyle w:val="13"/>
              <w:spacing w:line="360" w:lineRule="auto"/>
              <w:ind w:firstLine="0" w:firstLineChars="0"/>
              <w:contextualSpacing/>
              <w:jc w:val="center"/>
              <w:rPr>
                <w:rFonts w:hint="eastAsia" w:ascii="宋体" w:hAnsi="宋体" w:eastAsia="宋体" w:cs="仿宋_GB2312"/>
                <w:kern w:val="2"/>
                <w:sz w:val="24"/>
                <w:szCs w:val="24"/>
                <w:highlight w:val="none"/>
              </w:rPr>
            </w:pPr>
          </w:p>
        </w:tc>
        <w:tc>
          <w:tcPr>
            <w:tcW w:w="2734" w:type="dxa"/>
            <w:vAlign w:val="center"/>
          </w:tcPr>
          <w:p w14:paraId="5592E3B0">
            <w:pPr>
              <w:pStyle w:val="13"/>
              <w:spacing w:line="360" w:lineRule="auto"/>
              <w:ind w:firstLine="0" w:firstLineChars="0"/>
              <w:contextualSpacing/>
              <w:jc w:val="center"/>
              <w:rPr>
                <w:rFonts w:hint="eastAsia" w:ascii="宋体" w:hAnsi="宋体" w:eastAsia="宋体" w:cs="仿宋_GB2312"/>
                <w:kern w:val="2"/>
                <w:sz w:val="24"/>
                <w:szCs w:val="24"/>
                <w:highlight w:val="none"/>
              </w:rPr>
            </w:pPr>
          </w:p>
        </w:tc>
        <w:tc>
          <w:tcPr>
            <w:tcW w:w="1492" w:type="dxa"/>
            <w:vAlign w:val="center"/>
          </w:tcPr>
          <w:p w14:paraId="7F35CA19">
            <w:pPr>
              <w:pStyle w:val="13"/>
              <w:spacing w:line="360" w:lineRule="auto"/>
              <w:ind w:firstLine="0" w:firstLineChars="0"/>
              <w:contextualSpacing/>
              <w:jc w:val="center"/>
              <w:rPr>
                <w:rFonts w:hint="eastAsia" w:ascii="宋体" w:hAnsi="宋体" w:eastAsia="宋体" w:cs="仿宋_GB2312"/>
                <w:kern w:val="2"/>
                <w:sz w:val="24"/>
                <w:szCs w:val="24"/>
                <w:highlight w:val="none"/>
              </w:rPr>
            </w:pPr>
          </w:p>
        </w:tc>
      </w:tr>
      <w:tr w14:paraId="381766B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16" w:type="dxa"/>
            <w:vAlign w:val="center"/>
          </w:tcPr>
          <w:p w14:paraId="3AF0132A">
            <w:pPr>
              <w:pStyle w:val="13"/>
              <w:spacing w:line="360" w:lineRule="auto"/>
              <w:ind w:firstLine="0" w:firstLineChars="0"/>
              <w:contextualSpacing/>
              <w:jc w:val="center"/>
              <w:rPr>
                <w:rFonts w:hint="eastAsia" w:ascii="宋体" w:hAnsi="宋体" w:eastAsia="宋体" w:cs="仿宋_GB2312"/>
                <w:kern w:val="2"/>
                <w:sz w:val="24"/>
                <w:szCs w:val="24"/>
                <w:highlight w:val="none"/>
              </w:rPr>
            </w:pPr>
          </w:p>
        </w:tc>
        <w:tc>
          <w:tcPr>
            <w:tcW w:w="915" w:type="dxa"/>
            <w:tcBorders>
              <w:right w:val="single" w:color="auto" w:sz="4" w:space="0"/>
            </w:tcBorders>
            <w:vAlign w:val="center"/>
          </w:tcPr>
          <w:p w14:paraId="271C0C06">
            <w:pPr>
              <w:pStyle w:val="13"/>
              <w:spacing w:line="360" w:lineRule="auto"/>
              <w:ind w:firstLine="0" w:firstLineChars="0"/>
              <w:contextualSpacing/>
              <w:jc w:val="center"/>
              <w:rPr>
                <w:rFonts w:hint="eastAsia" w:ascii="宋体" w:hAnsi="宋体" w:eastAsia="宋体" w:cs="仿宋_GB2312"/>
                <w:kern w:val="2"/>
                <w:sz w:val="24"/>
                <w:szCs w:val="24"/>
                <w:highlight w:val="none"/>
              </w:rPr>
            </w:pPr>
          </w:p>
        </w:tc>
        <w:tc>
          <w:tcPr>
            <w:tcW w:w="3038" w:type="dxa"/>
            <w:tcBorders>
              <w:left w:val="single" w:color="auto" w:sz="4" w:space="0"/>
            </w:tcBorders>
            <w:vAlign w:val="center"/>
          </w:tcPr>
          <w:p w14:paraId="7A060CE1">
            <w:pPr>
              <w:pStyle w:val="13"/>
              <w:spacing w:line="360" w:lineRule="auto"/>
              <w:ind w:firstLine="0" w:firstLineChars="0"/>
              <w:contextualSpacing/>
              <w:jc w:val="center"/>
              <w:rPr>
                <w:rFonts w:hint="eastAsia" w:ascii="宋体" w:hAnsi="宋体" w:eastAsia="宋体" w:cs="仿宋_GB2312"/>
                <w:kern w:val="2"/>
                <w:sz w:val="24"/>
                <w:szCs w:val="24"/>
                <w:highlight w:val="none"/>
              </w:rPr>
            </w:pPr>
          </w:p>
        </w:tc>
        <w:tc>
          <w:tcPr>
            <w:tcW w:w="2734" w:type="dxa"/>
            <w:vAlign w:val="center"/>
          </w:tcPr>
          <w:p w14:paraId="5529179C">
            <w:pPr>
              <w:pStyle w:val="13"/>
              <w:spacing w:line="360" w:lineRule="auto"/>
              <w:ind w:firstLine="0" w:firstLineChars="0"/>
              <w:contextualSpacing/>
              <w:jc w:val="center"/>
              <w:rPr>
                <w:rFonts w:hint="eastAsia" w:ascii="宋体" w:hAnsi="宋体" w:eastAsia="宋体" w:cs="仿宋_GB2312"/>
                <w:kern w:val="2"/>
                <w:sz w:val="24"/>
                <w:szCs w:val="24"/>
                <w:highlight w:val="none"/>
              </w:rPr>
            </w:pPr>
          </w:p>
        </w:tc>
        <w:tc>
          <w:tcPr>
            <w:tcW w:w="1492" w:type="dxa"/>
            <w:vAlign w:val="center"/>
          </w:tcPr>
          <w:p w14:paraId="247BAFE3">
            <w:pPr>
              <w:pStyle w:val="13"/>
              <w:spacing w:line="360" w:lineRule="auto"/>
              <w:ind w:firstLine="0" w:firstLineChars="0"/>
              <w:contextualSpacing/>
              <w:jc w:val="center"/>
              <w:rPr>
                <w:rFonts w:hint="eastAsia" w:ascii="宋体" w:hAnsi="宋体" w:eastAsia="宋体" w:cs="仿宋_GB2312"/>
                <w:kern w:val="2"/>
                <w:sz w:val="24"/>
                <w:szCs w:val="24"/>
                <w:highlight w:val="none"/>
              </w:rPr>
            </w:pPr>
          </w:p>
        </w:tc>
      </w:tr>
      <w:tr w14:paraId="6EFF4F2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16" w:type="dxa"/>
            <w:vAlign w:val="center"/>
          </w:tcPr>
          <w:p w14:paraId="74CD413D">
            <w:pPr>
              <w:pStyle w:val="13"/>
              <w:spacing w:line="360" w:lineRule="auto"/>
              <w:ind w:firstLine="0" w:firstLineChars="0"/>
              <w:contextualSpacing/>
              <w:jc w:val="center"/>
              <w:rPr>
                <w:rFonts w:hint="eastAsia" w:ascii="宋体" w:hAnsi="宋体" w:eastAsia="宋体" w:cs="仿宋_GB2312"/>
                <w:kern w:val="2"/>
                <w:sz w:val="24"/>
                <w:szCs w:val="24"/>
                <w:highlight w:val="none"/>
              </w:rPr>
            </w:pPr>
          </w:p>
        </w:tc>
        <w:tc>
          <w:tcPr>
            <w:tcW w:w="915" w:type="dxa"/>
            <w:tcBorders>
              <w:right w:val="single" w:color="auto" w:sz="4" w:space="0"/>
            </w:tcBorders>
            <w:vAlign w:val="center"/>
          </w:tcPr>
          <w:p w14:paraId="014CC689">
            <w:pPr>
              <w:pStyle w:val="13"/>
              <w:spacing w:line="360" w:lineRule="auto"/>
              <w:ind w:firstLine="0" w:firstLineChars="0"/>
              <w:contextualSpacing/>
              <w:jc w:val="center"/>
              <w:rPr>
                <w:rFonts w:hint="eastAsia" w:ascii="宋体" w:hAnsi="宋体" w:eastAsia="宋体" w:cs="仿宋_GB2312"/>
                <w:kern w:val="2"/>
                <w:sz w:val="24"/>
                <w:szCs w:val="24"/>
                <w:highlight w:val="none"/>
              </w:rPr>
            </w:pPr>
          </w:p>
        </w:tc>
        <w:tc>
          <w:tcPr>
            <w:tcW w:w="3038" w:type="dxa"/>
            <w:tcBorders>
              <w:left w:val="single" w:color="auto" w:sz="4" w:space="0"/>
            </w:tcBorders>
            <w:vAlign w:val="center"/>
          </w:tcPr>
          <w:p w14:paraId="79693588">
            <w:pPr>
              <w:pStyle w:val="13"/>
              <w:spacing w:line="360" w:lineRule="auto"/>
              <w:ind w:firstLine="0" w:firstLineChars="0"/>
              <w:contextualSpacing/>
              <w:jc w:val="center"/>
              <w:rPr>
                <w:rFonts w:hint="eastAsia" w:ascii="宋体" w:hAnsi="宋体" w:eastAsia="宋体" w:cs="仿宋_GB2312"/>
                <w:kern w:val="2"/>
                <w:sz w:val="24"/>
                <w:szCs w:val="24"/>
                <w:highlight w:val="none"/>
              </w:rPr>
            </w:pPr>
          </w:p>
        </w:tc>
        <w:tc>
          <w:tcPr>
            <w:tcW w:w="2734" w:type="dxa"/>
            <w:vAlign w:val="center"/>
          </w:tcPr>
          <w:p w14:paraId="54379259">
            <w:pPr>
              <w:pStyle w:val="13"/>
              <w:spacing w:line="360" w:lineRule="auto"/>
              <w:ind w:firstLine="0" w:firstLineChars="0"/>
              <w:contextualSpacing/>
              <w:jc w:val="center"/>
              <w:rPr>
                <w:rFonts w:hint="eastAsia" w:ascii="宋体" w:hAnsi="宋体" w:eastAsia="宋体" w:cs="仿宋_GB2312"/>
                <w:kern w:val="2"/>
                <w:sz w:val="24"/>
                <w:szCs w:val="24"/>
                <w:highlight w:val="none"/>
              </w:rPr>
            </w:pPr>
          </w:p>
        </w:tc>
        <w:tc>
          <w:tcPr>
            <w:tcW w:w="1492" w:type="dxa"/>
            <w:vAlign w:val="center"/>
          </w:tcPr>
          <w:p w14:paraId="72F653F2">
            <w:pPr>
              <w:pStyle w:val="13"/>
              <w:spacing w:line="360" w:lineRule="auto"/>
              <w:ind w:firstLine="0" w:firstLineChars="0"/>
              <w:contextualSpacing/>
              <w:jc w:val="center"/>
              <w:rPr>
                <w:rFonts w:hint="eastAsia" w:ascii="宋体" w:hAnsi="宋体" w:eastAsia="宋体" w:cs="仿宋_GB2312"/>
                <w:kern w:val="2"/>
                <w:sz w:val="24"/>
                <w:szCs w:val="24"/>
                <w:highlight w:val="none"/>
              </w:rPr>
            </w:pPr>
          </w:p>
        </w:tc>
      </w:tr>
      <w:tr w14:paraId="5A9441B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16" w:type="dxa"/>
            <w:vAlign w:val="center"/>
          </w:tcPr>
          <w:p w14:paraId="538CFFF5">
            <w:pPr>
              <w:pStyle w:val="13"/>
              <w:spacing w:line="360" w:lineRule="auto"/>
              <w:ind w:firstLine="0" w:firstLineChars="0"/>
              <w:contextualSpacing/>
              <w:jc w:val="center"/>
              <w:rPr>
                <w:rFonts w:hint="eastAsia" w:ascii="宋体" w:hAnsi="宋体" w:eastAsia="宋体" w:cs="仿宋_GB2312"/>
                <w:kern w:val="2"/>
                <w:sz w:val="24"/>
                <w:szCs w:val="24"/>
                <w:highlight w:val="none"/>
              </w:rPr>
            </w:pPr>
          </w:p>
        </w:tc>
        <w:tc>
          <w:tcPr>
            <w:tcW w:w="915" w:type="dxa"/>
            <w:tcBorders>
              <w:right w:val="single" w:color="auto" w:sz="4" w:space="0"/>
            </w:tcBorders>
            <w:vAlign w:val="center"/>
          </w:tcPr>
          <w:p w14:paraId="63444407">
            <w:pPr>
              <w:pStyle w:val="13"/>
              <w:spacing w:line="360" w:lineRule="auto"/>
              <w:ind w:firstLine="0" w:firstLineChars="0"/>
              <w:contextualSpacing/>
              <w:jc w:val="center"/>
              <w:rPr>
                <w:rFonts w:hint="eastAsia" w:ascii="宋体" w:hAnsi="宋体" w:eastAsia="宋体" w:cs="仿宋_GB2312"/>
                <w:kern w:val="2"/>
                <w:sz w:val="24"/>
                <w:szCs w:val="24"/>
                <w:highlight w:val="none"/>
              </w:rPr>
            </w:pPr>
          </w:p>
        </w:tc>
        <w:tc>
          <w:tcPr>
            <w:tcW w:w="3038" w:type="dxa"/>
            <w:tcBorders>
              <w:left w:val="single" w:color="auto" w:sz="4" w:space="0"/>
            </w:tcBorders>
            <w:vAlign w:val="center"/>
          </w:tcPr>
          <w:p w14:paraId="4CF29B35">
            <w:pPr>
              <w:pStyle w:val="13"/>
              <w:spacing w:line="360" w:lineRule="auto"/>
              <w:ind w:firstLine="0" w:firstLineChars="0"/>
              <w:contextualSpacing/>
              <w:jc w:val="center"/>
              <w:rPr>
                <w:rFonts w:hint="eastAsia" w:ascii="宋体" w:hAnsi="宋体" w:eastAsia="宋体" w:cs="仿宋_GB2312"/>
                <w:kern w:val="2"/>
                <w:sz w:val="24"/>
                <w:szCs w:val="24"/>
                <w:highlight w:val="none"/>
              </w:rPr>
            </w:pPr>
          </w:p>
        </w:tc>
        <w:tc>
          <w:tcPr>
            <w:tcW w:w="2734" w:type="dxa"/>
            <w:vAlign w:val="center"/>
          </w:tcPr>
          <w:p w14:paraId="123911DB">
            <w:pPr>
              <w:pStyle w:val="13"/>
              <w:spacing w:line="360" w:lineRule="auto"/>
              <w:ind w:firstLine="0" w:firstLineChars="0"/>
              <w:contextualSpacing/>
              <w:jc w:val="center"/>
              <w:rPr>
                <w:rFonts w:hint="eastAsia" w:ascii="宋体" w:hAnsi="宋体" w:eastAsia="宋体" w:cs="仿宋_GB2312"/>
                <w:kern w:val="2"/>
                <w:sz w:val="24"/>
                <w:szCs w:val="24"/>
                <w:highlight w:val="none"/>
              </w:rPr>
            </w:pPr>
          </w:p>
        </w:tc>
        <w:tc>
          <w:tcPr>
            <w:tcW w:w="1492" w:type="dxa"/>
            <w:vAlign w:val="center"/>
          </w:tcPr>
          <w:p w14:paraId="326EAA9E">
            <w:pPr>
              <w:pStyle w:val="13"/>
              <w:spacing w:line="360" w:lineRule="auto"/>
              <w:ind w:firstLine="0" w:firstLineChars="0"/>
              <w:contextualSpacing/>
              <w:jc w:val="center"/>
              <w:rPr>
                <w:rFonts w:hint="eastAsia" w:ascii="宋体" w:hAnsi="宋体" w:eastAsia="宋体" w:cs="仿宋_GB2312"/>
                <w:kern w:val="2"/>
                <w:sz w:val="24"/>
                <w:szCs w:val="24"/>
                <w:highlight w:val="none"/>
              </w:rPr>
            </w:pPr>
          </w:p>
        </w:tc>
      </w:tr>
      <w:tr w14:paraId="1465AFC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16" w:type="dxa"/>
            <w:vAlign w:val="center"/>
          </w:tcPr>
          <w:p w14:paraId="04AB07C5">
            <w:pPr>
              <w:pStyle w:val="13"/>
              <w:spacing w:line="360" w:lineRule="auto"/>
              <w:ind w:firstLine="0" w:firstLineChars="0"/>
              <w:contextualSpacing/>
              <w:jc w:val="center"/>
              <w:rPr>
                <w:rFonts w:hint="eastAsia" w:ascii="宋体" w:hAnsi="宋体" w:eastAsia="宋体" w:cs="仿宋_GB2312"/>
                <w:kern w:val="2"/>
                <w:sz w:val="24"/>
                <w:szCs w:val="24"/>
                <w:highlight w:val="none"/>
              </w:rPr>
            </w:pPr>
          </w:p>
        </w:tc>
        <w:tc>
          <w:tcPr>
            <w:tcW w:w="915" w:type="dxa"/>
            <w:tcBorders>
              <w:right w:val="single" w:color="auto" w:sz="4" w:space="0"/>
            </w:tcBorders>
            <w:vAlign w:val="center"/>
          </w:tcPr>
          <w:p w14:paraId="3055B9B4">
            <w:pPr>
              <w:pStyle w:val="13"/>
              <w:spacing w:line="360" w:lineRule="auto"/>
              <w:ind w:firstLine="0" w:firstLineChars="0"/>
              <w:contextualSpacing/>
              <w:jc w:val="center"/>
              <w:rPr>
                <w:rFonts w:hint="eastAsia" w:ascii="宋体" w:hAnsi="宋体" w:eastAsia="宋体" w:cs="仿宋_GB2312"/>
                <w:kern w:val="2"/>
                <w:sz w:val="24"/>
                <w:szCs w:val="24"/>
                <w:highlight w:val="none"/>
              </w:rPr>
            </w:pPr>
          </w:p>
        </w:tc>
        <w:tc>
          <w:tcPr>
            <w:tcW w:w="3038" w:type="dxa"/>
            <w:tcBorders>
              <w:left w:val="single" w:color="auto" w:sz="4" w:space="0"/>
            </w:tcBorders>
            <w:vAlign w:val="center"/>
          </w:tcPr>
          <w:p w14:paraId="63C1FD83">
            <w:pPr>
              <w:pStyle w:val="13"/>
              <w:spacing w:line="360" w:lineRule="auto"/>
              <w:ind w:firstLine="0" w:firstLineChars="0"/>
              <w:contextualSpacing/>
              <w:jc w:val="center"/>
              <w:rPr>
                <w:rFonts w:hint="eastAsia" w:ascii="宋体" w:hAnsi="宋体" w:eastAsia="宋体" w:cs="仿宋_GB2312"/>
                <w:kern w:val="2"/>
                <w:sz w:val="24"/>
                <w:szCs w:val="24"/>
                <w:highlight w:val="none"/>
              </w:rPr>
            </w:pPr>
          </w:p>
        </w:tc>
        <w:tc>
          <w:tcPr>
            <w:tcW w:w="2734" w:type="dxa"/>
            <w:vAlign w:val="center"/>
          </w:tcPr>
          <w:p w14:paraId="2427839A">
            <w:pPr>
              <w:pStyle w:val="13"/>
              <w:spacing w:line="360" w:lineRule="auto"/>
              <w:ind w:firstLine="0" w:firstLineChars="0"/>
              <w:contextualSpacing/>
              <w:jc w:val="center"/>
              <w:rPr>
                <w:rFonts w:hint="eastAsia" w:ascii="宋体" w:hAnsi="宋体" w:eastAsia="宋体" w:cs="仿宋_GB2312"/>
                <w:kern w:val="2"/>
                <w:sz w:val="24"/>
                <w:szCs w:val="24"/>
                <w:highlight w:val="none"/>
              </w:rPr>
            </w:pPr>
          </w:p>
        </w:tc>
        <w:tc>
          <w:tcPr>
            <w:tcW w:w="1492" w:type="dxa"/>
            <w:vAlign w:val="center"/>
          </w:tcPr>
          <w:p w14:paraId="1AF06BD6">
            <w:pPr>
              <w:pStyle w:val="13"/>
              <w:spacing w:line="360" w:lineRule="auto"/>
              <w:ind w:firstLine="0" w:firstLineChars="0"/>
              <w:contextualSpacing/>
              <w:jc w:val="center"/>
              <w:rPr>
                <w:rFonts w:hint="eastAsia" w:ascii="宋体" w:hAnsi="宋体" w:eastAsia="宋体" w:cs="仿宋_GB2312"/>
                <w:kern w:val="2"/>
                <w:sz w:val="24"/>
                <w:szCs w:val="24"/>
                <w:highlight w:val="none"/>
              </w:rPr>
            </w:pPr>
          </w:p>
        </w:tc>
      </w:tr>
      <w:tr w14:paraId="3AC129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916" w:type="dxa"/>
            <w:vAlign w:val="center"/>
          </w:tcPr>
          <w:p w14:paraId="1C14761A">
            <w:pPr>
              <w:pStyle w:val="13"/>
              <w:spacing w:line="360" w:lineRule="auto"/>
              <w:ind w:firstLine="0" w:firstLineChars="0"/>
              <w:contextualSpacing/>
              <w:jc w:val="center"/>
              <w:rPr>
                <w:rFonts w:hint="eastAsia" w:ascii="宋体" w:hAnsi="宋体" w:eastAsia="宋体" w:cs="仿宋_GB2312"/>
                <w:kern w:val="2"/>
                <w:sz w:val="24"/>
                <w:szCs w:val="24"/>
                <w:highlight w:val="none"/>
              </w:rPr>
            </w:pPr>
            <w:bookmarkStart w:id="115" w:name="_Toc173066415"/>
            <w:bookmarkStart w:id="116" w:name="_Toc254970743"/>
            <w:bookmarkStart w:id="117" w:name="_Toc373333699"/>
            <w:bookmarkStart w:id="118" w:name="_Toc295404991"/>
            <w:bookmarkStart w:id="119" w:name="_Toc173211914"/>
            <w:bookmarkStart w:id="120" w:name="_Toc254970602"/>
            <w:bookmarkStart w:id="121" w:name="_Toc383699916"/>
            <w:bookmarkStart w:id="122" w:name="_Toc297193195"/>
            <w:bookmarkStart w:id="123" w:name="_Toc301781621"/>
            <w:r>
              <w:rPr>
                <w:rFonts w:hint="eastAsia" w:ascii="宋体" w:hAnsi="宋体" w:eastAsia="宋体" w:cs="仿宋_GB2312"/>
                <w:kern w:val="2"/>
                <w:sz w:val="24"/>
                <w:szCs w:val="24"/>
                <w:highlight w:val="none"/>
              </w:rPr>
              <w:t>…</w:t>
            </w:r>
            <w:bookmarkEnd w:id="115"/>
            <w:bookmarkEnd w:id="116"/>
            <w:bookmarkEnd w:id="117"/>
            <w:bookmarkEnd w:id="118"/>
            <w:bookmarkEnd w:id="119"/>
            <w:bookmarkEnd w:id="120"/>
            <w:bookmarkEnd w:id="121"/>
            <w:bookmarkEnd w:id="122"/>
            <w:bookmarkEnd w:id="123"/>
          </w:p>
        </w:tc>
        <w:tc>
          <w:tcPr>
            <w:tcW w:w="915" w:type="dxa"/>
            <w:tcBorders>
              <w:right w:val="single" w:color="auto" w:sz="4" w:space="0"/>
            </w:tcBorders>
            <w:vAlign w:val="center"/>
          </w:tcPr>
          <w:p w14:paraId="58038801">
            <w:pPr>
              <w:pStyle w:val="13"/>
              <w:spacing w:line="360" w:lineRule="auto"/>
              <w:ind w:firstLine="0" w:firstLineChars="0"/>
              <w:contextualSpacing/>
              <w:jc w:val="center"/>
              <w:rPr>
                <w:rFonts w:hint="eastAsia" w:ascii="宋体" w:hAnsi="宋体" w:eastAsia="宋体" w:cs="仿宋_GB2312"/>
                <w:kern w:val="2"/>
                <w:sz w:val="24"/>
                <w:szCs w:val="24"/>
                <w:highlight w:val="none"/>
              </w:rPr>
            </w:pPr>
          </w:p>
        </w:tc>
        <w:tc>
          <w:tcPr>
            <w:tcW w:w="3038" w:type="dxa"/>
            <w:tcBorders>
              <w:left w:val="single" w:color="auto" w:sz="4" w:space="0"/>
            </w:tcBorders>
            <w:vAlign w:val="center"/>
          </w:tcPr>
          <w:p w14:paraId="1A856FEC">
            <w:pPr>
              <w:pStyle w:val="13"/>
              <w:spacing w:line="360" w:lineRule="auto"/>
              <w:ind w:firstLine="0" w:firstLineChars="0"/>
              <w:contextualSpacing/>
              <w:jc w:val="center"/>
              <w:rPr>
                <w:rFonts w:hint="eastAsia" w:ascii="宋体" w:hAnsi="宋体" w:eastAsia="宋体" w:cs="仿宋_GB2312"/>
                <w:kern w:val="2"/>
                <w:sz w:val="24"/>
                <w:szCs w:val="24"/>
                <w:highlight w:val="none"/>
              </w:rPr>
            </w:pPr>
          </w:p>
        </w:tc>
        <w:tc>
          <w:tcPr>
            <w:tcW w:w="2734" w:type="dxa"/>
            <w:vAlign w:val="center"/>
          </w:tcPr>
          <w:p w14:paraId="0C23773F">
            <w:pPr>
              <w:pStyle w:val="13"/>
              <w:spacing w:line="360" w:lineRule="auto"/>
              <w:ind w:firstLine="0" w:firstLineChars="0"/>
              <w:contextualSpacing/>
              <w:jc w:val="center"/>
              <w:rPr>
                <w:rFonts w:hint="eastAsia" w:ascii="宋体" w:hAnsi="宋体" w:eastAsia="宋体" w:cs="仿宋_GB2312"/>
                <w:kern w:val="2"/>
                <w:sz w:val="24"/>
                <w:szCs w:val="24"/>
                <w:highlight w:val="none"/>
              </w:rPr>
            </w:pPr>
          </w:p>
        </w:tc>
        <w:tc>
          <w:tcPr>
            <w:tcW w:w="1492" w:type="dxa"/>
            <w:tcBorders>
              <w:right w:val="single" w:color="auto" w:sz="4" w:space="0"/>
            </w:tcBorders>
            <w:vAlign w:val="center"/>
          </w:tcPr>
          <w:p w14:paraId="47A25C71">
            <w:pPr>
              <w:pStyle w:val="13"/>
              <w:spacing w:line="360" w:lineRule="auto"/>
              <w:ind w:firstLine="0" w:firstLineChars="0"/>
              <w:contextualSpacing/>
              <w:jc w:val="center"/>
              <w:rPr>
                <w:rFonts w:hint="eastAsia" w:ascii="宋体" w:hAnsi="宋体" w:eastAsia="宋体" w:cs="仿宋_GB2312"/>
                <w:kern w:val="2"/>
                <w:sz w:val="24"/>
                <w:szCs w:val="24"/>
                <w:highlight w:val="none"/>
              </w:rPr>
            </w:pPr>
          </w:p>
        </w:tc>
      </w:tr>
    </w:tbl>
    <w:p w14:paraId="1F61F429">
      <w:pPr>
        <w:adjustRightInd w:val="0"/>
        <w:spacing w:line="360" w:lineRule="auto"/>
        <w:contextualSpacing/>
        <w:rPr>
          <w:rFonts w:hint="eastAsia" w:ascii="宋体" w:hAnsi="宋体" w:cs="仿宋_GB2312"/>
          <w:sz w:val="24"/>
          <w:highlight w:val="none"/>
        </w:rPr>
      </w:pPr>
    </w:p>
    <w:p w14:paraId="0BE08883">
      <w:pPr>
        <w:pStyle w:val="13"/>
        <w:spacing w:line="360" w:lineRule="auto"/>
        <w:ind w:firstLine="0" w:firstLineChars="0"/>
        <w:contextualSpacing/>
        <w:rPr>
          <w:rFonts w:hint="eastAsia" w:ascii="宋体" w:hAnsi="宋体" w:eastAsia="宋体" w:cs="仿宋_GB2312"/>
          <w:sz w:val="24"/>
          <w:szCs w:val="24"/>
          <w:highlight w:val="none"/>
        </w:rPr>
      </w:pPr>
      <w:r>
        <w:rPr>
          <w:rFonts w:hint="eastAsia" w:ascii="宋体" w:hAnsi="宋体" w:eastAsia="宋体" w:cs="仿宋_GB2312"/>
          <w:sz w:val="24"/>
          <w:szCs w:val="24"/>
          <w:highlight w:val="none"/>
        </w:rPr>
        <w:t>注：</w:t>
      </w:r>
    </w:p>
    <w:p w14:paraId="3FE1C53C">
      <w:pPr>
        <w:pStyle w:val="13"/>
        <w:spacing w:line="360" w:lineRule="auto"/>
        <w:ind w:firstLine="0" w:firstLineChars="0"/>
        <w:contextualSpacing/>
        <w:rPr>
          <w:rFonts w:hint="eastAsia" w:ascii="宋体" w:hAnsi="宋体" w:eastAsia="宋体" w:cs="仿宋_GB2312"/>
          <w:sz w:val="24"/>
          <w:szCs w:val="24"/>
          <w:highlight w:val="none"/>
        </w:rPr>
      </w:pPr>
      <w:r>
        <w:rPr>
          <w:rFonts w:hint="eastAsia" w:ascii="宋体" w:hAnsi="宋体" w:eastAsia="宋体" w:cs="仿宋_GB2312"/>
          <w:sz w:val="24"/>
          <w:szCs w:val="24"/>
          <w:highlight w:val="none"/>
        </w:rPr>
        <w:t>1. 说明：应对照磋商文件“第三章采购需求”中的技术要求逐条作出明确响应，并作出偏离说明。</w:t>
      </w:r>
    </w:p>
    <w:p w14:paraId="535858C0">
      <w:pPr>
        <w:pStyle w:val="13"/>
        <w:spacing w:line="360" w:lineRule="auto"/>
        <w:ind w:firstLine="0" w:firstLineChars="0"/>
        <w:contextualSpacing/>
        <w:rPr>
          <w:rFonts w:hint="eastAsia" w:ascii="宋体" w:hAnsi="宋体" w:eastAsia="宋体" w:cs="仿宋_GB2312"/>
          <w:sz w:val="24"/>
          <w:szCs w:val="24"/>
          <w:highlight w:val="none"/>
        </w:rPr>
      </w:pPr>
      <w:r>
        <w:rPr>
          <w:rFonts w:hint="eastAsia" w:ascii="宋体" w:hAnsi="宋体" w:eastAsia="宋体" w:cs="仿宋_GB2312"/>
          <w:sz w:val="24"/>
          <w:szCs w:val="24"/>
          <w:highlight w:val="none"/>
        </w:rPr>
        <w:t>2.供应商应根据自身的承诺，对照磋商文件要求，在“偏离说明”中注明“正偏离”、“负偏离”或者“无偏离”。既不属于“正偏离”也不属于“负偏离”即为“无偏离”。</w:t>
      </w:r>
    </w:p>
    <w:p w14:paraId="7F51A24D">
      <w:pPr>
        <w:spacing w:line="360" w:lineRule="auto"/>
        <w:ind w:right="-817" w:rightChars="-389"/>
        <w:contextualSpacing/>
        <w:rPr>
          <w:rFonts w:hint="eastAsia" w:ascii="宋体" w:hAnsi="宋体" w:cs="仿宋_GB2312"/>
          <w:sz w:val="24"/>
          <w:highlight w:val="none"/>
        </w:rPr>
      </w:pPr>
    </w:p>
    <w:p w14:paraId="79CC5B08">
      <w:pPr>
        <w:spacing w:line="360" w:lineRule="auto"/>
        <w:ind w:right="-817" w:rightChars="-389"/>
        <w:contextualSpacing/>
        <w:jc w:val="center"/>
        <w:rPr>
          <w:rFonts w:hint="eastAsia" w:ascii="宋体" w:hAnsi="宋体" w:cs="仿宋_GB2312"/>
          <w:sz w:val="24"/>
          <w:highlight w:val="none"/>
        </w:rPr>
      </w:pPr>
      <w:r>
        <w:rPr>
          <w:rFonts w:hint="eastAsia" w:ascii="宋体" w:hAnsi="宋体" w:cs="仿宋_GB2312"/>
          <w:sz w:val="24"/>
          <w:highlight w:val="none"/>
        </w:rPr>
        <w:t>法定代表人或者委托代理人（签字或者电子签名）：</w:t>
      </w:r>
    </w:p>
    <w:p w14:paraId="2FCD33E0">
      <w:pPr>
        <w:spacing w:line="360" w:lineRule="auto"/>
        <w:ind w:right="-817" w:rightChars="-389" w:firstLine="2640" w:firstLineChars="1100"/>
        <w:contextualSpacing/>
        <w:rPr>
          <w:rFonts w:hint="eastAsia" w:ascii="宋体" w:hAnsi="宋体" w:cs="仿宋_GB2312"/>
          <w:sz w:val="24"/>
          <w:highlight w:val="none"/>
        </w:rPr>
      </w:pPr>
      <w:r>
        <w:rPr>
          <w:rFonts w:hint="eastAsia" w:ascii="宋体" w:hAnsi="宋体" w:cs="仿宋_GB2312"/>
          <w:sz w:val="24"/>
          <w:highlight w:val="none"/>
        </w:rPr>
        <w:t>供应商（电子签章）：</w:t>
      </w:r>
    </w:p>
    <w:p w14:paraId="6E4BD67D">
      <w:pPr>
        <w:spacing w:line="360" w:lineRule="auto"/>
        <w:ind w:right="-817" w:rightChars="-389" w:firstLine="4080" w:firstLineChars="1700"/>
        <w:contextualSpacing/>
        <w:rPr>
          <w:rFonts w:hint="eastAsia" w:ascii="宋体" w:hAnsi="宋体" w:cs="仿宋_GB2312"/>
          <w:sz w:val="24"/>
          <w:highlight w:val="none"/>
        </w:rPr>
      </w:pPr>
      <w:r>
        <w:rPr>
          <w:rFonts w:hint="eastAsia" w:ascii="宋体" w:hAnsi="宋体" w:cs="仿宋_GB2312"/>
          <w:sz w:val="24"/>
          <w:highlight w:val="none"/>
        </w:rPr>
        <w:t>日期：年月日</w:t>
      </w:r>
    </w:p>
    <w:p w14:paraId="6E706980">
      <w:pPr>
        <w:snapToGrid w:val="0"/>
        <w:spacing w:before="156" w:beforeLines="50" w:after="50"/>
        <w:ind w:left="142"/>
        <w:jc w:val="left"/>
        <w:rPr>
          <w:rFonts w:hint="eastAsia" w:ascii="宋体" w:hAnsi="宋体"/>
          <w:b/>
          <w:sz w:val="24"/>
          <w:highlight w:val="none"/>
        </w:rPr>
      </w:pPr>
      <w:r>
        <w:rPr>
          <w:rFonts w:ascii="宋体" w:hAnsi="宋体" w:cs="仿宋_GB2312"/>
          <w:sz w:val="24"/>
          <w:highlight w:val="none"/>
        </w:rPr>
        <w:br w:type="page"/>
      </w:r>
      <w:r>
        <w:rPr>
          <w:rFonts w:hint="eastAsia" w:ascii="宋体" w:hAnsi="宋体"/>
          <w:b/>
          <w:sz w:val="24"/>
          <w:highlight w:val="none"/>
        </w:rPr>
        <w:t>项目实施人员一览表格式</w:t>
      </w:r>
    </w:p>
    <w:p w14:paraId="698C4983">
      <w:pPr>
        <w:snapToGrid w:val="0"/>
        <w:spacing w:before="156" w:beforeLines="50" w:after="50"/>
        <w:ind w:left="142"/>
        <w:jc w:val="left"/>
        <w:rPr>
          <w:rFonts w:hint="eastAsia" w:ascii="宋体" w:hAnsi="宋体"/>
          <w:b/>
          <w:sz w:val="24"/>
          <w:highlight w:val="none"/>
        </w:rPr>
      </w:pPr>
    </w:p>
    <w:p w14:paraId="45ED03BA">
      <w:pPr>
        <w:spacing w:line="360" w:lineRule="auto"/>
        <w:ind w:left="142"/>
        <w:contextualSpacing/>
        <w:jc w:val="center"/>
        <w:rPr>
          <w:rFonts w:hint="eastAsia" w:ascii="宋体" w:hAnsi="宋体"/>
          <w:b/>
          <w:sz w:val="32"/>
          <w:szCs w:val="32"/>
          <w:highlight w:val="none"/>
        </w:rPr>
      </w:pPr>
      <w:r>
        <w:rPr>
          <w:rFonts w:hint="eastAsia" w:ascii="宋体" w:hAnsi="宋体"/>
          <w:b/>
          <w:sz w:val="32"/>
          <w:szCs w:val="32"/>
          <w:highlight w:val="none"/>
        </w:rPr>
        <w:t>项目实施人员一览表</w:t>
      </w:r>
    </w:p>
    <w:tbl>
      <w:tblPr>
        <w:tblStyle w:val="24"/>
        <w:tblW w:w="99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9"/>
        <w:gridCol w:w="589"/>
        <w:gridCol w:w="1036"/>
        <w:gridCol w:w="1247"/>
        <w:gridCol w:w="1787"/>
        <w:gridCol w:w="3094"/>
        <w:gridCol w:w="1608"/>
      </w:tblGrid>
      <w:tr w14:paraId="0BF6A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7" w:hRule="atLeast"/>
        </w:trPr>
        <w:tc>
          <w:tcPr>
            <w:tcW w:w="589" w:type="dxa"/>
            <w:vAlign w:val="center"/>
          </w:tcPr>
          <w:p w14:paraId="30B4C7F2">
            <w:pPr>
              <w:spacing w:line="360" w:lineRule="auto"/>
              <w:contextualSpacing/>
              <w:jc w:val="center"/>
              <w:rPr>
                <w:rFonts w:hint="eastAsia" w:ascii="宋体" w:hAnsi="宋体"/>
                <w:sz w:val="24"/>
                <w:szCs w:val="20"/>
                <w:highlight w:val="none"/>
              </w:rPr>
            </w:pPr>
            <w:r>
              <w:rPr>
                <w:rFonts w:hint="eastAsia" w:ascii="宋体" w:hAnsi="宋体"/>
                <w:sz w:val="24"/>
                <w:szCs w:val="20"/>
                <w:highlight w:val="none"/>
              </w:rPr>
              <w:t>序号</w:t>
            </w:r>
          </w:p>
        </w:tc>
        <w:tc>
          <w:tcPr>
            <w:tcW w:w="589" w:type="dxa"/>
            <w:vAlign w:val="center"/>
          </w:tcPr>
          <w:p w14:paraId="22674C6F">
            <w:pPr>
              <w:spacing w:line="360" w:lineRule="auto"/>
              <w:contextualSpacing/>
              <w:jc w:val="center"/>
              <w:rPr>
                <w:rFonts w:hint="eastAsia" w:ascii="宋体" w:hAnsi="宋体"/>
                <w:sz w:val="24"/>
                <w:szCs w:val="20"/>
                <w:highlight w:val="none"/>
              </w:rPr>
            </w:pPr>
            <w:r>
              <w:rPr>
                <w:rFonts w:hint="eastAsia" w:ascii="宋体" w:hAnsi="宋体"/>
                <w:sz w:val="24"/>
                <w:szCs w:val="20"/>
                <w:highlight w:val="none"/>
              </w:rPr>
              <w:t>姓名</w:t>
            </w:r>
          </w:p>
        </w:tc>
        <w:tc>
          <w:tcPr>
            <w:tcW w:w="1036" w:type="dxa"/>
            <w:vAlign w:val="center"/>
          </w:tcPr>
          <w:p w14:paraId="6FEBF6AB">
            <w:pPr>
              <w:spacing w:line="360" w:lineRule="auto"/>
              <w:contextualSpacing/>
              <w:jc w:val="center"/>
              <w:rPr>
                <w:rFonts w:hint="eastAsia" w:ascii="宋体" w:hAnsi="宋体"/>
                <w:sz w:val="24"/>
                <w:szCs w:val="20"/>
                <w:highlight w:val="none"/>
              </w:rPr>
            </w:pPr>
            <w:r>
              <w:rPr>
                <w:rFonts w:hint="eastAsia" w:ascii="宋体" w:hAnsi="宋体"/>
                <w:sz w:val="24"/>
                <w:szCs w:val="20"/>
                <w:highlight w:val="none"/>
              </w:rPr>
              <w:t>职务</w:t>
            </w:r>
          </w:p>
        </w:tc>
        <w:tc>
          <w:tcPr>
            <w:tcW w:w="1247" w:type="dxa"/>
            <w:vAlign w:val="center"/>
          </w:tcPr>
          <w:p w14:paraId="4A62EEBD">
            <w:pPr>
              <w:spacing w:line="360" w:lineRule="auto"/>
              <w:contextualSpacing/>
              <w:jc w:val="center"/>
              <w:rPr>
                <w:rFonts w:hint="eastAsia" w:ascii="宋体" w:hAnsi="宋体"/>
                <w:sz w:val="24"/>
                <w:szCs w:val="20"/>
                <w:highlight w:val="none"/>
              </w:rPr>
            </w:pPr>
            <w:r>
              <w:rPr>
                <w:rFonts w:hint="eastAsia" w:ascii="宋体" w:hAnsi="宋体"/>
                <w:sz w:val="24"/>
                <w:szCs w:val="20"/>
                <w:highlight w:val="none"/>
              </w:rPr>
              <w:t>学历</w:t>
            </w:r>
          </w:p>
        </w:tc>
        <w:tc>
          <w:tcPr>
            <w:tcW w:w="1787" w:type="dxa"/>
            <w:vAlign w:val="center"/>
          </w:tcPr>
          <w:p w14:paraId="506DA2CC">
            <w:pPr>
              <w:spacing w:line="360" w:lineRule="auto"/>
              <w:contextualSpacing/>
              <w:jc w:val="center"/>
              <w:rPr>
                <w:rFonts w:hint="eastAsia" w:ascii="宋体" w:hAnsi="宋体"/>
                <w:sz w:val="24"/>
                <w:szCs w:val="20"/>
                <w:highlight w:val="none"/>
              </w:rPr>
            </w:pPr>
            <w:r>
              <w:rPr>
                <w:rFonts w:hint="eastAsia" w:ascii="宋体" w:hAnsi="宋体"/>
                <w:sz w:val="24"/>
                <w:szCs w:val="20"/>
                <w:highlight w:val="none"/>
              </w:rPr>
              <w:t>相关工作经验年限</w:t>
            </w:r>
          </w:p>
        </w:tc>
        <w:tc>
          <w:tcPr>
            <w:tcW w:w="3094" w:type="dxa"/>
            <w:vAlign w:val="center"/>
          </w:tcPr>
          <w:p w14:paraId="190B59A8">
            <w:pPr>
              <w:spacing w:line="360" w:lineRule="auto"/>
              <w:contextualSpacing/>
              <w:jc w:val="center"/>
              <w:rPr>
                <w:rFonts w:hint="eastAsia" w:ascii="宋体" w:hAnsi="宋体"/>
                <w:sz w:val="24"/>
                <w:szCs w:val="20"/>
                <w:highlight w:val="none"/>
              </w:rPr>
            </w:pPr>
            <w:r>
              <w:rPr>
                <w:rFonts w:hint="eastAsia" w:ascii="宋体" w:hAnsi="宋体"/>
                <w:sz w:val="24"/>
                <w:szCs w:val="20"/>
                <w:highlight w:val="none"/>
              </w:rPr>
              <w:t>专业技术资格（职称）或者职业资格或者执业资格证或者其他证书</w:t>
            </w:r>
          </w:p>
        </w:tc>
        <w:tc>
          <w:tcPr>
            <w:tcW w:w="1608" w:type="dxa"/>
            <w:vAlign w:val="center"/>
          </w:tcPr>
          <w:p w14:paraId="637B4AEF">
            <w:pPr>
              <w:spacing w:line="360" w:lineRule="auto"/>
              <w:contextualSpacing/>
              <w:jc w:val="center"/>
              <w:rPr>
                <w:rFonts w:hint="eastAsia" w:ascii="宋体" w:hAnsi="宋体"/>
                <w:sz w:val="24"/>
                <w:szCs w:val="20"/>
                <w:highlight w:val="none"/>
              </w:rPr>
            </w:pPr>
            <w:r>
              <w:rPr>
                <w:rFonts w:hint="eastAsia" w:ascii="宋体" w:hAnsi="宋体"/>
                <w:sz w:val="24"/>
                <w:szCs w:val="20"/>
                <w:highlight w:val="none"/>
              </w:rPr>
              <w:t>证书编号</w:t>
            </w:r>
          </w:p>
        </w:tc>
      </w:tr>
      <w:tr w14:paraId="629E3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589" w:type="dxa"/>
            <w:vAlign w:val="center"/>
          </w:tcPr>
          <w:p w14:paraId="10BAD6AD">
            <w:pPr>
              <w:spacing w:line="360" w:lineRule="auto"/>
              <w:contextualSpacing/>
              <w:jc w:val="center"/>
              <w:rPr>
                <w:rFonts w:hint="eastAsia" w:ascii="宋体" w:hAnsi="宋体"/>
                <w:sz w:val="24"/>
                <w:szCs w:val="20"/>
                <w:highlight w:val="none"/>
              </w:rPr>
            </w:pPr>
          </w:p>
        </w:tc>
        <w:tc>
          <w:tcPr>
            <w:tcW w:w="589" w:type="dxa"/>
            <w:vAlign w:val="center"/>
          </w:tcPr>
          <w:p w14:paraId="6ACA7121">
            <w:pPr>
              <w:spacing w:line="360" w:lineRule="auto"/>
              <w:contextualSpacing/>
              <w:jc w:val="center"/>
              <w:rPr>
                <w:rFonts w:hint="eastAsia" w:ascii="宋体" w:hAnsi="宋体"/>
                <w:sz w:val="24"/>
                <w:szCs w:val="20"/>
                <w:highlight w:val="none"/>
              </w:rPr>
            </w:pPr>
          </w:p>
        </w:tc>
        <w:tc>
          <w:tcPr>
            <w:tcW w:w="1036" w:type="dxa"/>
            <w:vAlign w:val="center"/>
          </w:tcPr>
          <w:p w14:paraId="7362E75C">
            <w:pPr>
              <w:spacing w:line="360" w:lineRule="auto"/>
              <w:contextualSpacing/>
              <w:jc w:val="center"/>
              <w:rPr>
                <w:rFonts w:hint="eastAsia" w:ascii="宋体" w:hAnsi="宋体"/>
                <w:sz w:val="24"/>
                <w:szCs w:val="20"/>
                <w:highlight w:val="none"/>
              </w:rPr>
            </w:pPr>
          </w:p>
        </w:tc>
        <w:tc>
          <w:tcPr>
            <w:tcW w:w="1247" w:type="dxa"/>
            <w:vAlign w:val="center"/>
          </w:tcPr>
          <w:p w14:paraId="3452B5AD">
            <w:pPr>
              <w:spacing w:line="360" w:lineRule="auto"/>
              <w:contextualSpacing/>
              <w:jc w:val="center"/>
              <w:rPr>
                <w:rFonts w:hint="eastAsia" w:ascii="宋体" w:hAnsi="宋体"/>
                <w:sz w:val="24"/>
                <w:szCs w:val="20"/>
                <w:highlight w:val="none"/>
              </w:rPr>
            </w:pPr>
          </w:p>
        </w:tc>
        <w:tc>
          <w:tcPr>
            <w:tcW w:w="1787" w:type="dxa"/>
            <w:vAlign w:val="center"/>
          </w:tcPr>
          <w:p w14:paraId="64106E0F">
            <w:pPr>
              <w:spacing w:line="360" w:lineRule="auto"/>
              <w:contextualSpacing/>
              <w:jc w:val="center"/>
              <w:rPr>
                <w:rFonts w:hint="eastAsia" w:ascii="宋体" w:hAnsi="宋体"/>
                <w:sz w:val="24"/>
                <w:szCs w:val="20"/>
                <w:highlight w:val="none"/>
              </w:rPr>
            </w:pPr>
          </w:p>
        </w:tc>
        <w:tc>
          <w:tcPr>
            <w:tcW w:w="3094" w:type="dxa"/>
            <w:vAlign w:val="center"/>
          </w:tcPr>
          <w:p w14:paraId="655B28D6">
            <w:pPr>
              <w:spacing w:line="360" w:lineRule="auto"/>
              <w:contextualSpacing/>
              <w:jc w:val="center"/>
              <w:rPr>
                <w:rFonts w:hint="eastAsia" w:ascii="宋体" w:hAnsi="宋体"/>
                <w:sz w:val="24"/>
                <w:szCs w:val="20"/>
                <w:highlight w:val="none"/>
              </w:rPr>
            </w:pPr>
          </w:p>
        </w:tc>
        <w:tc>
          <w:tcPr>
            <w:tcW w:w="1608" w:type="dxa"/>
            <w:vAlign w:val="center"/>
          </w:tcPr>
          <w:p w14:paraId="753A8F74">
            <w:pPr>
              <w:spacing w:line="360" w:lineRule="auto"/>
              <w:contextualSpacing/>
              <w:jc w:val="center"/>
              <w:rPr>
                <w:rFonts w:hint="eastAsia" w:ascii="宋体" w:hAnsi="宋体"/>
                <w:sz w:val="24"/>
                <w:szCs w:val="20"/>
                <w:highlight w:val="none"/>
              </w:rPr>
            </w:pPr>
          </w:p>
        </w:tc>
      </w:tr>
      <w:tr w14:paraId="2507A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589" w:type="dxa"/>
            <w:vAlign w:val="center"/>
          </w:tcPr>
          <w:p w14:paraId="6B8B2D56">
            <w:pPr>
              <w:spacing w:line="360" w:lineRule="auto"/>
              <w:contextualSpacing/>
              <w:jc w:val="center"/>
              <w:rPr>
                <w:rFonts w:hint="eastAsia" w:ascii="宋体" w:hAnsi="宋体"/>
                <w:sz w:val="24"/>
                <w:szCs w:val="20"/>
                <w:highlight w:val="none"/>
              </w:rPr>
            </w:pPr>
          </w:p>
        </w:tc>
        <w:tc>
          <w:tcPr>
            <w:tcW w:w="589" w:type="dxa"/>
            <w:vAlign w:val="center"/>
          </w:tcPr>
          <w:p w14:paraId="555730AE">
            <w:pPr>
              <w:spacing w:line="360" w:lineRule="auto"/>
              <w:contextualSpacing/>
              <w:jc w:val="center"/>
              <w:rPr>
                <w:rFonts w:hint="eastAsia" w:ascii="宋体" w:hAnsi="宋体"/>
                <w:sz w:val="24"/>
                <w:szCs w:val="20"/>
                <w:highlight w:val="none"/>
              </w:rPr>
            </w:pPr>
          </w:p>
        </w:tc>
        <w:tc>
          <w:tcPr>
            <w:tcW w:w="1036" w:type="dxa"/>
            <w:vAlign w:val="center"/>
          </w:tcPr>
          <w:p w14:paraId="0CF3678B">
            <w:pPr>
              <w:spacing w:line="360" w:lineRule="auto"/>
              <w:contextualSpacing/>
              <w:jc w:val="center"/>
              <w:rPr>
                <w:rFonts w:hint="eastAsia" w:ascii="宋体" w:hAnsi="宋体"/>
                <w:sz w:val="24"/>
                <w:szCs w:val="20"/>
                <w:highlight w:val="none"/>
              </w:rPr>
            </w:pPr>
          </w:p>
        </w:tc>
        <w:tc>
          <w:tcPr>
            <w:tcW w:w="1247" w:type="dxa"/>
            <w:vAlign w:val="center"/>
          </w:tcPr>
          <w:p w14:paraId="70D7FB49">
            <w:pPr>
              <w:spacing w:line="360" w:lineRule="auto"/>
              <w:contextualSpacing/>
              <w:jc w:val="center"/>
              <w:rPr>
                <w:rFonts w:hint="eastAsia" w:ascii="宋体" w:hAnsi="宋体"/>
                <w:sz w:val="24"/>
                <w:szCs w:val="20"/>
                <w:highlight w:val="none"/>
              </w:rPr>
            </w:pPr>
          </w:p>
        </w:tc>
        <w:tc>
          <w:tcPr>
            <w:tcW w:w="1787" w:type="dxa"/>
            <w:vAlign w:val="center"/>
          </w:tcPr>
          <w:p w14:paraId="28D01DC7">
            <w:pPr>
              <w:spacing w:line="360" w:lineRule="auto"/>
              <w:contextualSpacing/>
              <w:jc w:val="center"/>
              <w:rPr>
                <w:rFonts w:hint="eastAsia" w:ascii="宋体" w:hAnsi="宋体"/>
                <w:sz w:val="24"/>
                <w:szCs w:val="20"/>
                <w:highlight w:val="none"/>
              </w:rPr>
            </w:pPr>
          </w:p>
        </w:tc>
        <w:tc>
          <w:tcPr>
            <w:tcW w:w="3094" w:type="dxa"/>
            <w:vAlign w:val="center"/>
          </w:tcPr>
          <w:p w14:paraId="53131151">
            <w:pPr>
              <w:spacing w:line="360" w:lineRule="auto"/>
              <w:contextualSpacing/>
              <w:jc w:val="center"/>
              <w:rPr>
                <w:rFonts w:hint="eastAsia" w:ascii="宋体" w:hAnsi="宋体"/>
                <w:sz w:val="24"/>
                <w:szCs w:val="20"/>
                <w:highlight w:val="none"/>
              </w:rPr>
            </w:pPr>
          </w:p>
        </w:tc>
        <w:tc>
          <w:tcPr>
            <w:tcW w:w="1608" w:type="dxa"/>
            <w:vAlign w:val="center"/>
          </w:tcPr>
          <w:p w14:paraId="1D8C28D8">
            <w:pPr>
              <w:spacing w:line="360" w:lineRule="auto"/>
              <w:contextualSpacing/>
              <w:jc w:val="center"/>
              <w:rPr>
                <w:rFonts w:hint="eastAsia" w:ascii="宋体" w:hAnsi="宋体"/>
                <w:sz w:val="24"/>
                <w:szCs w:val="20"/>
                <w:highlight w:val="none"/>
              </w:rPr>
            </w:pPr>
          </w:p>
        </w:tc>
      </w:tr>
      <w:tr w14:paraId="56953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589" w:type="dxa"/>
            <w:vAlign w:val="center"/>
          </w:tcPr>
          <w:p w14:paraId="31981458">
            <w:pPr>
              <w:spacing w:line="360" w:lineRule="auto"/>
              <w:contextualSpacing/>
              <w:jc w:val="center"/>
              <w:rPr>
                <w:rFonts w:hint="eastAsia" w:ascii="宋体" w:hAnsi="宋体"/>
                <w:sz w:val="24"/>
                <w:szCs w:val="20"/>
                <w:highlight w:val="none"/>
              </w:rPr>
            </w:pPr>
          </w:p>
        </w:tc>
        <w:tc>
          <w:tcPr>
            <w:tcW w:w="589" w:type="dxa"/>
            <w:vAlign w:val="center"/>
          </w:tcPr>
          <w:p w14:paraId="32513B14">
            <w:pPr>
              <w:spacing w:line="360" w:lineRule="auto"/>
              <w:contextualSpacing/>
              <w:jc w:val="center"/>
              <w:rPr>
                <w:rFonts w:hint="eastAsia" w:ascii="宋体" w:hAnsi="宋体"/>
                <w:sz w:val="24"/>
                <w:szCs w:val="20"/>
                <w:highlight w:val="none"/>
              </w:rPr>
            </w:pPr>
          </w:p>
        </w:tc>
        <w:tc>
          <w:tcPr>
            <w:tcW w:w="1036" w:type="dxa"/>
            <w:vAlign w:val="center"/>
          </w:tcPr>
          <w:p w14:paraId="71543033">
            <w:pPr>
              <w:spacing w:line="360" w:lineRule="auto"/>
              <w:contextualSpacing/>
              <w:jc w:val="center"/>
              <w:rPr>
                <w:rFonts w:hint="eastAsia" w:ascii="宋体" w:hAnsi="宋体"/>
                <w:sz w:val="24"/>
                <w:szCs w:val="20"/>
                <w:highlight w:val="none"/>
              </w:rPr>
            </w:pPr>
          </w:p>
        </w:tc>
        <w:tc>
          <w:tcPr>
            <w:tcW w:w="1247" w:type="dxa"/>
            <w:vAlign w:val="center"/>
          </w:tcPr>
          <w:p w14:paraId="45CA0EBC">
            <w:pPr>
              <w:spacing w:line="360" w:lineRule="auto"/>
              <w:contextualSpacing/>
              <w:jc w:val="center"/>
              <w:rPr>
                <w:rFonts w:hint="eastAsia" w:ascii="宋体" w:hAnsi="宋体"/>
                <w:sz w:val="24"/>
                <w:szCs w:val="20"/>
                <w:highlight w:val="none"/>
              </w:rPr>
            </w:pPr>
          </w:p>
        </w:tc>
        <w:tc>
          <w:tcPr>
            <w:tcW w:w="1787" w:type="dxa"/>
            <w:vAlign w:val="center"/>
          </w:tcPr>
          <w:p w14:paraId="73A42606">
            <w:pPr>
              <w:spacing w:line="360" w:lineRule="auto"/>
              <w:contextualSpacing/>
              <w:jc w:val="center"/>
              <w:rPr>
                <w:rFonts w:hint="eastAsia" w:ascii="宋体" w:hAnsi="宋体"/>
                <w:sz w:val="24"/>
                <w:szCs w:val="20"/>
                <w:highlight w:val="none"/>
              </w:rPr>
            </w:pPr>
          </w:p>
        </w:tc>
        <w:tc>
          <w:tcPr>
            <w:tcW w:w="3094" w:type="dxa"/>
            <w:vAlign w:val="center"/>
          </w:tcPr>
          <w:p w14:paraId="7B53AB50">
            <w:pPr>
              <w:spacing w:line="360" w:lineRule="auto"/>
              <w:contextualSpacing/>
              <w:jc w:val="center"/>
              <w:rPr>
                <w:rFonts w:hint="eastAsia" w:ascii="宋体" w:hAnsi="宋体"/>
                <w:sz w:val="24"/>
                <w:szCs w:val="20"/>
                <w:highlight w:val="none"/>
              </w:rPr>
            </w:pPr>
          </w:p>
        </w:tc>
        <w:tc>
          <w:tcPr>
            <w:tcW w:w="1608" w:type="dxa"/>
            <w:vAlign w:val="center"/>
          </w:tcPr>
          <w:p w14:paraId="53E01512">
            <w:pPr>
              <w:spacing w:line="360" w:lineRule="auto"/>
              <w:contextualSpacing/>
              <w:jc w:val="center"/>
              <w:rPr>
                <w:rFonts w:hint="eastAsia" w:ascii="宋体" w:hAnsi="宋体"/>
                <w:sz w:val="24"/>
                <w:szCs w:val="20"/>
                <w:highlight w:val="none"/>
              </w:rPr>
            </w:pPr>
          </w:p>
        </w:tc>
      </w:tr>
    </w:tbl>
    <w:p w14:paraId="36001CA2">
      <w:pPr>
        <w:spacing w:line="360" w:lineRule="auto"/>
        <w:contextualSpacing/>
        <w:jc w:val="left"/>
        <w:rPr>
          <w:rFonts w:hint="eastAsia" w:ascii="宋体" w:hAnsi="宋体"/>
          <w:sz w:val="24"/>
          <w:szCs w:val="20"/>
          <w:highlight w:val="none"/>
        </w:rPr>
      </w:pPr>
      <w:r>
        <w:rPr>
          <w:rFonts w:hint="eastAsia" w:ascii="宋体" w:hAnsi="宋体"/>
          <w:sz w:val="24"/>
          <w:szCs w:val="20"/>
          <w:highlight w:val="none"/>
        </w:rPr>
        <w:t>注：1.在填写时，如本表格不适合供应商的实际情况，可根据本表格式自行制表填写。</w:t>
      </w:r>
    </w:p>
    <w:p w14:paraId="3D573F5B">
      <w:pPr>
        <w:spacing w:line="360" w:lineRule="auto"/>
        <w:contextualSpacing/>
        <w:jc w:val="left"/>
        <w:rPr>
          <w:rFonts w:hint="eastAsia" w:ascii="宋体" w:hAnsi="宋体"/>
          <w:sz w:val="24"/>
          <w:szCs w:val="20"/>
          <w:highlight w:val="none"/>
        </w:rPr>
      </w:pPr>
      <w:r>
        <w:rPr>
          <w:rFonts w:hint="eastAsia" w:ascii="宋体" w:hAnsi="宋体"/>
          <w:sz w:val="24"/>
          <w:szCs w:val="20"/>
          <w:highlight w:val="none"/>
        </w:rPr>
        <w:t>2.需提供相关证明材料</w:t>
      </w:r>
    </w:p>
    <w:p w14:paraId="57264AFE">
      <w:pPr>
        <w:spacing w:line="360" w:lineRule="auto"/>
        <w:contextualSpacing/>
        <w:rPr>
          <w:rFonts w:hint="eastAsia" w:ascii="宋体" w:hAnsi="宋体"/>
          <w:sz w:val="24"/>
          <w:highlight w:val="none"/>
        </w:rPr>
      </w:pPr>
    </w:p>
    <w:p w14:paraId="7317D04E">
      <w:pPr>
        <w:spacing w:line="360" w:lineRule="auto"/>
        <w:contextualSpacing/>
        <w:rPr>
          <w:rFonts w:hint="eastAsia" w:ascii="宋体" w:hAnsi="宋体"/>
          <w:spacing w:val="20"/>
          <w:sz w:val="24"/>
          <w:szCs w:val="20"/>
          <w:highlight w:val="none"/>
          <w:u w:val="single"/>
        </w:rPr>
      </w:pPr>
      <w:r>
        <w:rPr>
          <w:rFonts w:hint="eastAsia" w:ascii="宋体" w:hAnsi="宋体"/>
          <w:sz w:val="24"/>
          <w:highlight w:val="none"/>
        </w:rPr>
        <w:t>法定代表人或者委托代理人</w:t>
      </w:r>
      <w:r>
        <w:rPr>
          <w:rFonts w:hint="eastAsia" w:ascii="宋体" w:hAnsi="宋体"/>
          <w:spacing w:val="20"/>
          <w:sz w:val="24"/>
          <w:highlight w:val="none"/>
        </w:rPr>
        <w:t>签字：</w:t>
      </w:r>
    </w:p>
    <w:p w14:paraId="739F3EF6">
      <w:pPr>
        <w:spacing w:line="360" w:lineRule="auto"/>
        <w:contextualSpacing/>
        <w:jc w:val="left"/>
        <w:rPr>
          <w:rFonts w:hint="eastAsia" w:ascii="宋体" w:hAnsi="宋体"/>
          <w:spacing w:val="20"/>
          <w:sz w:val="24"/>
          <w:highlight w:val="none"/>
        </w:rPr>
      </w:pPr>
      <w:r>
        <w:rPr>
          <w:rFonts w:hint="eastAsia" w:ascii="宋体" w:hAnsi="宋体"/>
          <w:spacing w:val="20"/>
          <w:sz w:val="24"/>
          <w:highlight w:val="none"/>
        </w:rPr>
        <w:t>供应商（电子签章）：</w:t>
      </w:r>
    </w:p>
    <w:p w14:paraId="3F3F62AC">
      <w:pPr>
        <w:spacing w:line="360" w:lineRule="auto"/>
        <w:contextualSpacing/>
        <w:jc w:val="left"/>
        <w:rPr>
          <w:rFonts w:hint="eastAsia" w:ascii="宋体" w:hAnsi="宋体"/>
          <w:sz w:val="24"/>
          <w:szCs w:val="20"/>
          <w:highlight w:val="none"/>
        </w:rPr>
      </w:pPr>
      <w:r>
        <w:rPr>
          <w:rFonts w:hint="eastAsia" w:ascii="宋体" w:hAnsi="宋体"/>
          <w:spacing w:val="20"/>
          <w:sz w:val="24"/>
          <w:highlight w:val="none"/>
        </w:rPr>
        <w:t>日期：</w:t>
      </w:r>
    </w:p>
    <w:p w14:paraId="7DB92B56">
      <w:pPr>
        <w:snapToGrid w:val="0"/>
        <w:spacing w:before="50" w:after="50" w:line="360" w:lineRule="auto"/>
        <w:ind w:right="-817" w:rightChars="-389" w:firstLine="5461" w:firstLineChars="1700"/>
        <w:rPr>
          <w:rFonts w:hint="eastAsia" w:ascii="仿宋_GB2312" w:hAnsi="仿宋_GB2312" w:eastAsia="仿宋_GB2312" w:cs="仿宋_GB2312"/>
          <w:b/>
          <w:sz w:val="32"/>
          <w:szCs w:val="32"/>
          <w:highlight w:val="none"/>
        </w:rPr>
      </w:pPr>
    </w:p>
    <w:p w14:paraId="43C06DB1">
      <w:pPr>
        <w:rPr>
          <w:rFonts w:hint="eastAsia" w:ascii="宋体" w:hAnsi="宋体"/>
          <w:b/>
          <w:sz w:val="24"/>
          <w:highlight w:val="none"/>
        </w:rPr>
      </w:pPr>
      <w:r>
        <w:rPr>
          <w:rFonts w:hint="eastAsia" w:ascii="宋体" w:hAnsi="宋体"/>
          <w:b/>
          <w:sz w:val="24"/>
          <w:highlight w:val="none"/>
        </w:rPr>
        <w:br w:type="page"/>
      </w:r>
    </w:p>
    <w:p w14:paraId="483CE50F">
      <w:pPr>
        <w:snapToGrid w:val="0"/>
        <w:spacing w:before="156" w:beforeLines="50" w:after="50"/>
        <w:ind w:left="142"/>
        <w:jc w:val="left"/>
        <w:rPr>
          <w:rFonts w:hint="eastAsia" w:ascii="宋体" w:hAnsi="宋体"/>
          <w:b/>
          <w:sz w:val="24"/>
          <w:highlight w:val="none"/>
        </w:rPr>
      </w:pPr>
      <w:r>
        <w:rPr>
          <w:rFonts w:hint="eastAsia" w:ascii="宋体" w:hAnsi="宋体"/>
          <w:b/>
          <w:sz w:val="24"/>
          <w:highlight w:val="none"/>
        </w:rPr>
        <w:t>供应商业绩证明材料</w:t>
      </w:r>
    </w:p>
    <w:p w14:paraId="632C4E68">
      <w:pPr>
        <w:pStyle w:val="19"/>
        <w:snapToGrid w:val="0"/>
        <w:ind w:left="480" w:hanging="480"/>
        <w:rPr>
          <w:rFonts w:hint="eastAsia" w:ascii="宋体" w:hAnsi="宋体"/>
          <w:sz w:val="24"/>
          <w:highlight w:val="none"/>
        </w:rPr>
      </w:pPr>
    </w:p>
    <w:p w14:paraId="35C8E371">
      <w:pPr>
        <w:spacing w:line="360" w:lineRule="auto"/>
        <w:ind w:left="142"/>
        <w:contextualSpacing/>
        <w:jc w:val="center"/>
        <w:rPr>
          <w:rFonts w:hint="eastAsia" w:ascii="宋体" w:hAnsi="宋体"/>
          <w:b/>
          <w:sz w:val="32"/>
          <w:szCs w:val="32"/>
          <w:highlight w:val="none"/>
        </w:rPr>
      </w:pPr>
      <w:r>
        <w:rPr>
          <w:rFonts w:hint="eastAsia" w:ascii="宋体" w:hAnsi="宋体"/>
          <w:b/>
          <w:sz w:val="32"/>
          <w:szCs w:val="32"/>
          <w:highlight w:val="none"/>
        </w:rPr>
        <w:t xml:space="preserve">供应商业绩情况一览表 </w:t>
      </w:r>
    </w:p>
    <w:tbl>
      <w:tblPr>
        <w:tblStyle w:val="24"/>
        <w:tblW w:w="996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492"/>
        <w:gridCol w:w="2067"/>
        <w:gridCol w:w="2067"/>
        <w:gridCol w:w="1668"/>
        <w:gridCol w:w="1668"/>
      </w:tblGrid>
      <w:tr w14:paraId="37E423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323" w:hRule="atLeast"/>
        </w:trPr>
        <w:tc>
          <w:tcPr>
            <w:tcW w:w="2492" w:type="dxa"/>
            <w:tcBorders>
              <w:top w:val="single" w:color="auto" w:sz="4" w:space="0"/>
              <w:left w:val="single" w:color="auto" w:sz="4" w:space="0"/>
              <w:bottom w:val="single" w:color="auto" w:sz="4" w:space="0"/>
              <w:right w:val="single" w:color="auto" w:sz="4" w:space="0"/>
            </w:tcBorders>
            <w:vAlign w:val="center"/>
          </w:tcPr>
          <w:p w14:paraId="76CA42F5">
            <w:pPr>
              <w:snapToGrid w:val="0"/>
              <w:jc w:val="center"/>
              <w:rPr>
                <w:rFonts w:hint="eastAsia" w:ascii="宋体" w:hAnsi="宋体"/>
                <w:sz w:val="24"/>
                <w:highlight w:val="none"/>
              </w:rPr>
            </w:pPr>
            <w:r>
              <w:rPr>
                <w:rFonts w:hint="eastAsia" w:ascii="宋体" w:hAnsi="宋体"/>
                <w:sz w:val="24"/>
                <w:highlight w:val="none"/>
              </w:rPr>
              <w:t>采购人名称</w:t>
            </w:r>
          </w:p>
        </w:tc>
        <w:tc>
          <w:tcPr>
            <w:tcW w:w="2067" w:type="dxa"/>
            <w:tcBorders>
              <w:top w:val="single" w:color="auto" w:sz="4" w:space="0"/>
              <w:left w:val="single" w:color="auto" w:sz="4" w:space="0"/>
              <w:bottom w:val="single" w:color="auto" w:sz="4" w:space="0"/>
              <w:right w:val="single" w:color="auto" w:sz="4" w:space="0"/>
            </w:tcBorders>
            <w:vAlign w:val="center"/>
          </w:tcPr>
          <w:p w14:paraId="4877BA33">
            <w:pPr>
              <w:snapToGrid w:val="0"/>
              <w:jc w:val="center"/>
              <w:rPr>
                <w:rFonts w:hint="eastAsia" w:ascii="宋体" w:hAnsi="宋体"/>
                <w:sz w:val="24"/>
                <w:highlight w:val="none"/>
              </w:rPr>
            </w:pPr>
            <w:r>
              <w:rPr>
                <w:rFonts w:hint="eastAsia" w:ascii="宋体" w:hAnsi="宋体"/>
                <w:sz w:val="24"/>
                <w:highlight w:val="none"/>
              </w:rPr>
              <w:t>项目名称</w:t>
            </w:r>
          </w:p>
        </w:tc>
        <w:tc>
          <w:tcPr>
            <w:tcW w:w="2067" w:type="dxa"/>
            <w:tcBorders>
              <w:top w:val="single" w:color="auto" w:sz="4" w:space="0"/>
              <w:left w:val="single" w:color="auto" w:sz="4" w:space="0"/>
              <w:bottom w:val="single" w:color="auto" w:sz="4" w:space="0"/>
              <w:right w:val="single" w:color="auto" w:sz="4" w:space="0"/>
            </w:tcBorders>
            <w:vAlign w:val="center"/>
          </w:tcPr>
          <w:p w14:paraId="342F007C">
            <w:pPr>
              <w:snapToGrid w:val="0"/>
              <w:jc w:val="center"/>
              <w:rPr>
                <w:rFonts w:hint="eastAsia" w:ascii="宋体" w:hAnsi="宋体"/>
                <w:sz w:val="24"/>
                <w:highlight w:val="none"/>
              </w:rPr>
            </w:pPr>
            <w:r>
              <w:rPr>
                <w:rFonts w:hint="eastAsia" w:ascii="宋体" w:hAnsi="宋体"/>
                <w:sz w:val="24"/>
                <w:highlight w:val="none"/>
              </w:rPr>
              <w:t>合同金额</w:t>
            </w:r>
          </w:p>
          <w:p w14:paraId="0A32533E">
            <w:pPr>
              <w:snapToGrid w:val="0"/>
              <w:jc w:val="center"/>
              <w:rPr>
                <w:rFonts w:hint="eastAsia" w:ascii="宋体" w:hAnsi="宋体"/>
                <w:sz w:val="24"/>
                <w:highlight w:val="none"/>
              </w:rPr>
            </w:pPr>
            <w:r>
              <w:rPr>
                <w:rFonts w:hint="eastAsia" w:ascii="宋体" w:hAnsi="宋体"/>
                <w:sz w:val="24"/>
                <w:highlight w:val="none"/>
              </w:rPr>
              <w:t>（万元）</w:t>
            </w:r>
          </w:p>
        </w:tc>
        <w:tc>
          <w:tcPr>
            <w:tcW w:w="1668" w:type="dxa"/>
            <w:tcBorders>
              <w:top w:val="single" w:color="auto" w:sz="4" w:space="0"/>
              <w:left w:val="single" w:color="auto" w:sz="4" w:space="0"/>
              <w:right w:val="single" w:color="auto" w:sz="4" w:space="0"/>
            </w:tcBorders>
            <w:vAlign w:val="center"/>
          </w:tcPr>
          <w:p w14:paraId="47B01BDC">
            <w:pPr>
              <w:snapToGrid w:val="0"/>
              <w:jc w:val="center"/>
              <w:rPr>
                <w:rFonts w:hint="eastAsia" w:ascii="宋体" w:hAnsi="宋体"/>
                <w:sz w:val="24"/>
                <w:highlight w:val="none"/>
              </w:rPr>
            </w:pPr>
            <w:r>
              <w:rPr>
                <w:rFonts w:hint="eastAsia" w:ascii="宋体" w:hAnsi="宋体"/>
                <w:sz w:val="24"/>
                <w:highlight w:val="none"/>
              </w:rPr>
              <w:t>采购人联系人及联系电话</w:t>
            </w:r>
          </w:p>
        </w:tc>
        <w:tc>
          <w:tcPr>
            <w:tcW w:w="1668" w:type="dxa"/>
            <w:tcBorders>
              <w:top w:val="single" w:color="auto" w:sz="4" w:space="0"/>
              <w:left w:val="single" w:color="auto" w:sz="4" w:space="0"/>
              <w:bottom w:val="single" w:color="auto" w:sz="4" w:space="0"/>
              <w:right w:val="single" w:color="auto" w:sz="4" w:space="0"/>
            </w:tcBorders>
            <w:vAlign w:val="center"/>
          </w:tcPr>
          <w:p w14:paraId="4A299273">
            <w:pPr>
              <w:snapToGrid w:val="0"/>
              <w:jc w:val="center"/>
              <w:rPr>
                <w:rFonts w:hint="eastAsia" w:ascii="宋体" w:hAnsi="宋体"/>
                <w:sz w:val="24"/>
                <w:highlight w:val="none"/>
              </w:rPr>
            </w:pPr>
            <w:r>
              <w:rPr>
                <w:rFonts w:hint="eastAsia" w:ascii="宋体" w:hAnsi="宋体"/>
                <w:sz w:val="24"/>
                <w:highlight w:val="none"/>
              </w:rPr>
              <w:t>中标（成交）通知书或合同签订日期</w:t>
            </w:r>
          </w:p>
        </w:tc>
      </w:tr>
      <w:tr w14:paraId="63C486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2492" w:type="dxa"/>
            <w:tcBorders>
              <w:top w:val="single" w:color="auto" w:sz="4" w:space="0"/>
              <w:left w:val="single" w:color="auto" w:sz="4" w:space="0"/>
              <w:bottom w:val="single" w:color="auto" w:sz="4" w:space="0"/>
              <w:right w:val="single" w:color="auto" w:sz="4" w:space="0"/>
            </w:tcBorders>
          </w:tcPr>
          <w:p w14:paraId="4627BBDD">
            <w:pPr>
              <w:snapToGrid w:val="0"/>
              <w:jc w:val="left"/>
              <w:rPr>
                <w:rFonts w:hint="eastAsia" w:ascii="宋体" w:hAnsi="宋体"/>
                <w:sz w:val="24"/>
                <w:highlight w:val="none"/>
              </w:rPr>
            </w:pPr>
          </w:p>
        </w:tc>
        <w:tc>
          <w:tcPr>
            <w:tcW w:w="2067" w:type="dxa"/>
            <w:tcBorders>
              <w:top w:val="single" w:color="auto" w:sz="4" w:space="0"/>
              <w:left w:val="single" w:color="auto" w:sz="4" w:space="0"/>
              <w:bottom w:val="single" w:color="auto" w:sz="4" w:space="0"/>
              <w:right w:val="single" w:color="auto" w:sz="4" w:space="0"/>
            </w:tcBorders>
          </w:tcPr>
          <w:p w14:paraId="7D5EE0AD">
            <w:pPr>
              <w:snapToGrid w:val="0"/>
              <w:jc w:val="left"/>
              <w:rPr>
                <w:rFonts w:hint="eastAsia" w:ascii="宋体" w:hAnsi="宋体"/>
                <w:sz w:val="24"/>
                <w:highlight w:val="none"/>
              </w:rPr>
            </w:pPr>
          </w:p>
        </w:tc>
        <w:tc>
          <w:tcPr>
            <w:tcW w:w="2067" w:type="dxa"/>
            <w:tcBorders>
              <w:top w:val="single" w:color="auto" w:sz="4" w:space="0"/>
              <w:left w:val="single" w:color="auto" w:sz="4" w:space="0"/>
              <w:bottom w:val="single" w:color="auto" w:sz="4" w:space="0"/>
              <w:right w:val="single" w:color="auto" w:sz="4" w:space="0"/>
            </w:tcBorders>
          </w:tcPr>
          <w:p w14:paraId="3BDE536B">
            <w:pPr>
              <w:snapToGrid w:val="0"/>
              <w:jc w:val="left"/>
              <w:rPr>
                <w:rFonts w:hint="eastAsia" w:ascii="宋体" w:hAnsi="宋体"/>
                <w:sz w:val="24"/>
                <w:highlight w:val="none"/>
              </w:rPr>
            </w:pPr>
          </w:p>
        </w:tc>
        <w:tc>
          <w:tcPr>
            <w:tcW w:w="1668" w:type="dxa"/>
            <w:tcBorders>
              <w:top w:val="single" w:color="auto" w:sz="4" w:space="0"/>
              <w:left w:val="single" w:color="auto" w:sz="4" w:space="0"/>
              <w:bottom w:val="single" w:color="auto" w:sz="4" w:space="0"/>
              <w:right w:val="single" w:color="auto" w:sz="4" w:space="0"/>
            </w:tcBorders>
          </w:tcPr>
          <w:p w14:paraId="5B331267">
            <w:pPr>
              <w:snapToGrid w:val="0"/>
              <w:jc w:val="left"/>
              <w:rPr>
                <w:rFonts w:hint="eastAsia" w:ascii="宋体" w:hAnsi="宋体"/>
                <w:sz w:val="24"/>
                <w:highlight w:val="none"/>
              </w:rPr>
            </w:pPr>
          </w:p>
        </w:tc>
        <w:tc>
          <w:tcPr>
            <w:tcW w:w="1668" w:type="dxa"/>
            <w:tcBorders>
              <w:top w:val="single" w:color="auto" w:sz="4" w:space="0"/>
              <w:left w:val="single" w:color="auto" w:sz="4" w:space="0"/>
              <w:bottom w:val="single" w:color="auto" w:sz="4" w:space="0"/>
              <w:right w:val="single" w:color="auto" w:sz="4" w:space="0"/>
            </w:tcBorders>
          </w:tcPr>
          <w:p w14:paraId="5155CDC9">
            <w:pPr>
              <w:snapToGrid w:val="0"/>
              <w:jc w:val="left"/>
              <w:rPr>
                <w:rFonts w:hint="eastAsia" w:ascii="宋体" w:hAnsi="宋体"/>
                <w:sz w:val="24"/>
                <w:highlight w:val="none"/>
              </w:rPr>
            </w:pPr>
          </w:p>
        </w:tc>
      </w:tr>
      <w:tr w14:paraId="4DB390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92" w:type="dxa"/>
            <w:tcBorders>
              <w:top w:val="single" w:color="auto" w:sz="4" w:space="0"/>
              <w:left w:val="single" w:color="auto" w:sz="4" w:space="0"/>
              <w:bottom w:val="single" w:color="auto" w:sz="4" w:space="0"/>
              <w:right w:val="single" w:color="auto" w:sz="4" w:space="0"/>
            </w:tcBorders>
          </w:tcPr>
          <w:p w14:paraId="0558F3AE">
            <w:pPr>
              <w:snapToGrid w:val="0"/>
              <w:spacing w:before="50" w:after="156" w:afterLines="50"/>
              <w:jc w:val="left"/>
              <w:rPr>
                <w:rFonts w:hint="eastAsia" w:ascii="宋体" w:hAnsi="宋体"/>
                <w:sz w:val="24"/>
                <w:highlight w:val="none"/>
              </w:rPr>
            </w:pPr>
          </w:p>
        </w:tc>
        <w:tc>
          <w:tcPr>
            <w:tcW w:w="2067" w:type="dxa"/>
            <w:tcBorders>
              <w:top w:val="single" w:color="auto" w:sz="4" w:space="0"/>
              <w:left w:val="single" w:color="auto" w:sz="4" w:space="0"/>
              <w:bottom w:val="single" w:color="auto" w:sz="4" w:space="0"/>
              <w:right w:val="single" w:color="auto" w:sz="4" w:space="0"/>
            </w:tcBorders>
          </w:tcPr>
          <w:p w14:paraId="40890D16">
            <w:pPr>
              <w:snapToGrid w:val="0"/>
              <w:spacing w:before="50" w:after="156" w:afterLines="50"/>
              <w:jc w:val="left"/>
              <w:rPr>
                <w:rFonts w:hint="eastAsia" w:ascii="宋体" w:hAnsi="宋体"/>
                <w:sz w:val="24"/>
                <w:highlight w:val="none"/>
              </w:rPr>
            </w:pPr>
          </w:p>
        </w:tc>
        <w:tc>
          <w:tcPr>
            <w:tcW w:w="2067" w:type="dxa"/>
            <w:tcBorders>
              <w:top w:val="single" w:color="auto" w:sz="4" w:space="0"/>
              <w:left w:val="single" w:color="auto" w:sz="4" w:space="0"/>
              <w:bottom w:val="single" w:color="auto" w:sz="4" w:space="0"/>
              <w:right w:val="single" w:color="auto" w:sz="4" w:space="0"/>
            </w:tcBorders>
          </w:tcPr>
          <w:p w14:paraId="64C7EBA4">
            <w:pPr>
              <w:snapToGrid w:val="0"/>
              <w:spacing w:before="50" w:after="156" w:afterLines="50"/>
              <w:jc w:val="left"/>
              <w:rPr>
                <w:rFonts w:hint="eastAsia" w:ascii="宋体" w:hAnsi="宋体"/>
                <w:sz w:val="24"/>
                <w:highlight w:val="none"/>
              </w:rPr>
            </w:pPr>
          </w:p>
        </w:tc>
        <w:tc>
          <w:tcPr>
            <w:tcW w:w="1668" w:type="dxa"/>
            <w:tcBorders>
              <w:top w:val="single" w:color="auto" w:sz="4" w:space="0"/>
              <w:left w:val="single" w:color="auto" w:sz="4" w:space="0"/>
              <w:bottom w:val="single" w:color="auto" w:sz="4" w:space="0"/>
              <w:right w:val="single" w:color="auto" w:sz="4" w:space="0"/>
            </w:tcBorders>
          </w:tcPr>
          <w:p w14:paraId="64A7ECEF">
            <w:pPr>
              <w:snapToGrid w:val="0"/>
              <w:spacing w:before="50" w:after="156" w:afterLines="50"/>
              <w:jc w:val="left"/>
              <w:rPr>
                <w:rFonts w:hint="eastAsia" w:ascii="宋体" w:hAnsi="宋体"/>
                <w:sz w:val="24"/>
                <w:highlight w:val="none"/>
              </w:rPr>
            </w:pPr>
          </w:p>
        </w:tc>
        <w:tc>
          <w:tcPr>
            <w:tcW w:w="1668" w:type="dxa"/>
            <w:tcBorders>
              <w:top w:val="single" w:color="auto" w:sz="4" w:space="0"/>
              <w:left w:val="single" w:color="auto" w:sz="4" w:space="0"/>
              <w:bottom w:val="single" w:color="auto" w:sz="4" w:space="0"/>
              <w:right w:val="single" w:color="auto" w:sz="4" w:space="0"/>
            </w:tcBorders>
          </w:tcPr>
          <w:p w14:paraId="19397E6B">
            <w:pPr>
              <w:snapToGrid w:val="0"/>
              <w:spacing w:before="50" w:after="156" w:afterLines="50"/>
              <w:jc w:val="left"/>
              <w:rPr>
                <w:rFonts w:hint="eastAsia" w:ascii="宋体" w:hAnsi="宋体"/>
                <w:sz w:val="24"/>
                <w:highlight w:val="none"/>
              </w:rPr>
            </w:pPr>
          </w:p>
        </w:tc>
      </w:tr>
      <w:tr w14:paraId="270980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2492" w:type="dxa"/>
            <w:tcBorders>
              <w:top w:val="single" w:color="auto" w:sz="4" w:space="0"/>
              <w:left w:val="single" w:color="auto" w:sz="4" w:space="0"/>
              <w:bottom w:val="single" w:color="auto" w:sz="4" w:space="0"/>
              <w:right w:val="single" w:color="auto" w:sz="4" w:space="0"/>
            </w:tcBorders>
          </w:tcPr>
          <w:p w14:paraId="7CB8C9B0">
            <w:pPr>
              <w:snapToGrid w:val="0"/>
              <w:spacing w:before="50" w:after="156" w:afterLines="50"/>
              <w:jc w:val="left"/>
              <w:rPr>
                <w:rFonts w:hint="eastAsia" w:ascii="宋体" w:hAnsi="宋体"/>
                <w:sz w:val="24"/>
                <w:highlight w:val="none"/>
              </w:rPr>
            </w:pPr>
          </w:p>
        </w:tc>
        <w:tc>
          <w:tcPr>
            <w:tcW w:w="2067" w:type="dxa"/>
            <w:tcBorders>
              <w:top w:val="single" w:color="auto" w:sz="4" w:space="0"/>
              <w:left w:val="single" w:color="auto" w:sz="4" w:space="0"/>
              <w:bottom w:val="single" w:color="auto" w:sz="4" w:space="0"/>
              <w:right w:val="single" w:color="auto" w:sz="4" w:space="0"/>
            </w:tcBorders>
          </w:tcPr>
          <w:p w14:paraId="581E5D32">
            <w:pPr>
              <w:snapToGrid w:val="0"/>
              <w:spacing w:before="50" w:after="156" w:afterLines="50"/>
              <w:jc w:val="left"/>
              <w:rPr>
                <w:rFonts w:hint="eastAsia" w:ascii="宋体" w:hAnsi="宋体"/>
                <w:sz w:val="24"/>
                <w:highlight w:val="none"/>
              </w:rPr>
            </w:pPr>
          </w:p>
        </w:tc>
        <w:tc>
          <w:tcPr>
            <w:tcW w:w="2067" w:type="dxa"/>
            <w:tcBorders>
              <w:top w:val="single" w:color="auto" w:sz="4" w:space="0"/>
              <w:left w:val="single" w:color="auto" w:sz="4" w:space="0"/>
              <w:bottom w:val="single" w:color="auto" w:sz="4" w:space="0"/>
              <w:right w:val="single" w:color="auto" w:sz="4" w:space="0"/>
            </w:tcBorders>
          </w:tcPr>
          <w:p w14:paraId="1FEA3589">
            <w:pPr>
              <w:snapToGrid w:val="0"/>
              <w:spacing w:before="50" w:after="156" w:afterLines="50"/>
              <w:jc w:val="left"/>
              <w:rPr>
                <w:rFonts w:hint="eastAsia" w:ascii="宋体" w:hAnsi="宋体"/>
                <w:sz w:val="24"/>
                <w:highlight w:val="none"/>
              </w:rPr>
            </w:pPr>
          </w:p>
        </w:tc>
        <w:tc>
          <w:tcPr>
            <w:tcW w:w="1668" w:type="dxa"/>
            <w:tcBorders>
              <w:top w:val="single" w:color="auto" w:sz="4" w:space="0"/>
              <w:left w:val="single" w:color="auto" w:sz="4" w:space="0"/>
              <w:bottom w:val="single" w:color="auto" w:sz="4" w:space="0"/>
              <w:right w:val="single" w:color="auto" w:sz="4" w:space="0"/>
            </w:tcBorders>
          </w:tcPr>
          <w:p w14:paraId="77149199">
            <w:pPr>
              <w:snapToGrid w:val="0"/>
              <w:spacing w:before="50" w:after="156" w:afterLines="50"/>
              <w:jc w:val="left"/>
              <w:rPr>
                <w:rFonts w:hint="eastAsia" w:ascii="宋体" w:hAnsi="宋体"/>
                <w:sz w:val="24"/>
                <w:highlight w:val="none"/>
              </w:rPr>
            </w:pPr>
          </w:p>
        </w:tc>
        <w:tc>
          <w:tcPr>
            <w:tcW w:w="1668" w:type="dxa"/>
            <w:tcBorders>
              <w:top w:val="single" w:color="auto" w:sz="4" w:space="0"/>
              <w:left w:val="single" w:color="auto" w:sz="4" w:space="0"/>
              <w:bottom w:val="single" w:color="auto" w:sz="4" w:space="0"/>
              <w:right w:val="single" w:color="auto" w:sz="4" w:space="0"/>
            </w:tcBorders>
          </w:tcPr>
          <w:p w14:paraId="6B2289B3">
            <w:pPr>
              <w:snapToGrid w:val="0"/>
              <w:spacing w:before="50" w:after="156" w:afterLines="50"/>
              <w:jc w:val="left"/>
              <w:rPr>
                <w:rFonts w:hint="eastAsia" w:ascii="宋体" w:hAnsi="宋体"/>
                <w:sz w:val="24"/>
                <w:highlight w:val="none"/>
              </w:rPr>
            </w:pPr>
          </w:p>
        </w:tc>
      </w:tr>
      <w:tr w14:paraId="3ED651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92" w:type="dxa"/>
            <w:tcBorders>
              <w:top w:val="single" w:color="auto" w:sz="4" w:space="0"/>
              <w:left w:val="single" w:color="auto" w:sz="4" w:space="0"/>
              <w:bottom w:val="single" w:color="auto" w:sz="4" w:space="0"/>
              <w:right w:val="single" w:color="auto" w:sz="4" w:space="0"/>
            </w:tcBorders>
          </w:tcPr>
          <w:p w14:paraId="328A0A91">
            <w:pPr>
              <w:snapToGrid w:val="0"/>
              <w:spacing w:before="50" w:after="156" w:afterLines="50"/>
              <w:jc w:val="left"/>
              <w:rPr>
                <w:rFonts w:hint="eastAsia" w:ascii="宋体" w:hAnsi="宋体"/>
                <w:sz w:val="24"/>
                <w:highlight w:val="none"/>
              </w:rPr>
            </w:pPr>
          </w:p>
        </w:tc>
        <w:tc>
          <w:tcPr>
            <w:tcW w:w="2067" w:type="dxa"/>
            <w:tcBorders>
              <w:top w:val="single" w:color="auto" w:sz="4" w:space="0"/>
              <w:left w:val="single" w:color="auto" w:sz="4" w:space="0"/>
              <w:bottom w:val="single" w:color="auto" w:sz="4" w:space="0"/>
              <w:right w:val="single" w:color="auto" w:sz="4" w:space="0"/>
            </w:tcBorders>
          </w:tcPr>
          <w:p w14:paraId="74C4250E">
            <w:pPr>
              <w:snapToGrid w:val="0"/>
              <w:spacing w:before="50" w:after="156" w:afterLines="50"/>
              <w:jc w:val="left"/>
              <w:rPr>
                <w:rFonts w:hint="eastAsia" w:ascii="宋体" w:hAnsi="宋体"/>
                <w:sz w:val="24"/>
                <w:highlight w:val="none"/>
              </w:rPr>
            </w:pPr>
          </w:p>
        </w:tc>
        <w:tc>
          <w:tcPr>
            <w:tcW w:w="2067" w:type="dxa"/>
            <w:tcBorders>
              <w:top w:val="single" w:color="auto" w:sz="4" w:space="0"/>
              <w:left w:val="single" w:color="auto" w:sz="4" w:space="0"/>
              <w:bottom w:val="single" w:color="auto" w:sz="4" w:space="0"/>
              <w:right w:val="single" w:color="auto" w:sz="4" w:space="0"/>
            </w:tcBorders>
          </w:tcPr>
          <w:p w14:paraId="23CE75C3">
            <w:pPr>
              <w:snapToGrid w:val="0"/>
              <w:spacing w:before="50" w:after="156" w:afterLines="50"/>
              <w:jc w:val="left"/>
              <w:rPr>
                <w:rFonts w:hint="eastAsia" w:ascii="宋体" w:hAnsi="宋体"/>
                <w:sz w:val="24"/>
                <w:highlight w:val="none"/>
              </w:rPr>
            </w:pPr>
          </w:p>
        </w:tc>
        <w:tc>
          <w:tcPr>
            <w:tcW w:w="1668" w:type="dxa"/>
            <w:tcBorders>
              <w:top w:val="single" w:color="auto" w:sz="4" w:space="0"/>
              <w:left w:val="single" w:color="auto" w:sz="4" w:space="0"/>
              <w:bottom w:val="single" w:color="auto" w:sz="4" w:space="0"/>
              <w:right w:val="single" w:color="auto" w:sz="4" w:space="0"/>
            </w:tcBorders>
          </w:tcPr>
          <w:p w14:paraId="42886E11">
            <w:pPr>
              <w:snapToGrid w:val="0"/>
              <w:spacing w:before="50" w:after="156" w:afterLines="50"/>
              <w:jc w:val="left"/>
              <w:rPr>
                <w:rFonts w:hint="eastAsia" w:ascii="宋体" w:hAnsi="宋体"/>
                <w:sz w:val="24"/>
                <w:highlight w:val="none"/>
              </w:rPr>
            </w:pPr>
          </w:p>
        </w:tc>
        <w:tc>
          <w:tcPr>
            <w:tcW w:w="1668" w:type="dxa"/>
            <w:tcBorders>
              <w:top w:val="single" w:color="auto" w:sz="4" w:space="0"/>
              <w:left w:val="single" w:color="auto" w:sz="4" w:space="0"/>
              <w:bottom w:val="single" w:color="auto" w:sz="4" w:space="0"/>
              <w:right w:val="single" w:color="auto" w:sz="4" w:space="0"/>
            </w:tcBorders>
          </w:tcPr>
          <w:p w14:paraId="06F34CCF">
            <w:pPr>
              <w:snapToGrid w:val="0"/>
              <w:spacing w:before="50" w:after="156" w:afterLines="50"/>
              <w:jc w:val="left"/>
              <w:rPr>
                <w:rFonts w:hint="eastAsia" w:ascii="宋体" w:hAnsi="宋体"/>
                <w:sz w:val="24"/>
                <w:highlight w:val="none"/>
              </w:rPr>
            </w:pPr>
          </w:p>
        </w:tc>
      </w:tr>
      <w:tr w14:paraId="29504E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492" w:type="dxa"/>
            <w:tcBorders>
              <w:top w:val="single" w:color="auto" w:sz="4" w:space="0"/>
              <w:left w:val="single" w:color="auto" w:sz="4" w:space="0"/>
              <w:bottom w:val="single" w:color="auto" w:sz="4" w:space="0"/>
              <w:right w:val="single" w:color="auto" w:sz="4" w:space="0"/>
            </w:tcBorders>
          </w:tcPr>
          <w:p w14:paraId="3EFCC836">
            <w:pPr>
              <w:snapToGrid w:val="0"/>
              <w:spacing w:before="50" w:after="156" w:afterLines="50"/>
              <w:jc w:val="left"/>
              <w:rPr>
                <w:rFonts w:hint="eastAsia" w:ascii="宋体" w:hAnsi="宋体"/>
                <w:sz w:val="24"/>
                <w:highlight w:val="none"/>
              </w:rPr>
            </w:pPr>
          </w:p>
        </w:tc>
        <w:tc>
          <w:tcPr>
            <w:tcW w:w="2067" w:type="dxa"/>
            <w:tcBorders>
              <w:top w:val="single" w:color="auto" w:sz="4" w:space="0"/>
              <w:left w:val="single" w:color="auto" w:sz="4" w:space="0"/>
              <w:bottom w:val="single" w:color="auto" w:sz="4" w:space="0"/>
              <w:right w:val="single" w:color="auto" w:sz="4" w:space="0"/>
            </w:tcBorders>
          </w:tcPr>
          <w:p w14:paraId="02998E85">
            <w:pPr>
              <w:snapToGrid w:val="0"/>
              <w:spacing w:before="50" w:after="156" w:afterLines="50"/>
              <w:jc w:val="left"/>
              <w:rPr>
                <w:rFonts w:hint="eastAsia" w:ascii="宋体" w:hAnsi="宋体"/>
                <w:sz w:val="24"/>
                <w:highlight w:val="none"/>
              </w:rPr>
            </w:pPr>
          </w:p>
        </w:tc>
        <w:tc>
          <w:tcPr>
            <w:tcW w:w="2067" w:type="dxa"/>
            <w:tcBorders>
              <w:top w:val="single" w:color="auto" w:sz="4" w:space="0"/>
              <w:left w:val="single" w:color="auto" w:sz="4" w:space="0"/>
              <w:bottom w:val="single" w:color="auto" w:sz="4" w:space="0"/>
              <w:right w:val="single" w:color="auto" w:sz="4" w:space="0"/>
            </w:tcBorders>
          </w:tcPr>
          <w:p w14:paraId="57FD420E">
            <w:pPr>
              <w:snapToGrid w:val="0"/>
              <w:spacing w:before="50" w:after="156" w:afterLines="50"/>
              <w:jc w:val="left"/>
              <w:rPr>
                <w:rFonts w:hint="eastAsia" w:ascii="宋体" w:hAnsi="宋体"/>
                <w:sz w:val="24"/>
                <w:highlight w:val="none"/>
              </w:rPr>
            </w:pPr>
          </w:p>
        </w:tc>
        <w:tc>
          <w:tcPr>
            <w:tcW w:w="1668" w:type="dxa"/>
            <w:tcBorders>
              <w:top w:val="single" w:color="auto" w:sz="4" w:space="0"/>
              <w:left w:val="single" w:color="auto" w:sz="4" w:space="0"/>
              <w:bottom w:val="single" w:color="auto" w:sz="4" w:space="0"/>
              <w:right w:val="single" w:color="auto" w:sz="4" w:space="0"/>
            </w:tcBorders>
          </w:tcPr>
          <w:p w14:paraId="29DC06B4">
            <w:pPr>
              <w:snapToGrid w:val="0"/>
              <w:spacing w:before="50" w:after="156" w:afterLines="50"/>
              <w:jc w:val="left"/>
              <w:rPr>
                <w:rFonts w:hint="eastAsia" w:ascii="宋体" w:hAnsi="宋体"/>
                <w:sz w:val="24"/>
                <w:highlight w:val="none"/>
              </w:rPr>
            </w:pPr>
          </w:p>
        </w:tc>
        <w:tc>
          <w:tcPr>
            <w:tcW w:w="1668" w:type="dxa"/>
            <w:tcBorders>
              <w:top w:val="single" w:color="auto" w:sz="4" w:space="0"/>
              <w:left w:val="single" w:color="auto" w:sz="4" w:space="0"/>
              <w:bottom w:val="single" w:color="auto" w:sz="4" w:space="0"/>
              <w:right w:val="single" w:color="auto" w:sz="4" w:space="0"/>
            </w:tcBorders>
          </w:tcPr>
          <w:p w14:paraId="78F9FC48">
            <w:pPr>
              <w:snapToGrid w:val="0"/>
              <w:spacing w:before="50" w:after="156" w:afterLines="50"/>
              <w:jc w:val="left"/>
              <w:rPr>
                <w:rFonts w:hint="eastAsia" w:ascii="宋体" w:hAnsi="宋体"/>
                <w:sz w:val="24"/>
                <w:highlight w:val="none"/>
              </w:rPr>
            </w:pPr>
          </w:p>
        </w:tc>
      </w:tr>
    </w:tbl>
    <w:p w14:paraId="08E5C66B">
      <w:pPr>
        <w:pStyle w:val="10"/>
        <w:contextualSpacing/>
        <w:rPr>
          <w:rFonts w:hint="eastAsia" w:ascii="宋体" w:hAnsi="宋体" w:eastAsia="宋体"/>
          <w:sz w:val="24"/>
          <w:szCs w:val="24"/>
          <w:highlight w:val="none"/>
        </w:rPr>
      </w:pPr>
    </w:p>
    <w:p w14:paraId="71F9AC5E">
      <w:pPr>
        <w:pStyle w:val="10"/>
        <w:contextualSpacing/>
        <w:jc w:val="left"/>
        <w:rPr>
          <w:rFonts w:hint="eastAsia" w:ascii="宋体" w:hAnsi="宋体" w:eastAsia="宋体"/>
          <w:sz w:val="24"/>
          <w:szCs w:val="24"/>
          <w:highlight w:val="none"/>
        </w:rPr>
      </w:pPr>
      <w:r>
        <w:rPr>
          <w:rFonts w:hint="eastAsia" w:ascii="宋体" w:hAnsi="宋体" w:eastAsia="宋体"/>
          <w:sz w:val="24"/>
          <w:szCs w:val="24"/>
          <w:highlight w:val="none"/>
        </w:rPr>
        <w:t>注：</w:t>
      </w:r>
      <w:r>
        <w:rPr>
          <w:rFonts w:hint="eastAsia" w:ascii="宋体" w:hAnsi="宋体" w:eastAsia="宋体"/>
          <w:sz w:val="24"/>
          <w:highlight w:val="none"/>
        </w:rPr>
        <w:t>供应商</w:t>
      </w:r>
      <w:r>
        <w:rPr>
          <w:rFonts w:hint="eastAsia" w:ascii="宋体" w:hAnsi="宋体"/>
          <w:sz w:val="24"/>
          <w:highlight w:val="none"/>
        </w:rPr>
        <w:t>根据评标标准具体要求附业绩证明材料。</w:t>
      </w:r>
    </w:p>
    <w:p w14:paraId="12568684">
      <w:pPr>
        <w:pStyle w:val="10"/>
        <w:contextualSpacing/>
        <w:jc w:val="left"/>
        <w:rPr>
          <w:rFonts w:hint="eastAsia" w:ascii="宋体" w:hAnsi="宋体" w:eastAsia="宋体"/>
          <w:sz w:val="24"/>
          <w:szCs w:val="24"/>
          <w:highlight w:val="none"/>
          <w:u w:val="single"/>
        </w:rPr>
      </w:pPr>
      <w:r>
        <w:rPr>
          <w:rFonts w:hint="eastAsia" w:ascii="宋体" w:hAnsi="宋体" w:eastAsia="宋体"/>
          <w:sz w:val="24"/>
          <w:szCs w:val="24"/>
          <w:highlight w:val="none"/>
        </w:rPr>
        <w:t>法定代表人（负责人）或者委托代理人（签字或者电子签名）：</w:t>
      </w:r>
      <w:r>
        <w:rPr>
          <w:rFonts w:hint="eastAsia" w:ascii="宋体" w:hAnsi="宋体" w:eastAsia="宋体"/>
          <w:sz w:val="24"/>
          <w:szCs w:val="24"/>
          <w:highlight w:val="none"/>
          <w:u w:val="single"/>
        </w:rPr>
        <w:t>　　　　　</w:t>
      </w:r>
    </w:p>
    <w:p w14:paraId="1C732CE1">
      <w:pPr>
        <w:spacing w:line="360" w:lineRule="auto"/>
        <w:ind w:right="480"/>
        <w:contextualSpacing/>
        <w:jc w:val="left"/>
        <w:rPr>
          <w:rFonts w:hint="eastAsia" w:ascii="宋体" w:hAnsi="宋体"/>
          <w:sz w:val="24"/>
          <w:szCs w:val="20"/>
          <w:highlight w:val="none"/>
        </w:rPr>
      </w:pPr>
      <w:r>
        <w:rPr>
          <w:rFonts w:hint="eastAsia" w:ascii="宋体" w:hAnsi="宋体" w:cs="Arial"/>
          <w:sz w:val="24"/>
          <w:highlight w:val="none"/>
        </w:rPr>
        <w:t xml:space="preserve">供应商名称（电子签章）： </w:t>
      </w:r>
      <w:r>
        <w:rPr>
          <w:rFonts w:hint="eastAsia" w:ascii="宋体" w:hAnsi="宋体"/>
          <w:sz w:val="24"/>
          <w:highlight w:val="none"/>
          <w:u w:val="single"/>
        </w:rPr>
        <w:t xml:space="preserve">                </w:t>
      </w:r>
      <w:r>
        <w:rPr>
          <w:rFonts w:hint="eastAsia" w:ascii="宋体" w:hAnsi="宋体"/>
          <w:sz w:val="24"/>
          <w:highlight w:val="none"/>
        </w:rPr>
        <w:t xml:space="preserve">                                                               年    月    日</w:t>
      </w:r>
    </w:p>
    <w:p w14:paraId="098D6CB0">
      <w:pPr>
        <w:spacing w:line="300" w:lineRule="auto"/>
        <w:rPr>
          <w:rFonts w:hint="eastAsia" w:ascii="宋体" w:hAnsi="宋体"/>
          <w:szCs w:val="21"/>
          <w:highlight w:val="none"/>
        </w:rPr>
      </w:pPr>
      <w:r>
        <w:rPr>
          <w:rFonts w:ascii="宋体" w:hAnsi="宋体"/>
          <w:b/>
          <w:bCs/>
          <w:sz w:val="24"/>
          <w:highlight w:val="none"/>
        </w:rPr>
        <w:br w:type="page"/>
      </w:r>
      <w:r>
        <w:rPr>
          <w:rFonts w:hint="eastAsia" w:ascii="宋体" w:hAnsi="宋体"/>
          <w:b/>
          <w:bCs/>
          <w:sz w:val="24"/>
          <w:highlight w:val="none"/>
        </w:rPr>
        <w:t>其他文书、文件格式</w:t>
      </w:r>
    </w:p>
    <w:p w14:paraId="118F5137">
      <w:pPr>
        <w:spacing w:line="360" w:lineRule="auto"/>
        <w:jc w:val="center"/>
        <w:rPr>
          <w:rFonts w:hint="eastAsia" w:ascii="宋体" w:hAnsi="宋体" w:cs="仿宋_GB2312"/>
          <w:sz w:val="24"/>
          <w:highlight w:val="none"/>
        </w:rPr>
      </w:pPr>
    </w:p>
    <w:p w14:paraId="422B6413">
      <w:pPr>
        <w:spacing w:line="360" w:lineRule="auto"/>
        <w:jc w:val="center"/>
        <w:rPr>
          <w:rFonts w:hint="eastAsia" w:ascii="宋体" w:hAnsi="宋体"/>
          <w:b/>
          <w:bCs/>
          <w:sz w:val="32"/>
          <w:szCs w:val="32"/>
          <w:highlight w:val="none"/>
        </w:rPr>
      </w:pPr>
      <w:r>
        <w:rPr>
          <w:rFonts w:hint="eastAsia" w:ascii="微软雅黑" w:hAnsi="微软雅黑" w:eastAsia="微软雅黑" w:cs="微软雅黑"/>
          <w:sz w:val="44"/>
          <w:szCs w:val="44"/>
          <w:highlight w:val="none"/>
        </w:rPr>
        <w:t>质疑函（格式）</w:t>
      </w:r>
    </w:p>
    <w:p w14:paraId="15AB167B">
      <w:pPr>
        <w:pStyle w:val="15"/>
        <w:spacing w:line="360" w:lineRule="auto"/>
        <w:ind w:firstLine="482" w:firstLineChars="200"/>
        <w:contextualSpacing/>
        <w:rPr>
          <w:rFonts w:hint="eastAsia" w:hAnsi="宋体"/>
          <w:b/>
          <w:bCs/>
          <w:sz w:val="24"/>
          <w:szCs w:val="24"/>
          <w:highlight w:val="none"/>
        </w:rPr>
      </w:pPr>
      <w:r>
        <w:rPr>
          <w:rFonts w:hint="eastAsia" w:hAnsi="宋体"/>
          <w:b/>
          <w:bCs/>
          <w:sz w:val="24"/>
          <w:szCs w:val="24"/>
          <w:highlight w:val="none"/>
        </w:rPr>
        <w:t>一、质疑供应商基本信息：</w:t>
      </w:r>
    </w:p>
    <w:p w14:paraId="5F8A1D89">
      <w:pPr>
        <w:pStyle w:val="15"/>
        <w:spacing w:line="360" w:lineRule="auto"/>
        <w:ind w:firstLine="480" w:firstLineChars="200"/>
        <w:contextualSpacing/>
        <w:rPr>
          <w:rFonts w:hint="eastAsia" w:hAnsi="宋体"/>
          <w:bCs/>
          <w:sz w:val="24"/>
          <w:szCs w:val="24"/>
          <w:highlight w:val="none"/>
          <w:u w:val="single"/>
        </w:rPr>
      </w:pPr>
      <w:r>
        <w:rPr>
          <w:rFonts w:hint="eastAsia" w:hAnsi="宋体"/>
          <w:bCs/>
          <w:sz w:val="24"/>
          <w:szCs w:val="24"/>
          <w:highlight w:val="none"/>
        </w:rPr>
        <w:t>质疑供应商：</w:t>
      </w:r>
    </w:p>
    <w:p w14:paraId="509BFB18">
      <w:pPr>
        <w:pStyle w:val="15"/>
        <w:spacing w:line="360" w:lineRule="auto"/>
        <w:ind w:firstLine="480" w:firstLineChars="200"/>
        <w:contextualSpacing/>
        <w:rPr>
          <w:rFonts w:hint="eastAsia" w:hAnsi="宋体"/>
          <w:bCs/>
          <w:sz w:val="24"/>
          <w:szCs w:val="24"/>
          <w:highlight w:val="none"/>
        </w:rPr>
      </w:pPr>
      <w:r>
        <w:rPr>
          <w:rFonts w:hAnsi="宋体"/>
          <w:bCs/>
          <w:sz w:val="24"/>
          <w:szCs w:val="24"/>
          <w:highlight w:val="none"/>
        </w:rPr>
        <w:t>地址</w:t>
      </w:r>
      <w:r>
        <w:rPr>
          <w:rFonts w:hint="eastAsia" w:hAnsi="宋体"/>
          <w:bCs/>
          <w:sz w:val="24"/>
          <w:szCs w:val="24"/>
          <w:highlight w:val="none"/>
        </w:rPr>
        <w:t>：</w:t>
      </w:r>
      <w:r>
        <w:rPr>
          <w:rFonts w:hAnsi="宋体"/>
          <w:bCs/>
          <w:sz w:val="24"/>
          <w:szCs w:val="24"/>
          <w:highlight w:val="none"/>
        </w:rPr>
        <w:t>邮编</w:t>
      </w:r>
      <w:r>
        <w:rPr>
          <w:rFonts w:hint="eastAsia" w:hAnsi="宋体"/>
          <w:bCs/>
          <w:sz w:val="24"/>
          <w:szCs w:val="24"/>
          <w:highlight w:val="none"/>
        </w:rPr>
        <w:t>：</w:t>
      </w:r>
    </w:p>
    <w:p w14:paraId="0AFC97E5">
      <w:pPr>
        <w:pStyle w:val="15"/>
        <w:spacing w:line="360" w:lineRule="auto"/>
        <w:ind w:firstLine="480" w:firstLineChars="200"/>
        <w:contextualSpacing/>
        <w:rPr>
          <w:rFonts w:hint="eastAsia" w:hAnsi="宋体"/>
          <w:bCs/>
          <w:sz w:val="24"/>
          <w:szCs w:val="24"/>
          <w:highlight w:val="none"/>
        </w:rPr>
      </w:pPr>
      <w:r>
        <w:rPr>
          <w:rFonts w:hAnsi="宋体"/>
          <w:bCs/>
          <w:sz w:val="24"/>
          <w:szCs w:val="24"/>
          <w:highlight w:val="none"/>
        </w:rPr>
        <w:t>联系人</w:t>
      </w:r>
      <w:r>
        <w:rPr>
          <w:rFonts w:hint="eastAsia" w:hAnsi="宋体"/>
          <w:bCs/>
          <w:sz w:val="24"/>
          <w:szCs w:val="24"/>
          <w:highlight w:val="none"/>
        </w:rPr>
        <w:t>：</w:t>
      </w:r>
      <w:r>
        <w:rPr>
          <w:rFonts w:hAnsi="宋体"/>
          <w:bCs/>
          <w:sz w:val="24"/>
          <w:szCs w:val="24"/>
          <w:highlight w:val="none"/>
        </w:rPr>
        <w:t>联系电话</w:t>
      </w:r>
      <w:r>
        <w:rPr>
          <w:rFonts w:hint="eastAsia" w:hAnsi="宋体"/>
          <w:bCs/>
          <w:sz w:val="24"/>
          <w:szCs w:val="24"/>
          <w:highlight w:val="none"/>
        </w:rPr>
        <w:t>：</w:t>
      </w:r>
    </w:p>
    <w:p w14:paraId="175BED4F">
      <w:pPr>
        <w:pStyle w:val="15"/>
        <w:spacing w:line="360" w:lineRule="auto"/>
        <w:ind w:firstLine="480" w:firstLineChars="200"/>
        <w:contextualSpacing/>
        <w:rPr>
          <w:rFonts w:hint="eastAsia" w:hAnsi="宋体"/>
          <w:bCs/>
          <w:sz w:val="24"/>
          <w:szCs w:val="24"/>
          <w:highlight w:val="none"/>
        </w:rPr>
      </w:pPr>
      <w:r>
        <w:rPr>
          <w:rFonts w:hint="eastAsia" w:hAnsi="宋体"/>
          <w:bCs/>
          <w:sz w:val="24"/>
          <w:szCs w:val="24"/>
          <w:highlight w:val="none"/>
        </w:rPr>
        <w:t>授权代表：</w:t>
      </w:r>
    </w:p>
    <w:p w14:paraId="3CAB9D42">
      <w:pPr>
        <w:pStyle w:val="15"/>
        <w:spacing w:line="360" w:lineRule="auto"/>
        <w:ind w:firstLine="480" w:firstLineChars="200"/>
        <w:contextualSpacing/>
        <w:rPr>
          <w:rFonts w:hint="eastAsia" w:hAnsi="宋体"/>
          <w:bCs/>
          <w:sz w:val="24"/>
          <w:szCs w:val="24"/>
          <w:highlight w:val="none"/>
          <w:u w:val="single"/>
        </w:rPr>
      </w:pPr>
      <w:r>
        <w:rPr>
          <w:rFonts w:hAnsi="宋体"/>
          <w:bCs/>
          <w:sz w:val="24"/>
          <w:szCs w:val="24"/>
          <w:highlight w:val="none"/>
        </w:rPr>
        <w:t>联系</w:t>
      </w:r>
      <w:r>
        <w:rPr>
          <w:rFonts w:hint="eastAsia" w:hAnsi="宋体"/>
          <w:bCs/>
          <w:sz w:val="24"/>
          <w:szCs w:val="24"/>
          <w:highlight w:val="none"/>
        </w:rPr>
        <w:t>电话：</w:t>
      </w:r>
    </w:p>
    <w:p w14:paraId="1EBCB13D">
      <w:pPr>
        <w:pStyle w:val="15"/>
        <w:spacing w:line="360" w:lineRule="auto"/>
        <w:ind w:firstLine="480" w:firstLineChars="200"/>
        <w:contextualSpacing/>
        <w:rPr>
          <w:rFonts w:hint="eastAsia" w:hAnsi="宋体"/>
          <w:bCs/>
          <w:sz w:val="24"/>
          <w:szCs w:val="24"/>
          <w:highlight w:val="none"/>
        </w:rPr>
      </w:pPr>
      <w:r>
        <w:rPr>
          <w:rFonts w:hAnsi="宋体"/>
          <w:bCs/>
          <w:sz w:val="24"/>
          <w:szCs w:val="24"/>
          <w:highlight w:val="none"/>
        </w:rPr>
        <w:t>地址</w:t>
      </w:r>
      <w:r>
        <w:rPr>
          <w:rFonts w:hint="eastAsia" w:hAnsi="宋体"/>
          <w:bCs/>
          <w:sz w:val="24"/>
          <w:szCs w:val="24"/>
          <w:highlight w:val="none"/>
        </w:rPr>
        <w:t>：</w:t>
      </w:r>
      <w:r>
        <w:rPr>
          <w:rFonts w:hAnsi="宋体"/>
          <w:bCs/>
          <w:sz w:val="24"/>
          <w:szCs w:val="24"/>
          <w:highlight w:val="none"/>
        </w:rPr>
        <w:t>邮编</w:t>
      </w:r>
      <w:r>
        <w:rPr>
          <w:rFonts w:hint="eastAsia" w:hAnsi="宋体"/>
          <w:bCs/>
          <w:sz w:val="24"/>
          <w:szCs w:val="24"/>
          <w:highlight w:val="none"/>
        </w:rPr>
        <w:t>：</w:t>
      </w:r>
    </w:p>
    <w:p w14:paraId="47E836D8">
      <w:pPr>
        <w:pStyle w:val="15"/>
        <w:spacing w:line="360" w:lineRule="auto"/>
        <w:ind w:firstLine="482" w:firstLineChars="200"/>
        <w:contextualSpacing/>
        <w:rPr>
          <w:rFonts w:hint="eastAsia" w:hAnsi="宋体"/>
          <w:b/>
          <w:bCs/>
          <w:sz w:val="24"/>
          <w:szCs w:val="24"/>
          <w:highlight w:val="none"/>
        </w:rPr>
      </w:pPr>
      <w:r>
        <w:rPr>
          <w:rFonts w:hint="eastAsia" w:hAnsi="宋体"/>
          <w:b/>
          <w:bCs/>
          <w:sz w:val="24"/>
          <w:szCs w:val="24"/>
          <w:highlight w:val="none"/>
        </w:rPr>
        <w:t>二、质疑项目基本情况：</w:t>
      </w:r>
    </w:p>
    <w:p w14:paraId="328CD376">
      <w:pPr>
        <w:pStyle w:val="15"/>
        <w:spacing w:line="360" w:lineRule="auto"/>
        <w:ind w:left="25" w:leftChars="12" w:firstLine="472" w:firstLineChars="197"/>
        <w:contextualSpacing/>
        <w:rPr>
          <w:rFonts w:hint="eastAsia" w:hAnsi="宋体"/>
          <w:sz w:val="24"/>
          <w:szCs w:val="24"/>
          <w:highlight w:val="none"/>
        </w:rPr>
      </w:pPr>
      <w:r>
        <w:rPr>
          <w:rFonts w:hint="eastAsia" w:hAnsi="宋体"/>
          <w:bCs/>
          <w:sz w:val="24"/>
          <w:szCs w:val="24"/>
          <w:highlight w:val="none"/>
        </w:rPr>
        <w:t>质疑</w:t>
      </w:r>
      <w:r>
        <w:rPr>
          <w:rFonts w:hint="eastAsia" w:hAnsi="宋体"/>
          <w:sz w:val="24"/>
          <w:szCs w:val="24"/>
          <w:highlight w:val="none"/>
        </w:rPr>
        <w:t>项目的名称：</w:t>
      </w:r>
    </w:p>
    <w:p w14:paraId="5F992B49">
      <w:pPr>
        <w:pStyle w:val="15"/>
        <w:spacing w:line="360" w:lineRule="auto"/>
        <w:ind w:left="25" w:leftChars="12" w:firstLine="472" w:firstLineChars="197"/>
        <w:contextualSpacing/>
        <w:rPr>
          <w:rFonts w:hint="eastAsia" w:hAnsi="宋体"/>
          <w:sz w:val="24"/>
          <w:szCs w:val="24"/>
          <w:highlight w:val="none"/>
        </w:rPr>
      </w:pPr>
      <w:r>
        <w:rPr>
          <w:rFonts w:hint="eastAsia" w:hAnsi="宋体"/>
          <w:bCs/>
          <w:sz w:val="24"/>
          <w:szCs w:val="24"/>
          <w:highlight w:val="none"/>
        </w:rPr>
        <w:t>质疑</w:t>
      </w:r>
      <w:r>
        <w:rPr>
          <w:rFonts w:hint="eastAsia" w:hAnsi="宋体"/>
          <w:sz w:val="24"/>
          <w:szCs w:val="24"/>
          <w:highlight w:val="none"/>
        </w:rPr>
        <w:t>项目的编号：</w:t>
      </w:r>
    </w:p>
    <w:p w14:paraId="121E6C0F">
      <w:pPr>
        <w:pStyle w:val="15"/>
        <w:spacing w:line="360" w:lineRule="auto"/>
        <w:ind w:left="25" w:leftChars="12" w:firstLine="472" w:firstLineChars="197"/>
        <w:contextualSpacing/>
        <w:rPr>
          <w:rFonts w:hint="eastAsia" w:hAnsi="宋体"/>
          <w:sz w:val="24"/>
          <w:szCs w:val="24"/>
          <w:highlight w:val="none"/>
        </w:rPr>
      </w:pPr>
      <w:r>
        <w:rPr>
          <w:rFonts w:hint="eastAsia" w:hAnsi="宋体"/>
          <w:sz w:val="24"/>
          <w:szCs w:val="24"/>
          <w:highlight w:val="none"/>
        </w:rPr>
        <w:t>采购人名称：</w:t>
      </w:r>
    </w:p>
    <w:p w14:paraId="34243B70">
      <w:pPr>
        <w:pStyle w:val="15"/>
        <w:spacing w:line="360" w:lineRule="auto"/>
        <w:ind w:left="25" w:leftChars="12" w:firstLine="472" w:firstLineChars="197"/>
        <w:contextualSpacing/>
        <w:rPr>
          <w:rFonts w:hint="eastAsia" w:hAnsi="宋体"/>
          <w:sz w:val="24"/>
          <w:szCs w:val="24"/>
          <w:highlight w:val="none"/>
        </w:rPr>
      </w:pPr>
      <w:r>
        <w:rPr>
          <w:rFonts w:hint="eastAsia" w:hAnsi="宋体"/>
          <w:sz w:val="24"/>
          <w:szCs w:val="24"/>
          <w:highlight w:val="none"/>
        </w:rPr>
        <w:t>质疑事项：</w:t>
      </w:r>
    </w:p>
    <w:p w14:paraId="6D09162B">
      <w:pPr>
        <w:pStyle w:val="15"/>
        <w:spacing w:line="360" w:lineRule="auto"/>
        <w:ind w:left="25" w:leftChars="12" w:firstLine="352" w:firstLineChars="147"/>
        <w:contextualSpacing/>
        <w:rPr>
          <w:rFonts w:hint="eastAsia" w:hAnsi="宋体"/>
          <w:sz w:val="24"/>
          <w:szCs w:val="24"/>
          <w:highlight w:val="none"/>
        </w:rPr>
      </w:pPr>
      <w:r>
        <w:rPr>
          <w:rFonts w:hint="eastAsia" w:hAnsi="宋体"/>
          <w:sz w:val="24"/>
          <w:szCs w:val="24"/>
          <w:highlight w:val="none"/>
        </w:rPr>
        <w:t>□采购文件采购文件获取日期：</w:t>
      </w:r>
    </w:p>
    <w:p w14:paraId="10A471B3">
      <w:pPr>
        <w:pStyle w:val="15"/>
        <w:spacing w:line="360" w:lineRule="auto"/>
        <w:ind w:left="25" w:leftChars="12" w:firstLine="352" w:firstLineChars="147"/>
        <w:contextualSpacing/>
        <w:rPr>
          <w:rFonts w:hint="eastAsia" w:hAnsi="宋体"/>
          <w:sz w:val="24"/>
          <w:szCs w:val="24"/>
          <w:highlight w:val="none"/>
        </w:rPr>
      </w:pPr>
      <w:r>
        <w:rPr>
          <w:rFonts w:hint="eastAsia" w:hAnsi="宋体"/>
          <w:sz w:val="24"/>
          <w:szCs w:val="24"/>
          <w:highlight w:val="none"/>
        </w:rPr>
        <w:t>□采购过程</w:t>
      </w:r>
    </w:p>
    <w:p w14:paraId="0FAAA018">
      <w:pPr>
        <w:pStyle w:val="15"/>
        <w:spacing w:line="360" w:lineRule="auto"/>
        <w:ind w:left="25" w:leftChars="12" w:firstLine="352" w:firstLineChars="147"/>
        <w:contextualSpacing/>
        <w:rPr>
          <w:rFonts w:hint="eastAsia" w:hAnsi="宋体"/>
          <w:bCs/>
          <w:sz w:val="24"/>
          <w:szCs w:val="24"/>
          <w:highlight w:val="none"/>
          <w:u w:val="single"/>
        </w:rPr>
      </w:pPr>
      <w:r>
        <w:rPr>
          <w:rFonts w:hint="eastAsia" w:hAnsi="宋体"/>
          <w:sz w:val="24"/>
          <w:szCs w:val="24"/>
          <w:highlight w:val="none"/>
        </w:rPr>
        <w:t>□成交结果</w:t>
      </w:r>
    </w:p>
    <w:p w14:paraId="1FCC77D0">
      <w:pPr>
        <w:pStyle w:val="15"/>
        <w:spacing w:line="360" w:lineRule="auto"/>
        <w:ind w:left="25" w:leftChars="12" w:firstLine="472" w:firstLineChars="196"/>
        <w:contextualSpacing/>
        <w:rPr>
          <w:rFonts w:hint="eastAsia" w:hAnsi="宋体"/>
          <w:b/>
          <w:sz w:val="24"/>
          <w:szCs w:val="24"/>
          <w:highlight w:val="none"/>
        </w:rPr>
      </w:pPr>
      <w:r>
        <w:rPr>
          <w:rFonts w:hint="eastAsia" w:hAnsi="宋体"/>
          <w:b/>
          <w:sz w:val="24"/>
          <w:szCs w:val="24"/>
          <w:highlight w:val="none"/>
        </w:rPr>
        <w:t>三、质疑事项具体内容</w:t>
      </w:r>
    </w:p>
    <w:p w14:paraId="021D17CB">
      <w:pPr>
        <w:pStyle w:val="15"/>
        <w:spacing w:line="360" w:lineRule="auto"/>
        <w:ind w:left="25" w:leftChars="12" w:firstLine="472" w:firstLineChars="197"/>
        <w:contextualSpacing/>
        <w:rPr>
          <w:rFonts w:hint="eastAsia" w:hAnsi="宋体"/>
          <w:sz w:val="24"/>
          <w:szCs w:val="24"/>
          <w:highlight w:val="none"/>
        </w:rPr>
      </w:pPr>
      <w:r>
        <w:rPr>
          <w:rFonts w:hint="eastAsia" w:hAnsi="宋体"/>
          <w:sz w:val="24"/>
          <w:szCs w:val="24"/>
          <w:highlight w:val="none"/>
        </w:rPr>
        <w:t>质疑事项1：</w:t>
      </w:r>
    </w:p>
    <w:p w14:paraId="31268730">
      <w:pPr>
        <w:pStyle w:val="15"/>
        <w:spacing w:line="360" w:lineRule="auto"/>
        <w:ind w:left="25" w:leftChars="12" w:firstLine="472" w:firstLineChars="197"/>
        <w:contextualSpacing/>
        <w:rPr>
          <w:rFonts w:hint="eastAsia" w:hAnsi="宋体"/>
          <w:sz w:val="24"/>
          <w:szCs w:val="24"/>
          <w:highlight w:val="none"/>
        </w:rPr>
      </w:pPr>
      <w:r>
        <w:rPr>
          <w:rFonts w:hint="eastAsia" w:hAnsi="宋体"/>
          <w:sz w:val="24"/>
          <w:szCs w:val="24"/>
          <w:highlight w:val="none"/>
        </w:rPr>
        <w:t>事实依据：</w:t>
      </w:r>
    </w:p>
    <w:p w14:paraId="2E1CF802">
      <w:pPr>
        <w:pStyle w:val="15"/>
        <w:spacing w:line="360" w:lineRule="auto"/>
        <w:ind w:left="25" w:leftChars="12" w:firstLine="472" w:firstLineChars="197"/>
        <w:contextualSpacing/>
        <w:rPr>
          <w:rFonts w:hint="eastAsia" w:hAnsi="宋体"/>
          <w:sz w:val="24"/>
          <w:szCs w:val="24"/>
          <w:highlight w:val="none"/>
        </w:rPr>
      </w:pPr>
      <w:r>
        <w:rPr>
          <w:rFonts w:hint="eastAsia" w:hAnsi="宋体"/>
          <w:sz w:val="24"/>
          <w:szCs w:val="24"/>
          <w:highlight w:val="none"/>
        </w:rPr>
        <w:t>法律依据：</w:t>
      </w:r>
    </w:p>
    <w:p w14:paraId="28633EB8">
      <w:pPr>
        <w:pStyle w:val="15"/>
        <w:spacing w:line="360" w:lineRule="auto"/>
        <w:ind w:left="25" w:leftChars="12" w:firstLine="472" w:firstLineChars="197"/>
        <w:contextualSpacing/>
        <w:rPr>
          <w:rFonts w:hint="eastAsia" w:hAnsi="宋体"/>
          <w:sz w:val="24"/>
          <w:szCs w:val="24"/>
          <w:highlight w:val="none"/>
        </w:rPr>
      </w:pPr>
      <w:r>
        <w:rPr>
          <w:rFonts w:hint="eastAsia" w:hAnsi="宋体"/>
          <w:sz w:val="24"/>
          <w:szCs w:val="24"/>
          <w:highlight w:val="none"/>
        </w:rPr>
        <w:t>质疑事项2</w:t>
      </w:r>
    </w:p>
    <w:p w14:paraId="0269D218">
      <w:pPr>
        <w:pStyle w:val="15"/>
        <w:spacing w:line="360" w:lineRule="auto"/>
        <w:ind w:left="25" w:leftChars="12" w:firstLine="472" w:firstLineChars="197"/>
        <w:contextualSpacing/>
        <w:rPr>
          <w:rFonts w:hint="eastAsia" w:hAnsi="宋体"/>
          <w:sz w:val="24"/>
          <w:szCs w:val="24"/>
          <w:highlight w:val="none"/>
        </w:rPr>
      </w:pPr>
      <w:r>
        <w:rPr>
          <w:rFonts w:hAnsi="宋体"/>
          <w:sz w:val="24"/>
          <w:szCs w:val="24"/>
          <w:highlight w:val="none"/>
        </w:rPr>
        <w:t>……</w:t>
      </w:r>
    </w:p>
    <w:p w14:paraId="30AD8D81">
      <w:pPr>
        <w:pStyle w:val="15"/>
        <w:spacing w:line="360" w:lineRule="auto"/>
        <w:ind w:left="25" w:leftChars="12" w:firstLine="472" w:firstLineChars="197"/>
        <w:contextualSpacing/>
        <w:rPr>
          <w:rFonts w:hint="eastAsia" w:hAnsi="宋体"/>
          <w:sz w:val="24"/>
          <w:szCs w:val="24"/>
          <w:highlight w:val="none"/>
        </w:rPr>
      </w:pPr>
      <w:r>
        <w:rPr>
          <w:rFonts w:hint="eastAsia" w:hAnsi="宋体"/>
          <w:sz w:val="24"/>
          <w:szCs w:val="24"/>
          <w:highlight w:val="none"/>
        </w:rPr>
        <w:t>四、与质疑事项相关的质疑请求：</w:t>
      </w:r>
    </w:p>
    <w:p w14:paraId="0D1A5CD8">
      <w:pPr>
        <w:pStyle w:val="15"/>
        <w:spacing w:line="360" w:lineRule="auto"/>
        <w:ind w:left="25" w:leftChars="12" w:firstLine="472" w:firstLineChars="197"/>
        <w:contextualSpacing/>
        <w:rPr>
          <w:rFonts w:hint="eastAsia" w:hAnsi="宋体"/>
          <w:sz w:val="24"/>
          <w:szCs w:val="24"/>
          <w:highlight w:val="none"/>
        </w:rPr>
      </w:pPr>
      <w:r>
        <w:rPr>
          <w:rFonts w:hint="eastAsia" w:hAnsi="宋体"/>
          <w:sz w:val="24"/>
          <w:szCs w:val="24"/>
          <w:highlight w:val="none"/>
        </w:rPr>
        <w:t>请求：</w:t>
      </w:r>
    </w:p>
    <w:p w14:paraId="47687FD1">
      <w:pPr>
        <w:pStyle w:val="15"/>
        <w:spacing w:line="360" w:lineRule="auto"/>
        <w:ind w:left="25" w:leftChars="12" w:firstLine="352" w:firstLineChars="147"/>
        <w:contextualSpacing/>
        <w:rPr>
          <w:rFonts w:hint="eastAsia" w:hAnsi="宋体"/>
          <w:sz w:val="24"/>
          <w:szCs w:val="24"/>
          <w:highlight w:val="none"/>
        </w:rPr>
      </w:pPr>
    </w:p>
    <w:p w14:paraId="0EFC5B5B">
      <w:pPr>
        <w:pStyle w:val="15"/>
        <w:spacing w:line="360" w:lineRule="auto"/>
        <w:ind w:left="25" w:leftChars="12" w:firstLine="472" w:firstLineChars="197"/>
        <w:contextualSpacing/>
        <w:rPr>
          <w:rFonts w:hint="eastAsia" w:hAnsi="宋体"/>
          <w:sz w:val="24"/>
          <w:szCs w:val="24"/>
          <w:highlight w:val="none"/>
        </w:rPr>
      </w:pPr>
      <w:r>
        <w:rPr>
          <w:rFonts w:hint="eastAsia" w:hAnsi="宋体"/>
          <w:sz w:val="24"/>
          <w:szCs w:val="24"/>
          <w:highlight w:val="none"/>
        </w:rPr>
        <w:t>签字（签章）：公章：</w:t>
      </w:r>
    </w:p>
    <w:p w14:paraId="02497127">
      <w:pPr>
        <w:pStyle w:val="15"/>
        <w:spacing w:line="360" w:lineRule="auto"/>
        <w:ind w:firstLine="480" w:firstLineChars="200"/>
        <w:contextualSpacing/>
        <w:rPr>
          <w:rFonts w:hint="eastAsia" w:hAnsi="宋体"/>
          <w:b/>
          <w:sz w:val="24"/>
          <w:szCs w:val="24"/>
          <w:highlight w:val="none"/>
        </w:rPr>
      </w:pPr>
      <w:r>
        <w:rPr>
          <w:rFonts w:hint="eastAsia" w:hAnsi="宋体"/>
          <w:sz w:val="24"/>
          <w:szCs w:val="24"/>
          <w:highlight w:val="none"/>
        </w:rPr>
        <w:t>日期：</w:t>
      </w:r>
    </w:p>
    <w:p w14:paraId="56869665">
      <w:pPr>
        <w:pStyle w:val="15"/>
        <w:spacing w:line="360" w:lineRule="auto"/>
        <w:contextualSpacing/>
        <w:rPr>
          <w:rFonts w:hint="eastAsia" w:hAnsi="宋体"/>
          <w:b/>
          <w:sz w:val="24"/>
          <w:szCs w:val="24"/>
          <w:highlight w:val="none"/>
        </w:rPr>
      </w:pPr>
      <w:r>
        <w:rPr>
          <w:rFonts w:hint="eastAsia" w:hAnsi="宋体"/>
          <w:b/>
          <w:sz w:val="24"/>
          <w:szCs w:val="24"/>
          <w:highlight w:val="none"/>
        </w:rPr>
        <w:t>说明：</w:t>
      </w:r>
    </w:p>
    <w:p w14:paraId="04448780">
      <w:pPr>
        <w:pStyle w:val="15"/>
        <w:spacing w:line="360" w:lineRule="auto"/>
        <w:ind w:left="25" w:leftChars="12" w:firstLine="354" w:firstLineChars="147"/>
        <w:contextualSpacing/>
        <w:rPr>
          <w:rFonts w:hint="eastAsia" w:hAnsi="宋体"/>
          <w:b/>
          <w:bCs/>
          <w:sz w:val="24"/>
          <w:szCs w:val="24"/>
          <w:highlight w:val="none"/>
        </w:rPr>
      </w:pPr>
      <w:r>
        <w:rPr>
          <w:rFonts w:hint="eastAsia" w:hAnsi="宋体"/>
          <w:b/>
          <w:sz w:val="24"/>
          <w:szCs w:val="24"/>
          <w:highlight w:val="none"/>
        </w:rPr>
        <w:t>1.供应商提出质疑时，应提交质疑函和必要的证明材料</w:t>
      </w:r>
      <w:r>
        <w:rPr>
          <w:rFonts w:hint="eastAsia" w:hAnsi="宋体"/>
          <w:b/>
          <w:bCs/>
          <w:sz w:val="24"/>
          <w:szCs w:val="24"/>
          <w:highlight w:val="none"/>
        </w:rPr>
        <w:t>。</w:t>
      </w:r>
    </w:p>
    <w:p w14:paraId="540EE5B5">
      <w:pPr>
        <w:pStyle w:val="15"/>
        <w:spacing w:line="360" w:lineRule="auto"/>
        <w:ind w:left="25" w:leftChars="12" w:firstLine="354" w:firstLineChars="147"/>
        <w:contextualSpacing/>
        <w:rPr>
          <w:rFonts w:hint="eastAsia" w:hAnsi="宋体"/>
          <w:b/>
          <w:sz w:val="24"/>
          <w:szCs w:val="24"/>
          <w:highlight w:val="none"/>
        </w:rPr>
      </w:pPr>
      <w:r>
        <w:rPr>
          <w:rFonts w:hint="eastAsia" w:hAnsi="宋体"/>
          <w:b/>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5A8F3109">
      <w:pPr>
        <w:pStyle w:val="15"/>
        <w:spacing w:line="360" w:lineRule="auto"/>
        <w:ind w:left="25" w:leftChars="12" w:firstLine="354" w:firstLineChars="147"/>
        <w:contextualSpacing/>
        <w:rPr>
          <w:rFonts w:hint="eastAsia" w:hAnsi="宋体"/>
          <w:b/>
          <w:sz w:val="24"/>
          <w:szCs w:val="24"/>
          <w:highlight w:val="none"/>
        </w:rPr>
      </w:pPr>
      <w:r>
        <w:rPr>
          <w:rFonts w:hint="eastAsia" w:hAnsi="宋体"/>
          <w:b/>
          <w:sz w:val="24"/>
          <w:szCs w:val="24"/>
          <w:highlight w:val="none"/>
        </w:rPr>
        <w:t>3.质疑函的质疑事项应具体、明确，并有必要的事实依据和法律依据。</w:t>
      </w:r>
    </w:p>
    <w:p w14:paraId="42590FC5">
      <w:pPr>
        <w:pStyle w:val="15"/>
        <w:spacing w:line="360" w:lineRule="auto"/>
        <w:ind w:left="25" w:leftChars="12" w:firstLine="354" w:firstLineChars="147"/>
        <w:contextualSpacing/>
        <w:rPr>
          <w:rFonts w:hint="eastAsia" w:hAnsi="宋体"/>
          <w:b/>
          <w:sz w:val="24"/>
          <w:szCs w:val="24"/>
          <w:highlight w:val="none"/>
        </w:rPr>
      </w:pPr>
      <w:r>
        <w:rPr>
          <w:rFonts w:hint="eastAsia" w:hAnsi="宋体"/>
          <w:b/>
          <w:sz w:val="24"/>
          <w:szCs w:val="24"/>
          <w:highlight w:val="none"/>
        </w:rPr>
        <w:t>4.质疑函的质疑请求应与质疑事项相关。</w:t>
      </w:r>
    </w:p>
    <w:p w14:paraId="6DBEC8D0">
      <w:pPr>
        <w:pStyle w:val="15"/>
        <w:spacing w:line="360" w:lineRule="auto"/>
        <w:ind w:left="25" w:leftChars="12" w:firstLine="354" w:firstLineChars="147"/>
        <w:contextualSpacing/>
        <w:rPr>
          <w:rFonts w:hint="eastAsia" w:hAnsi="宋体"/>
          <w:b/>
          <w:highlight w:val="none"/>
        </w:rPr>
      </w:pPr>
      <w:r>
        <w:rPr>
          <w:rFonts w:hint="eastAsia" w:hAnsi="宋体"/>
          <w:b/>
          <w:sz w:val="24"/>
          <w:szCs w:val="24"/>
          <w:highlight w:val="none"/>
        </w:rPr>
        <w:t>5.质疑供应商为法人或者其他组织的，质疑函应由法定代表人、主要负责人，或者其授权代表签字或者盖章，并加盖公章。</w:t>
      </w:r>
    </w:p>
    <w:p w14:paraId="4B2AC202">
      <w:pPr>
        <w:pStyle w:val="15"/>
        <w:snapToGrid w:val="0"/>
        <w:rPr>
          <w:b/>
          <w:sz w:val="24"/>
          <w:szCs w:val="24"/>
          <w:highlight w:val="none"/>
        </w:rPr>
      </w:pPr>
    </w:p>
    <w:p w14:paraId="426196AD">
      <w:pPr>
        <w:rPr>
          <w:sz w:val="32"/>
          <w:szCs w:val="40"/>
          <w:highlight w:val="none"/>
        </w:rPr>
      </w:pPr>
    </w:p>
    <w:p w14:paraId="34DE3D6B">
      <w:pPr>
        <w:rPr>
          <w:sz w:val="32"/>
          <w:szCs w:val="40"/>
          <w:highlight w:val="none"/>
        </w:rPr>
      </w:pPr>
    </w:p>
    <w:p w14:paraId="4CE71227">
      <w:pPr>
        <w:rPr>
          <w:sz w:val="32"/>
          <w:szCs w:val="40"/>
          <w:highlight w:val="none"/>
        </w:rPr>
      </w:pPr>
    </w:p>
    <w:p w14:paraId="57B04BAA">
      <w:pPr>
        <w:rPr>
          <w:sz w:val="32"/>
          <w:szCs w:val="40"/>
          <w:highlight w:val="none"/>
        </w:rPr>
      </w:pPr>
    </w:p>
    <w:p w14:paraId="2153AF5F">
      <w:pPr>
        <w:rPr>
          <w:sz w:val="32"/>
          <w:szCs w:val="40"/>
          <w:highlight w:val="none"/>
        </w:rPr>
      </w:pPr>
    </w:p>
    <w:p w14:paraId="227B9798">
      <w:pPr>
        <w:rPr>
          <w:sz w:val="32"/>
          <w:szCs w:val="40"/>
          <w:highlight w:val="none"/>
        </w:rPr>
      </w:pPr>
    </w:p>
    <w:p w14:paraId="7A737204">
      <w:pPr>
        <w:rPr>
          <w:sz w:val="32"/>
          <w:szCs w:val="40"/>
          <w:highlight w:val="none"/>
        </w:rPr>
      </w:pPr>
    </w:p>
    <w:p w14:paraId="39E9EE74">
      <w:pPr>
        <w:rPr>
          <w:sz w:val="32"/>
          <w:szCs w:val="40"/>
          <w:highlight w:val="none"/>
        </w:rPr>
      </w:pPr>
    </w:p>
    <w:p w14:paraId="5E6D9A4D">
      <w:pPr>
        <w:rPr>
          <w:sz w:val="32"/>
          <w:szCs w:val="40"/>
          <w:highlight w:val="none"/>
        </w:rPr>
      </w:pPr>
    </w:p>
    <w:p w14:paraId="2DC564B9">
      <w:pPr>
        <w:rPr>
          <w:sz w:val="32"/>
          <w:szCs w:val="40"/>
          <w:highlight w:val="none"/>
        </w:rPr>
      </w:pPr>
    </w:p>
    <w:p w14:paraId="08B5E481">
      <w:pPr>
        <w:rPr>
          <w:sz w:val="32"/>
          <w:szCs w:val="40"/>
          <w:highlight w:val="none"/>
        </w:rPr>
      </w:pPr>
    </w:p>
    <w:p w14:paraId="450BCD6E">
      <w:pPr>
        <w:rPr>
          <w:sz w:val="32"/>
          <w:szCs w:val="40"/>
          <w:highlight w:val="none"/>
        </w:rPr>
      </w:pPr>
    </w:p>
    <w:p w14:paraId="70D4C103">
      <w:pPr>
        <w:rPr>
          <w:sz w:val="32"/>
          <w:szCs w:val="40"/>
          <w:highlight w:val="none"/>
        </w:rPr>
      </w:pPr>
    </w:p>
    <w:p w14:paraId="2CFD77F1">
      <w:pPr>
        <w:rPr>
          <w:sz w:val="32"/>
          <w:szCs w:val="40"/>
          <w:highlight w:val="none"/>
        </w:rPr>
      </w:pPr>
    </w:p>
    <w:p w14:paraId="12EF291A">
      <w:pPr>
        <w:pStyle w:val="33"/>
        <w:ind w:firstLine="480"/>
        <w:rPr>
          <w:highlight w:val="none"/>
        </w:rPr>
      </w:pPr>
    </w:p>
    <w:p w14:paraId="7C088808">
      <w:pPr>
        <w:rPr>
          <w:highlight w:val="none"/>
        </w:rPr>
      </w:pPr>
    </w:p>
    <w:p w14:paraId="6E57A6F2">
      <w:pPr>
        <w:spacing w:line="360" w:lineRule="auto"/>
        <w:jc w:val="center"/>
        <w:rPr>
          <w:rFonts w:hint="eastAsia" w:ascii="微软雅黑" w:hAnsi="微软雅黑" w:eastAsia="微软雅黑" w:cs="微软雅黑"/>
          <w:sz w:val="44"/>
          <w:szCs w:val="44"/>
          <w:highlight w:val="none"/>
        </w:rPr>
      </w:pPr>
      <w:r>
        <w:rPr>
          <w:rFonts w:hint="eastAsia" w:ascii="微软雅黑" w:hAnsi="微软雅黑" w:eastAsia="微软雅黑" w:cs="微软雅黑"/>
          <w:sz w:val="44"/>
          <w:szCs w:val="44"/>
          <w:highlight w:val="none"/>
        </w:rPr>
        <w:t>投诉书（格式）</w:t>
      </w:r>
    </w:p>
    <w:p w14:paraId="33AC7E7C">
      <w:pPr>
        <w:pStyle w:val="15"/>
        <w:snapToGrid w:val="0"/>
        <w:spacing w:line="360" w:lineRule="auto"/>
        <w:ind w:firstLine="482" w:firstLineChars="200"/>
        <w:rPr>
          <w:rFonts w:hint="eastAsia" w:hAnsi="宋体"/>
          <w:b/>
          <w:bCs/>
          <w:sz w:val="24"/>
          <w:szCs w:val="24"/>
          <w:highlight w:val="none"/>
        </w:rPr>
      </w:pPr>
      <w:r>
        <w:rPr>
          <w:rFonts w:hint="eastAsia" w:hAnsi="宋体"/>
          <w:b/>
          <w:bCs/>
          <w:sz w:val="24"/>
          <w:szCs w:val="24"/>
          <w:highlight w:val="none"/>
        </w:rPr>
        <w:t>一、投诉相关主体基本情况：</w:t>
      </w:r>
    </w:p>
    <w:p w14:paraId="7B7D3C86">
      <w:pPr>
        <w:pStyle w:val="15"/>
        <w:snapToGrid w:val="0"/>
        <w:spacing w:line="360" w:lineRule="auto"/>
        <w:ind w:firstLine="480" w:firstLineChars="200"/>
        <w:rPr>
          <w:rFonts w:hint="eastAsia" w:hAnsi="宋体"/>
          <w:bCs/>
          <w:sz w:val="24"/>
          <w:szCs w:val="24"/>
          <w:highlight w:val="none"/>
          <w:u w:val="single"/>
        </w:rPr>
      </w:pPr>
      <w:r>
        <w:rPr>
          <w:rFonts w:hint="eastAsia" w:hAnsi="宋体"/>
          <w:bCs/>
          <w:sz w:val="24"/>
          <w:szCs w:val="24"/>
          <w:highlight w:val="none"/>
        </w:rPr>
        <w:t>供应商：</w:t>
      </w:r>
    </w:p>
    <w:p w14:paraId="0E87ECF3">
      <w:pPr>
        <w:pStyle w:val="15"/>
        <w:snapToGrid w:val="0"/>
        <w:spacing w:line="360" w:lineRule="auto"/>
        <w:ind w:firstLine="480" w:firstLineChars="200"/>
        <w:rPr>
          <w:rFonts w:hint="eastAsia" w:hAnsi="宋体"/>
          <w:bCs/>
          <w:sz w:val="24"/>
          <w:szCs w:val="24"/>
          <w:highlight w:val="none"/>
        </w:rPr>
      </w:pPr>
      <w:r>
        <w:rPr>
          <w:rFonts w:hAnsi="宋体"/>
          <w:bCs/>
          <w:sz w:val="24"/>
          <w:szCs w:val="24"/>
          <w:highlight w:val="none"/>
        </w:rPr>
        <w:t>地址</w:t>
      </w:r>
      <w:r>
        <w:rPr>
          <w:rFonts w:hint="eastAsia" w:hAnsi="宋体"/>
          <w:bCs/>
          <w:sz w:val="24"/>
          <w:szCs w:val="24"/>
          <w:highlight w:val="none"/>
        </w:rPr>
        <w:t>：</w:t>
      </w:r>
      <w:r>
        <w:rPr>
          <w:rFonts w:hAnsi="宋体"/>
          <w:bCs/>
          <w:sz w:val="24"/>
          <w:szCs w:val="24"/>
          <w:highlight w:val="none"/>
        </w:rPr>
        <w:t>邮编</w:t>
      </w:r>
      <w:r>
        <w:rPr>
          <w:rFonts w:hint="eastAsia" w:hAnsi="宋体"/>
          <w:bCs/>
          <w:sz w:val="24"/>
          <w:szCs w:val="24"/>
          <w:highlight w:val="none"/>
        </w:rPr>
        <w:t>：</w:t>
      </w:r>
    </w:p>
    <w:p w14:paraId="0F99DAF5">
      <w:pPr>
        <w:pStyle w:val="15"/>
        <w:snapToGrid w:val="0"/>
        <w:spacing w:line="360" w:lineRule="auto"/>
        <w:ind w:firstLine="480" w:firstLineChars="200"/>
        <w:rPr>
          <w:rFonts w:hint="eastAsia" w:hAnsi="宋体"/>
          <w:bCs/>
          <w:sz w:val="24"/>
          <w:szCs w:val="24"/>
          <w:highlight w:val="none"/>
          <w:u w:val="single"/>
        </w:rPr>
      </w:pPr>
      <w:r>
        <w:rPr>
          <w:rFonts w:hint="eastAsia" w:hAnsi="宋体"/>
          <w:bCs/>
          <w:sz w:val="24"/>
          <w:szCs w:val="24"/>
          <w:highlight w:val="none"/>
        </w:rPr>
        <w:t>法定代表人/主要负责人：</w:t>
      </w:r>
    </w:p>
    <w:p w14:paraId="1C7190B8">
      <w:pPr>
        <w:pStyle w:val="15"/>
        <w:snapToGrid w:val="0"/>
        <w:spacing w:line="360" w:lineRule="auto"/>
        <w:ind w:firstLine="480" w:firstLineChars="200"/>
        <w:rPr>
          <w:rFonts w:hint="eastAsia" w:hAnsi="宋体"/>
          <w:bCs/>
          <w:sz w:val="24"/>
          <w:szCs w:val="24"/>
          <w:highlight w:val="none"/>
        </w:rPr>
      </w:pPr>
      <w:r>
        <w:rPr>
          <w:rFonts w:hAnsi="宋体"/>
          <w:bCs/>
          <w:sz w:val="24"/>
          <w:szCs w:val="24"/>
          <w:highlight w:val="none"/>
        </w:rPr>
        <w:t>联系电话</w:t>
      </w:r>
      <w:r>
        <w:rPr>
          <w:rFonts w:hint="eastAsia" w:hAnsi="宋体"/>
          <w:bCs/>
          <w:sz w:val="24"/>
          <w:szCs w:val="24"/>
          <w:highlight w:val="none"/>
        </w:rPr>
        <w:t>：</w:t>
      </w:r>
    </w:p>
    <w:p w14:paraId="4BC9A0A9">
      <w:pPr>
        <w:pStyle w:val="15"/>
        <w:snapToGrid w:val="0"/>
        <w:spacing w:line="360" w:lineRule="auto"/>
        <w:ind w:firstLine="480" w:firstLineChars="200"/>
        <w:rPr>
          <w:rFonts w:hint="eastAsia" w:hAnsi="宋体"/>
          <w:bCs/>
          <w:sz w:val="24"/>
          <w:szCs w:val="24"/>
          <w:highlight w:val="none"/>
          <w:u w:val="single"/>
        </w:rPr>
      </w:pPr>
      <w:r>
        <w:rPr>
          <w:rFonts w:hint="eastAsia" w:hAnsi="宋体"/>
          <w:bCs/>
          <w:sz w:val="24"/>
          <w:szCs w:val="24"/>
          <w:highlight w:val="none"/>
        </w:rPr>
        <w:t>授权代表：</w:t>
      </w:r>
      <w:r>
        <w:rPr>
          <w:rFonts w:hAnsi="宋体"/>
          <w:bCs/>
          <w:sz w:val="24"/>
          <w:szCs w:val="24"/>
          <w:highlight w:val="none"/>
        </w:rPr>
        <w:t>联系</w:t>
      </w:r>
      <w:r>
        <w:rPr>
          <w:rFonts w:hint="eastAsia" w:hAnsi="宋体"/>
          <w:bCs/>
          <w:sz w:val="24"/>
          <w:szCs w:val="24"/>
          <w:highlight w:val="none"/>
        </w:rPr>
        <w:t>电话：</w:t>
      </w:r>
    </w:p>
    <w:p w14:paraId="1125479E">
      <w:pPr>
        <w:pStyle w:val="15"/>
        <w:snapToGrid w:val="0"/>
        <w:spacing w:line="360" w:lineRule="auto"/>
        <w:ind w:firstLine="480" w:firstLineChars="200"/>
        <w:rPr>
          <w:rFonts w:hint="eastAsia" w:hAnsi="宋体"/>
          <w:bCs/>
          <w:sz w:val="24"/>
          <w:szCs w:val="24"/>
          <w:highlight w:val="none"/>
          <w:u w:val="single"/>
        </w:rPr>
      </w:pPr>
      <w:r>
        <w:rPr>
          <w:rFonts w:hAnsi="宋体"/>
          <w:bCs/>
          <w:sz w:val="24"/>
          <w:szCs w:val="24"/>
          <w:highlight w:val="none"/>
        </w:rPr>
        <w:t>地址</w:t>
      </w:r>
      <w:r>
        <w:rPr>
          <w:rFonts w:hint="eastAsia" w:hAnsi="宋体"/>
          <w:bCs/>
          <w:sz w:val="24"/>
          <w:szCs w:val="24"/>
          <w:highlight w:val="none"/>
        </w:rPr>
        <w:t>：</w:t>
      </w:r>
    </w:p>
    <w:p w14:paraId="5E39322B">
      <w:pPr>
        <w:pStyle w:val="15"/>
        <w:snapToGrid w:val="0"/>
        <w:spacing w:line="360" w:lineRule="auto"/>
        <w:ind w:firstLine="480" w:firstLineChars="200"/>
        <w:rPr>
          <w:rFonts w:hint="eastAsia" w:hAnsi="宋体"/>
          <w:bCs/>
          <w:sz w:val="24"/>
          <w:szCs w:val="24"/>
          <w:highlight w:val="none"/>
        </w:rPr>
      </w:pPr>
      <w:r>
        <w:rPr>
          <w:rFonts w:hAnsi="宋体"/>
          <w:bCs/>
          <w:sz w:val="24"/>
          <w:szCs w:val="24"/>
          <w:highlight w:val="none"/>
        </w:rPr>
        <w:t>邮编</w:t>
      </w:r>
      <w:r>
        <w:rPr>
          <w:rFonts w:hint="eastAsia" w:hAnsi="宋体"/>
          <w:bCs/>
          <w:sz w:val="24"/>
          <w:szCs w:val="24"/>
          <w:highlight w:val="none"/>
        </w:rPr>
        <w:t>：</w:t>
      </w:r>
    </w:p>
    <w:p w14:paraId="5346772F">
      <w:pPr>
        <w:pStyle w:val="15"/>
        <w:snapToGrid w:val="0"/>
        <w:spacing w:line="360" w:lineRule="auto"/>
        <w:ind w:firstLine="480" w:firstLineChars="200"/>
        <w:rPr>
          <w:rFonts w:hint="eastAsia" w:hAnsi="宋体"/>
          <w:bCs/>
          <w:sz w:val="24"/>
          <w:szCs w:val="24"/>
          <w:highlight w:val="none"/>
        </w:rPr>
      </w:pPr>
      <w:r>
        <w:rPr>
          <w:rFonts w:hint="eastAsia" w:hAnsi="宋体"/>
          <w:bCs/>
          <w:sz w:val="24"/>
          <w:szCs w:val="24"/>
          <w:highlight w:val="none"/>
        </w:rPr>
        <w:t>被投诉人1：</w:t>
      </w:r>
    </w:p>
    <w:p w14:paraId="51571E90">
      <w:pPr>
        <w:pStyle w:val="15"/>
        <w:snapToGrid w:val="0"/>
        <w:spacing w:line="360" w:lineRule="auto"/>
        <w:ind w:firstLine="480" w:firstLineChars="200"/>
        <w:rPr>
          <w:rFonts w:hint="eastAsia" w:hAnsi="宋体"/>
          <w:bCs/>
          <w:sz w:val="24"/>
          <w:szCs w:val="24"/>
          <w:highlight w:val="none"/>
          <w:u w:val="single"/>
        </w:rPr>
      </w:pPr>
      <w:r>
        <w:rPr>
          <w:rFonts w:hint="eastAsia" w:hAnsi="宋体"/>
          <w:bCs/>
          <w:sz w:val="24"/>
          <w:szCs w:val="24"/>
          <w:highlight w:val="none"/>
        </w:rPr>
        <w:t>地址：</w:t>
      </w:r>
    </w:p>
    <w:p w14:paraId="163C6803">
      <w:pPr>
        <w:pStyle w:val="15"/>
        <w:snapToGrid w:val="0"/>
        <w:spacing w:line="360" w:lineRule="auto"/>
        <w:ind w:firstLine="480" w:firstLineChars="200"/>
        <w:rPr>
          <w:rFonts w:hint="eastAsia" w:hAnsi="宋体"/>
          <w:bCs/>
          <w:sz w:val="24"/>
          <w:szCs w:val="24"/>
          <w:highlight w:val="none"/>
        </w:rPr>
      </w:pPr>
      <w:r>
        <w:rPr>
          <w:rFonts w:hAnsi="宋体"/>
          <w:bCs/>
          <w:sz w:val="24"/>
          <w:szCs w:val="24"/>
          <w:highlight w:val="none"/>
        </w:rPr>
        <w:t>邮编</w:t>
      </w:r>
      <w:r>
        <w:rPr>
          <w:rFonts w:hint="eastAsia" w:hAnsi="宋体"/>
          <w:bCs/>
          <w:sz w:val="24"/>
          <w:szCs w:val="24"/>
          <w:highlight w:val="none"/>
        </w:rPr>
        <w:t>：</w:t>
      </w:r>
    </w:p>
    <w:p w14:paraId="266EEB92">
      <w:pPr>
        <w:pStyle w:val="15"/>
        <w:snapToGrid w:val="0"/>
        <w:spacing w:line="360" w:lineRule="auto"/>
        <w:ind w:firstLine="480" w:firstLineChars="200"/>
        <w:rPr>
          <w:rFonts w:hint="eastAsia" w:hAnsi="宋体"/>
          <w:bCs/>
          <w:sz w:val="24"/>
          <w:szCs w:val="24"/>
          <w:highlight w:val="none"/>
          <w:u w:val="single"/>
        </w:rPr>
      </w:pPr>
      <w:r>
        <w:rPr>
          <w:rFonts w:hint="eastAsia" w:hAnsi="宋体"/>
          <w:bCs/>
          <w:sz w:val="24"/>
          <w:szCs w:val="24"/>
          <w:highlight w:val="none"/>
        </w:rPr>
        <w:t>联系人：</w:t>
      </w:r>
      <w:r>
        <w:rPr>
          <w:rFonts w:hAnsi="宋体"/>
          <w:bCs/>
          <w:sz w:val="24"/>
          <w:szCs w:val="24"/>
          <w:highlight w:val="none"/>
        </w:rPr>
        <w:t>联系</w:t>
      </w:r>
      <w:r>
        <w:rPr>
          <w:rFonts w:hint="eastAsia" w:hAnsi="宋体"/>
          <w:bCs/>
          <w:sz w:val="24"/>
          <w:szCs w:val="24"/>
          <w:highlight w:val="none"/>
        </w:rPr>
        <w:t>电话：</w:t>
      </w:r>
    </w:p>
    <w:p w14:paraId="08500786">
      <w:pPr>
        <w:pStyle w:val="15"/>
        <w:snapToGrid w:val="0"/>
        <w:spacing w:line="360" w:lineRule="auto"/>
        <w:ind w:firstLine="480" w:firstLineChars="200"/>
        <w:rPr>
          <w:rFonts w:hint="eastAsia" w:hAnsi="宋体"/>
          <w:bCs/>
          <w:sz w:val="24"/>
          <w:szCs w:val="24"/>
          <w:highlight w:val="none"/>
        </w:rPr>
      </w:pPr>
      <w:r>
        <w:rPr>
          <w:rFonts w:hint="eastAsia" w:hAnsi="宋体"/>
          <w:bCs/>
          <w:sz w:val="24"/>
          <w:szCs w:val="24"/>
          <w:highlight w:val="none"/>
        </w:rPr>
        <w:t>被投诉人2：</w:t>
      </w:r>
    </w:p>
    <w:p w14:paraId="013D5E19">
      <w:pPr>
        <w:pStyle w:val="15"/>
        <w:snapToGrid w:val="0"/>
        <w:spacing w:line="360" w:lineRule="auto"/>
        <w:ind w:firstLine="480" w:firstLineChars="200"/>
        <w:rPr>
          <w:rFonts w:hint="eastAsia" w:hAnsi="宋体"/>
          <w:bCs/>
          <w:sz w:val="24"/>
          <w:szCs w:val="24"/>
          <w:highlight w:val="none"/>
        </w:rPr>
      </w:pPr>
      <w:r>
        <w:rPr>
          <w:rFonts w:hAnsi="宋体"/>
          <w:bCs/>
          <w:sz w:val="24"/>
          <w:szCs w:val="24"/>
          <w:highlight w:val="none"/>
        </w:rPr>
        <w:t>……</w:t>
      </w:r>
    </w:p>
    <w:p w14:paraId="2A4FA453">
      <w:pPr>
        <w:pStyle w:val="15"/>
        <w:snapToGrid w:val="0"/>
        <w:spacing w:line="360" w:lineRule="auto"/>
        <w:ind w:firstLine="480" w:firstLineChars="200"/>
        <w:rPr>
          <w:rFonts w:hint="eastAsia" w:hAnsi="宋体"/>
          <w:bCs/>
          <w:sz w:val="24"/>
          <w:szCs w:val="24"/>
          <w:highlight w:val="none"/>
          <w:u w:val="single"/>
        </w:rPr>
      </w:pPr>
      <w:r>
        <w:rPr>
          <w:rFonts w:hint="eastAsia" w:hAnsi="宋体"/>
          <w:bCs/>
          <w:sz w:val="24"/>
          <w:szCs w:val="24"/>
          <w:highlight w:val="none"/>
        </w:rPr>
        <w:t>相关供应商：</w:t>
      </w:r>
    </w:p>
    <w:p w14:paraId="4C5FC351">
      <w:pPr>
        <w:pStyle w:val="15"/>
        <w:snapToGrid w:val="0"/>
        <w:spacing w:line="360" w:lineRule="auto"/>
        <w:ind w:firstLine="480" w:firstLineChars="200"/>
        <w:rPr>
          <w:rFonts w:hint="eastAsia" w:hAnsi="宋体"/>
          <w:bCs/>
          <w:sz w:val="24"/>
          <w:szCs w:val="24"/>
          <w:highlight w:val="none"/>
          <w:u w:val="single"/>
        </w:rPr>
      </w:pPr>
      <w:r>
        <w:rPr>
          <w:rFonts w:hAnsi="宋体"/>
          <w:bCs/>
          <w:sz w:val="24"/>
          <w:szCs w:val="24"/>
          <w:highlight w:val="none"/>
        </w:rPr>
        <w:t>地址</w:t>
      </w:r>
      <w:r>
        <w:rPr>
          <w:rFonts w:hint="eastAsia" w:hAnsi="宋体"/>
          <w:bCs/>
          <w:sz w:val="24"/>
          <w:szCs w:val="24"/>
          <w:highlight w:val="none"/>
        </w:rPr>
        <w:t>：</w:t>
      </w:r>
      <w:r>
        <w:rPr>
          <w:rFonts w:hAnsi="宋体"/>
          <w:bCs/>
          <w:sz w:val="24"/>
          <w:szCs w:val="24"/>
          <w:highlight w:val="none"/>
        </w:rPr>
        <w:t>邮编</w:t>
      </w:r>
      <w:r>
        <w:rPr>
          <w:rFonts w:hint="eastAsia" w:hAnsi="宋体"/>
          <w:bCs/>
          <w:sz w:val="24"/>
          <w:szCs w:val="24"/>
          <w:highlight w:val="none"/>
        </w:rPr>
        <w:t>：</w:t>
      </w:r>
    </w:p>
    <w:p w14:paraId="10D4E47D">
      <w:pPr>
        <w:pStyle w:val="15"/>
        <w:snapToGrid w:val="0"/>
        <w:spacing w:line="360" w:lineRule="auto"/>
        <w:ind w:firstLine="480" w:firstLineChars="200"/>
        <w:rPr>
          <w:rFonts w:hint="eastAsia" w:hAnsi="宋体"/>
          <w:bCs/>
          <w:sz w:val="24"/>
          <w:szCs w:val="24"/>
          <w:highlight w:val="none"/>
        </w:rPr>
      </w:pPr>
      <w:r>
        <w:rPr>
          <w:rFonts w:hint="eastAsia" w:hAnsi="宋体"/>
          <w:bCs/>
          <w:sz w:val="24"/>
          <w:szCs w:val="24"/>
          <w:highlight w:val="none"/>
        </w:rPr>
        <w:t>联系人：</w:t>
      </w:r>
      <w:r>
        <w:rPr>
          <w:rFonts w:hAnsi="宋体"/>
          <w:bCs/>
          <w:sz w:val="24"/>
          <w:szCs w:val="24"/>
          <w:highlight w:val="none"/>
        </w:rPr>
        <w:t>联系</w:t>
      </w:r>
      <w:r>
        <w:rPr>
          <w:rFonts w:hint="eastAsia" w:hAnsi="宋体"/>
          <w:bCs/>
          <w:sz w:val="24"/>
          <w:szCs w:val="24"/>
          <w:highlight w:val="none"/>
        </w:rPr>
        <w:t>电话：</w:t>
      </w:r>
    </w:p>
    <w:p w14:paraId="524E5A56">
      <w:pPr>
        <w:pStyle w:val="15"/>
        <w:snapToGrid w:val="0"/>
        <w:spacing w:line="360" w:lineRule="auto"/>
        <w:ind w:firstLine="482" w:firstLineChars="200"/>
        <w:rPr>
          <w:rFonts w:hint="eastAsia" w:hAnsi="宋体"/>
          <w:b/>
          <w:bCs/>
          <w:sz w:val="24"/>
          <w:szCs w:val="24"/>
          <w:highlight w:val="none"/>
        </w:rPr>
      </w:pPr>
      <w:r>
        <w:rPr>
          <w:rFonts w:hint="eastAsia" w:hAnsi="宋体"/>
          <w:b/>
          <w:bCs/>
          <w:sz w:val="24"/>
          <w:szCs w:val="24"/>
          <w:highlight w:val="none"/>
        </w:rPr>
        <w:t>二、投诉项目基本情况：</w:t>
      </w:r>
    </w:p>
    <w:p w14:paraId="22EC87A9">
      <w:pPr>
        <w:pStyle w:val="15"/>
        <w:spacing w:line="360" w:lineRule="auto"/>
        <w:ind w:left="25" w:leftChars="12" w:firstLine="472" w:firstLineChars="197"/>
        <w:rPr>
          <w:rFonts w:hint="eastAsia" w:hAnsi="宋体"/>
          <w:sz w:val="24"/>
          <w:szCs w:val="24"/>
          <w:highlight w:val="none"/>
        </w:rPr>
      </w:pPr>
      <w:r>
        <w:rPr>
          <w:rFonts w:hint="eastAsia" w:hAnsi="宋体"/>
          <w:bCs/>
          <w:sz w:val="24"/>
          <w:szCs w:val="24"/>
          <w:highlight w:val="none"/>
        </w:rPr>
        <w:t>采购</w:t>
      </w:r>
      <w:r>
        <w:rPr>
          <w:rFonts w:hint="eastAsia" w:hAnsi="宋体"/>
          <w:sz w:val="24"/>
          <w:szCs w:val="24"/>
          <w:highlight w:val="none"/>
        </w:rPr>
        <w:t>项目的名称：</w:t>
      </w:r>
    </w:p>
    <w:p w14:paraId="671D1FE1">
      <w:pPr>
        <w:pStyle w:val="15"/>
        <w:spacing w:line="360" w:lineRule="auto"/>
        <w:ind w:left="25" w:leftChars="12" w:firstLine="472" w:firstLineChars="197"/>
        <w:rPr>
          <w:rFonts w:hint="eastAsia" w:hAnsi="宋体"/>
          <w:sz w:val="24"/>
          <w:szCs w:val="24"/>
          <w:highlight w:val="none"/>
        </w:rPr>
      </w:pPr>
      <w:r>
        <w:rPr>
          <w:rFonts w:hint="eastAsia" w:hAnsi="宋体"/>
          <w:bCs/>
          <w:sz w:val="24"/>
          <w:szCs w:val="24"/>
          <w:highlight w:val="none"/>
        </w:rPr>
        <w:t>采购</w:t>
      </w:r>
      <w:r>
        <w:rPr>
          <w:rFonts w:hint="eastAsia" w:hAnsi="宋体"/>
          <w:sz w:val="24"/>
          <w:szCs w:val="24"/>
          <w:highlight w:val="none"/>
        </w:rPr>
        <w:t>项目的编号：</w:t>
      </w:r>
    </w:p>
    <w:p w14:paraId="635CF17F">
      <w:pPr>
        <w:pStyle w:val="15"/>
        <w:spacing w:line="360" w:lineRule="auto"/>
        <w:ind w:left="25" w:leftChars="12" w:firstLine="472" w:firstLineChars="197"/>
        <w:rPr>
          <w:rFonts w:hint="eastAsia" w:hAnsi="宋体"/>
          <w:bCs/>
          <w:sz w:val="24"/>
          <w:szCs w:val="24"/>
          <w:highlight w:val="none"/>
          <w:u w:val="single"/>
        </w:rPr>
      </w:pPr>
      <w:r>
        <w:rPr>
          <w:rFonts w:hint="eastAsia" w:hAnsi="宋体"/>
          <w:sz w:val="24"/>
          <w:szCs w:val="24"/>
          <w:highlight w:val="none"/>
        </w:rPr>
        <w:t>采购人名称：</w:t>
      </w:r>
    </w:p>
    <w:p w14:paraId="7FA99184">
      <w:pPr>
        <w:pStyle w:val="15"/>
        <w:spacing w:line="360" w:lineRule="auto"/>
        <w:ind w:left="25" w:leftChars="12" w:firstLine="472" w:firstLineChars="197"/>
        <w:rPr>
          <w:rFonts w:hint="eastAsia" w:hAnsi="宋体"/>
          <w:bCs/>
          <w:sz w:val="24"/>
          <w:szCs w:val="24"/>
          <w:highlight w:val="none"/>
          <w:u w:val="single"/>
        </w:rPr>
      </w:pPr>
      <w:r>
        <w:rPr>
          <w:rFonts w:hint="eastAsia" w:hAnsi="宋体"/>
          <w:sz w:val="24"/>
          <w:szCs w:val="24"/>
          <w:highlight w:val="none"/>
        </w:rPr>
        <w:t>代理机构名称：</w:t>
      </w:r>
    </w:p>
    <w:p w14:paraId="274062E0">
      <w:pPr>
        <w:pStyle w:val="15"/>
        <w:spacing w:line="360" w:lineRule="auto"/>
        <w:ind w:left="25" w:leftChars="12" w:firstLine="472" w:firstLineChars="197"/>
        <w:rPr>
          <w:rFonts w:hint="eastAsia" w:hAnsi="宋体"/>
          <w:bCs/>
          <w:sz w:val="24"/>
          <w:szCs w:val="24"/>
          <w:highlight w:val="none"/>
          <w:u w:val="single"/>
        </w:rPr>
      </w:pPr>
      <w:r>
        <w:rPr>
          <w:rFonts w:hint="eastAsia" w:hAnsi="宋体"/>
          <w:bCs/>
          <w:sz w:val="24"/>
          <w:szCs w:val="24"/>
          <w:highlight w:val="none"/>
        </w:rPr>
        <w:t>采购文件公告：</w:t>
      </w:r>
      <w:r>
        <w:rPr>
          <w:rFonts w:hint="eastAsia" w:hAnsi="宋体"/>
          <w:bCs/>
          <w:sz w:val="24"/>
          <w:szCs w:val="24"/>
          <w:highlight w:val="none"/>
          <w:u w:val="single"/>
        </w:rPr>
        <w:t>是/否</w:t>
      </w:r>
      <w:r>
        <w:rPr>
          <w:rFonts w:hint="eastAsia" w:hAnsi="宋体"/>
          <w:bCs/>
          <w:sz w:val="24"/>
          <w:szCs w:val="24"/>
          <w:highlight w:val="none"/>
        </w:rPr>
        <w:t>公告期限：</w:t>
      </w:r>
    </w:p>
    <w:p w14:paraId="6C1DF0D5">
      <w:pPr>
        <w:pStyle w:val="15"/>
        <w:spacing w:line="360" w:lineRule="auto"/>
        <w:ind w:left="25" w:leftChars="12" w:firstLine="472" w:firstLineChars="197"/>
        <w:rPr>
          <w:rFonts w:hint="eastAsia" w:hAnsi="宋体"/>
          <w:b/>
          <w:sz w:val="24"/>
          <w:szCs w:val="24"/>
          <w:highlight w:val="none"/>
        </w:rPr>
      </w:pPr>
      <w:r>
        <w:rPr>
          <w:rFonts w:hint="eastAsia" w:hAnsi="宋体"/>
          <w:bCs/>
          <w:sz w:val="24"/>
          <w:szCs w:val="24"/>
          <w:highlight w:val="none"/>
        </w:rPr>
        <w:t>采购结果公告：</w:t>
      </w:r>
      <w:r>
        <w:rPr>
          <w:rFonts w:hint="eastAsia" w:hAnsi="宋体"/>
          <w:bCs/>
          <w:sz w:val="24"/>
          <w:szCs w:val="24"/>
          <w:highlight w:val="none"/>
          <w:u w:val="single"/>
        </w:rPr>
        <w:t>是/否</w:t>
      </w:r>
      <w:r>
        <w:rPr>
          <w:rFonts w:hint="eastAsia" w:hAnsi="宋体"/>
          <w:bCs/>
          <w:sz w:val="24"/>
          <w:szCs w:val="24"/>
          <w:highlight w:val="none"/>
        </w:rPr>
        <w:t>公告期限：</w:t>
      </w:r>
    </w:p>
    <w:p w14:paraId="53AD03D4">
      <w:pPr>
        <w:pStyle w:val="15"/>
        <w:spacing w:line="360" w:lineRule="auto"/>
        <w:ind w:left="25" w:leftChars="12" w:firstLine="472" w:firstLineChars="196"/>
        <w:rPr>
          <w:rFonts w:hint="eastAsia" w:hAnsi="宋体"/>
          <w:b/>
          <w:sz w:val="24"/>
          <w:szCs w:val="24"/>
          <w:highlight w:val="none"/>
        </w:rPr>
      </w:pPr>
      <w:r>
        <w:rPr>
          <w:rFonts w:hint="eastAsia" w:hAnsi="宋体"/>
          <w:b/>
          <w:sz w:val="24"/>
          <w:szCs w:val="24"/>
          <w:highlight w:val="none"/>
        </w:rPr>
        <w:t>三、质疑基本情况</w:t>
      </w:r>
    </w:p>
    <w:p w14:paraId="2F78BDF3">
      <w:pPr>
        <w:pStyle w:val="15"/>
        <w:spacing w:line="360" w:lineRule="auto"/>
        <w:ind w:firstLine="480" w:firstLineChars="200"/>
        <w:rPr>
          <w:rFonts w:hint="eastAsia" w:hAnsi="宋体"/>
          <w:sz w:val="24"/>
          <w:szCs w:val="24"/>
          <w:highlight w:val="none"/>
        </w:rPr>
      </w:pPr>
      <w:r>
        <w:rPr>
          <w:rFonts w:hint="eastAsia" w:hAnsi="宋体"/>
          <w:sz w:val="24"/>
          <w:szCs w:val="24"/>
          <w:highlight w:val="none"/>
        </w:rPr>
        <w:t>投诉人于年月日，向提出质疑，质疑事项为：</w:t>
      </w:r>
    </w:p>
    <w:p w14:paraId="461BD643">
      <w:pPr>
        <w:pStyle w:val="15"/>
        <w:spacing w:line="360" w:lineRule="auto"/>
        <w:ind w:firstLine="241"/>
        <w:rPr>
          <w:rFonts w:hint="eastAsia" w:hAnsi="宋体"/>
          <w:bCs/>
          <w:sz w:val="24"/>
          <w:szCs w:val="24"/>
          <w:highlight w:val="none"/>
          <w:u w:val="single"/>
        </w:rPr>
      </w:pPr>
    </w:p>
    <w:p w14:paraId="34F7B104">
      <w:pPr>
        <w:pStyle w:val="15"/>
        <w:spacing w:line="360" w:lineRule="auto"/>
        <w:ind w:firstLine="241"/>
        <w:rPr>
          <w:rFonts w:hint="eastAsia" w:hAnsi="宋体"/>
          <w:bCs/>
          <w:sz w:val="24"/>
          <w:szCs w:val="24"/>
          <w:highlight w:val="none"/>
          <w:u w:val="single"/>
        </w:rPr>
      </w:pPr>
    </w:p>
    <w:p w14:paraId="1D4EB6C7">
      <w:pPr>
        <w:pStyle w:val="15"/>
        <w:spacing w:line="360" w:lineRule="auto"/>
        <w:ind w:firstLine="480" w:firstLineChars="200"/>
        <w:rPr>
          <w:rFonts w:hint="eastAsia" w:hAnsi="宋体"/>
          <w:sz w:val="24"/>
          <w:szCs w:val="24"/>
          <w:highlight w:val="none"/>
        </w:rPr>
      </w:pPr>
      <w:r>
        <w:rPr>
          <w:rFonts w:hint="eastAsia" w:hAnsi="宋体"/>
          <w:bCs/>
          <w:sz w:val="24"/>
          <w:szCs w:val="24"/>
          <w:highlight w:val="none"/>
          <w:u w:val="single"/>
        </w:rPr>
        <w:t>采购人/代理机构</w:t>
      </w:r>
      <w:r>
        <w:rPr>
          <w:rFonts w:hint="eastAsia" w:hAnsi="宋体"/>
          <w:bCs/>
          <w:sz w:val="24"/>
          <w:szCs w:val="24"/>
          <w:highlight w:val="none"/>
        </w:rPr>
        <w:t>于</w:t>
      </w:r>
      <w:r>
        <w:rPr>
          <w:rFonts w:hint="eastAsia" w:hAnsi="宋体"/>
          <w:sz w:val="24"/>
          <w:szCs w:val="24"/>
          <w:highlight w:val="none"/>
        </w:rPr>
        <w:t>年月日，</w:t>
      </w:r>
      <w:r>
        <w:rPr>
          <w:rFonts w:hint="eastAsia" w:hAnsi="宋体"/>
          <w:bCs/>
          <w:sz w:val="24"/>
          <w:szCs w:val="24"/>
          <w:highlight w:val="none"/>
        </w:rPr>
        <w:t>就质疑事项作出了答复/没有在法定期限内作出答复。</w:t>
      </w:r>
    </w:p>
    <w:p w14:paraId="6FC6BF57">
      <w:pPr>
        <w:pStyle w:val="15"/>
        <w:spacing w:line="360" w:lineRule="auto"/>
        <w:ind w:left="25" w:leftChars="12" w:firstLine="472" w:firstLineChars="196"/>
        <w:rPr>
          <w:rFonts w:hint="eastAsia" w:hAnsi="宋体"/>
          <w:b/>
          <w:sz w:val="24"/>
          <w:szCs w:val="24"/>
          <w:highlight w:val="none"/>
        </w:rPr>
      </w:pPr>
      <w:r>
        <w:rPr>
          <w:rFonts w:hint="eastAsia" w:hAnsi="宋体"/>
          <w:b/>
          <w:sz w:val="24"/>
          <w:szCs w:val="24"/>
          <w:highlight w:val="none"/>
        </w:rPr>
        <w:t>四、投诉事项具体内容</w:t>
      </w:r>
    </w:p>
    <w:p w14:paraId="36A75EA6">
      <w:pPr>
        <w:pStyle w:val="15"/>
        <w:spacing w:line="360" w:lineRule="auto"/>
        <w:ind w:left="25" w:leftChars="12" w:firstLine="472" w:firstLineChars="197"/>
        <w:rPr>
          <w:rFonts w:hint="eastAsia" w:hAnsi="宋体"/>
          <w:bCs/>
          <w:sz w:val="24"/>
          <w:szCs w:val="24"/>
          <w:highlight w:val="none"/>
          <w:u w:val="single"/>
        </w:rPr>
      </w:pPr>
      <w:r>
        <w:rPr>
          <w:rFonts w:hint="eastAsia" w:hAnsi="宋体"/>
          <w:sz w:val="24"/>
          <w:szCs w:val="24"/>
          <w:highlight w:val="none"/>
        </w:rPr>
        <w:t>投诉事项1：</w:t>
      </w:r>
    </w:p>
    <w:p w14:paraId="4DE6CB77">
      <w:pPr>
        <w:pStyle w:val="15"/>
        <w:spacing w:line="360" w:lineRule="auto"/>
        <w:ind w:firstLine="480" w:firstLineChars="200"/>
        <w:rPr>
          <w:rFonts w:hint="eastAsia" w:hAnsi="宋体"/>
          <w:bCs/>
          <w:sz w:val="24"/>
          <w:szCs w:val="24"/>
          <w:highlight w:val="none"/>
          <w:u w:val="single"/>
        </w:rPr>
      </w:pPr>
      <w:r>
        <w:rPr>
          <w:rFonts w:hint="eastAsia" w:hAnsi="宋体"/>
          <w:bCs/>
          <w:sz w:val="24"/>
          <w:szCs w:val="24"/>
          <w:highlight w:val="none"/>
        </w:rPr>
        <w:t>事实依据：</w:t>
      </w:r>
    </w:p>
    <w:p w14:paraId="2A1860CF">
      <w:pPr>
        <w:pStyle w:val="15"/>
        <w:spacing w:line="360" w:lineRule="auto"/>
        <w:ind w:left="25" w:leftChars="12" w:firstLine="472" w:firstLineChars="197"/>
        <w:rPr>
          <w:rFonts w:hint="eastAsia" w:hAnsi="宋体"/>
          <w:sz w:val="24"/>
          <w:szCs w:val="24"/>
          <w:highlight w:val="none"/>
        </w:rPr>
      </w:pPr>
    </w:p>
    <w:p w14:paraId="0446B11B">
      <w:pPr>
        <w:pStyle w:val="15"/>
        <w:spacing w:line="360" w:lineRule="auto"/>
        <w:ind w:firstLine="480" w:firstLineChars="200"/>
        <w:rPr>
          <w:rFonts w:hint="eastAsia" w:hAnsi="宋体"/>
          <w:bCs/>
          <w:sz w:val="24"/>
          <w:szCs w:val="24"/>
          <w:highlight w:val="none"/>
          <w:u w:val="single"/>
        </w:rPr>
      </w:pPr>
      <w:r>
        <w:rPr>
          <w:rFonts w:hint="eastAsia" w:hAnsi="宋体"/>
          <w:bCs/>
          <w:sz w:val="24"/>
          <w:szCs w:val="24"/>
          <w:highlight w:val="none"/>
        </w:rPr>
        <w:t>法律依据：</w:t>
      </w:r>
    </w:p>
    <w:p w14:paraId="27050C5C">
      <w:pPr>
        <w:pStyle w:val="15"/>
        <w:spacing w:line="360" w:lineRule="auto"/>
        <w:ind w:left="25" w:leftChars="12" w:firstLine="352" w:firstLineChars="147"/>
        <w:rPr>
          <w:rFonts w:hint="eastAsia" w:hAnsi="宋体"/>
          <w:bCs/>
          <w:sz w:val="24"/>
          <w:szCs w:val="24"/>
          <w:highlight w:val="none"/>
          <w:u w:val="single"/>
        </w:rPr>
      </w:pPr>
    </w:p>
    <w:p w14:paraId="07B7FE11">
      <w:pPr>
        <w:pStyle w:val="15"/>
        <w:spacing w:line="360" w:lineRule="auto"/>
        <w:ind w:left="25" w:leftChars="12" w:firstLine="472" w:firstLineChars="197"/>
        <w:rPr>
          <w:rFonts w:hint="eastAsia" w:hAnsi="宋体"/>
          <w:bCs/>
          <w:sz w:val="24"/>
          <w:szCs w:val="24"/>
          <w:highlight w:val="none"/>
        </w:rPr>
      </w:pPr>
      <w:r>
        <w:rPr>
          <w:rFonts w:hint="eastAsia" w:hAnsi="宋体"/>
          <w:sz w:val="24"/>
          <w:szCs w:val="24"/>
          <w:highlight w:val="none"/>
        </w:rPr>
        <w:t xml:space="preserve">投诉事项2  </w:t>
      </w:r>
    </w:p>
    <w:p w14:paraId="389A8115">
      <w:pPr>
        <w:pStyle w:val="15"/>
        <w:spacing w:line="360" w:lineRule="auto"/>
        <w:ind w:left="25" w:leftChars="12" w:firstLine="472" w:firstLineChars="197"/>
        <w:rPr>
          <w:rFonts w:hint="eastAsia" w:hAnsi="宋体"/>
          <w:bCs/>
          <w:sz w:val="24"/>
          <w:szCs w:val="24"/>
          <w:highlight w:val="none"/>
        </w:rPr>
      </w:pPr>
      <w:r>
        <w:rPr>
          <w:rFonts w:hAnsi="宋体"/>
          <w:bCs/>
          <w:sz w:val="24"/>
          <w:szCs w:val="24"/>
          <w:highlight w:val="none"/>
        </w:rPr>
        <w:t>……</w:t>
      </w:r>
    </w:p>
    <w:p w14:paraId="1A56D13B">
      <w:pPr>
        <w:pStyle w:val="15"/>
        <w:spacing w:line="360" w:lineRule="auto"/>
        <w:ind w:left="25" w:leftChars="12" w:firstLine="472" w:firstLineChars="196"/>
        <w:rPr>
          <w:rFonts w:hint="eastAsia" w:hAnsi="宋体"/>
          <w:b/>
          <w:sz w:val="24"/>
          <w:szCs w:val="24"/>
          <w:highlight w:val="none"/>
        </w:rPr>
      </w:pPr>
      <w:r>
        <w:rPr>
          <w:rFonts w:hint="eastAsia" w:hAnsi="宋体"/>
          <w:b/>
          <w:sz w:val="24"/>
          <w:szCs w:val="24"/>
          <w:highlight w:val="none"/>
        </w:rPr>
        <w:t>五、与投诉事项相关的投诉请求：</w:t>
      </w:r>
    </w:p>
    <w:p w14:paraId="0FA58CAB">
      <w:pPr>
        <w:pStyle w:val="15"/>
        <w:spacing w:line="360" w:lineRule="auto"/>
        <w:ind w:left="25" w:leftChars="12" w:firstLine="472" w:firstLineChars="197"/>
        <w:rPr>
          <w:rFonts w:hint="eastAsia" w:hAnsi="宋体"/>
          <w:sz w:val="24"/>
          <w:szCs w:val="24"/>
          <w:highlight w:val="none"/>
        </w:rPr>
      </w:pPr>
      <w:r>
        <w:rPr>
          <w:rFonts w:hint="eastAsia" w:hAnsi="宋体"/>
          <w:sz w:val="24"/>
          <w:szCs w:val="24"/>
          <w:highlight w:val="none"/>
        </w:rPr>
        <w:t>请求：</w:t>
      </w:r>
    </w:p>
    <w:p w14:paraId="5D12337E">
      <w:pPr>
        <w:pStyle w:val="15"/>
        <w:spacing w:line="360" w:lineRule="auto"/>
        <w:ind w:left="25" w:leftChars="12" w:firstLine="352" w:firstLineChars="147"/>
        <w:rPr>
          <w:rFonts w:hint="eastAsia" w:hAnsi="宋体"/>
          <w:sz w:val="24"/>
          <w:szCs w:val="24"/>
          <w:highlight w:val="none"/>
        </w:rPr>
      </w:pPr>
    </w:p>
    <w:p w14:paraId="1E4E4B88">
      <w:pPr>
        <w:pStyle w:val="15"/>
        <w:spacing w:line="360" w:lineRule="auto"/>
        <w:ind w:left="25" w:leftChars="12" w:firstLine="472" w:firstLineChars="197"/>
        <w:rPr>
          <w:rFonts w:hint="eastAsia" w:hAnsi="宋体"/>
          <w:sz w:val="24"/>
          <w:szCs w:val="24"/>
          <w:highlight w:val="none"/>
        </w:rPr>
      </w:pPr>
      <w:r>
        <w:rPr>
          <w:rFonts w:hint="eastAsia" w:hAnsi="宋体"/>
          <w:sz w:val="24"/>
          <w:szCs w:val="24"/>
          <w:highlight w:val="none"/>
        </w:rPr>
        <w:t>签字（签章）：公章：</w:t>
      </w:r>
    </w:p>
    <w:p w14:paraId="3CB46351">
      <w:pPr>
        <w:pStyle w:val="15"/>
        <w:spacing w:line="360" w:lineRule="auto"/>
        <w:ind w:left="25" w:leftChars="12" w:firstLine="352" w:firstLineChars="147"/>
        <w:rPr>
          <w:rFonts w:hint="eastAsia" w:hAnsi="宋体"/>
          <w:sz w:val="24"/>
          <w:szCs w:val="24"/>
          <w:highlight w:val="none"/>
        </w:rPr>
      </w:pPr>
    </w:p>
    <w:p w14:paraId="6F52FC21">
      <w:pPr>
        <w:pStyle w:val="15"/>
        <w:spacing w:line="360" w:lineRule="auto"/>
        <w:ind w:left="25" w:leftChars="12" w:firstLine="472" w:firstLineChars="197"/>
        <w:rPr>
          <w:rFonts w:hint="eastAsia" w:hAnsi="宋体"/>
          <w:sz w:val="24"/>
          <w:szCs w:val="24"/>
          <w:highlight w:val="none"/>
        </w:rPr>
      </w:pPr>
      <w:r>
        <w:rPr>
          <w:rFonts w:hint="eastAsia" w:hAnsi="宋体"/>
          <w:sz w:val="24"/>
          <w:szCs w:val="24"/>
          <w:highlight w:val="none"/>
        </w:rPr>
        <w:t>日期：</w:t>
      </w:r>
    </w:p>
    <w:p w14:paraId="5D9F78CB">
      <w:pPr>
        <w:pStyle w:val="15"/>
        <w:spacing w:line="360" w:lineRule="auto"/>
        <w:ind w:left="25" w:leftChars="12" w:firstLine="475" w:firstLineChars="197"/>
        <w:rPr>
          <w:rFonts w:hint="eastAsia" w:hAnsi="宋体"/>
          <w:b/>
          <w:sz w:val="24"/>
          <w:szCs w:val="24"/>
          <w:highlight w:val="none"/>
        </w:rPr>
      </w:pPr>
    </w:p>
    <w:p w14:paraId="49E9F8DC">
      <w:pPr>
        <w:pStyle w:val="15"/>
        <w:snapToGrid w:val="0"/>
        <w:spacing w:line="360" w:lineRule="auto"/>
        <w:rPr>
          <w:rFonts w:hint="eastAsia" w:hAnsi="宋体"/>
          <w:b/>
          <w:sz w:val="24"/>
          <w:szCs w:val="24"/>
          <w:highlight w:val="none"/>
        </w:rPr>
      </w:pPr>
      <w:r>
        <w:rPr>
          <w:rFonts w:hint="eastAsia" w:hAnsi="宋体"/>
          <w:b/>
          <w:sz w:val="24"/>
          <w:szCs w:val="24"/>
          <w:highlight w:val="none"/>
        </w:rPr>
        <w:t>说明：</w:t>
      </w:r>
    </w:p>
    <w:p w14:paraId="2FFCE617">
      <w:pPr>
        <w:pStyle w:val="15"/>
        <w:spacing w:line="360" w:lineRule="auto"/>
        <w:ind w:left="25" w:leftChars="12" w:firstLine="354" w:firstLineChars="147"/>
        <w:rPr>
          <w:rFonts w:hint="eastAsia" w:hAnsi="宋体"/>
          <w:b/>
          <w:bCs/>
          <w:sz w:val="24"/>
          <w:szCs w:val="24"/>
          <w:highlight w:val="none"/>
        </w:rPr>
      </w:pPr>
      <w:r>
        <w:rPr>
          <w:rFonts w:hint="eastAsia" w:hAnsi="宋体"/>
          <w:b/>
          <w:sz w:val="24"/>
          <w:szCs w:val="24"/>
          <w:highlight w:val="none"/>
        </w:rPr>
        <w:t>1.投诉人提起投诉时，应当提交投诉书和必要的证明材料，并按照被投诉人和与投诉事项有关的供应商数量提供投诉书副本</w:t>
      </w:r>
      <w:r>
        <w:rPr>
          <w:rFonts w:hint="eastAsia" w:hAnsi="宋体"/>
          <w:b/>
          <w:bCs/>
          <w:sz w:val="24"/>
          <w:szCs w:val="24"/>
          <w:highlight w:val="none"/>
        </w:rPr>
        <w:t>。</w:t>
      </w:r>
    </w:p>
    <w:p w14:paraId="1413D5DA">
      <w:pPr>
        <w:pStyle w:val="15"/>
        <w:spacing w:line="360" w:lineRule="auto"/>
        <w:ind w:left="25" w:leftChars="12" w:firstLine="354" w:firstLineChars="147"/>
        <w:rPr>
          <w:rFonts w:hint="eastAsia" w:hAnsi="宋体"/>
          <w:b/>
          <w:sz w:val="24"/>
          <w:szCs w:val="24"/>
          <w:highlight w:val="none"/>
        </w:rPr>
      </w:pPr>
      <w:r>
        <w:rPr>
          <w:rFonts w:hint="eastAsia" w:hAnsi="宋体"/>
          <w:b/>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57FFC956">
      <w:pPr>
        <w:pStyle w:val="15"/>
        <w:spacing w:line="360" w:lineRule="auto"/>
        <w:ind w:left="25" w:leftChars="12" w:firstLine="354" w:firstLineChars="147"/>
        <w:rPr>
          <w:rFonts w:hint="eastAsia" w:hAnsi="宋体"/>
          <w:b/>
          <w:sz w:val="24"/>
          <w:szCs w:val="24"/>
          <w:highlight w:val="none"/>
        </w:rPr>
      </w:pPr>
      <w:r>
        <w:rPr>
          <w:rFonts w:hint="eastAsia" w:hAnsi="宋体"/>
          <w:b/>
          <w:sz w:val="24"/>
          <w:szCs w:val="24"/>
          <w:highlight w:val="none"/>
        </w:rPr>
        <w:t>3.投诉书应简要列明质疑事项，质疑函、质疑答复等作为附件材料提供。</w:t>
      </w:r>
    </w:p>
    <w:p w14:paraId="0ADBCA7A">
      <w:pPr>
        <w:pStyle w:val="15"/>
        <w:spacing w:line="360" w:lineRule="auto"/>
        <w:ind w:left="25" w:leftChars="12" w:firstLine="354" w:firstLineChars="147"/>
        <w:rPr>
          <w:rFonts w:hint="eastAsia" w:hAnsi="宋体"/>
          <w:b/>
          <w:sz w:val="24"/>
          <w:szCs w:val="24"/>
          <w:highlight w:val="none"/>
        </w:rPr>
      </w:pPr>
      <w:r>
        <w:rPr>
          <w:rFonts w:hint="eastAsia" w:hAnsi="宋体"/>
          <w:b/>
          <w:sz w:val="24"/>
          <w:szCs w:val="24"/>
          <w:highlight w:val="none"/>
        </w:rPr>
        <w:t>4.投诉书的投诉事项应具体、明确，并有必要的事实依据和法律依据。</w:t>
      </w:r>
    </w:p>
    <w:p w14:paraId="2CF362D1">
      <w:pPr>
        <w:pStyle w:val="15"/>
        <w:spacing w:line="360" w:lineRule="auto"/>
        <w:ind w:left="25" w:leftChars="12" w:firstLine="354" w:firstLineChars="147"/>
        <w:rPr>
          <w:rFonts w:hint="eastAsia" w:hAnsi="宋体"/>
          <w:b/>
          <w:sz w:val="24"/>
          <w:szCs w:val="24"/>
          <w:highlight w:val="none"/>
        </w:rPr>
      </w:pPr>
      <w:r>
        <w:rPr>
          <w:rFonts w:hint="eastAsia" w:hAnsi="宋体"/>
          <w:b/>
          <w:sz w:val="24"/>
          <w:szCs w:val="24"/>
          <w:highlight w:val="none"/>
        </w:rPr>
        <w:t>5.投诉书的投诉请求应与投诉事项相关。</w:t>
      </w:r>
    </w:p>
    <w:p w14:paraId="1022C41F">
      <w:pPr>
        <w:pStyle w:val="15"/>
        <w:spacing w:line="360" w:lineRule="auto"/>
        <w:ind w:left="25" w:leftChars="12" w:firstLine="354" w:firstLineChars="147"/>
        <w:rPr>
          <w:rFonts w:hint="eastAsia" w:hAnsi="宋体"/>
          <w:b/>
          <w:highlight w:val="none"/>
        </w:rPr>
      </w:pPr>
      <w:r>
        <w:rPr>
          <w:rFonts w:hint="eastAsia" w:hAnsi="宋体"/>
          <w:b/>
          <w:sz w:val="24"/>
          <w:szCs w:val="24"/>
          <w:highlight w:val="none"/>
        </w:rPr>
        <w:t>6.投诉人为法人或者其他组织的，投诉书应由法定代表人、主要负责人，或者其授权代表签字或者盖章，并加盖公章。</w:t>
      </w:r>
    </w:p>
    <w:p w14:paraId="20CA84B9">
      <w:pPr>
        <w:pStyle w:val="4"/>
        <w:jc w:val="center"/>
        <w:rPr>
          <w:highlight w:val="none"/>
        </w:rPr>
      </w:pPr>
      <w:bookmarkStart w:id="124" w:name="_Toc151675541"/>
      <w:r>
        <w:rPr>
          <w:rFonts w:hint="eastAsia"/>
          <w:highlight w:val="none"/>
        </w:rPr>
        <w:t xml:space="preserve">第六章 </w:t>
      </w:r>
      <w:r>
        <w:rPr>
          <w:highlight w:val="none"/>
        </w:rPr>
        <w:t xml:space="preserve"> </w:t>
      </w:r>
      <w:r>
        <w:rPr>
          <w:rFonts w:hint="eastAsia"/>
          <w:highlight w:val="none"/>
        </w:rPr>
        <w:t>合同文本</w:t>
      </w:r>
      <w:bookmarkEnd w:id="124"/>
    </w:p>
    <w:p w14:paraId="14526E2C">
      <w:pPr>
        <w:spacing w:line="520" w:lineRule="exact"/>
        <w:rPr>
          <w:rFonts w:hint="eastAsia" w:ascii="宋体" w:hAnsi="宋体" w:cs="Courier New"/>
          <w:b/>
          <w:sz w:val="32"/>
          <w:szCs w:val="32"/>
          <w:highlight w:val="none"/>
        </w:rPr>
      </w:pPr>
    </w:p>
    <w:p w14:paraId="395953F8">
      <w:pPr>
        <w:jc w:val="center"/>
        <w:rPr>
          <w:rFonts w:hint="eastAsia" w:hAnsi="宋体" w:cs="宋体"/>
          <w:b/>
          <w:sz w:val="24"/>
          <w:highlight w:val="none"/>
        </w:rPr>
      </w:pPr>
      <w:r>
        <w:rPr>
          <w:rFonts w:hint="eastAsia" w:hAnsi="宋体" w:cs="宋体"/>
          <w:b/>
          <w:sz w:val="24"/>
          <w:highlight w:val="none"/>
        </w:rPr>
        <w:t>运维合同（合同编号）</w:t>
      </w:r>
    </w:p>
    <w:p w14:paraId="32F71D99">
      <w:pPr>
        <w:spacing w:line="360" w:lineRule="auto"/>
        <w:ind w:firstLine="482" w:firstLineChars="200"/>
        <w:rPr>
          <w:rFonts w:hint="eastAsia" w:hAnsi="宋体" w:cs="宋体"/>
          <w:b/>
          <w:sz w:val="24"/>
          <w:highlight w:val="none"/>
        </w:rPr>
      </w:pPr>
    </w:p>
    <w:p w14:paraId="4D373B84">
      <w:pPr>
        <w:snapToGrid w:val="0"/>
        <w:spacing w:line="360" w:lineRule="auto"/>
        <w:ind w:firstLine="480" w:firstLineChars="200"/>
        <w:rPr>
          <w:rFonts w:hint="eastAsia" w:hAnsi="宋体" w:eastAsia="宋体" w:cs="宋体"/>
          <w:sz w:val="24"/>
          <w:highlight w:val="none"/>
          <w:lang w:eastAsia="zh-CN"/>
        </w:rPr>
      </w:pPr>
      <w:r>
        <w:rPr>
          <w:rFonts w:hint="eastAsia" w:hAnsi="宋体" w:cs="宋体"/>
          <w:sz w:val="24"/>
          <w:highlight w:val="none"/>
        </w:rPr>
        <w:t>项目名称：</w:t>
      </w:r>
      <w:r>
        <w:rPr>
          <w:rFonts w:hint="eastAsia" w:hAnsi="宋体" w:cs="宋体"/>
          <w:sz w:val="24"/>
          <w:highlight w:val="none"/>
          <w:u w:val="single"/>
          <w:lang w:eastAsia="zh-CN"/>
        </w:rPr>
        <w:t>2026年云平台基础设施运维服务项目（公服区设备运维、软件运维）</w:t>
      </w:r>
    </w:p>
    <w:p w14:paraId="5AF314FD">
      <w:pPr>
        <w:snapToGrid w:val="0"/>
        <w:spacing w:line="360" w:lineRule="auto"/>
        <w:ind w:firstLine="480" w:firstLineChars="200"/>
        <w:rPr>
          <w:rFonts w:hint="eastAsia" w:hAnsi="宋体" w:cs="宋体"/>
          <w:sz w:val="24"/>
          <w:highlight w:val="none"/>
        </w:rPr>
      </w:pPr>
      <w:r>
        <w:rPr>
          <w:rFonts w:hint="eastAsia" w:hAnsi="宋体" w:cs="宋体"/>
          <w:sz w:val="24"/>
          <w:highlight w:val="none"/>
        </w:rPr>
        <w:t>项目编号：</w:t>
      </w:r>
    </w:p>
    <w:p w14:paraId="3A79062D">
      <w:pPr>
        <w:snapToGrid w:val="0"/>
        <w:spacing w:line="360" w:lineRule="auto"/>
        <w:ind w:firstLine="480" w:firstLineChars="200"/>
        <w:rPr>
          <w:rFonts w:hint="eastAsia" w:hAnsi="宋体" w:cs="宋体"/>
          <w:sz w:val="24"/>
          <w:highlight w:val="none"/>
        </w:rPr>
      </w:pPr>
      <w:r>
        <w:rPr>
          <w:rFonts w:hint="eastAsia" w:hAnsi="宋体" w:cs="宋体"/>
          <w:sz w:val="24"/>
          <w:highlight w:val="none"/>
        </w:rPr>
        <w:t>甲方：（买方）</w:t>
      </w:r>
      <w:r>
        <w:rPr>
          <w:rFonts w:hint="eastAsia" w:hAnsi="宋体" w:cs="宋体"/>
          <w:sz w:val="24"/>
          <w:highlight w:val="none"/>
          <w:u w:val="single"/>
        </w:rPr>
        <w:t>广西壮族自治区医疗保障局</w:t>
      </w:r>
    </w:p>
    <w:p w14:paraId="4FEEC523">
      <w:pPr>
        <w:snapToGrid w:val="0"/>
        <w:spacing w:line="360" w:lineRule="auto"/>
        <w:ind w:firstLine="480" w:firstLineChars="200"/>
        <w:rPr>
          <w:rFonts w:hint="eastAsia" w:hAnsi="宋体" w:cs="宋体"/>
          <w:sz w:val="24"/>
          <w:highlight w:val="none"/>
        </w:rPr>
      </w:pPr>
      <w:r>
        <w:rPr>
          <w:rFonts w:hint="eastAsia" w:hAnsi="宋体" w:cs="宋体"/>
          <w:sz w:val="24"/>
          <w:highlight w:val="none"/>
        </w:rPr>
        <w:t>乙方：（卖方）</w:t>
      </w:r>
      <w:r>
        <w:rPr>
          <w:rFonts w:hint="eastAsia" w:hAnsi="宋体" w:cs="宋体"/>
          <w:sz w:val="24"/>
          <w:highlight w:val="none"/>
          <w:u w:val="single"/>
        </w:rPr>
        <w:t xml:space="preserve">                        </w:t>
      </w:r>
    </w:p>
    <w:p w14:paraId="160DB2EC">
      <w:pPr>
        <w:snapToGrid w:val="0"/>
        <w:spacing w:line="360" w:lineRule="auto"/>
        <w:ind w:firstLine="480" w:firstLineChars="200"/>
        <w:jc w:val="left"/>
        <w:rPr>
          <w:rFonts w:hint="eastAsia" w:hAnsi="宋体" w:cs="宋体"/>
          <w:sz w:val="24"/>
          <w:highlight w:val="none"/>
        </w:rPr>
      </w:pPr>
      <w:r>
        <w:rPr>
          <w:rFonts w:hint="eastAsia" w:hAnsi="宋体" w:cs="宋体"/>
          <w:sz w:val="24"/>
          <w:highlight w:val="none"/>
        </w:rPr>
        <w:t>甲、乙双方根据广西壮族自治区医疗保障局组织的项目采购的结果，签署本合同。</w:t>
      </w:r>
    </w:p>
    <w:p w14:paraId="2695CE18">
      <w:pPr>
        <w:snapToGrid w:val="0"/>
        <w:spacing w:line="360" w:lineRule="auto"/>
        <w:ind w:firstLine="482" w:firstLineChars="200"/>
        <w:rPr>
          <w:rFonts w:hint="eastAsia" w:hAnsi="宋体" w:cs="宋体"/>
          <w:b/>
          <w:sz w:val="24"/>
          <w:highlight w:val="none"/>
        </w:rPr>
      </w:pPr>
      <w:r>
        <w:rPr>
          <w:rFonts w:hint="eastAsia" w:hAnsi="宋体" w:cs="宋体"/>
          <w:b/>
          <w:sz w:val="24"/>
          <w:highlight w:val="none"/>
        </w:rPr>
        <w:t>一、购买服务内容</w:t>
      </w:r>
    </w:p>
    <w:p w14:paraId="5C1037B3">
      <w:pPr>
        <w:snapToGrid w:val="0"/>
        <w:spacing w:line="360" w:lineRule="auto"/>
        <w:ind w:firstLine="480" w:firstLineChars="200"/>
        <w:rPr>
          <w:rFonts w:hint="eastAsia" w:hAnsi="宋体" w:cs="宋体"/>
          <w:sz w:val="24"/>
          <w:highlight w:val="none"/>
        </w:rPr>
      </w:pPr>
      <w:r>
        <w:rPr>
          <w:rFonts w:hint="eastAsia" w:hAnsi="宋体" w:cs="宋体"/>
          <w:sz w:val="24"/>
          <w:highlight w:val="none"/>
        </w:rPr>
        <w:t>服务期内，乙方派驻</w:t>
      </w:r>
      <w:r>
        <w:rPr>
          <w:rFonts w:hint="eastAsia" w:hAnsi="宋体" w:cs="宋体"/>
          <w:sz w:val="24"/>
          <w:highlight w:val="none"/>
          <w:u w:val="single"/>
        </w:rPr>
        <w:t xml:space="preserve">   </w:t>
      </w:r>
      <w:r>
        <w:rPr>
          <w:rFonts w:hint="eastAsia" w:hAnsi="宋体" w:cs="宋体"/>
          <w:sz w:val="24"/>
          <w:highlight w:val="none"/>
        </w:rPr>
        <w:t>名专职运维人员，全程为本项目提供现场运维服务，服务内容具体如下：</w:t>
      </w:r>
    </w:p>
    <w:p w14:paraId="7535A4B7">
      <w:pPr>
        <w:snapToGrid w:val="0"/>
        <w:spacing w:line="360" w:lineRule="auto"/>
        <w:ind w:firstLine="480" w:firstLineChars="200"/>
        <w:rPr>
          <w:rFonts w:hint="eastAsia" w:hAnsi="宋体" w:cs="宋体"/>
          <w:sz w:val="24"/>
          <w:highlight w:val="none"/>
        </w:rPr>
      </w:pPr>
      <w:r>
        <w:rPr>
          <w:rFonts w:hint="eastAsia" w:hAnsi="宋体" w:cs="宋体"/>
          <w:sz w:val="24"/>
          <w:highlight w:val="none"/>
        </w:rPr>
        <w:t>（一）</w:t>
      </w:r>
      <w:r>
        <w:rPr>
          <w:rFonts w:hint="eastAsia" w:hAnsi="宋体" w:cs="宋体"/>
          <w:sz w:val="24"/>
          <w:highlight w:val="none"/>
          <w:u w:val="single"/>
        </w:rPr>
        <w:t>日常检查维护、安全监控服务、安全通告服务、安全风险评估、安全配置与加固、配合等保测评等运维服务（具体服务内容和要求按照采购需求所列内容）。</w:t>
      </w:r>
    </w:p>
    <w:p w14:paraId="25FD06C1">
      <w:pPr>
        <w:snapToGrid w:val="0"/>
        <w:spacing w:line="360" w:lineRule="auto"/>
        <w:ind w:firstLine="480" w:firstLineChars="200"/>
        <w:rPr>
          <w:rFonts w:hint="eastAsia" w:hAnsi="宋体" w:cs="宋体"/>
          <w:sz w:val="24"/>
          <w:highlight w:val="none"/>
        </w:rPr>
      </w:pPr>
      <w:r>
        <w:rPr>
          <w:rFonts w:hint="eastAsia" w:hAnsi="宋体" w:cs="宋体"/>
          <w:sz w:val="24"/>
          <w:highlight w:val="none"/>
        </w:rPr>
        <w:t>（二）</w:t>
      </w:r>
      <w:r>
        <w:rPr>
          <w:rFonts w:hint="eastAsia" w:hAnsi="宋体" w:cs="宋体"/>
          <w:sz w:val="24"/>
          <w:highlight w:val="none"/>
          <w:u w:val="single"/>
        </w:rPr>
        <w:t>严格执行国家医保局和广西壮族自治区医保局印发的关于医保信息平台运维相关规范和指导文件，在不同时间周期（每月、每季度、每半年、每年）出具交付成果，制定成果文件质量保障措施，确保交付物符合实际需要，文字严谨，数据真实可靠，内容详实，工作成果物包含但不限于以下文件：</w:t>
      </w:r>
    </w:p>
    <w:tbl>
      <w:tblPr>
        <w:tblStyle w:val="24"/>
        <w:tblW w:w="511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830"/>
        <w:gridCol w:w="1519"/>
        <w:gridCol w:w="2587"/>
        <w:gridCol w:w="1155"/>
        <w:gridCol w:w="3319"/>
      </w:tblGrid>
      <w:tr w14:paraId="369EA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blHeader/>
        </w:trPr>
        <w:tc>
          <w:tcPr>
            <w:tcW w:w="379" w:type="pct"/>
            <w:noWrap/>
            <w:vAlign w:val="center"/>
          </w:tcPr>
          <w:p w14:paraId="76F8E0C5">
            <w:pPr>
              <w:widowControl/>
              <w:jc w:val="center"/>
              <w:textAlignment w:val="center"/>
              <w:rPr>
                <w:rFonts w:hint="eastAsia" w:hAnsi="宋体" w:cs="宋体"/>
                <w:b/>
                <w:bCs/>
                <w:color w:val="000000"/>
                <w:sz w:val="24"/>
                <w:highlight w:val="none"/>
              </w:rPr>
            </w:pPr>
            <w:r>
              <w:rPr>
                <w:rFonts w:hint="eastAsia" w:hAnsi="宋体" w:cs="宋体"/>
                <w:b/>
                <w:bCs/>
                <w:color w:val="000000"/>
                <w:sz w:val="24"/>
                <w:highlight w:val="none"/>
                <w:lang w:bidi="ar"/>
              </w:rPr>
              <w:t>序号</w:t>
            </w:r>
          </w:p>
        </w:tc>
        <w:tc>
          <w:tcPr>
            <w:tcW w:w="407" w:type="pct"/>
            <w:noWrap/>
            <w:vAlign w:val="center"/>
          </w:tcPr>
          <w:p w14:paraId="44D3CA6C">
            <w:pPr>
              <w:widowControl/>
              <w:jc w:val="center"/>
              <w:textAlignment w:val="center"/>
              <w:rPr>
                <w:rFonts w:hint="eastAsia" w:hAnsi="宋体" w:cs="宋体"/>
                <w:b/>
                <w:bCs/>
                <w:color w:val="000000"/>
                <w:sz w:val="24"/>
                <w:highlight w:val="none"/>
              </w:rPr>
            </w:pPr>
            <w:r>
              <w:rPr>
                <w:rFonts w:hint="eastAsia" w:hAnsi="宋体" w:cs="宋体"/>
                <w:b/>
                <w:bCs/>
                <w:color w:val="000000"/>
                <w:sz w:val="24"/>
                <w:highlight w:val="none"/>
                <w:lang w:bidi="ar"/>
              </w:rPr>
              <w:t>类别</w:t>
            </w:r>
          </w:p>
        </w:tc>
        <w:tc>
          <w:tcPr>
            <w:tcW w:w="746" w:type="pct"/>
            <w:noWrap/>
            <w:vAlign w:val="center"/>
          </w:tcPr>
          <w:p w14:paraId="0C095798">
            <w:pPr>
              <w:widowControl/>
              <w:jc w:val="center"/>
              <w:textAlignment w:val="center"/>
              <w:rPr>
                <w:rFonts w:hint="eastAsia" w:hAnsi="宋体" w:cs="宋体"/>
                <w:b/>
                <w:bCs/>
                <w:color w:val="000000"/>
                <w:sz w:val="24"/>
                <w:highlight w:val="none"/>
              </w:rPr>
            </w:pPr>
            <w:r>
              <w:rPr>
                <w:rFonts w:hint="eastAsia" w:hAnsi="宋体" w:cs="宋体"/>
                <w:b/>
                <w:bCs/>
                <w:color w:val="000000"/>
                <w:sz w:val="24"/>
                <w:highlight w:val="none"/>
                <w:lang w:bidi="ar"/>
              </w:rPr>
              <w:t>服务分类</w:t>
            </w:r>
          </w:p>
        </w:tc>
        <w:tc>
          <w:tcPr>
            <w:tcW w:w="1270" w:type="pct"/>
            <w:noWrap/>
            <w:vAlign w:val="center"/>
          </w:tcPr>
          <w:p w14:paraId="5D722B33">
            <w:pPr>
              <w:widowControl/>
              <w:jc w:val="center"/>
              <w:textAlignment w:val="center"/>
              <w:rPr>
                <w:rFonts w:hint="eastAsia" w:hAnsi="宋体" w:cs="宋体"/>
                <w:b/>
                <w:bCs/>
                <w:color w:val="000000"/>
                <w:sz w:val="24"/>
                <w:highlight w:val="none"/>
              </w:rPr>
            </w:pPr>
            <w:r>
              <w:rPr>
                <w:rFonts w:hint="eastAsia" w:hAnsi="宋体" w:cs="宋体"/>
                <w:b/>
                <w:bCs/>
                <w:color w:val="000000"/>
                <w:sz w:val="24"/>
                <w:highlight w:val="none"/>
                <w:lang w:bidi="ar"/>
              </w:rPr>
              <w:t>服务内容</w:t>
            </w:r>
          </w:p>
        </w:tc>
        <w:tc>
          <w:tcPr>
            <w:tcW w:w="567" w:type="pct"/>
            <w:noWrap/>
            <w:vAlign w:val="center"/>
          </w:tcPr>
          <w:p w14:paraId="7FF01A37">
            <w:pPr>
              <w:widowControl/>
              <w:jc w:val="center"/>
              <w:textAlignment w:val="center"/>
              <w:rPr>
                <w:rFonts w:hint="eastAsia" w:hAnsi="宋体" w:cs="宋体"/>
                <w:b/>
                <w:bCs/>
                <w:color w:val="000000"/>
                <w:sz w:val="24"/>
                <w:highlight w:val="none"/>
              </w:rPr>
            </w:pPr>
            <w:r>
              <w:rPr>
                <w:rFonts w:hint="eastAsia" w:hAnsi="宋体" w:cs="宋体"/>
                <w:b/>
                <w:bCs/>
                <w:color w:val="000000"/>
                <w:sz w:val="24"/>
                <w:highlight w:val="none"/>
                <w:lang w:bidi="ar"/>
              </w:rPr>
              <w:t>频次</w:t>
            </w:r>
          </w:p>
        </w:tc>
        <w:tc>
          <w:tcPr>
            <w:tcW w:w="1630" w:type="pct"/>
            <w:noWrap/>
            <w:vAlign w:val="center"/>
          </w:tcPr>
          <w:p w14:paraId="392AB641">
            <w:pPr>
              <w:widowControl/>
              <w:jc w:val="center"/>
              <w:textAlignment w:val="center"/>
              <w:rPr>
                <w:rFonts w:hint="eastAsia" w:hAnsi="宋体" w:cs="宋体"/>
                <w:b/>
                <w:bCs/>
                <w:color w:val="000000"/>
                <w:sz w:val="24"/>
                <w:highlight w:val="none"/>
              </w:rPr>
            </w:pPr>
            <w:r>
              <w:rPr>
                <w:rFonts w:hint="eastAsia" w:hAnsi="宋体" w:cs="宋体"/>
                <w:b/>
                <w:bCs/>
                <w:color w:val="000000"/>
                <w:sz w:val="24"/>
                <w:highlight w:val="none"/>
                <w:lang w:bidi="ar"/>
              </w:rPr>
              <w:t>工作交付物</w:t>
            </w:r>
          </w:p>
        </w:tc>
      </w:tr>
      <w:tr w14:paraId="13E7C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79" w:type="pct"/>
            <w:vAlign w:val="center"/>
          </w:tcPr>
          <w:p w14:paraId="7EC415EB">
            <w:pPr>
              <w:widowControl/>
              <w:jc w:val="center"/>
              <w:textAlignment w:val="center"/>
              <w:rPr>
                <w:rFonts w:hint="eastAsia" w:hAnsi="宋体" w:cs="宋体"/>
                <w:color w:val="000000"/>
                <w:sz w:val="24"/>
                <w:highlight w:val="none"/>
              </w:rPr>
            </w:pPr>
            <w:r>
              <w:rPr>
                <w:rFonts w:hint="eastAsia" w:hAnsi="宋体" w:cs="宋体"/>
                <w:color w:val="000000"/>
                <w:sz w:val="24"/>
                <w:highlight w:val="none"/>
                <w:lang w:bidi="ar"/>
              </w:rPr>
              <w:t>1</w:t>
            </w:r>
          </w:p>
        </w:tc>
        <w:tc>
          <w:tcPr>
            <w:tcW w:w="407" w:type="pct"/>
            <w:vMerge w:val="restart"/>
            <w:vAlign w:val="center"/>
          </w:tcPr>
          <w:p w14:paraId="4389C4F1">
            <w:pPr>
              <w:widowControl/>
              <w:jc w:val="center"/>
              <w:textAlignment w:val="center"/>
              <w:rPr>
                <w:rFonts w:hint="eastAsia" w:hAnsi="宋体" w:cs="宋体"/>
                <w:color w:val="000000"/>
                <w:sz w:val="24"/>
                <w:highlight w:val="none"/>
              </w:rPr>
            </w:pPr>
            <w:r>
              <w:rPr>
                <w:rFonts w:hint="eastAsia" w:hAnsi="宋体" w:cs="宋体"/>
                <w:color w:val="000000"/>
                <w:sz w:val="24"/>
                <w:highlight w:val="none"/>
                <w:lang w:bidi="ar"/>
              </w:rPr>
              <w:t>服务成果</w:t>
            </w:r>
          </w:p>
        </w:tc>
        <w:tc>
          <w:tcPr>
            <w:tcW w:w="746" w:type="pct"/>
            <w:vAlign w:val="center"/>
          </w:tcPr>
          <w:p w14:paraId="17553309">
            <w:pPr>
              <w:widowControl/>
              <w:jc w:val="center"/>
              <w:textAlignment w:val="center"/>
              <w:rPr>
                <w:rFonts w:hint="eastAsia" w:hAnsi="宋体" w:cs="宋体"/>
                <w:color w:val="000000"/>
                <w:sz w:val="24"/>
                <w:highlight w:val="none"/>
                <w:lang w:bidi="ar"/>
              </w:rPr>
            </w:pPr>
            <w:r>
              <w:rPr>
                <w:rFonts w:hint="eastAsia" w:hAnsi="宋体" w:cs="宋体"/>
                <w:color w:val="000000"/>
                <w:sz w:val="24"/>
                <w:highlight w:val="none"/>
                <w:lang w:bidi="ar"/>
              </w:rPr>
              <w:t>组织管理</w:t>
            </w:r>
          </w:p>
        </w:tc>
        <w:tc>
          <w:tcPr>
            <w:tcW w:w="1270" w:type="pct"/>
            <w:vAlign w:val="center"/>
          </w:tcPr>
          <w:p w14:paraId="3A939FCF">
            <w:pPr>
              <w:widowControl/>
              <w:jc w:val="center"/>
              <w:textAlignment w:val="center"/>
              <w:rPr>
                <w:rFonts w:hint="eastAsia" w:hAnsi="宋体" w:cs="宋体"/>
                <w:color w:val="000000"/>
                <w:sz w:val="24"/>
                <w:highlight w:val="none"/>
                <w:lang w:bidi="ar"/>
              </w:rPr>
            </w:pPr>
            <w:r>
              <w:rPr>
                <w:rFonts w:hint="eastAsia" w:hAnsi="宋体" w:cs="宋体"/>
                <w:color w:val="000000"/>
                <w:sz w:val="24"/>
                <w:highlight w:val="none"/>
                <w:lang w:bidi="ar"/>
              </w:rPr>
              <w:t>运维实施方案</w:t>
            </w:r>
          </w:p>
        </w:tc>
        <w:tc>
          <w:tcPr>
            <w:tcW w:w="567" w:type="pct"/>
            <w:vAlign w:val="center"/>
          </w:tcPr>
          <w:p w14:paraId="4C66A33D">
            <w:pPr>
              <w:widowControl/>
              <w:jc w:val="center"/>
              <w:textAlignment w:val="center"/>
              <w:rPr>
                <w:rFonts w:hint="eastAsia" w:hAnsi="宋体" w:cs="宋体"/>
                <w:color w:val="000000"/>
                <w:sz w:val="24"/>
                <w:highlight w:val="none"/>
                <w:lang w:bidi="ar"/>
              </w:rPr>
            </w:pPr>
            <w:r>
              <w:rPr>
                <w:rFonts w:hint="eastAsia" w:hAnsi="宋体" w:cs="宋体"/>
                <w:color w:val="000000"/>
                <w:sz w:val="24"/>
                <w:highlight w:val="none"/>
                <w:lang w:bidi="ar"/>
              </w:rPr>
              <w:t>一次性</w:t>
            </w:r>
          </w:p>
        </w:tc>
        <w:tc>
          <w:tcPr>
            <w:tcW w:w="1630" w:type="pct"/>
            <w:vAlign w:val="center"/>
          </w:tcPr>
          <w:p w14:paraId="1891293D">
            <w:pPr>
              <w:widowControl/>
              <w:jc w:val="center"/>
              <w:textAlignment w:val="center"/>
              <w:rPr>
                <w:rFonts w:hint="eastAsia" w:hAnsi="宋体" w:cs="宋体"/>
                <w:color w:val="000000"/>
                <w:sz w:val="24"/>
                <w:highlight w:val="none"/>
                <w:lang w:bidi="ar"/>
              </w:rPr>
            </w:pPr>
            <w:r>
              <w:rPr>
                <w:rFonts w:hint="eastAsia" w:hAnsi="宋体" w:cs="宋体"/>
                <w:color w:val="000000"/>
                <w:sz w:val="24"/>
                <w:highlight w:val="none"/>
                <w:lang w:bidi="ar"/>
              </w:rPr>
              <w:t>《安全系统运维实施方案》</w:t>
            </w:r>
          </w:p>
        </w:tc>
      </w:tr>
      <w:tr w14:paraId="68B4C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79" w:type="pct"/>
            <w:vAlign w:val="center"/>
          </w:tcPr>
          <w:p w14:paraId="3DC9390A">
            <w:pPr>
              <w:widowControl/>
              <w:jc w:val="center"/>
              <w:textAlignment w:val="center"/>
              <w:rPr>
                <w:rFonts w:hint="eastAsia" w:hAnsi="宋体" w:cs="宋体"/>
                <w:color w:val="000000"/>
                <w:sz w:val="24"/>
                <w:highlight w:val="none"/>
                <w:lang w:bidi="ar"/>
              </w:rPr>
            </w:pPr>
            <w:r>
              <w:rPr>
                <w:rFonts w:hint="eastAsia" w:hAnsi="宋体" w:cs="宋体"/>
                <w:color w:val="000000"/>
                <w:sz w:val="24"/>
                <w:highlight w:val="none"/>
                <w:lang w:bidi="ar"/>
              </w:rPr>
              <w:t>2</w:t>
            </w:r>
          </w:p>
        </w:tc>
        <w:tc>
          <w:tcPr>
            <w:tcW w:w="407" w:type="pct"/>
            <w:vMerge w:val="continue"/>
            <w:vAlign w:val="center"/>
          </w:tcPr>
          <w:p w14:paraId="6B9E14C3">
            <w:pPr>
              <w:widowControl/>
              <w:jc w:val="center"/>
              <w:textAlignment w:val="center"/>
              <w:rPr>
                <w:rFonts w:hint="eastAsia" w:hAnsi="宋体" w:cs="宋体"/>
                <w:color w:val="000000"/>
                <w:sz w:val="24"/>
                <w:highlight w:val="none"/>
                <w:lang w:bidi="ar"/>
              </w:rPr>
            </w:pPr>
          </w:p>
        </w:tc>
        <w:tc>
          <w:tcPr>
            <w:tcW w:w="746" w:type="pct"/>
            <w:vAlign w:val="center"/>
          </w:tcPr>
          <w:p w14:paraId="2A8F7EC4">
            <w:pPr>
              <w:widowControl/>
              <w:jc w:val="center"/>
              <w:textAlignment w:val="center"/>
              <w:rPr>
                <w:rFonts w:hint="eastAsia" w:hAnsi="宋体" w:cs="宋体"/>
                <w:color w:val="000000"/>
                <w:sz w:val="24"/>
                <w:highlight w:val="none"/>
                <w:lang w:bidi="ar"/>
              </w:rPr>
            </w:pPr>
            <w:r>
              <w:rPr>
                <w:rFonts w:hint="eastAsia" w:hAnsi="宋体" w:cs="宋体"/>
                <w:color w:val="000000"/>
                <w:sz w:val="24"/>
                <w:highlight w:val="none"/>
                <w:lang w:bidi="ar"/>
              </w:rPr>
              <w:t>组织管理</w:t>
            </w:r>
          </w:p>
        </w:tc>
        <w:tc>
          <w:tcPr>
            <w:tcW w:w="1270" w:type="pct"/>
            <w:vAlign w:val="center"/>
          </w:tcPr>
          <w:p w14:paraId="5DFEFDD7">
            <w:pPr>
              <w:widowControl/>
              <w:jc w:val="center"/>
              <w:textAlignment w:val="center"/>
              <w:rPr>
                <w:rFonts w:hint="eastAsia" w:hAnsi="宋体" w:cs="宋体"/>
                <w:color w:val="000000"/>
                <w:sz w:val="24"/>
                <w:highlight w:val="none"/>
                <w:lang w:bidi="ar"/>
              </w:rPr>
            </w:pPr>
            <w:r>
              <w:rPr>
                <w:rFonts w:hint="eastAsia" w:hAnsi="宋体" w:cs="宋体"/>
                <w:color w:val="000000"/>
                <w:sz w:val="24"/>
                <w:highlight w:val="none"/>
                <w:lang w:bidi="ar"/>
              </w:rPr>
              <w:t>运维人员分工</w:t>
            </w:r>
          </w:p>
        </w:tc>
        <w:tc>
          <w:tcPr>
            <w:tcW w:w="567" w:type="pct"/>
            <w:vAlign w:val="center"/>
          </w:tcPr>
          <w:p w14:paraId="1A5D1CBD">
            <w:pPr>
              <w:widowControl/>
              <w:jc w:val="center"/>
              <w:textAlignment w:val="center"/>
              <w:rPr>
                <w:rFonts w:hint="eastAsia" w:hAnsi="宋体" w:cs="宋体"/>
                <w:color w:val="000000"/>
                <w:sz w:val="24"/>
                <w:highlight w:val="none"/>
                <w:lang w:bidi="ar"/>
              </w:rPr>
            </w:pPr>
            <w:r>
              <w:rPr>
                <w:rFonts w:hint="eastAsia" w:hAnsi="宋体" w:cs="宋体"/>
                <w:color w:val="000000"/>
                <w:sz w:val="24"/>
                <w:highlight w:val="none"/>
                <w:lang w:bidi="ar"/>
              </w:rPr>
              <w:t>一次性</w:t>
            </w:r>
          </w:p>
        </w:tc>
        <w:tc>
          <w:tcPr>
            <w:tcW w:w="1630" w:type="pct"/>
            <w:vAlign w:val="center"/>
          </w:tcPr>
          <w:p w14:paraId="01244D44">
            <w:pPr>
              <w:widowControl/>
              <w:jc w:val="center"/>
              <w:textAlignment w:val="center"/>
              <w:rPr>
                <w:rFonts w:hint="eastAsia" w:hAnsi="宋体" w:cs="宋体"/>
                <w:color w:val="000000"/>
                <w:sz w:val="24"/>
                <w:highlight w:val="none"/>
                <w:lang w:bidi="ar"/>
              </w:rPr>
            </w:pPr>
            <w:r>
              <w:rPr>
                <w:rFonts w:hint="eastAsia" w:hAnsi="宋体" w:cs="宋体"/>
                <w:color w:val="000000"/>
                <w:sz w:val="24"/>
                <w:highlight w:val="none"/>
                <w:lang w:bidi="ar"/>
              </w:rPr>
              <w:t>《运维团队职责分工表》</w:t>
            </w:r>
          </w:p>
        </w:tc>
      </w:tr>
      <w:tr w14:paraId="1A629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79" w:type="pct"/>
            <w:vAlign w:val="center"/>
          </w:tcPr>
          <w:p w14:paraId="7AF27DC6">
            <w:pPr>
              <w:widowControl/>
              <w:jc w:val="center"/>
              <w:textAlignment w:val="center"/>
              <w:rPr>
                <w:rFonts w:hint="eastAsia" w:hAnsi="宋体" w:cs="宋体"/>
                <w:color w:val="000000"/>
                <w:sz w:val="24"/>
                <w:highlight w:val="none"/>
              </w:rPr>
            </w:pPr>
            <w:r>
              <w:rPr>
                <w:rFonts w:hint="eastAsia" w:hAnsi="宋体" w:cs="宋体"/>
                <w:color w:val="000000"/>
                <w:sz w:val="24"/>
                <w:highlight w:val="none"/>
              </w:rPr>
              <w:t>3</w:t>
            </w:r>
          </w:p>
        </w:tc>
        <w:tc>
          <w:tcPr>
            <w:tcW w:w="407" w:type="pct"/>
            <w:vMerge w:val="continue"/>
            <w:vAlign w:val="center"/>
          </w:tcPr>
          <w:p w14:paraId="43D00326">
            <w:pPr>
              <w:jc w:val="center"/>
              <w:rPr>
                <w:rFonts w:hint="eastAsia" w:hAnsi="宋体" w:cs="宋体"/>
                <w:color w:val="000000"/>
                <w:sz w:val="24"/>
                <w:highlight w:val="none"/>
              </w:rPr>
            </w:pPr>
          </w:p>
        </w:tc>
        <w:tc>
          <w:tcPr>
            <w:tcW w:w="746" w:type="pct"/>
            <w:vAlign w:val="center"/>
          </w:tcPr>
          <w:p w14:paraId="1E15AA24">
            <w:pPr>
              <w:widowControl/>
              <w:jc w:val="center"/>
              <w:textAlignment w:val="center"/>
              <w:rPr>
                <w:rFonts w:hint="eastAsia" w:hAnsi="宋体" w:cs="宋体"/>
                <w:color w:val="000000"/>
                <w:sz w:val="24"/>
                <w:highlight w:val="none"/>
              </w:rPr>
            </w:pPr>
            <w:r>
              <w:rPr>
                <w:rFonts w:hint="eastAsia" w:hAnsi="宋体" w:cs="宋体"/>
                <w:color w:val="000000"/>
                <w:sz w:val="24"/>
                <w:highlight w:val="none"/>
              </w:rPr>
              <w:t>运行测试</w:t>
            </w:r>
          </w:p>
        </w:tc>
        <w:tc>
          <w:tcPr>
            <w:tcW w:w="1270" w:type="pct"/>
            <w:vAlign w:val="center"/>
          </w:tcPr>
          <w:p w14:paraId="402CD8AE">
            <w:pPr>
              <w:widowControl/>
              <w:jc w:val="center"/>
              <w:textAlignment w:val="center"/>
              <w:rPr>
                <w:rFonts w:hint="eastAsia" w:hAnsi="宋体" w:cs="宋体"/>
                <w:color w:val="000000"/>
                <w:sz w:val="24"/>
                <w:highlight w:val="none"/>
              </w:rPr>
            </w:pPr>
            <w:r>
              <w:rPr>
                <w:rFonts w:hint="eastAsia" w:hAnsi="宋体" w:cs="宋体"/>
                <w:color w:val="000000"/>
                <w:sz w:val="24"/>
                <w:highlight w:val="none"/>
              </w:rPr>
              <w:t>安全系统运行分析</w:t>
            </w:r>
          </w:p>
        </w:tc>
        <w:tc>
          <w:tcPr>
            <w:tcW w:w="567" w:type="pct"/>
            <w:vAlign w:val="center"/>
          </w:tcPr>
          <w:p w14:paraId="13816E7E">
            <w:pPr>
              <w:widowControl/>
              <w:jc w:val="center"/>
              <w:textAlignment w:val="center"/>
              <w:rPr>
                <w:rFonts w:hint="eastAsia" w:hAnsi="宋体" w:cs="宋体"/>
                <w:color w:val="000000"/>
                <w:sz w:val="24"/>
                <w:highlight w:val="none"/>
              </w:rPr>
            </w:pPr>
            <w:r>
              <w:rPr>
                <w:rFonts w:hint="eastAsia" w:hAnsi="宋体" w:cs="宋体"/>
                <w:color w:val="000000"/>
                <w:sz w:val="24"/>
                <w:highlight w:val="none"/>
              </w:rPr>
              <w:t>每季度</w:t>
            </w:r>
          </w:p>
        </w:tc>
        <w:tc>
          <w:tcPr>
            <w:tcW w:w="1630" w:type="pct"/>
            <w:vAlign w:val="center"/>
          </w:tcPr>
          <w:p w14:paraId="6778A519">
            <w:pPr>
              <w:widowControl/>
              <w:jc w:val="center"/>
              <w:textAlignment w:val="center"/>
              <w:rPr>
                <w:rFonts w:hint="eastAsia" w:hAnsi="宋体" w:cs="宋体"/>
                <w:color w:val="000000"/>
                <w:sz w:val="24"/>
                <w:highlight w:val="none"/>
                <w:lang w:bidi="ar"/>
              </w:rPr>
            </w:pPr>
            <w:r>
              <w:rPr>
                <w:rFonts w:hint="eastAsia" w:hAnsi="宋体" w:cs="宋体"/>
                <w:color w:val="000000"/>
                <w:sz w:val="24"/>
                <w:highlight w:val="none"/>
                <w:lang w:bidi="ar"/>
              </w:rPr>
              <w:t>《安全系统运行分析报告》</w:t>
            </w:r>
          </w:p>
        </w:tc>
      </w:tr>
      <w:tr w14:paraId="34CA0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79" w:type="pct"/>
            <w:vAlign w:val="center"/>
          </w:tcPr>
          <w:p w14:paraId="53ECD667">
            <w:pPr>
              <w:widowControl/>
              <w:jc w:val="center"/>
              <w:textAlignment w:val="center"/>
              <w:rPr>
                <w:rFonts w:hint="eastAsia" w:hAnsi="宋体" w:cs="宋体"/>
                <w:color w:val="000000"/>
                <w:sz w:val="24"/>
                <w:highlight w:val="none"/>
              </w:rPr>
            </w:pPr>
            <w:r>
              <w:rPr>
                <w:rFonts w:hint="eastAsia" w:hAnsi="宋体" w:cs="宋体"/>
                <w:color w:val="000000"/>
                <w:sz w:val="24"/>
                <w:highlight w:val="none"/>
              </w:rPr>
              <w:t>4</w:t>
            </w:r>
          </w:p>
        </w:tc>
        <w:tc>
          <w:tcPr>
            <w:tcW w:w="407" w:type="pct"/>
            <w:vMerge w:val="continue"/>
            <w:vAlign w:val="center"/>
          </w:tcPr>
          <w:p w14:paraId="3FEA09CE">
            <w:pPr>
              <w:jc w:val="center"/>
              <w:rPr>
                <w:rFonts w:hint="eastAsia" w:hAnsi="宋体" w:cs="宋体"/>
                <w:color w:val="000000"/>
                <w:sz w:val="24"/>
                <w:highlight w:val="none"/>
              </w:rPr>
            </w:pPr>
          </w:p>
        </w:tc>
        <w:tc>
          <w:tcPr>
            <w:tcW w:w="746" w:type="pct"/>
            <w:vAlign w:val="center"/>
          </w:tcPr>
          <w:p w14:paraId="1086FC41">
            <w:pPr>
              <w:widowControl/>
              <w:jc w:val="center"/>
              <w:textAlignment w:val="center"/>
              <w:rPr>
                <w:rFonts w:hint="eastAsia" w:hAnsi="宋体" w:cs="宋体"/>
                <w:color w:val="000000"/>
                <w:sz w:val="24"/>
                <w:highlight w:val="none"/>
              </w:rPr>
            </w:pPr>
            <w:r>
              <w:rPr>
                <w:rFonts w:hint="eastAsia" w:hAnsi="宋体" w:cs="宋体"/>
                <w:color w:val="000000"/>
                <w:sz w:val="24"/>
                <w:highlight w:val="none"/>
                <w:lang w:bidi="ar"/>
              </w:rPr>
              <w:t>系统运维</w:t>
            </w:r>
          </w:p>
        </w:tc>
        <w:tc>
          <w:tcPr>
            <w:tcW w:w="1270" w:type="pct"/>
            <w:vAlign w:val="center"/>
          </w:tcPr>
          <w:p w14:paraId="258809FB">
            <w:pPr>
              <w:widowControl/>
              <w:jc w:val="center"/>
              <w:textAlignment w:val="center"/>
              <w:rPr>
                <w:rFonts w:hint="eastAsia" w:hAnsi="宋体" w:cs="宋体"/>
                <w:color w:val="000000"/>
                <w:sz w:val="24"/>
                <w:highlight w:val="none"/>
              </w:rPr>
            </w:pPr>
            <w:r>
              <w:rPr>
                <w:rFonts w:hint="eastAsia" w:hAnsi="宋体" w:cs="宋体"/>
                <w:color w:val="000000"/>
                <w:sz w:val="24"/>
                <w:highlight w:val="none"/>
                <w:lang w:bidi="ar"/>
              </w:rPr>
              <w:t>日常巡检与监控</w:t>
            </w:r>
          </w:p>
        </w:tc>
        <w:tc>
          <w:tcPr>
            <w:tcW w:w="567" w:type="pct"/>
            <w:vAlign w:val="center"/>
          </w:tcPr>
          <w:p w14:paraId="6EF396C8">
            <w:pPr>
              <w:widowControl/>
              <w:jc w:val="center"/>
              <w:textAlignment w:val="center"/>
              <w:rPr>
                <w:rFonts w:hint="eastAsia" w:hAnsi="宋体" w:cs="宋体"/>
                <w:color w:val="000000"/>
                <w:sz w:val="24"/>
                <w:highlight w:val="none"/>
              </w:rPr>
            </w:pPr>
            <w:r>
              <w:rPr>
                <w:rFonts w:hint="eastAsia" w:hAnsi="宋体" w:cs="宋体"/>
                <w:color w:val="000000"/>
                <w:sz w:val="24"/>
                <w:highlight w:val="none"/>
                <w:lang w:bidi="ar"/>
              </w:rPr>
              <w:t>每周/次</w:t>
            </w:r>
          </w:p>
        </w:tc>
        <w:tc>
          <w:tcPr>
            <w:tcW w:w="1630" w:type="pct"/>
            <w:vAlign w:val="center"/>
          </w:tcPr>
          <w:p w14:paraId="11EC6421">
            <w:pPr>
              <w:widowControl/>
              <w:jc w:val="center"/>
              <w:textAlignment w:val="center"/>
              <w:rPr>
                <w:rFonts w:hint="eastAsia" w:hAnsi="宋体" w:cs="宋体"/>
                <w:color w:val="000000"/>
                <w:sz w:val="24"/>
                <w:highlight w:val="none"/>
                <w:lang w:bidi="ar"/>
              </w:rPr>
            </w:pPr>
            <w:r>
              <w:rPr>
                <w:rFonts w:hint="eastAsia" w:hAnsi="宋体" w:cs="宋体"/>
                <w:color w:val="000000"/>
                <w:sz w:val="24"/>
                <w:highlight w:val="none"/>
                <w:lang w:bidi="ar"/>
              </w:rPr>
              <w:t>《系统运维巡检报告》</w:t>
            </w:r>
          </w:p>
        </w:tc>
      </w:tr>
      <w:tr w14:paraId="2EDE6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79" w:type="pct"/>
            <w:vAlign w:val="center"/>
          </w:tcPr>
          <w:p w14:paraId="45A1C2D0">
            <w:pPr>
              <w:widowControl/>
              <w:jc w:val="center"/>
              <w:textAlignment w:val="center"/>
              <w:rPr>
                <w:rFonts w:hint="eastAsia" w:hAnsi="宋体" w:cs="宋体"/>
                <w:color w:val="000000"/>
                <w:sz w:val="24"/>
                <w:highlight w:val="none"/>
              </w:rPr>
            </w:pPr>
            <w:r>
              <w:rPr>
                <w:rFonts w:hint="eastAsia" w:hAnsi="宋体" w:cs="宋体"/>
                <w:color w:val="000000"/>
                <w:sz w:val="24"/>
                <w:highlight w:val="none"/>
              </w:rPr>
              <w:t>5</w:t>
            </w:r>
          </w:p>
        </w:tc>
        <w:tc>
          <w:tcPr>
            <w:tcW w:w="407" w:type="pct"/>
            <w:vMerge w:val="continue"/>
            <w:vAlign w:val="center"/>
          </w:tcPr>
          <w:p w14:paraId="69BB8518">
            <w:pPr>
              <w:jc w:val="center"/>
              <w:rPr>
                <w:rFonts w:hint="eastAsia" w:hAnsi="宋体" w:cs="宋体"/>
                <w:color w:val="000000"/>
                <w:sz w:val="24"/>
                <w:highlight w:val="none"/>
              </w:rPr>
            </w:pPr>
          </w:p>
        </w:tc>
        <w:tc>
          <w:tcPr>
            <w:tcW w:w="746" w:type="pct"/>
            <w:vAlign w:val="center"/>
          </w:tcPr>
          <w:p w14:paraId="59EDDA43">
            <w:pPr>
              <w:widowControl/>
              <w:jc w:val="center"/>
              <w:textAlignment w:val="center"/>
              <w:rPr>
                <w:rFonts w:hint="eastAsia" w:hAnsi="宋体" w:cs="宋体"/>
                <w:color w:val="000000"/>
                <w:sz w:val="24"/>
                <w:highlight w:val="none"/>
              </w:rPr>
            </w:pPr>
            <w:r>
              <w:rPr>
                <w:rFonts w:hint="eastAsia" w:hAnsi="宋体" w:cs="宋体"/>
                <w:color w:val="000000"/>
                <w:sz w:val="24"/>
                <w:highlight w:val="none"/>
                <w:lang w:bidi="ar"/>
              </w:rPr>
              <w:t>质量保障</w:t>
            </w:r>
          </w:p>
        </w:tc>
        <w:tc>
          <w:tcPr>
            <w:tcW w:w="1270" w:type="pct"/>
            <w:vAlign w:val="center"/>
          </w:tcPr>
          <w:p w14:paraId="14DB0F70">
            <w:pPr>
              <w:widowControl/>
              <w:jc w:val="center"/>
              <w:textAlignment w:val="center"/>
              <w:rPr>
                <w:rFonts w:hint="eastAsia" w:hAnsi="宋体" w:cs="宋体"/>
                <w:color w:val="000000"/>
                <w:sz w:val="24"/>
                <w:highlight w:val="none"/>
              </w:rPr>
            </w:pPr>
            <w:r>
              <w:rPr>
                <w:rFonts w:hint="eastAsia" w:hAnsi="宋体" w:cs="宋体"/>
                <w:color w:val="000000"/>
                <w:sz w:val="24"/>
                <w:highlight w:val="none"/>
                <w:lang w:bidi="ar"/>
              </w:rPr>
              <w:t>运维质量分析</w:t>
            </w:r>
          </w:p>
        </w:tc>
        <w:tc>
          <w:tcPr>
            <w:tcW w:w="567" w:type="pct"/>
            <w:vAlign w:val="center"/>
          </w:tcPr>
          <w:p w14:paraId="32EC0006">
            <w:pPr>
              <w:widowControl/>
              <w:jc w:val="center"/>
              <w:textAlignment w:val="center"/>
              <w:rPr>
                <w:rFonts w:hint="eastAsia" w:hAnsi="宋体" w:cs="宋体"/>
                <w:color w:val="000000"/>
                <w:sz w:val="24"/>
                <w:highlight w:val="none"/>
              </w:rPr>
            </w:pPr>
            <w:r>
              <w:rPr>
                <w:rFonts w:hint="eastAsia" w:hAnsi="宋体" w:cs="宋体"/>
                <w:color w:val="000000"/>
                <w:sz w:val="24"/>
                <w:highlight w:val="none"/>
                <w:lang w:bidi="ar"/>
              </w:rPr>
              <w:t>季度/次</w:t>
            </w:r>
          </w:p>
        </w:tc>
        <w:tc>
          <w:tcPr>
            <w:tcW w:w="1630" w:type="pct"/>
            <w:vAlign w:val="center"/>
          </w:tcPr>
          <w:p w14:paraId="22C9B2D5">
            <w:pPr>
              <w:widowControl/>
              <w:jc w:val="center"/>
              <w:textAlignment w:val="center"/>
              <w:rPr>
                <w:rFonts w:hint="eastAsia" w:hAnsi="宋体" w:cs="宋体"/>
                <w:color w:val="000000"/>
                <w:sz w:val="24"/>
                <w:highlight w:val="none"/>
                <w:lang w:bidi="ar"/>
              </w:rPr>
            </w:pPr>
            <w:r>
              <w:rPr>
                <w:rFonts w:hint="eastAsia" w:hAnsi="宋体" w:cs="宋体"/>
                <w:color w:val="000000"/>
                <w:sz w:val="24"/>
                <w:highlight w:val="none"/>
                <w:lang w:bidi="ar"/>
              </w:rPr>
              <w:t>《运维质量分析报告》</w:t>
            </w:r>
          </w:p>
        </w:tc>
      </w:tr>
      <w:tr w14:paraId="25CFC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79" w:type="pct"/>
            <w:vAlign w:val="center"/>
          </w:tcPr>
          <w:p w14:paraId="2552350B">
            <w:pPr>
              <w:widowControl/>
              <w:jc w:val="center"/>
              <w:textAlignment w:val="center"/>
              <w:rPr>
                <w:rFonts w:hint="eastAsia" w:hAnsi="宋体" w:cs="宋体"/>
                <w:color w:val="000000"/>
                <w:sz w:val="24"/>
                <w:highlight w:val="none"/>
              </w:rPr>
            </w:pPr>
            <w:r>
              <w:rPr>
                <w:rFonts w:hint="eastAsia" w:hAnsi="宋体" w:cs="宋体"/>
                <w:color w:val="000000"/>
                <w:sz w:val="24"/>
                <w:highlight w:val="none"/>
              </w:rPr>
              <w:t>6</w:t>
            </w:r>
          </w:p>
        </w:tc>
        <w:tc>
          <w:tcPr>
            <w:tcW w:w="407" w:type="pct"/>
            <w:vMerge w:val="continue"/>
            <w:vAlign w:val="center"/>
          </w:tcPr>
          <w:p w14:paraId="5DC9C002">
            <w:pPr>
              <w:jc w:val="center"/>
              <w:rPr>
                <w:rFonts w:hint="eastAsia" w:hAnsi="宋体" w:cs="宋体"/>
                <w:color w:val="000000"/>
                <w:sz w:val="24"/>
                <w:highlight w:val="none"/>
              </w:rPr>
            </w:pPr>
          </w:p>
        </w:tc>
        <w:tc>
          <w:tcPr>
            <w:tcW w:w="746" w:type="pct"/>
            <w:vAlign w:val="center"/>
          </w:tcPr>
          <w:p w14:paraId="1FD804D7">
            <w:pPr>
              <w:widowControl/>
              <w:jc w:val="center"/>
              <w:textAlignment w:val="center"/>
              <w:rPr>
                <w:rFonts w:hint="eastAsia" w:hAnsi="宋体" w:cs="宋体"/>
                <w:color w:val="000000"/>
                <w:sz w:val="24"/>
                <w:highlight w:val="none"/>
                <w:lang w:bidi="ar"/>
              </w:rPr>
            </w:pPr>
            <w:r>
              <w:rPr>
                <w:rFonts w:hint="eastAsia" w:hAnsi="宋体" w:cs="宋体"/>
                <w:color w:val="000000"/>
                <w:sz w:val="24"/>
                <w:highlight w:val="none"/>
                <w:lang w:bidi="ar"/>
              </w:rPr>
              <w:t>故障处理报告</w:t>
            </w:r>
          </w:p>
        </w:tc>
        <w:tc>
          <w:tcPr>
            <w:tcW w:w="1270" w:type="pct"/>
            <w:vAlign w:val="center"/>
          </w:tcPr>
          <w:p w14:paraId="3D3E661A">
            <w:pPr>
              <w:widowControl/>
              <w:jc w:val="center"/>
              <w:textAlignment w:val="center"/>
              <w:rPr>
                <w:rFonts w:hint="eastAsia" w:hAnsi="宋体" w:cs="宋体"/>
                <w:color w:val="000000"/>
                <w:sz w:val="24"/>
                <w:highlight w:val="none"/>
                <w:lang w:bidi="ar"/>
              </w:rPr>
            </w:pPr>
            <w:r>
              <w:rPr>
                <w:rFonts w:hint="eastAsia" w:hAnsi="宋体" w:cs="宋体"/>
                <w:color w:val="000000"/>
                <w:sz w:val="24"/>
                <w:highlight w:val="none"/>
                <w:lang w:bidi="ar"/>
              </w:rPr>
              <w:t>故障处理报告</w:t>
            </w:r>
          </w:p>
        </w:tc>
        <w:tc>
          <w:tcPr>
            <w:tcW w:w="567" w:type="pct"/>
            <w:vAlign w:val="center"/>
          </w:tcPr>
          <w:p w14:paraId="1DDFBD8D">
            <w:pPr>
              <w:widowControl/>
              <w:jc w:val="center"/>
              <w:textAlignment w:val="center"/>
              <w:rPr>
                <w:rFonts w:hint="eastAsia" w:hAnsi="宋体" w:cs="宋体"/>
                <w:color w:val="000000"/>
                <w:sz w:val="24"/>
                <w:highlight w:val="none"/>
                <w:lang w:bidi="ar"/>
              </w:rPr>
            </w:pPr>
            <w:r>
              <w:rPr>
                <w:rFonts w:hint="eastAsia" w:hAnsi="宋体" w:cs="宋体"/>
                <w:color w:val="000000"/>
                <w:sz w:val="24"/>
                <w:highlight w:val="none"/>
                <w:lang w:bidi="ar"/>
              </w:rPr>
              <w:t>月/次</w:t>
            </w:r>
          </w:p>
        </w:tc>
        <w:tc>
          <w:tcPr>
            <w:tcW w:w="1630" w:type="pct"/>
            <w:vAlign w:val="center"/>
          </w:tcPr>
          <w:p w14:paraId="2B77965A">
            <w:pPr>
              <w:widowControl/>
              <w:jc w:val="center"/>
              <w:textAlignment w:val="center"/>
              <w:rPr>
                <w:rFonts w:hint="eastAsia" w:hAnsi="宋体" w:cs="宋体"/>
                <w:color w:val="000000"/>
                <w:sz w:val="24"/>
                <w:highlight w:val="none"/>
                <w:lang w:bidi="ar"/>
              </w:rPr>
            </w:pPr>
            <w:r>
              <w:rPr>
                <w:rFonts w:hint="eastAsia" w:hAnsi="宋体" w:cs="宋体"/>
                <w:color w:val="000000"/>
                <w:sz w:val="24"/>
                <w:highlight w:val="none"/>
                <w:lang w:bidi="ar"/>
              </w:rPr>
              <w:t>《安全系统运维故障处理报告》</w:t>
            </w:r>
          </w:p>
        </w:tc>
      </w:tr>
      <w:tr w14:paraId="45DE2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79" w:type="pct"/>
            <w:vAlign w:val="center"/>
          </w:tcPr>
          <w:p w14:paraId="2E7E7B72">
            <w:pPr>
              <w:widowControl/>
              <w:jc w:val="center"/>
              <w:textAlignment w:val="center"/>
              <w:rPr>
                <w:rFonts w:hint="eastAsia" w:hAnsi="宋体" w:cs="宋体"/>
                <w:color w:val="000000"/>
                <w:sz w:val="24"/>
                <w:highlight w:val="none"/>
                <w:lang w:bidi="ar"/>
              </w:rPr>
            </w:pPr>
            <w:r>
              <w:rPr>
                <w:rFonts w:hint="eastAsia" w:hAnsi="宋体" w:cs="宋体"/>
                <w:color w:val="000000"/>
                <w:sz w:val="24"/>
                <w:highlight w:val="none"/>
                <w:lang w:bidi="ar"/>
              </w:rPr>
              <w:t>7</w:t>
            </w:r>
          </w:p>
        </w:tc>
        <w:tc>
          <w:tcPr>
            <w:tcW w:w="407" w:type="pct"/>
            <w:vMerge w:val="continue"/>
            <w:vAlign w:val="center"/>
          </w:tcPr>
          <w:p w14:paraId="45529ACE">
            <w:pPr>
              <w:jc w:val="center"/>
              <w:rPr>
                <w:rFonts w:hint="eastAsia" w:hAnsi="宋体" w:cs="宋体"/>
                <w:color w:val="000000"/>
                <w:sz w:val="24"/>
                <w:highlight w:val="none"/>
              </w:rPr>
            </w:pPr>
          </w:p>
        </w:tc>
        <w:tc>
          <w:tcPr>
            <w:tcW w:w="746" w:type="pct"/>
            <w:vAlign w:val="center"/>
          </w:tcPr>
          <w:p w14:paraId="0D09BB3D">
            <w:pPr>
              <w:widowControl/>
              <w:jc w:val="center"/>
              <w:textAlignment w:val="center"/>
              <w:rPr>
                <w:rFonts w:hint="eastAsia" w:hAnsi="宋体" w:cs="宋体"/>
                <w:color w:val="000000"/>
                <w:sz w:val="24"/>
                <w:highlight w:val="none"/>
                <w:lang w:bidi="ar"/>
              </w:rPr>
            </w:pPr>
            <w:r>
              <w:rPr>
                <w:rFonts w:hint="eastAsia" w:hAnsi="宋体" w:cs="宋体"/>
                <w:color w:val="000000"/>
                <w:sz w:val="24"/>
                <w:highlight w:val="none"/>
                <w:lang w:bidi="ar"/>
              </w:rPr>
              <w:t>安全策略管理</w:t>
            </w:r>
          </w:p>
        </w:tc>
        <w:tc>
          <w:tcPr>
            <w:tcW w:w="1270" w:type="pct"/>
            <w:vAlign w:val="center"/>
          </w:tcPr>
          <w:p w14:paraId="4960C3F0">
            <w:pPr>
              <w:widowControl/>
              <w:jc w:val="center"/>
              <w:textAlignment w:val="center"/>
              <w:rPr>
                <w:rFonts w:hint="eastAsia" w:hAnsi="宋体" w:cs="宋体"/>
                <w:color w:val="000000"/>
                <w:sz w:val="24"/>
                <w:highlight w:val="none"/>
                <w:lang w:bidi="ar"/>
              </w:rPr>
            </w:pPr>
            <w:r>
              <w:rPr>
                <w:rFonts w:hint="eastAsia" w:hAnsi="宋体" w:cs="宋体"/>
                <w:color w:val="000000"/>
                <w:sz w:val="24"/>
                <w:highlight w:val="none"/>
                <w:lang w:bidi="ar"/>
              </w:rPr>
              <w:t>安全策略配置方案</w:t>
            </w:r>
          </w:p>
        </w:tc>
        <w:tc>
          <w:tcPr>
            <w:tcW w:w="567" w:type="pct"/>
            <w:vAlign w:val="center"/>
          </w:tcPr>
          <w:p w14:paraId="2049B18B">
            <w:pPr>
              <w:widowControl/>
              <w:jc w:val="center"/>
              <w:textAlignment w:val="center"/>
              <w:rPr>
                <w:rFonts w:hint="eastAsia" w:hAnsi="宋体" w:cs="宋体"/>
                <w:color w:val="000000"/>
                <w:sz w:val="24"/>
                <w:highlight w:val="none"/>
                <w:lang w:bidi="ar"/>
              </w:rPr>
            </w:pPr>
            <w:r>
              <w:rPr>
                <w:rFonts w:hint="eastAsia" w:hAnsi="宋体" w:cs="宋体"/>
                <w:color w:val="000000"/>
                <w:sz w:val="24"/>
                <w:highlight w:val="none"/>
                <w:lang w:bidi="ar"/>
              </w:rPr>
              <w:t>季度/次</w:t>
            </w:r>
          </w:p>
        </w:tc>
        <w:tc>
          <w:tcPr>
            <w:tcW w:w="1630" w:type="pct"/>
            <w:vAlign w:val="center"/>
          </w:tcPr>
          <w:p w14:paraId="462CF5CA">
            <w:pPr>
              <w:widowControl/>
              <w:jc w:val="center"/>
              <w:textAlignment w:val="center"/>
              <w:rPr>
                <w:rFonts w:hint="eastAsia" w:hAnsi="宋体" w:cs="宋体"/>
                <w:color w:val="000000"/>
                <w:sz w:val="24"/>
                <w:highlight w:val="none"/>
                <w:lang w:bidi="ar"/>
              </w:rPr>
            </w:pPr>
            <w:r>
              <w:rPr>
                <w:rFonts w:hint="eastAsia" w:hAnsi="宋体" w:cs="宋体"/>
                <w:color w:val="000000"/>
                <w:sz w:val="24"/>
                <w:highlight w:val="none"/>
                <w:lang w:bidi="ar"/>
              </w:rPr>
              <w:t>《安全策略配置方案》</w:t>
            </w:r>
          </w:p>
        </w:tc>
      </w:tr>
    </w:tbl>
    <w:p w14:paraId="7783C57C">
      <w:pPr>
        <w:snapToGrid w:val="0"/>
        <w:spacing w:line="360" w:lineRule="auto"/>
        <w:rPr>
          <w:rFonts w:hint="eastAsia" w:hAnsi="宋体" w:cs="宋体"/>
          <w:sz w:val="24"/>
          <w:highlight w:val="none"/>
        </w:rPr>
      </w:pPr>
    </w:p>
    <w:p w14:paraId="153C2547">
      <w:pPr>
        <w:snapToGrid w:val="0"/>
        <w:spacing w:line="360" w:lineRule="auto"/>
        <w:ind w:firstLine="482" w:firstLineChars="200"/>
        <w:rPr>
          <w:rFonts w:hint="eastAsia" w:hAnsi="宋体" w:cs="宋体"/>
          <w:b/>
          <w:sz w:val="24"/>
          <w:highlight w:val="none"/>
        </w:rPr>
      </w:pPr>
      <w:r>
        <w:rPr>
          <w:rFonts w:hint="eastAsia" w:hAnsi="宋体" w:cs="宋体"/>
          <w:b/>
          <w:sz w:val="24"/>
          <w:highlight w:val="none"/>
        </w:rPr>
        <w:t>二、项目联系人、职责范围及乙方实施团队约定</w:t>
      </w:r>
    </w:p>
    <w:p w14:paraId="3F6ED8C1">
      <w:pPr>
        <w:snapToGrid w:val="0"/>
        <w:spacing w:line="360" w:lineRule="auto"/>
        <w:ind w:firstLine="480" w:firstLineChars="200"/>
        <w:rPr>
          <w:rFonts w:hint="eastAsia" w:hAnsi="宋体" w:cs="宋体"/>
          <w:sz w:val="24"/>
          <w:highlight w:val="none"/>
        </w:rPr>
      </w:pPr>
      <w:r>
        <w:rPr>
          <w:rFonts w:hint="eastAsia" w:hAnsi="宋体" w:cs="宋体"/>
          <w:sz w:val="24"/>
          <w:highlight w:val="none"/>
        </w:rPr>
        <w:t>为保障该项目顺利完成，根据项目要求，乙方需确定项目联系人，便于项目实施过程中日常沟通协调、过程性联络和工作确认、项目沟通函收发等必要的协调配合。乙方联系人负责统筹成员承担的工作，包括项目参与人员分工、培训，项目进度、项目质量和项目内部审核，确保项目按甲方要求按时、保质保量完成。</w:t>
      </w:r>
    </w:p>
    <w:p w14:paraId="1A7E344A">
      <w:pPr>
        <w:snapToGrid w:val="0"/>
        <w:spacing w:line="360" w:lineRule="auto"/>
        <w:ind w:firstLine="480" w:firstLineChars="200"/>
        <w:rPr>
          <w:rFonts w:hint="eastAsia" w:hAnsi="宋体" w:cs="宋体"/>
          <w:sz w:val="24"/>
          <w:highlight w:val="none"/>
        </w:rPr>
      </w:pPr>
      <w:r>
        <w:rPr>
          <w:rFonts w:hint="eastAsia" w:hAnsi="宋体" w:cs="宋体"/>
          <w:sz w:val="24"/>
          <w:highlight w:val="none"/>
        </w:rPr>
        <w:t>乙方联系人员若有变化，须提前3个工作日以书面方式正式通知对方。乙方更换项目负责人的，需事先经甲方书面同意，并保证新的项目负责人具备实施本项目的工作能力及团队管理能力，同时不得因项目负责人变化影响项目工作质量及进度。但是乙方人员正常离职或者调岗不受到甲方限制及约束，无需甲方同意，需告知甲方并提供符合甲方要求的替换人员。</w:t>
      </w:r>
    </w:p>
    <w:p w14:paraId="76A8BBFE">
      <w:pPr>
        <w:snapToGrid w:val="0"/>
        <w:spacing w:line="360" w:lineRule="auto"/>
        <w:ind w:firstLine="480" w:firstLineChars="200"/>
        <w:rPr>
          <w:rFonts w:hint="eastAsia" w:hAnsi="宋体" w:cs="宋体"/>
          <w:sz w:val="24"/>
          <w:highlight w:val="none"/>
        </w:rPr>
      </w:pPr>
      <w:r>
        <w:rPr>
          <w:rFonts w:hint="eastAsia" w:hAnsi="宋体" w:cs="宋体"/>
          <w:sz w:val="24"/>
          <w:highlight w:val="none"/>
        </w:rPr>
        <w:t>双方明确，乙方应当对项目团队成员开展必要的安全生产教育培训。乙方团队成员履行本合同期间，发生的安全生产、意外等全部事故，由乙方自行妥善处理，给甲方或者其他第三方造成损失的，由乙方承担损失赔偿责任。</w:t>
      </w:r>
    </w:p>
    <w:p w14:paraId="4240F98E">
      <w:pPr>
        <w:snapToGrid w:val="0"/>
        <w:spacing w:line="360" w:lineRule="auto"/>
        <w:ind w:firstLine="482" w:firstLineChars="200"/>
        <w:rPr>
          <w:rFonts w:hint="eastAsia" w:hAnsi="宋体" w:cs="宋体"/>
          <w:b/>
          <w:sz w:val="24"/>
          <w:highlight w:val="none"/>
        </w:rPr>
      </w:pPr>
      <w:r>
        <w:rPr>
          <w:rFonts w:hint="eastAsia" w:hAnsi="宋体" w:cs="宋体"/>
          <w:b/>
          <w:sz w:val="24"/>
          <w:highlight w:val="none"/>
        </w:rPr>
        <w:t>三、项目实施、服务期限及地点</w:t>
      </w:r>
    </w:p>
    <w:p w14:paraId="51B2A735">
      <w:pPr>
        <w:snapToGrid w:val="0"/>
        <w:spacing w:line="360" w:lineRule="auto"/>
        <w:ind w:firstLine="480" w:firstLineChars="200"/>
        <w:rPr>
          <w:rFonts w:hint="eastAsia" w:hAnsi="宋体" w:cs="宋体"/>
          <w:sz w:val="24"/>
          <w:highlight w:val="none"/>
        </w:rPr>
      </w:pPr>
      <w:r>
        <w:rPr>
          <w:rFonts w:hint="eastAsia" w:hAnsi="宋体" w:cs="宋体"/>
          <w:sz w:val="24"/>
          <w:highlight w:val="none"/>
        </w:rPr>
        <w:t>（一）本项目服务期为合同签订后</w:t>
      </w:r>
      <w:r>
        <w:rPr>
          <w:rFonts w:hint="eastAsia" w:hAnsi="宋体" w:cs="宋体"/>
          <w:sz w:val="24"/>
          <w:highlight w:val="none"/>
          <w:u w:val="single"/>
        </w:rPr>
        <w:t xml:space="preserve"> 1 </w:t>
      </w:r>
      <w:r>
        <w:rPr>
          <w:rFonts w:hint="eastAsia" w:hAnsi="宋体" w:cs="宋体"/>
          <w:sz w:val="24"/>
          <w:highlight w:val="none"/>
        </w:rPr>
        <w:t>年，乙方应在项目服务期限内完成服务，并在服务期内为本服务提供可靠的运行保障。甲乙双方明确，项目具体实施周期可根据甲方工作要求进行适当调整，以甲乙双方协定完成日期和期限为准。</w:t>
      </w:r>
    </w:p>
    <w:p w14:paraId="4DC5884D">
      <w:pPr>
        <w:snapToGrid w:val="0"/>
        <w:spacing w:line="360" w:lineRule="auto"/>
        <w:ind w:firstLine="480" w:firstLineChars="200"/>
        <w:rPr>
          <w:rFonts w:hint="eastAsia" w:hAnsi="宋体" w:cs="宋体"/>
          <w:sz w:val="24"/>
          <w:highlight w:val="none"/>
        </w:rPr>
      </w:pPr>
      <w:r>
        <w:rPr>
          <w:rFonts w:hint="eastAsia" w:hAnsi="宋体" w:cs="宋体"/>
          <w:sz w:val="24"/>
          <w:highlight w:val="none"/>
        </w:rPr>
        <w:t>（二）服务地点：</w:t>
      </w:r>
      <w:r>
        <w:rPr>
          <w:rFonts w:hint="eastAsia" w:hAnsi="宋体" w:cs="宋体"/>
          <w:sz w:val="24"/>
          <w:highlight w:val="none"/>
          <w:u w:val="single"/>
        </w:rPr>
        <w:t>南宁市</w:t>
      </w:r>
      <w:r>
        <w:rPr>
          <w:rFonts w:hint="eastAsia" w:hAnsi="宋体" w:cs="宋体"/>
          <w:sz w:val="24"/>
          <w:highlight w:val="none"/>
        </w:rPr>
        <w:t>，具体地点根据实施项目任务需要，由甲方确定，具体地点不限于上述地点范围。</w:t>
      </w:r>
    </w:p>
    <w:p w14:paraId="2E0AC8F7">
      <w:pPr>
        <w:snapToGrid w:val="0"/>
        <w:spacing w:line="360" w:lineRule="auto"/>
        <w:ind w:firstLine="482" w:firstLineChars="200"/>
        <w:rPr>
          <w:rFonts w:hint="eastAsia" w:hAnsi="宋体" w:cs="宋体"/>
          <w:b/>
          <w:sz w:val="24"/>
          <w:highlight w:val="none"/>
        </w:rPr>
      </w:pPr>
      <w:r>
        <w:rPr>
          <w:rFonts w:hint="eastAsia" w:hAnsi="宋体" w:cs="宋体"/>
          <w:b/>
          <w:sz w:val="24"/>
          <w:highlight w:val="none"/>
        </w:rPr>
        <w:t>四、双方权利和义务</w:t>
      </w:r>
    </w:p>
    <w:p w14:paraId="6ECC8125">
      <w:pPr>
        <w:snapToGrid w:val="0"/>
        <w:spacing w:line="360" w:lineRule="auto"/>
        <w:ind w:firstLine="482" w:firstLineChars="200"/>
        <w:rPr>
          <w:rFonts w:hint="eastAsia" w:hAnsi="宋体" w:cs="宋体"/>
          <w:sz w:val="24"/>
          <w:highlight w:val="none"/>
        </w:rPr>
      </w:pPr>
      <w:r>
        <w:rPr>
          <w:rFonts w:hint="eastAsia" w:hAnsi="宋体" w:cs="宋体"/>
          <w:b/>
          <w:bCs/>
          <w:sz w:val="24"/>
          <w:highlight w:val="none"/>
        </w:rPr>
        <w:t>（一）甲方权利和义务</w:t>
      </w:r>
    </w:p>
    <w:p w14:paraId="36836B58">
      <w:pPr>
        <w:snapToGrid w:val="0"/>
        <w:spacing w:line="360" w:lineRule="auto"/>
        <w:ind w:firstLine="480" w:firstLineChars="200"/>
        <w:rPr>
          <w:rFonts w:hint="eastAsia" w:hAnsi="宋体" w:cs="宋体"/>
          <w:sz w:val="24"/>
          <w:highlight w:val="none"/>
        </w:rPr>
      </w:pPr>
      <w:r>
        <w:rPr>
          <w:rFonts w:hint="eastAsia" w:hAnsi="宋体" w:cs="宋体"/>
          <w:sz w:val="24"/>
          <w:highlight w:val="none"/>
        </w:rPr>
        <w:t>1、甲方应在职权及法律法规、规章许可的范围内，加强相互沟通合作。做好与各处室、各关联单位的沟通协调工作，确保各项服务工作顺利开展。</w:t>
      </w:r>
    </w:p>
    <w:p w14:paraId="6AB9CF08">
      <w:pPr>
        <w:snapToGrid w:val="0"/>
        <w:spacing w:line="360" w:lineRule="auto"/>
        <w:ind w:firstLine="480" w:firstLineChars="200"/>
        <w:rPr>
          <w:rFonts w:hint="eastAsia" w:hAnsi="宋体" w:cs="宋体"/>
          <w:sz w:val="24"/>
          <w:highlight w:val="none"/>
        </w:rPr>
      </w:pPr>
      <w:r>
        <w:rPr>
          <w:rFonts w:hint="eastAsia" w:hAnsi="宋体" w:cs="宋体"/>
          <w:sz w:val="24"/>
          <w:highlight w:val="none"/>
        </w:rPr>
        <w:t>2、甲方负责按照乙方的工作统筹建议，组织相关调度推进工作会议、培训活动等，协调相关公文的印发，检查监督乙方项目的实施情况，对项目实施工作过程进行确认，期间发生的各项费用，由乙方承担。</w:t>
      </w:r>
    </w:p>
    <w:p w14:paraId="75484B5B">
      <w:pPr>
        <w:snapToGrid w:val="0"/>
        <w:spacing w:line="360" w:lineRule="auto"/>
        <w:ind w:firstLine="480" w:firstLineChars="200"/>
        <w:rPr>
          <w:rFonts w:hint="eastAsia" w:hAnsi="宋体" w:cs="宋体"/>
          <w:sz w:val="24"/>
          <w:highlight w:val="none"/>
        </w:rPr>
      </w:pPr>
      <w:r>
        <w:rPr>
          <w:rFonts w:hint="eastAsia" w:hAnsi="宋体" w:cs="宋体"/>
          <w:sz w:val="24"/>
          <w:highlight w:val="none"/>
        </w:rPr>
        <w:t>3、甲方应按照合同约定及时间向乙方支付合同款。</w:t>
      </w:r>
    </w:p>
    <w:p w14:paraId="717FE003">
      <w:pPr>
        <w:snapToGrid w:val="0"/>
        <w:spacing w:line="360" w:lineRule="auto"/>
        <w:ind w:firstLine="480" w:firstLineChars="200"/>
        <w:rPr>
          <w:rFonts w:hint="eastAsia" w:hAnsi="宋体" w:cs="宋体"/>
          <w:sz w:val="24"/>
          <w:highlight w:val="none"/>
        </w:rPr>
      </w:pPr>
      <w:r>
        <w:rPr>
          <w:rFonts w:hint="eastAsia" w:hAnsi="宋体" w:cs="宋体"/>
          <w:sz w:val="24"/>
          <w:highlight w:val="none"/>
        </w:rPr>
        <w:t>4、项目实施和服务期限内，因国家政策变动、自然灾害、数据变化、不可抗力、技术变更等因素造成项目需要变更、完善的，甲方有权要求乙方配合成果修改。</w:t>
      </w:r>
    </w:p>
    <w:p w14:paraId="51C1B9F7">
      <w:pPr>
        <w:snapToGrid w:val="0"/>
        <w:spacing w:line="360" w:lineRule="auto"/>
        <w:ind w:firstLine="480" w:firstLineChars="200"/>
        <w:rPr>
          <w:rFonts w:hint="eastAsia" w:hAnsi="宋体" w:cs="宋体"/>
          <w:sz w:val="24"/>
          <w:highlight w:val="none"/>
        </w:rPr>
      </w:pPr>
      <w:r>
        <w:rPr>
          <w:rFonts w:hint="eastAsia" w:hAnsi="宋体" w:cs="宋体"/>
          <w:sz w:val="24"/>
          <w:highlight w:val="none"/>
        </w:rPr>
        <w:t>5、国家法律、法规所规定由甲方承担的其它责任。</w:t>
      </w:r>
    </w:p>
    <w:p w14:paraId="100821B5">
      <w:pPr>
        <w:snapToGrid w:val="0"/>
        <w:spacing w:line="360" w:lineRule="auto"/>
        <w:ind w:firstLine="480" w:firstLineChars="200"/>
        <w:rPr>
          <w:rFonts w:hint="eastAsia" w:hAnsi="宋体" w:cs="宋体"/>
          <w:sz w:val="24"/>
          <w:highlight w:val="none"/>
        </w:rPr>
      </w:pPr>
      <w:r>
        <w:rPr>
          <w:rFonts w:hint="eastAsia" w:hAnsi="宋体" w:cs="宋体"/>
          <w:sz w:val="24"/>
          <w:highlight w:val="none"/>
        </w:rPr>
        <w:t>（二）乙方的权利和义务</w:t>
      </w:r>
    </w:p>
    <w:p w14:paraId="2301E297">
      <w:pPr>
        <w:snapToGrid w:val="0"/>
        <w:spacing w:line="360" w:lineRule="auto"/>
        <w:ind w:firstLine="480" w:firstLineChars="200"/>
        <w:rPr>
          <w:rFonts w:hint="eastAsia" w:hAnsi="宋体" w:cs="宋体"/>
          <w:sz w:val="24"/>
          <w:highlight w:val="none"/>
        </w:rPr>
      </w:pPr>
      <w:r>
        <w:rPr>
          <w:rFonts w:hint="eastAsia" w:hAnsi="宋体" w:cs="宋体"/>
          <w:sz w:val="24"/>
          <w:highlight w:val="none"/>
        </w:rPr>
        <w:t>1、乙方应保质、保量完成项目合同约定的服务内容，根据工作进度需要，选派具有相应技术能力、业务能力的人员入驻甲方，为项目全过程提供技术支撑。</w:t>
      </w:r>
    </w:p>
    <w:p w14:paraId="1A5E796C">
      <w:pPr>
        <w:snapToGrid w:val="0"/>
        <w:spacing w:line="360" w:lineRule="auto"/>
        <w:ind w:firstLine="480" w:firstLineChars="200"/>
        <w:rPr>
          <w:rFonts w:hint="eastAsia" w:hAnsi="宋体" w:cs="宋体"/>
          <w:sz w:val="24"/>
          <w:highlight w:val="none"/>
        </w:rPr>
      </w:pPr>
      <w:r>
        <w:rPr>
          <w:rFonts w:hint="eastAsia" w:hAnsi="宋体" w:cs="宋体"/>
          <w:sz w:val="24"/>
          <w:highlight w:val="none"/>
        </w:rPr>
        <w:t>2、乙方根据工作需要接受甲方及政府有关部门的指导，接受甲方的过程监督，有权要求甲方提供合同约定的甲方职责范围内的必要的配合和帮助。</w:t>
      </w:r>
    </w:p>
    <w:p w14:paraId="3564F169">
      <w:pPr>
        <w:snapToGrid w:val="0"/>
        <w:spacing w:line="360" w:lineRule="auto"/>
        <w:ind w:firstLine="480" w:firstLineChars="200"/>
        <w:rPr>
          <w:rFonts w:hint="eastAsia" w:hAnsi="宋体" w:cs="宋体"/>
          <w:sz w:val="24"/>
          <w:highlight w:val="none"/>
        </w:rPr>
      </w:pPr>
      <w:r>
        <w:rPr>
          <w:rFonts w:hint="eastAsia" w:hAnsi="宋体" w:cs="宋体"/>
          <w:sz w:val="24"/>
          <w:highlight w:val="none"/>
        </w:rPr>
        <w:t>3、乙方应确保项目实施过程严格遵守国家有关法律、法规和规章制度。遵循中华人民共和国公布的现行有关法律、法令、法规、政策和标准、国家医疗保障局制定的医保行业有关规范和标准以及与本项目相关的其他规范和标准的最新版本执行。</w:t>
      </w:r>
    </w:p>
    <w:p w14:paraId="7C8E266D">
      <w:pPr>
        <w:snapToGrid w:val="0"/>
        <w:spacing w:line="360" w:lineRule="auto"/>
        <w:ind w:firstLine="480" w:firstLineChars="200"/>
        <w:rPr>
          <w:rFonts w:hint="eastAsia" w:hAnsi="宋体" w:cs="宋体"/>
          <w:sz w:val="24"/>
          <w:highlight w:val="none"/>
        </w:rPr>
      </w:pPr>
      <w:r>
        <w:rPr>
          <w:rFonts w:hint="eastAsia" w:hAnsi="宋体" w:cs="宋体"/>
          <w:sz w:val="24"/>
          <w:highlight w:val="none"/>
        </w:rPr>
        <w:t>4、乙方不得以任何名义向甲方关联单位及系统对接第三方收取接口开发、对接、调试相关的额外费用，所有接口相关服务均已包含在合同总价款中。</w:t>
      </w:r>
    </w:p>
    <w:p w14:paraId="74652944">
      <w:pPr>
        <w:snapToGrid w:val="0"/>
        <w:spacing w:line="360" w:lineRule="auto"/>
        <w:ind w:firstLine="480" w:firstLineChars="200"/>
        <w:rPr>
          <w:rFonts w:hint="eastAsia" w:hAnsi="宋体" w:cs="宋体"/>
          <w:sz w:val="24"/>
          <w:highlight w:val="none"/>
        </w:rPr>
      </w:pPr>
      <w:r>
        <w:rPr>
          <w:rFonts w:hint="eastAsia" w:hAnsi="宋体" w:cs="宋体"/>
          <w:sz w:val="24"/>
          <w:highlight w:val="none"/>
        </w:rPr>
        <w:t>5、乙方各单位负责各自项目验收所需的相关资料的准备及整理归档，并配合甲方完成项目验收。</w:t>
      </w:r>
    </w:p>
    <w:p w14:paraId="67ED17B4">
      <w:pPr>
        <w:snapToGrid w:val="0"/>
        <w:spacing w:line="360" w:lineRule="auto"/>
        <w:ind w:firstLine="480" w:firstLineChars="200"/>
        <w:rPr>
          <w:rFonts w:hint="eastAsia" w:hAnsi="宋体" w:cs="宋体"/>
          <w:sz w:val="24"/>
          <w:highlight w:val="none"/>
        </w:rPr>
      </w:pPr>
      <w:r>
        <w:rPr>
          <w:rFonts w:hint="eastAsia" w:hAnsi="宋体" w:cs="宋体"/>
          <w:sz w:val="24"/>
          <w:highlight w:val="none"/>
        </w:rPr>
        <w:t>6、乙方在项目实施过程中应严格遵守法律、法规和规章制度。遵守甲方相关标准规范要求，加强对派驻专业技术人员的安全管理和技术统筹，确保工作阳光操作、安全运行。</w:t>
      </w:r>
    </w:p>
    <w:p w14:paraId="0DB333ED">
      <w:pPr>
        <w:snapToGrid w:val="0"/>
        <w:spacing w:line="360" w:lineRule="auto"/>
        <w:ind w:firstLine="480" w:firstLineChars="200"/>
        <w:rPr>
          <w:rFonts w:hint="eastAsia" w:hAnsi="宋体" w:cs="宋体"/>
          <w:sz w:val="24"/>
          <w:highlight w:val="none"/>
        </w:rPr>
      </w:pPr>
      <w:r>
        <w:rPr>
          <w:rFonts w:hint="eastAsia" w:hAnsi="宋体" w:cs="宋体"/>
          <w:sz w:val="24"/>
          <w:highlight w:val="none"/>
        </w:rPr>
        <w:t>7、项目实施和服务期限内，因国家政策变动、自然灾害数据变化、不可抗力、技术变更等因素造成项目需要变更、完善的，乙方有权要求甲方提供以上变动所必需的相关政策、文件、数据及完成修改工作所必要的其他条件。</w:t>
      </w:r>
    </w:p>
    <w:p w14:paraId="2EDBD547">
      <w:pPr>
        <w:snapToGrid w:val="0"/>
        <w:spacing w:line="360" w:lineRule="auto"/>
        <w:ind w:firstLine="480" w:firstLineChars="200"/>
        <w:rPr>
          <w:rFonts w:hint="eastAsia" w:hAnsi="宋体" w:cs="宋体"/>
          <w:sz w:val="24"/>
          <w:highlight w:val="none"/>
        </w:rPr>
      </w:pPr>
      <w:r>
        <w:rPr>
          <w:rFonts w:hint="eastAsia" w:hAnsi="宋体" w:cs="宋体"/>
          <w:sz w:val="24"/>
          <w:highlight w:val="none"/>
        </w:rPr>
        <w:t>8、国家法律、法规所规定由乙方承担的其它责任。</w:t>
      </w:r>
    </w:p>
    <w:p w14:paraId="4291D7E3">
      <w:pPr>
        <w:snapToGrid w:val="0"/>
        <w:spacing w:line="360" w:lineRule="auto"/>
        <w:ind w:firstLine="482" w:firstLineChars="200"/>
        <w:rPr>
          <w:rFonts w:hint="eastAsia" w:hAnsi="宋体" w:cs="宋体"/>
          <w:sz w:val="24"/>
          <w:highlight w:val="none"/>
          <w:u w:val="single"/>
        </w:rPr>
      </w:pPr>
      <w:r>
        <w:rPr>
          <w:rFonts w:hint="eastAsia" w:hAnsi="宋体" w:cs="宋体"/>
          <w:b/>
          <w:sz w:val="24"/>
          <w:highlight w:val="none"/>
        </w:rPr>
        <w:t>五、项目验收</w:t>
      </w:r>
    </w:p>
    <w:p w14:paraId="70140A29">
      <w:pPr>
        <w:snapToGrid w:val="0"/>
        <w:spacing w:line="360" w:lineRule="auto"/>
        <w:ind w:firstLine="480" w:firstLineChars="200"/>
        <w:rPr>
          <w:rFonts w:hint="eastAsia" w:hAnsi="宋体" w:cs="宋体"/>
          <w:sz w:val="24"/>
          <w:highlight w:val="none"/>
        </w:rPr>
      </w:pPr>
      <w:r>
        <w:rPr>
          <w:rFonts w:hint="eastAsia" w:hAnsi="宋体" w:cs="宋体"/>
          <w:sz w:val="24"/>
          <w:highlight w:val="none"/>
        </w:rPr>
        <w:t>以甲方验收要求为准，并对验收标准拥有解释权。</w:t>
      </w:r>
    </w:p>
    <w:p w14:paraId="4BD6B9E9">
      <w:pPr>
        <w:snapToGrid w:val="0"/>
        <w:spacing w:line="360" w:lineRule="auto"/>
        <w:ind w:firstLine="480" w:firstLineChars="200"/>
        <w:rPr>
          <w:rFonts w:hint="eastAsia" w:hAnsi="宋体" w:cs="宋体"/>
          <w:sz w:val="24"/>
          <w:highlight w:val="none"/>
        </w:rPr>
      </w:pPr>
      <w:r>
        <w:rPr>
          <w:rFonts w:hint="eastAsia" w:hAnsi="宋体" w:cs="宋体"/>
          <w:sz w:val="24"/>
          <w:highlight w:val="none"/>
        </w:rPr>
        <w:t>（一）乙方按完成和服务期限要求，对提供的服务内容和成果做出全面自查和整理，并列出清单，做好相关资料的整理和归档，作为甲方验收的依据；</w:t>
      </w:r>
    </w:p>
    <w:p w14:paraId="07A6F298">
      <w:pPr>
        <w:snapToGrid w:val="0"/>
        <w:spacing w:line="360" w:lineRule="auto"/>
        <w:ind w:firstLine="480" w:firstLineChars="200"/>
        <w:rPr>
          <w:rFonts w:hint="eastAsia" w:hAnsi="宋体" w:cs="宋体"/>
          <w:sz w:val="24"/>
          <w:highlight w:val="none"/>
        </w:rPr>
      </w:pPr>
      <w:r>
        <w:rPr>
          <w:rFonts w:hint="eastAsia" w:hAnsi="宋体" w:cs="宋体"/>
          <w:sz w:val="24"/>
          <w:highlight w:val="none"/>
        </w:rPr>
        <w:t>（二）甲方依据乙方提交的各类成果资料，组织开展项目验收，通过验收后由甲方出具项目验收报告。若项目经甲方或相关单位验收未通过，乙方应及时整改，直至通过甲方及相关单位的验收时止，因此产生的费用由乙方全部承担。</w:t>
      </w:r>
    </w:p>
    <w:p w14:paraId="2AB5679E">
      <w:pPr>
        <w:pStyle w:val="2"/>
        <w:ind w:firstLine="240"/>
        <w:rPr>
          <w:highlight w:val="none"/>
        </w:rPr>
      </w:pPr>
      <w:r>
        <w:rPr>
          <w:rFonts w:hint="eastAsia" w:hAnsi="宋体" w:cs="宋体"/>
          <w:sz w:val="24"/>
          <w:highlight w:val="none"/>
        </w:rPr>
        <w:t>（三）双方约定本项目运维服务实行绩效考核制度，考核周期为半年一次，具体考核规则、评分标准按照《广西壮族自治区医疗保障信息平台运维服务考核管理办法》执行。甲方依该办法实施考核管理，乙方自愿接受考核约束，考核结果作为验收依据。</w:t>
      </w:r>
    </w:p>
    <w:p w14:paraId="0C54ED4C">
      <w:pPr>
        <w:snapToGrid w:val="0"/>
        <w:spacing w:line="360" w:lineRule="auto"/>
        <w:ind w:firstLine="482" w:firstLineChars="200"/>
        <w:rPr>
          <w:rFonts w:hint="eastAsia" w:hAnsi="宋体" w:cs="宋体"/>
          <w:b/>
          <w:sz w:val="24"/>
          <w:highlight w:val="none"/>
        </w:rPr>
      </w:pPr>
      <w:r>
        <w:rPr>
          <w:rFonts w:hint="eastAsia" w:hAnsi="宋体" w:cs="宋体"/>
          <w:b/>
          <w:sz w:val="24"/>
          <w:highlight w:val="none"/>
        </w:rPr>
        <w:t>六、合同金额及付款方式</w:t>
      </w:r>
    </w:p>
    <w:p w14:paraId="3120285E">
      <w:pPr>
        <w:snapToGrid w:val="0"/>
        <w:spacing w:line="360" w:lineRule="auto"/>
        <w:ind w:firstLine="482" w:firstLineChars="200"/>
        <w:rPr>
          <w:rFonts w:hint="eastAsia" w:hAnsi="宋体" w:cs="宋体"/>
          <w:b/>
          <w:bCs/>
          <w:sz w:val="24"/>
          <w:highlight w:val="none"/>
        </w:rPr>
      </w:pPr>
      <w:r>
        <w:rPr>
          <w:rFonts w:hint="eastAsia" w:hAnsi="宋体" w:cs="宋体"/>
          <w:b/>
          <w:bCs/>
          <w:sz w:val="24"/>
          <w:highlight w:val="none"/>
        </w:rPr>
        <w:t>（一）本合同总金额：大写人民币</w:t>
      </w:r>
      <w:r>
        <w:rPr>
          <w:rFonts w:hint="eastAsia" w:hAnsi="宋体" w:cs="宋体"/>
          <w:b/>
          <w:bCs/>
          <w:sz w:val="24"/>
          <w:highlight w:val="none"/>
          <w:u w:val="single"/>
        </w:rPr>
        <w:t xml:space="preserve">        </w:t>
      </w:r>
      <w:r>
        <w:rPr>
          <w:rFonts w:hint="eastAsia" w:hAnsi="宋体" w:cs="宋体"/>
          <w:b/>
          <w:bCs/>
          <w:sz w:val="24"/>
          <w:highlight w:val="none"/>
        </w:rPr>
        <w:t>元,小写（¥</w:t>
      </w:r>
      <w:r>
        <w:rPr>
          <w:rFonts w:hint="eastAsia" w:hAnsi="宋体" w:cs="宋体"/>
          <w:b/>
          <w:bCs/>
          <w:sz w:val="24"/>
          <w:highlight w:val="none"/>
          <w:u w:val="single"/>
        </w:rPr>
        <w:t xml:space="preserve">            </w:t>
      </w:r>
      <w:r>
        <w:rPr>
          <w:rFonts w:hint="eastAsia" w:hAnsi="宋体" w:cs="宋体"/>
          <w:b/>
          <w:bCs/>
          <w:sz w:val="24"/>
          <w:highlight w:val="none"/>
        </w:rPr>
        <w:t>）。</w:t>
      </w:r>
    </w:p>
    <w:p w14:paraId="39B97AFC">
      <w:pPr>
        <w:snapToGrid w:val="0"/>
        <w:spacing w:line="360" w:lineRule="auto"/>
        <w:ind w:firstLine="480" w:firstLineChars="200"/>
        <w:rPr>
          <w:rFonts w:hint="eastAsia" w:hAnsi="宋体" w:cs="宋体"/>
          <w:sz w:val="24"/>
          <w:highlight w:val="none"/>
        </w:rPr>
      </w:pPr>
      <w:r>
        <w:rPr>
          <w:rFonts w:hint="eastAsia" w:hAnsi="宋体" w:cs="宋体"/>
          <w:sz w:val="24"/>
          <w:highlight w:val="none"/>
        </w:rPr>
        <w:t>甲乙双方明确，上述合同价款为乙方实施本合同约定服务事项，并达到甲方验收合格标准，合同履行过程中，采购人不再支付任何费用。包括但不限于：</w:t>
      </w:r>
    </w:p>
    <w:p w14:paraId="1BAFF169">
      <w:pPr>
        <w:snapToGrid w:val="0"/>
        <w:spacing w:line="360" w:lineRule="auto"/>
        <w:ind w:firstLine="480" w:firstLineChars="200"/>
        <w:rPr>
          <w:rFonts w:hint="eastAsia" w:hAnsi="宋体" w:cs="宋体"/>
          <w:sz w:val="24"/>
          <w:highlight w:val="none"/>
        </w:rPr>
      </w:pPr>
      <w:r>
        <w:rPr>
          <w:rFonts w:hint="eastAsia" w:hAnsi="宋体" w:cs="宋体"/>
          <w:sz w:val="24"/>
          <w:highlight w:val="none"/>
        </w:rPr>
        <w:t>1.服务的费用，包括技术支持、培训、运维服务、驻场服务（如有）、交通费、差旅费、住宿费、伙食费、通讯费等；</w:t>
      </w:r>
    </w:p>
    <w:p w14:paraId="47CD1725">
      <w:pPr>
        <w:snapToGrid w:val="0"/>
        <w:spacing w:line="360" w:lineRule="auto"/>
        <w:ind w:firstLine="480" w:firstLineChars="200"/>
        <w:rPr>
          <w:rFonts w:hint="eastAsia" w:hAnsi="宋体" w:cs="宋体"/>
          <w:sz w:val="24"/>
          <w:highlight w:val="none"/>
        </w:rPr>
      </w:pPr>
      <w:r>
        <w:rPr>
          <w:rFonts w:hint="eastAsia" w:hAnsi="宋体" w:cs="宋体"/>
          <w:sz w:val="24"/>
          <w:highlight w:val="none"/>
        </w:rPr>
        <w:t>2.必要的代理服务费、保险费用和各项税金；</w:t>
      </w:r>
    </w:p>
    <w:p w14:paraId="21FDC3A8">
      <w:pPr>
        <w:snapToGrid w:val="0"/>
        <w:spacing w:line="360" w:lineRule="auto"/>
        <w:ind w:firstLine="480" w:firstLineChars="200"/>
        <w:rPr>
          <w:rFonts w:hint="eastAsia" w:hAnsi="宋体" w:cs="宋体"/>
          <w:sz w:val="24"/>
          <w:highlight w:val="none"/>
        </w:rPr>
      </w:pPr>
      <w:r>
        <w:rPr>
          <w:rFonts w:hint="eastAsia" w:hAnsi="宋体" w:cs="宋体"/>
          <w:sz w:val="24"/>
          <w:highlight w:val="none"/>
        </w:rPr>
        <w:t>3.服务时所需的备品和备件的费用；</w:t>
      </w:r>
    </w:p>
    <w:p w14:paraId="1F47B603">
      <w:pPr>
        <w:snapToGrid w:val="0"/>
        <w:spacing w:line="360" w:lineRule="auto"/>
        <w:ind w:firstLine="480" w:firstLineChars="200"/>
        <w:rPr>
          <w:rFonts w:hint="eastAsia" w:hAnsi="宋体" w:cs="宋体"/>
          <w:sz w:val="24"/>
          <w:highlight w:val="none"/>
        </w:rPr>
      </w:pPr>
      <w:r>
        <w:rPr>
          <w:rFonts w:hint="eastAsia" w:hAnsi="宋体" w:cs="宋体"/>
          <w:sz w:val="24"/>
          <w:highlight w:val="none"/>
        </w:rPr>
        <w:t>4.根据合同规定，履行合同可能产生的其他费用。</w:t>
      </w:r>
    </w:p>
    <w:p w14:paraId="1D1E4A7D">
      <w:pPr>
        <w:snapToGrid w:val="0"/>
        <w:spacing w:line="360" w:lineRule="auto"/>
        <w:ind w:firstLine="482" w:firstLineChars="200"/>
        <w:rPr>
          <w:rFonts w:hint="eastAsia" w:hAnsi="宋体" w:cs="宋体"/>
          <w:b/>
          <w:bCs/>
          <w:sz w:val="24"/>
          <w:highlight w:val="none"/>
        </w:rPr>
      </w:pPr>
      <w:r>
        <w:rPr>
          <w:rFonts w:hint="eastAsia" w:hAnsi="宋体" w:cs="宋体"/>
          <w:b/>
          <w:bCs/>
          <w:sz w:val="24"/>
          <w:highlight w:val="none"/>
        </w:rPr>
        <w:t>（二）付款方式：</w:t>
      </w:r>
    </w:p>
    <w:p w14:paraId="2E1C5622">
      <w:pPr>
        <w:snapToGrid w:val="0"/>
        <w:spacing w:line="360" w:lineRule="auto"/>
        <w:ind w:firstLine="482" w:firstLineChars="200"/>
        <w:rPr>
          <w:rFonts w:hint="eastAsia" w:hAnsi="宋体" w:cs="宋体"/>
          <w:sz w:val="24"/>
          <w:highlight w:val="none"/>
        </w:rPr>
      </w:pPr>
      <w:r>
        <w:rPr>
          <w:rFonts w:hint="eastAsia" w:hAnsi="宋体" w:cs="宋体"/>
          <w:b/>
          <w:bCs/>
          <w:sz w:val="24"/>
          <w:highlight w:val="none"/>
        </w:rPr>
        <w:t>货款支付</w:t>
      </w:r>
    </w:p>
    <w:p w14:paraId="10211D16">
      <w:pPr>
        <w:snapToGrid w:val="0"/>
        <w:spacing w:line="360" w:lineRule="auto"/>
        <w:ind w:firstLine="480" w:firstLineChars="200"/>
        <w:rPr>
          <w:rFonts w:hint="eastAsia" w:hAnsi="宋体" w:cs="宋体"/>
          <w:sz w:val="24"/>
          <w:highlight w:val="none"/>
        </w:rPr>
      </w:pPr>
      <w:r>
        <w:rPr>
          <w:rFonts w:hint="eastAsia" w:hAnsi="宋体" w:cs="宋体"/>
          <w:sz w:val="24"/>
          <w:highlight w:val="none"/>
        </w:rPr>
        <w:t>第一次付款：</w:t>
      </w:r>
      <w:r>
        <w:rPr>
          <w:rFonts w:hint="eastAsia" w:hAnsi="宋体" w:cs="宋体"/>
          <w:sz w:val="24"/>
          <w:highlight w:val="none"/>
          <w:u w:val="single"/>
        </w:rPr>
        <w:t>完成合同签订后，甲方自收到乙方提供的相应金额发票后</w:t>
      </w:r>
      <w:r>
        <w:rPr>
          <w:rFonts w:hint="eastAsia" w:hAnsi="宋体" w:cs="宋体"/>
          <w:sz w:val="24"/>
          <w:highlight w:val="none"/>
        </w:rPr>
        <w:t>15个工作日内，甲方向乙方支付合同总额的30%；</w:t>
      </w:r>
    </w:p>
    <w:p w14:paraId="61659A73">
      <w:pPr>
        <w:snapToGrid w:val="0"/>
        <w:spacing w:line="360" w:lineRule="auto"/>
        <w:ind w:firstLine="480" w:firstLineChars="200"/>
        <w:rPr>
          <w:rFonts w:hint="eastAsia" w:hAnsi="宋体" w:cs="宋体"/>
          <w:sz w:val="24"/>
          <w:highlight w:val="none"/>
        </w:rPr>
      </w:pPr>
      <w:r>
        <w:rPr>
          <w:rFonts w:hint="eastAsia" w:hAnsi="宋体" w:cs="宋体"/>
          <w:sz w:val="24"/>
          <w:highlight w:val="none"/>
        </w:rPr>
        <w:t>第二次付款：</w:t>
      </w:r>
      <w:r>
        <w:rPr>
          <w:rFonts w:hint="eastAsia" w:hAnsi="宋体" w:cs="宋体"/>
          <w:sz w:val="24"/>
          <w:highlight w:val="none"/>
          <w:u w:val="single"/>
        </w:rPr>
        <w:t>服务期满50%周期后，甲方自收到乙方提供的相应金额发票后</w:t>
      </w:r>
      <w:r>
        <w:rPr>
          <w:rFonts w:hint="eastAsia" w:hAnsi="宋体" w:cs="宋体"/>
          <w:sz w:val="24"/>
          <w:highlight w:val="none"/>
        </w:rPr>
        <w:t>15个工作日内，甲方向乙方支付合同总额的50%；</w:t>
      </w:r>
    </w:p>
    <w:p w14:paraId="11E3163B">
      <w:pPr>
        <w:snapToGrid w:val="0"/>
        <w:spacing w:line="360" w:lineRule="auto"/>
        <w:ind w:firstLine="480" w:firstLineChars="200"/>
        <w:rPr>
          <w:rFonts w:hint="eastAsia" w:hAnsi="宋体" w:cs="宋体"/>
          <w:sz w:val="24"/>
          <w:highlight w:val="none"/>
        </w:rPr>
      </w:pPr>
      <w:r>
        <w:rPr>
          <w:rFonts w:hint="eastAsia" w:hAnsi="宋体" w:cs="宋体"/>
          <w:sz w:val="24"/>
          <w:highlight w:val="none"/>
        </w:rPr>
        <w:t>第三次付款：</w:t>
      </w:r>
      <w:r>
        <w:rPr>
          <w:rFonts w:hint="eastAsia" w:hAnsi="宋体" w:cs="宋体"/>
          <w:sz w:val="24"/>
          <w:highlight w:val="none"/>
          <w:u w:val="single"/>
        </w:rPr>
        <w:t>完成项目验收后，甲方自收到乙方提供的相应金额发票后</w:t>
      </w:r>
      <w:r>
        <w:rPr>
          <w:rFonts w:hint="eastAsia" w:hAnsi="宋体" w:cs="宋体"/>
          <w:sz w:val="24"/>
          <w:highlight w:val="none"/>
        </w:rPr>
        <w:t>15个工作日内，甲方向乙方支付合同总额的20%；</w:t>
      </w:r>
    </w:p>
    <w:p w14:paraId="4FD890DA">
      <w:pPr>
        <w:snapToGrid w:val="0"/>
        <w:spacing w:line="360" w:lineRule="auto"/>
        <w:ind w:firstLine="482" w:firstLineChars="200"/>
        <w:rPr>
          <w:rFonts w:hint="eastAsia" w:hAnsi="宋体" w:cs="宋体"/>
          <w:sz w:val="24"/>
          <w:highlight w:val="none"/>
        </w:rPr>
      </w:pPr>
      <w:r>
        <w:rPr>
          <w:rFonts w:hint="eastAsia" w:hAnsi="宋体" w:cs="宋体"/>
          <w:b/>
          <w:bCs/>
          <w:sz w:val="24"/>
          <w:highlight w:val="none"/>
        </w:rPr>
        <w:t>（三）乙方单位开户银行名称和账号为：</w:t>
      </w:r>
    </w:p>
    <w:p w14:paraId="4239D69C">
      <w:pPr>
        <w:snapToGrid w:val="0"/>
        <w:spacing w:line="360" w:lineRule="auto"/>
        <w:ind w:firstLine="480" w:firstLineChars="200"/>
        <w:rPr>
          <w:rFonts w:hint="eastAsia" w:hAnsi="宋体" w:cs="宋体"/>
          <w:sz w:val="24"/>
          <w:highlight w:val="none"/>
        </w:rPr>
      </w:pPr>
      <w:r>
        <w:rPr>
          <w:rFonts w:hint="eastAsia" w:hAnsi="宋体" w:cs="宋体"/>
          <w:sz w:val="24"/>
          <w:highlight w:val="none"/>
        </w:rPr>
        <w:t>账户名称：</w:t>
      </w:r>
      <w:r>
        <w:rPr>
          <w:rFonts w:hint="eastAsia" w:hAnsi="宋体" w:cs="宋体"/>
          <w:sz w:val="24"/>
          <w:highlight w:val="none"/>
          <w:u w:val="single"/>
        </w:rPr>
        <w:t xml:space="preserve">                </w:t>
      </w:r>
    </w:p>
    <w:p w14:paraId="3FEAE93A">
      <w:pPr>
        <w:snapToGrid w:val="0"/>
        <w:spacing w:line="360" w:lineRule="auto"/>
        <w:ind w:firstLine="480" w:firstLineChars="200"/>
        <w:rPr>
          <w:rFonts w:hint="eastAsia" w:hAnsi="宋体" w:cs="宋体"/>
          <w:sz w:val="24"/>
          <w:highlight w:val="none"/>
        </w:rPr>
      </w:pPr>
      <w:r>
        <w:rPr>
          <w:rFonts w:hint="eastAsia" w:hAnsi="宋体" w:cs="宋体"/>
          <w:sz w:val="24"/>
          <w:highlight w:val="none"/>
        </w:rPr>
        <w:t>开户银行：</w:t>
      </w:r>
      <w:r>
        <w:rPr>
          <w:rFonts w:hint="eastAsia" w:hAnsi="宋体" w:cs="宋体"/>
          <w:sz w:val="24"/>
          <w:highlight w:val="none"/>
          <w:u w:val="single"/>
        </w:rPr>
        <w:t xml:space="preserve">                </w:t>
      </w:r>
    </w:p>
    <w:p w14:paraId="320225A5">
      <w:pPr>
        <w:snapToGrid w:val="0"/>
        <w:spacing w:line="360" w:lineRule="auto"/>
        <w:ind w:firstLine="480" w:firstLineChars="200"/>
        <w:rPr>
          <w:rFonts w:hint="eastAsia" w:hAnsi="宋体" w:cs="宋体"/>
          <w:sz w:val="24"/>
          <w:highlight w:val="none"/>
        </w:rPr>
      </w:pPr>
      <w:r>
        <w:rPr>
          <w:rFonts w:hint="eastAsia" w:hAnsi="宋体" w:cs="宋体"/>
          <w:sz w:val="24"/>
          <w:highlight w:val="none"/>
        </w:rPr>
        <w:t>账号：</w:t>
      </w:r>
      <w:r>
        <w:rPr>
          <w:rFonts w:hint="eastAsia" w:hAnsi="宋体" w:cs="宋体"/>
          <w:sz w:val="24"/>
          <w:highlight w:val="none"/>
          <w:u w:val="single"/>
        </w:rPr>
        <w:t xml:space="preserve">                 </w:t>
      </w:r>
    </w:p>
    <w:p w14:paraId="176B0109">
      <w:pPr>
        <w:snapToGrid w:val="0"/>
        <w:spacing w:line="360" w:lineRule="auto"/>
        <w:ind w:firstLine="482" w:firstLineChars="200"/>
        <w:rPr>
          <w:rFonts w:hint="eastAsia" w:hAnsi="宋体" w:cs="宋体"/>
          <w:sz w:val="24"/>
          <w:highlight w:val="none"/>
        </w:rPr>
      </w:pPr>
      <w:r>
        <w:rPr>
          <w:rFonts w:hint="eastAsia" w:hAnsi="宋体" w:cs="宋体"/>
          <w:b/>
          <w:sz w:val="24"/>
          <w:highlight w:val="none"/>
        </w:rPr>
        <w:t>七、知识产权和保密管理</w:t>
      </w:r>
    </w:p>
    <w:p w14:paraId="7F1384CA">
      <w:pPr>
        <w:snapToGrid w:val="0"/>
        <w:spacing w:line="360" w:lineRule="auto"/>
        <w:ind w:firstLine="480" w:firstLineChars="200"/>
        <w:rPr>
          <w:rFonts w:hint="eastAsia" w:hAnsi="宋体" w:cs="宋体"/>
          <w:sz w:val="24"/>
          <w:highlight w:val="none"/>
        </w:rPr>
      </w:pPr>
      <w:r>
        <w:rPr>
          <w:rFonts w:hint="eastAsia" w:hAnsi="宋体" w:cs="宋体"/>
          <w:sz w:val="24"/>
          <w:highlight w:val="none"/>
        </w:rPr>
        <w:t>（一）乙方保证其合同履行过程及其向甲方提供的工作成果不侵犯任何第三方的合法权利，包括但不限于专利权、商标权、著作权及其邻接权和其他权利。乙方在本次服务过程中收集、整理及生成的资料数据、项目源代码及相关成果的知识产权归甲方所有。乙方违反本协议知识产权约定，给甲方造成损失的，由乙方各单位根据违约情况分别承担损失赔偿责任，乙方各单位责任无法区分的，由乙方单位共同连带承担。</w:t>
      </w:r>
    </w:p>
    <w:p w14:paraId="2ADA4760">
      <w:pPr>
        <w:snapToGrid w:val="0"/>
        <w:spacing w:line="360" w:lineRule="auto"/>
        <w:ind w:firstLine="480" w:firstLineChars="200"/>
        <w:rPr>
          <w:rFonts w:hint="eastAsia" w:hAnsi="宋体" w:cs="宋体"/>
          <w:sz w:val="24"/>
          <w:highlight w:val="none"/>
        </w:rPr>
      </w:pPr>
      <w:r>
        <w:rPr>
          <w:rFonts w:hint="eastAsia" w:hAnsi="宋体" w:cs="宋体"/>
          <w:sz w:val="24"/>
          <w:highlight w:val="none"/>
        </w:rPr>
        <w:t>（二）乙方不得向任何第三方（甲方指定的协作单位或审查同意的除外）披露所接触到的或以其他任何方式获知的医保数据和保密资料，也不得为其他目的而引用。未经甲方书面同意，乙方不得将本合同及其成果用于其他用途或泄露给第三方。乙方完成本项目实施后，应及时将所有资料移交甲方。</w:t>
      </w:r>
    </w:p>
    <w:p w14:paraId="12F0E972">
      <w:pPr>
        <w:snapToGrid w:val="0"/>
        <w:spacing w:line="360" w:lineRule="auto"/>
        <w:ind w:firstLine="480" w:firstLineChars="200"/>
        <w:rPr>
          <w:rFonts w:hint="eastAsia" w:hAnsi="宋体" w:cs="宋体"/>
          <w:sz w:val="24"/>
          <w:highlight w:val="none"/>
        </w:rPr>
      </w:pPr>
      <w:r>
        <w:rPr>
          <w:rFonts w:hint="eastAsia" w:hAnsi="宋体" w:cs="宋体"/>
          <w:sz w:val="24"/>
          <w:highlight w:val="none"/>
        </w:rPr>
        <w:t>（三）对医保数据、保密资料承担责任的范围包括乙方以及乙方的工作人员。乙方员工因违反本合同中的保密信息而给对方造成损失的，该员工所在单位应承担相应的责任。</w:t>
      </w:r>
    </w:p>
    <w:p w14:paraId="3F387D66">
      <w:pPr>
        <w:snapToGrid w:val="0"/>
        <w:spacing w:line="360" w:lineRule="auto"/>
        <w:ind w:firstLine="480" w:firstLineChars="200"/>
        <w:rPr>
          <w:rFonts w:hint="eastAsia" w:hAnsi="宋体" w:cs="宋体"/>
          <w:sz w:val="24"/>
          <w:highlight w:val="none"/>
        </w:rPr>
      </w:pPr>
      <w:r>
        <w:rPr>
          <w:rFonts w:hint="eastAsia" w:hAnsi="宋体" w:cs="宋体"/>
          <w:sz w:val="24"/>
          <w:highlight w:val="none"/>
        </w:rPr>
        <w:t>（四）乙方若出现违反本条第一至三款约定的情形，</w:t>
      </w:r>
      <w:bookmarkStart w:id="125" w:name="_Hlk230029060"/>
      <w:r>
        <w:rPr>
          <w:rFonts w:hint="eastAsia" w:hAnsi="宋体" w:cs="宋体"/>
          <w:sz w:val="24"/>
          <w:highlight w:val="none"/>
        </w:rPr>
        <w:t>赔偿甲方因此遭受的全部损失</w:t>
      </w:r>
      <w:bookmarkEnd w:id="125"/>
      <w:r>
        <w:rPr>
          <w:rFonts w:hint="eastAsia" w:hAnsi="宋体" w:cs="宋体"/>
          <w:sz w:val="24"/>
          <w:highlight w:val="none"/>
        </w:rPr>
        <w:t>。</w:t>
      </w:r>
    </w:p>
    <w:p w14:paraId="752F9ABA">
      <w:pPr>
        <w:snapToGrid w:val="0"/>
        <w:spacing w:line="360" w:lineRule="auto"/>
        <w:ind w:firstLine="482" w:firstLineChars="200"/>
        <w:rPr>
          <w:rFonts w:hint="eastAsia" w:hAnsi="宋体" w:cs="宋体"/>
          <w:b/>
          <w:sz w:val="24"/>
          <w:highlight w:val="none"/>
        </w:rPr>
      </w:pPr>
      <w:r>
        <w:rPr>
          <w:rFonts w:hint="eastAsia" w:hAnsi="宋体" w:cs="宋体"/>
          <w:b/>
          <w:sz w:val="24"/>
          <w:highlight w:val="none"/>
        </w:rPr>
        <w:t>八、违约责任</w:t>
      </w:r>
    </w:p>
    <w:p w14:paraId="3E4FC842">
      <w:pPr>
        <w:snapToGrid w:val="0"/>
        <w:spacing w:line="360" w:lineRule="auto"/>
        <w:ind w:firstLine="480" w:firstLineChars="200"/>
        <w:rPr>
          <w:rFonts w:hint="eastAsia" w:hAnsi="宋体" w:cs="宋体"/>
          <w:bCs/>
          <w:sz w:val="24"/>
          <w:highlight w:val="none"/>
        </w:rPr>
      </w:pPr>
      <w:r>
        <w:rPr>
          <w:rFonts w:hint="eastAsia" w:hAnsi="宋体" w:cs="宋体"/>
          <w:bCs/>
          <w:sz w:val="24"/>
          <w:highlight w:val="none"/>
        </w:rPr>
        <w:t>（一）乙方各单位提供的服务存在以下情况的属于重大违约，除应赔偿甲方因此遭受的全部损失，甲方有权解除合同：</w:t>
      </w:r>
    </w:p>
    <w:p w14:paraId="15C25B07">
      <w:pPr>
        <w:snapToGrid w:val="0"/>
        <w:spacing w:line="360" w:lineRule="auto"/>
        <w:ind w:firstLine="480" w:firstLineChars="200"/>
        <w:rPr>
          <w:rFonts w:hint="eastAsia" w:hAnsi="宋体" w:cs="宋体"/>
          <w:bCs/>
          <w:sz w:val="24"/>
          <w:highlight w:val="none"/>
        </w:rPr>
      </w:pPr>
      <w:r>
        <w:rPr>
          <w:rFonts w:hint="eastAsia" w:hAnsi="宋体" w:cs="宋体"/>
          <w:bCs/>
          <w:sz w:val="24"/>
          <w:highlight w:val="none"/>
        </w:rPr>
        <w:t>1.</w:t>
      </w:r>
      <w:r>
        <w:rPr>
          <w:rFonts w:hint="eastAsia" w:hAnsi="宋体" w:cs="宋体"/>
          <w:bCs/>
          <w:sz w:val="24"/>
          <w:highlight w:val="none"/>
        </w:rPr>
        <w:tab/>
      </w:r>
      <w:r>
        <w:rPr>
          <w:rFonts w:hint="eastAsia" w:hAnsi="宋体" w:cs="宋体"/>
          <w:bCs/>
          <w:sz w:val="24"/>
          <w:highlight w:val="none"/>
        </w:rPr>
        <w:t>因运维失职或操作不当造成医保平台长时间大范围瘫痪，影响全区医保业务正常办理的；</w:t>
      </w:r>
    </w:p>
    <w:p w14:paraId="5C2AE738">
      <w:pPr>
        <w:snapToGrid w:val="0"/>
        <w:spacing w:line="360" w:lineRule="auto"/>
        <w:ind w:firstLine="480" w:firstLineChars="200"/>
        <w:rPr>
          <w:rFonts w:hint="eastAsia" w:hAnsi="宋体" w:cs="宋体"/>
          <w:bCs/>
          <w:sz w:val="24"/>
          <w:highlight w:val="none"/>
        </w:rPr>
      </w:pPr>
      <w:r>
        <w:rPr>
          <w:rFonts w:hint="eastAsia" w:hAnsi="宋体" w:cs="宋体"/>
          <w:bCs/>
          <w:sz w:val="24"/>
          <w:highlight w:val="none"/>
        </w:rPr>
        <w:t>2.</w:t>
      </w:r>
      <w:r>
        <w:rPr>
          <w:rFonts w:hint="eastAsia" w:hAnsi="宋体" w:cs="宋体"/>
          <w:bCs/>
          <w:sz w:val="24"/>
          <w:highlight w:val="none"/>
        </w:rPr>
        <w:tab/>
      </w:r>
      <w:r>
        <w:rPr>
          <w:rFonts w:hint="eastAsia" w:hAnsi="宋体" w:cs="宋体"/>
          <w:bCs/>
          <w:sz w:val="24"/>
          <w:highlight w:val="none"/>
        </w:rPr>
        <w:t>因运维操作不当发生医保数据泄露、数据篡改等重大安全事故的；</w:t>
      </w:r>
    </w:p>
    <w:p w14:paraId="74F53AB7">
      <w:pPr>
        <w:snapToGrid w:val="0"/>
        <w:spacing w:line="360" w:lineRule="auto"/>
        <w:ind w:firstLine="480" w:firstLineChars="200"/>
        <w:rPr>
          <w:rFonts w:hint="eastAsia" w:hAnsi="宋体" w:cs="宋体"/>
          <w:bCs/>
          <w:sz w:val="24"/>
          <w:highlight w:val="none"/>
        </w:rPr>
      </w:pPr>
      <w:r>
        <w:rPr>
          <w:rFonts w:hint="eastAsia" w:hAnsi="宋体" w:cs="宋体"/>
          <w:bCs/>
          <w:sz w:val="24"/>
          <w:highlight w:val="none"/>
        </w:rPr>
        <w:t>3.</w:t>
      </w:r>
      <w:r>
        <w:rPr>
          <w:rFonts w:hint="eastAsia" w:hAnsi="宋体" w:cs="宋体"/>
          <w:bCs/>
          <w:sz w:val="24"/>
          <w:highlight w:val="none"/>
        </w:rPr>
        <w:tab/>
      </w:r>
      <w:r>
        <w:rPr>
          <w:rFonts w:hint="eastAsia" w:hAnsi="宋体" w:cs="宋体"/>
          <w:bCs/>
          <w:sz w:val="24"/>
          <w:highlight w:val="none"/>
        </w:rPr>
        <w:t>擅自更改医保系统参数、违规操作造成重大业务差错、基金风险的；</w:t>
      </w:r>
    </w:p>
    <w:p w14:paraId="7EDA637B">
      <w:pPr>
        <w:snapToGrid w:val="0"/>
        <w:spacing w:line="360" w:lineRule="auto"/>
        <w:ind w:firstLine="480" w:firstLineChars="200"/>
        <w:rPr>
          <w:rFonts w:hint="eastAsia" w:hAnsi="宋体" w:cs="宋体"/>
          <w:bCs/>
          <w:sz w:val="24"/>
          <w:highlight w:val="none"/>
        </w:rPr>
      </w:pPr>
      <w:r>
        <w:rPr>
          <w:rFonts w:hint="eastAsia" w:hAnsi="宋体" w:cs="宋体"/>
          <w:bCs/>
          <w:sz w:val="24"/>
          <w:highlight w:val="none"/>
        </w:rPr>
        <w:t>4. 将云资源擅自用于其他用途、私开其他业务、违规使用运维线路等影响医保平台正常业务的。</w:t>
      </w:r>
    </w:p>
    <w:p w14:paraId="1B276032">
      <w:pPr>
        <w:snapToGrid w:val="0"/>
        <w:spacing w:line="360" w:lineRule="auto"/>
        <w:ind w:firstLine="480" w:firstLineChars="200"/>
        <w:rPr>
          <w:rFonts w:hint="eastAsia" w:hAnsi="宋体" w:cs="宋体"/>
          <w:bCs/>
          <w:sz w:val="24"/>
          <w:highlight w:val="none"/>
        </w:rPr>
      </w:pPr>
      <w:r>
        <w:rPr>
          <w:rFonts w:hint="eastAsia" w:hAnsi="宋体" w:cs="宋体"/>
          <w:bCs/>
          <w:sz w:val="24"/>
          <w:highlight w:val="none"/>
        </w:rPr>
        <w:t>（二）乙方各单位提供的服务不符合本合同及附件、招标文件</w:t>
      </w:r>
    </w:p>
    <w:p w14:paraId="50A2110A">
      <w:pPr>
        <w:snapToGrid w:val="0"/>
        <w:spacing w:line="360" w:lineRule="auto"/>
        <w:ind w:firstLine="480" w:firstLineChars="200"/>
        <w:rPr>
          <w:rFonts w:hint="eastAsia" w:hAnsi="宋体" w:cs="宋体"/>
          <w:bCs/>
          <w:sz w:val="24"/>
          <w:highlight w:val="none"/>
        </w:rPr>
      </w:pPr>
      <w:r>
        <w:rPr>
          <w:rFonts w:hint="eastAsia" w:hAnsi="宋体" w:cs="宋体"/>
          <w:bCs/>
          <w:sz w:val="24"/>
          <w:highlight w:val="none"/>
        </w:rPr>
        <w:t>投标文件或乙方相关承诺的约定的，乙方各单位应当按照甲方要求及时更正或修改，直至通过验收，并承担由此产生的全部费用。</w:t>
      </w:r>
    </w:p>
    <w:p w14:paraId="74749348">
      <w:pPr>
        <w:snapToGrid w:val="0"/>
        <w:spacing w:line="360" w:lineRule="auto"/>
        <w:ind w:firstLine="480" w:firstLineChars="200"/>
        <w:rPr>
          <w:rFonts w:hint="eastAsia" w:hAnsi="宋体" w:cs="宋体"/>
          <w:bCs/>
          <w:sz w:val="24"/>
          <w:highlight w:val="none"/>
        </w:rPr>
      </w:pPr>
      <w:r>
        <w:rPr>
          <w:rFonts w:hint="eastAsia" w:hAnsi="宋体" w:cs="宋体"/>
          <w:bCs/>
          <w:sz w:val="24"/>
          <w:highlight w:val="none"/>
        </w:rPr>
        <w:t>（三）乙方各单位未能按本合同约定提供运维服务的，甲方提出整改要求后三十天仍不能满足要求的，乙方应按照合同总金额的10%向甲方支付违约金；如出现连续两个月未满足整改要求的，乙方应按该子项目预算的30%向甲方支付违约金，甲方有权单方解除合同。</w:t>
      </w:r>
    </w:p>
    <w:p w14:paraId="37432B84">
      <w:pPr>
        <w:snapToGrid w:val="0"/>
        <w:spacing w:line="360" w:lineRule="auto"/>
        <w:ind w:firstLine="480" w:firstLineChars="200"/>
        <w:rPr>
          <w:rFonts w:hint="eastAsia" w:hAnsi="宋体" w:cs="宋体"/>
          <w:bCs/>
          <w:sz w:val="24"/>
          <w:highlight w:val="none"/>
        </w:rPr>
      </w:pPr>
      <w:r>
        <w:rPr>
          <w:rFonts w:hint="eastAsia" w:hAnsi="宋体" w:cs="宋体"/>
          <w:bCs/>
          <w:sz w:val="24"/>
          <w:highlight w:val="none"/>
        </w:rPr>
        <w:t>（四）本合同因国家政策或者甲方原因，未完全履约而终止的，乙方有权就已经履约产生的成果向甲方收取相应的经济利益，具体标准由甲乙双方协商确定，甲方支付成果对价后，乙方将成果交付甲方。</w:t>
      </w:r>
    </w:p>
    <w:p w14:paraId="26E93242">
      <w:pPr>
        <w:snapToGrid w:val="0"/>
        <w:spacing w:line="360" w:lineRule="auto"/>
        <w:ind w:firstLine="480" w:firstLineChars="200"/>
        <w:rPr>
          <w:rFonts w:hint="eastAsia" w:hAnsi="宋体" w:cs="宋体"/>
          <w:bCs/>
          <w:sz w:val="24"/>
          <w:highlight w:val="none"/>
        </w:rPr>
      </w:pPr>
      <w:r>
        <w:rPr>
          <w:rFonts w:hint="eastAsia" w:hAnsi="宋体" w:cs="宋体"/>
          <w:bCs/>
          <w:sz w:val="24"/>
          <w:highlight w:val="none"/>
        </w:rPr>
        <w:t>（五）乙方各单位向甲方提交的所有数据资料和成果必须保证真实可靠，发现存在弄虚作假行为的，甲方有权要求弄虚作假的乙方单位赔偿甲方损失。</w:t>
      </w:r>
    </w:p>
    <w:p w14:paraId="5B39D681">
      <w:pPr>
        <w:snapToGrid w:val="0"/>
        <w:spacing w:line="360" w:lineRule="auto"/>
        <w:ind w:firstLine="480" w:firstLineChars="200"/>
        <w:rPr>
          <w:rFonts w:hint="eastAsia" w:hAnsi="宋体" w:cs="宋体"/>
          <w:bCs/>
          <w:sz w:val="24"/>
          <w:highlight w:val="none"/>
        </w:rPr>
      </w:pPr>
      <w:r>
        <w:rPr>
          <w:rFonts w:hint="eastAsia" w:hAnsi="宋体" w:cs="宋体"/>
          <w:bCs/>
          <w:sz w:val="24"/>
          <w:highlight w:val="none"/>
        </w:rPr>
        <w:t>（六）达到付款条件后，甲方应按时支付服务款项的。</w:t>
      </w:r>
    </w:p>
    <w:p w14:paraId="54E70C79">
      <w:pPr>
        <w:snapToGrid w:val="0"/>
        <w:spacing w:line="360" w:lineRule="auto"/>
        <w:ind w:firstLine="480" w:firstLineChars="200"/>
        <w:rPr>
          <w:rFonts w:hint="eastAsia" w:hAnsi="宋体" w:cs="宋体"/>
          <w:bCs/>
          <w:sz w:val="24"/>
          <w:highlight w:val="none"/>
        </w:rPr>
      </w:pPr>
      <w:r>
        <w:rPr>
          <w:rFonts w:hint="eastAsia" w:hAnsi="宋体" w:cs="宋体"/>
          <w:bCs/>
          <w:sz w:val="24"/>
          <w:highlight w:val="none"/>
        </w:rPr>
        <w:t>（七）一方违约，除按本合同约定，承担相应违约责任，赔偿守约方损失，还应当承担守约方为主张合法权益，发生的诉讼费、律师费、保全费、保全担保费、邮寄费、执行费、鉴定费、公证费等全部费用支出。</w:t>
      </w:r>
    </w:p>
    <w:p w14:paraId="3ED6503B">
      <w:pPr>
        <w:snapToGrid w:val="0"/>
        <w:spacing w:line="360" w:lineRule="auto"/>
        <w:ind w:firstLine="480" w:firstLineChars="200"/>
        <w:rPr>
          <w:rFonts w:hint="eastAsia" w:hAnsi="宋体" w:cs="宋体"/>
          <w:b/>
          <w:sz w:val="24"/>
          <w:highlight w:val="none"/>
        </w:rPr>
      </w:pPr>
      <w:r>
        <w:rPr>
          <w:rFonts w:hint="eastAsia" w:hAnsi="宋体" w:cs="宋体"/>
          <w:bCs/>
          <w:sz w:val="24"/>
          <w:highlight w:val="none"/>
        </w:rPr>
        <w:t>（八）其它违约责任按《中华人民共和国民法典》处理。</w:t>
      </w:r>
    </w:p>
    <w:p w14:paraId="3ED0ABD8">
      <w:pPr>
        <w:snapToGrid w:val="0"/>
        <w:spacing w:line="360" w:lineRule="auto"/>
        <w:ind w:firstLine="482" w:firstLineChars="200"/>
        <w:rPr>
          <w:rFonts w:hint="eastAsia" w:hAnsi="宋体" w:cs="宋体"/>
          <w:bCs/>
          <w:sz w:val="24"/>
          <w:highlight w:val="none"/>
        </w:rPr>
      </w:pPr>
      <w:r>
        <w:rPr>
          <w:rFonts w:hint="eastAsia" w:hAnsi="宋体" w:cs="宋体"/>
          <w:b/>
          <w:sz w:val="24"/>
          <w:highlight w:val="none"/>
        </w:rPr>
        <w:t>九、不可抗力</w:t>
      </w:r>
    </w:p>
    <w:p w14:paraId="665D5116">
      <w:pPr>
        <w:snapToGrid w:val="0"/>
        <w:spacing w:line="360" w:lineRule="auto"/>
        <w:ind w:firstLine="480" w:firstLineChars="200"/>
        <w:rPr>
          <w:rFonts w:hint="eastAsia" w:hAnsi="宋体" w:cs="宋体"/>
          <w:bCs/>
          <w:sz w:val="24"/>
          <w:highlight w:val="none"/>
        </w:rPr>
      </w:pPr>
      <w:r>
        <w:rPr>
          <w:rFonts w:hint="eastAsia" w:hAnsi="宋体" w:cs="宋体"/>
          <w:bCs/>
          <w:sz w:val="24"/>
          <w:highlight w:val="none"/>
        </w:rPr>
        <w:t>在合同有效期内，任何一方由于不可抗力原因（指不能预见、不能避免、不能克服的客观情况，如地震、台风、洪水、战争、疫情等）不能履行合同时，不可抗力原因发生时应及时通知对方，乙方在不可抗力发生期间应采取必要措施减少甲方损失，不可抗力原因消失后，乙方应继续履行合同，并应根据甲方项目工作需要保质保量完成任务。</w:t>
      </w:r>
    </w:p>
    <w:p w14:paraId="24FCAE1B">
      <w:pPr>
        <w:snapToGrid w:val="0"/>
        <w:spacing w:line="360" w:lineRule="auto"/>
        <w:ind w:firstLine="482" w:firstLineChars="200"/>
        <w:rPr>
          <w:rFonts w:hint="eastAsia" w:hAnsi="宋体" w:cs="宋体"/>
          <w:b/>
          <w:sz w:val="24"/>
          <w:highlight w:val="none"/>
        </w:rPr>
      </w:pPr>
      <w:r>
        <w:rPr>
          <w:rFonts w:hint="eastAsia" w:hAnsi="宋体" w:cs="宋体"/>
          <w:b/>
          <w:sz w:val="24"/>
          <w:highlight w:val="none"/>
        </w:rPr>
        <w:t>十.通知送达</w:t>
      </w:r>
    </w:p>
    <w:p w14:paraId="0CB017FB">
      <w:pPr>
        <w:snapToGrid w:val="0"/>
        <w:spacing w:line="360" w:lineRule="auto"/>
        <w:ind w:firstLine="480" w:firstLineChars="200"/>
        <w:rPr>
          <w:rFonts w:hint="eastAsia" w:hAnsi="宋体" w:cs="宋体"/>
          <w:sz w:val="24"/>
          <w:highlight w:val="none"/>
        </w:rPr>
      </w:pPr>
      <w:r>
        <w:rPr>
          <w:rFonts w:hint="eastAsia" w:hAnsi="宋体" w:cs="宋体"/>
          <w:sz w:val="24"/>
          <w:highlight w:val="none"/>
        </w:rPr>
        <w:t>本合同载明的双方地址、电话、邮箱等联系方式，系双方的有效联系方式，如发生变更，应提前3日书面告知对方。否则一方按照本合同约定联系方式或双方工商登记备案的地址、邮箱等任一联系方式给另一方发出相关文书（包括诉讼、仲裁各阶段相关法律文书）的，邮政信函于投寄之日起第三日或退回之日即视为已送达；派人专程递送的，签收日视为送达；以邮箱、彩信、短信及其他方式发出的，发出之日即视为送达。</w:t>
      </w:r>
    </w:p>
    <w:p w14:paraId="5A94A750">
      <w:pPr>
        <w:numPr>
          <w:ilvl w:val="0"/>
          <w:numId w:val="13"/>
        </w:numPr>
        <w:snapToGrid w:val="0"/>
        <w:spacing w:line="360" w:lineRule="auto"/>
        <w:ind w:firstLine="482" w:firstLineChars="200"/>
        <w:rPr>
          <w:rFonts w:hint="eastAsia" w:hAnsi="宋体" w:cs="宋体"/>
          <w:b/>
          <w:sz w:val="24"/>
          <w:highlight w:val="none"/>
        </w:rPr>
      </w:pPr>
      <w:r>
        <w:rPr>
          <w:rFonts w:hint="eastAsia" w:hAnsi="宋体" w:cs="宋体"/>
          <w:b/>
          <w:sz w:val="24"/>
          <w:highlight w:val="none"/>
        </w:rPr>
        <w:t>争议解决</w:t>
      </w:r>
    </w:p>
    <w:p w14:paraId="13E38B92">
      <w:pPr>
        <w:snapToGrid w:val="0"/>
        <w:spacing w:line="360" w:lineRule="auto"/>
        <w:ind w:firstLine="482" w:firstLineChars="200"/>
        <w:rPr>
          <w:rFonts w:hint="eastAsia" w:hAnsi="宋体" w:cs="宋体"/>
          <w:b/>
          <w:sz w:val="24"/>
          <w:highlight w:val="none"/>
        </w:rPr>
      </w:pPr>
      <w:r>
        <w:rPr>
          <w:rFonts w:hint="eastAsia" w:hAnsi="宋体" w:cs="宋体"/>
          <w:b/>
          <w:sz w:val="24"/>
          <w:highlight w:val="none"/>
        </w:rPr>
        <w:t>双方因履行本合同而发生的争议，应协商、调解解决。协商、调解不成的，确定按以下方式处理：依法向甲方所在地有管辖权的人民法院起诉。</w:t>
      </w:r>
    </w:p>
    <w:p w14:paraId="1B6E1BE9">
      <w:pPr>
        <w:snapToGrid w:val="0"/>
        <w:spacing w:line="360" w:lineRule="auto"/>
        <w:ind w:firstLine="482" w:firstLineChars="200"/>
        <w:rPr>
          <w:rFonts w:hint="eastAsia" w:hAnsi="宋体" w:cs="宋体"/>
          <w:b/>
          <w:sz w:val="24"/>
          <w:highlight w:val="none"/>
        </w:rPr>
      </w:pPr>
      <w:r>
        <w:rPr>
          <w:rFonts w:hint="eastAsia" w:hAnsi="宋体" w:cs="宋体"/>
          <w:b/>
          <w:sz w:val="24"/>
          <w:highlight w:val="none"/>
        </w:rPr>
        <w:t>十二、其它</w:t>
      </w:r>
    </w:p>
    <w:p w14:paraId="6A317223">
      <w:pPr>
        <w:snapToGrid w:val="0"/>
        <w:spacing w:line="360" w:lineRule="auto"/>
        <w:ind w:firstLine="480" w:firstLineChars="200"/>
        <w:rPr>
          <w:rFonts w:hint="eastAsia" w:hAnsi="宋体" w:cs="宋体"/>
          <w:sz w:val="24"/>
          <w:highlight w:val="none"/>
        </w:rPr>
      </w:pPr>
      <w:r>
        <w:rPr>
          <w:rFonts w:hint="eastAsia" w:hAnsi="宋体" w:cs="宋体"/>
          <w:sz w:val="24"/>
          <w:highlight w:val="none"/>
        </w:rPr>
        <w:t>（一）本合同在甲乙双方法定代表人或其授权代表签字及加盖单位公章后生效。</w:t>
      </w:r>
    </w:p>
    <w:p w14:paraId="05F4A746">
      <w:pPr>
        <w:snapToGrid w:val="0"/>
        <w:spacing w:line="360" w:lineRule="auto"/>
        <w:ind w:firstLine="480" w:firstLineChars="200"/>
        <w:rPr>
          <w:rFonts w:hint="eastAsia" w:hAnsi="宋体" w:cs="宋体"/>
          <w:sz w:val="24"/>
          <w:highlight w:val="none"/>
        </w:rPr>
      </w:pPr>
      <w:r>
        <w:rPr>
          <w:rFonts w:hint="eastAsia" w:hAnsi="宋体" w:cs="宋体"/>
          <w:sz w:val="24"/>
          <w:highlight w:val="none"/>
        </w:rPr>
        <w:t>（二）本合同不涉及其他关联交易。</w:t>
      </w:r>
    </w:p>
    <w:p w14:paraId="15C1D3E4">
      <w:pPr>
        <w:snapToGrid w:val="0"/>
        <w:spacing w:line="360" w:lineRule="auto"/>
        <w:ind w:firstLine="480" w:firstLineChars="200"/>
        <w:rPr>
          <w:rFonts w:hint="eastAsia" w:hAnsi="宋体" w:cs="宋体"/>
          <w:sz w:val="24"/>
          <w:highlight w:val="none"/>
        </w:rPr>
      </w:pPr>
      <w:r>
        <w:rPr>
          <w:rFonts w:hint="eastAsia" w:hAnsi="宋体" w:cs="宋体"/>
          <w:sz w:val="24"/>
          <w:highlight w:val="none"/>
        </w:rPr>
        <w:t>（三）本合同</w:t>
      </w:r>
      <w:r>
        <w:rPr>
          <w:rFonts w:hint="eastAsia" w:hAnsi="宋体" w:cs="宋体"/>
          <w:sz w:val="24"/>
          <w:highlight w:val="none"/>
          <w:u w:val="single"/>
        </w:rPr>
        <w:t xml:space="preserve"> 肆</w:t>
      </w:r>
      <w:r>
        <w:rPr>
          <w:sz w:val="24"/>
          <w:highlight w:val="none"/>
          <w:u w:val="single"/>
        </w:rPr>
        <w:t>‌</w:t>
      </w:r>
      <w:r>
        <w:rPr>
          <w:rFonts w:hint="eastAsia" w:hAnsi="宋体" w:cs="宋体"/>
          <w:sz w:val="24"/>
          <w:highlight w:val="none"/>
          <w:u w:val="single"/>
        </w:rPr>
        <w:t xml:space="preserve"> </w:t>
      </w:r>
      <w:r>
        <w:rPr>
          <w:rFonts w:hint="eastAsia" w:hAnsi="宋体" w:cs="宋体"/>
          <w:sz w:val="24"/>
          <w:highlight w:val="none"/>
        </w:rPr>
        <w:t>份，甲方</w:t>
      </w:r>
      <w:r>
        <w:rPr>
          <w:rFonts w:hint="eastAsia" w:hAnsi="宋体" w:cs="宋体"/>
          <w:sz w:val="24"/>
          <w:highlight w:val="none"/>
          <w:u w:val="single"/>
        </w:rPr>
        <w:t xml:space="preserve"> 贰</w:t>
      </w:r>
      <w:r>
        <w:rPr>
          <w:sz w:val="24"/>
          <w:highlight w:val="none"/>
          <w:u w:val="single"/>
        </w:rPr>
        <w:t>‌</w:t>
      </w:r>
      <w:r>
        <w:rPr>
          <w:rFonts w:hint="eastAsia" w:hAnsi="宋体" w:cs="宋体"/>
          <w:sz w:val="24"/>
          <w:highlight w:val="none"/>
          <w:u w:val="single"/>
        </w:rPr>
        <w:t xml:space="preserve"> </w:t>
      </w:r>
      <w:r>
        <w:rPr>
          <w:rFonts w:hint="eastAsia" w:hAnsi="宋体" w:cs="宋体"/>
          <w:sz w:val="24"/>
          <w:highlight w:val="none"/>
        </w:rPr>
        <w:t>份，乙方</w:t>
      </w:r>
      <w:r>
        <w:rPr>
          <w:rFonts w:hint="eastAsia" w:hAnsi="宋体" w:cs="宋体"/>
          <w:sz w:val="24"/>
          <w:highlight w:val="none"/>
          <w:u w:val="single"/>
        </w:rPr>
        <w:t xml:space="preserve"> 贰</w:t>
      </w:r>
      <w:r>
        <w:rPr>
          <w:sz w:val="24"/>
          <w:highlight w:val="none"/>
          <w:u w:val="single"/>
        </w:rPr>
        <w:t>‌</w:t>
      </w:r>
      <w:r>
        <w:rPr>
          <w:rFonts w:hint="eastAsia" w:hAnsi="宋体" w:cs="宋体"/>
          <w:sz w:val="24"/>
          <w:highlight w:val="none"/>
          <w:u w:val="single"/>
        </w:rPr>
        <w:t xml:space="preserve"> </w:t>
      </w:r>
      <w:r>
        <w:rPr>
          <w:rFonts w:hint="eastAsia" w:hAnsi="宋体" w:cs="宋体"/>
          <w:sz w:val="24"/>
          <w:highlight w:val="none"/>
        </w:rPr>
        <w:t>份，经双方法定代表人或其授权代表签字并加盖单位公章之日起生效，均具有同等法律效力。</w:t>
      </w:r>
    </w:p>
    <w:p w14:paraId="47EA92CA">
      <w:pPr>
        <w:snapToGrid w:val="0"/>
        <w:ind w:firstLine="480" w:firstLineChars="200"/>
        <w:rPr>
          <w:rFonts w:hint="eastAsia" w:hAnsi="宋体" w:cs="宋体"/>
          <w:sz w:val="24"/>
          <w:highlight w:val="none"/>
        </w:rPr>
      </w:pPr>
      <w:r>
        <w:rPr>
          <w:rFonts w:hint="eastAsia" w:hAnsi="宋体" w:cs="宋体"/>
          <w:sz w:val="24"/>
          <w:highlight w:val="none"/>
        </w:rPr>
        <w:t>（四）本合同附件与本合同具有同等法律效力。</w:t>
      </w:r>
    </w:p>
    <w:p w14:paraId="0D0E3BBC">
      <w:pPr>
        <w:snapToGrid w:val="0"/>
        <w:ind w:firstLine="480" w:firstLineChars="200"/>
        <w:rPr>
          <w:rFonts w:hint="eastAsia" w:hAnsi="宋体" w:cs="宋体"/>
          <w:sz w:val="24"/>
          <w:highlight w:val="none"/>
        </w:rPr>
      </w:pPr>
    </w:p>
    <w:p w14:paraId="7616416F">
      <w:pPr>
        <w:pStyle w:val="15"/>
        <w:snapToGrid w:val="0"/>
        <w:spacing w:before="120" w:after="120" w:line="0" w:lineRule="atLeast"/>
        <w:ind w:left="480" w:hanging="480" w:hangingChars="200"/>
        <w:rPr>
          <w:rFonts w:hint="eastAsia" w:hAnsi="宋体" w:cs="宋体"/>
          <w:sz w:val="24"/>
          <w:szCs w:val="24"/>
          <w:highlight w:val="none"/>
        </w:rPr>
      </w:pPr>
      <w:r>
        <w:rPr>
          <w:rFonts w:hint="eastAsia" w:hAnsi="宋体" w:cs="宋体"/>
          <w:sz w:val="24"/>
          <w:szCs w:val="24"/>
          <w:highlight w:val="none"/>
        </w:rPr>
        <w:t xml:space="preserve">  甲方：                       乙方： </w:t>
      </w:r>
    </w:p>
    <w:p w14:paraId="4ED92A9F">
      <w:pPr>
        <w:pStyle w:val="15"/>
        <w:snapToGrid w:val="0"/>
        <w:spacing w:before="120" w:after="120" w:line="0" w:lineRule="atLeast"/>
        <w:rPr>
          <w:rFonts w:hint="eastAsia" w:hAnsi="宋体" w:cs="宋体"/>
          <w:sz w:val="24"/>
          <w:szCs w:val="24"/>
          <w:highlight w:val="none"/>
        </w:rPr>
      </w:pPr>
      <w:r>
        <w:rPr>
          <w:rFonts w:hint="eastAsia" w:hAnsi="宋体" w:cs="宋体"/>
          <w:sz w:val="24"/>
          <w:szCs w:val="24"/>
          <w:highlight w:val="none"/>
        </w:rPr>
        <w:t xml:space="preserve">  地址：                       地址：</w:t>
      </w:r>
    </w:p>
    <w:p w14:paraId="7C44F3CB">
      <w:pPr>
        <w:pStyle w:val="15"/>
        <w:snapToGrid w:val="0"/>
        <w:spacing w:before="120" w:after="120" w:line="0" w:lineRule="atLeast"/>
        <w:rPr>
          <w:rFonts w:hint="eastAsia" w:hAnsi="宋体" w:cs="宋体"/>
          <w:sz w:val="24"/>
          <w:szCs w:val="24"/>
          <w:highlight w:val="none"/>
        </w:rPr>
      </w:pPr>
      <w:r>
        <w:rPr>
          <w:rFonts w:hint="eastAsia" w:hAnsi="宋体" w:cs="宋体"/>
          <w:sz w:val="24"/>
          <w:szCs w:val="24"/>
          <w:highlight w:val="none"/>
        </w:rPr>
        <w:t xml:space="preserve">  法定代表人或授权代表：       法定代表人或授权代表：</w:t>
      </w:r>
    </w:p>
    <w:p w14:paraId="7C49B15F">
      <w:pPr>
        <w:pStyle w:val="15"/>
        <w:snapToGrid w:val="0"/>
        <w:spacing w:before="120" w:after="120" w:line="0" w:lineRule="atLeast"/>
        <w:rPr>
          <w:rFonts w:hint="eastAsia" w:hAnsi="宋体" w:cs="宋体"/>
          <w:sz w:val="24"/>
          <w:szCs w:val="24"/>
          <w:highlight w:val="none"/>
        </w:rPr>
      </w:pPr>
      <w:r>
        <w:rPr>
          <w:rFonts w:hint="eastAsia" w:hAnsi="宋体" w:cs="宋体"/>
          <w:sz w:val="24"/>
          <w:szCs w:val="24"/>
          <w:highlight w:val="none"/>
        </w:rPr>
        <w:t xml:space="preserve">  联系电话：                   联系电话：</w:t>
      </w:r>
    </w:p>
    <w:p w14:paraId="322688D1">
      <w:pPr>
        <w:pStyle w:val="15"/>
        <w:snapToGrid w:val="0"/>
        <w:spacing w:before="120" w:after="120" w:line="0" w:lineRule="atLeast"/>
        <w:jc w:val="center"/>
        <w:rPr>
          <w:rFonts w:hint="eastAsia" w:hAnsi="宋体" w:cs="宋体"/>
          <w:sz w:val="24"/>
          <w:szCs w:val="24"/>
          <w:highlight w:val="none"/>
        </w:rPr>
      </w:pPr>
    </w:p>
    <w:p w14:paraId="0B5B84C8">
      <w:pPr>
        <w:pStyle w:val="15"/>
        <w:snapToGrid w:val="0"/>
        <w:spacing w:before="120" w:after="120" w:line="0" w:lineRule="atLeast"/>
        <w:ind w:firstLine="3840" w:firstLineChars="1600"/>
        <w:rPr>
          <w:rFonts w:hint="eastAsia" w:hAnsi="宋体" w:cs="宋体"/>
          <w:sz w:val="24"/>
          <w:szCs w:val="24"/>
          <w:highlight w:val="none"/>
        </w:rPr>
      </w:pPr>
      <w:r>
        <w:rPr>
          <w:rFonts w:hint="eastAsia" w:hAnsi="宋体" w:cs="宋体"/>
          <w:sz w:val="24"/>
          <w:szCs w:val="24"/>
          <w:highlight w:val="none"/>
        </w:rPr>
        <w:t>签订日期：  年   月   日</w:t>
      </w:r>
      <w:bookmarkStart w:id="126" w:name="_Hlt16619369"/>
      <w:bookmarkEnd w:id="126"/>
    </w:p>
    <w:p w14:paraId="5101B1BD">
      <w:pPr>
        <w:rPr>
          <w:highlight w:val="none"/>
        </w:rPr>
      </w:pPr>
      <w:r>
        <w:rPr>
          <w:highlight w:val="none"/>
        </w:rPr>
        <w:br w:type="page"/>
      </w:r>
    </w:p>
    <w:p w14:paraId="490C8BA2">
      <w:pPr>
        <w:pStyle w:val="21"/>
        <w:jc w:val="left"/>
        <w:rPr>
          <w:highlight w:val="none"/>
        </w:rPr>
      </w:pPr>
      <w:r>
        <w:rPr>
          <w:highlight w:val="none"/>
        </w:rPr>
        <w:t>附件一</w:t>
      </w:r>
    </w:p>
    <w:p w14:paraId="015595E1">
      <w:pPr>
        <w:pStyle w:val="4"/>
        <w:jc w:val="center"/>
        <w:rPr>
          <w:highlight w:val="none"/>
        </w:rPr>
      </w:pPr>
      <w:r>
        <w:rPr>
          <w:rFonts w:hint="eastAsia"/>
          <w:highlight w:val="none"/>
        </w:rPr>
        <w:t>采购</w:t>
      </w:r>
      <w:r>
        <w:rPr>
          <w:highlight w:val="none"/>
        </w:rPr>
        <w:t>需求</w:t>
      </w:r>
    </w:p>
    <w:p w14:paraId="4B638BEA">
      <w:pPr>
        <w:pStyle w:val="21"/>
        <w:jc w:val="left"/>
        <w:rPr>
          <w:highlight w:val="none"/>
        </w:rPr>
      </w:pPr>
      <w:r>
        <w:rPr>
          <w:highlight w:val="none"/>
        </w:rPr>
        <w:t>附件二</w:t>
      </w:r>
    </w:p>
    <w:p w14:paraId="44FB6C2C">
      <w:pPr>
        <w:pStyle w:val="4"/>
        <w:jc w:val="center"/>
        <w:rPr>
          <w:highlight w:val="none"/>
        </w:rPr>
      </w:pPr>
      <w:r>
        <w:rPr>
          <w:rFonts w:hint="eastAsia"/>
          <w:highlight w:val="none"/>
        </w:rPr>
        <w:t>运维服务质量考核标准</w:t>
      </w:r>
    </w:p>
    <w:tbl>
      <w:tblPr>
        <w:tblStyle w:val="24"/>
        <w:tblW w:w="0" w:type="auto"/>
        <w:jc w:val="center"/>
        <w:tblLayout w:type="fixed"/>
        <w:tblCellMar>
          <w:top w:w="0" w:type="dxa"/>
          <w:left w:w="108" w:type="dxa"/>
          <w:bottom w:w="0" w:type="dxa"/>
          <w:right w:w="108" w:type="dxa"/>
        </w:tblCellMar>
      </w:tblPr>
      <w:tblGrid>
        <w:gridCol w:w="638"/>
        <w:gridCol w:w="661"/>
        <w:gridCol w:w="762"/>
        <w:gridCol w:w="5774"/>
        <w:gridCol w:w="461"/>
      </w:tblGrid>
      <w:tr w14:paraId="480B401D">
        <w:tblPrEx>
          <w:tblCellMar>
            <w:top w:w="0" w:type="dxa"/>
            <w:left w:w="108" w:type="dxa"/>
            <w:bottom w:w="0" w:type="dxa"/>
            <w:right w:w="108" w:type="dxa"/>
          </w:tblCellMar>
        </w:tblPrEx>
        <w:trPr>
          <w:trHeight w:val="480" w:hRule="atLeast"/>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7C71A2F5">
            <w:pPr>
              <w:pStyle w:val="2"/>
              <w:adjustRightInd w:val="0"/>
              <w:snapToGrid w:val="0"/>
              <w:spacing w:after="0"/>
              <w:ind w:firstLine="0" w:firstLineChars="0"/>
              <w:rPr>
                <w:rFonts w:hint="eastAsia" w:hAnsi="宋体"/>
                <w:b/>
                <w:bCs/>
                <w:sz w:val="21"/>
                <w:szCs w:val="21"/>
                <w:highlight w:val="none"/>
              </w:rPr>
            </w:pPr>
            <w:r>
              <w:rPr>
                <w:rFonts w:hAnsi="宋体"/>
                <w:b/>
                <w:bCs/>
                <w:sz w:val="21"/>
                <w:szCs w:val="21"/>
                <w:highlight w:val="none"/>
              </w:rPr>
              <w:t>序号</w:t>
            </w:r>
          </w:p>
        </w:tc>
        <w:tc>
          <w:tcPr>
            <w:tcW w:w="661" w:type="dxa"/>
            <w:tcBorders>
              <w:top w:val="single" w:color="000000" w:sz="4" w:space="0"/>
              <w:left w:val="single" w:color="000000" w:sz="4" w:space="0"/>
              <w:bottom w:val="single" w:color="000000" w:sz="4" w:space="0"/>
              <w:right w:val="single" w:color="000000" w:sz="4" w:space="0"/>
            </w:tcBorders>
            <w:vAlign w:val="center"/>
          </w:tcPr>
          <w:p w14:paraId="2E857C14">
            <w:pPr>
              <w:pStyle w:val="2"/>
              <w:adjustRightInd w:val="0"/>
              <w:snapToGrid w:val="0"/>
              <w:spacing w:after="0"/>
              <w:ind w:firstLine="0" w:firstLineChars="0"/>
              <w:rPr>
                <w:rFonts w:hint="eastAsia" w:hAnsi="宋体"/>
                <w:b/>
                <w:bCs/>
                <w:sz w:val="21"/>
                <w:szCs w:val="21"/>
                <w:highlight w:val="none"/>
              </w:rPr>
            </w:pPr>
            <w:r>
              <w:rPr>
                <w:rFonts w:hAnsi="宋体"/>
                <w:b/>
                <w:bCs/>
                <w:sz w:val="21"/>
                <w:szCs w:val="21"/>
                <w:highlight w:val="none"/>
              </w:rPr>
              <w:t>考核类别</w:t>
            </w:r>
          </w:p>
        </w:tc>
        <w:tc>
          <w:tcPr>
            <w:tcW w:w="762" w:type="dxa"/>
            <w:tcBorders>
              <w:top w:val="single" w:color="000000" w:sz="4" w:space="0"/>
              <w:left w:val="single" w:color="000000" w:sz="4" w:space="0"/>
              <w:bottom w:val="single" w:color="000000" w:sz="4" w:space="0"/>
              <w:right w:val="single" w:color="000000" w:sz="4" w:space="0"/>
            </w:tcBorders>
            <w:vAlign w:val="center"/>
          </w:tcPr>
          <w:p w14:paraId="51F5D478">
            <w:pPr>
              <w:pStyle w:val="2"/>
              <w:adjustRightInd w:val="0"/>
              <w:snapToGrid w:val="0"/>
              <w:spacing w:after="0"/>
              <w:ind w:firstLine="0" w:firstLineChars="0"/>
              <w:rPr>
                <w:rFonts w:hint="eastAsia" w:hAnsi="宋体"/>
                <w:b/>
                <w:bCs/>
                <w:sz w:val="21"/>
                <w:szCs w:val="21"/>
                <w:highlight w:val="none"/>
              </w:rPr>
            </w:pPr>
            <w:r>
              <w:rPr>
                <w:rFonts w:hAnsi="宋体"/>
                <w:b/>
                <w:bCs/>
                <w:sz w:val="21"/>
                <w:szCs w:val="21"/>
                <w:highlight w:val="none"/>
              </w:rPr>
              <w:t>考核项目</w:t>
            </w:r>
          </w:p>
        </w:tc>
        <w:tc>
          <w:tcPr>
            <w:tcW w:w="5774" w:type="dxa"/>
            <w:tcBorders>
              <w:top w:val="single" w:color="000000" w:sz="4" w:space="0"/>
              <w:left w:val="single" w:color="000000" w:sz="4" w:space="0"/>
              <w:bottom w:val="single" w:color="000000" w:sz="4" w:space="0"/>
              <w:right w:val="single" w:color="000000" w:sz="4" w:space="0"/>
            </w:tcBorders>
            <w:vAlign w:val="center"/>
          </w:tcPr>
          <w:p w14:paraId="5EE4EB30">
            <w:pPr>
              <w:pStyle w:val="2"/>
              <w:adjustRightInd w:val="0"/>
              <w:snapToGrid w:val="0"/>
              <w:spacing w:after="0"/>
              <w:ind w:firstLine="0" w:firstLineChars="0"/>
              <w:rPr>
                <w:rFonts w:hint="eastAsia" w:hAnsi="宋体"/>
                <w:b/>
                <w:bCs/>
                <w:sz w:val="21"/>
                <w:szCs w:val="21"/>
                <w:highlight w:val="none"/>
              </w:rPr>
            </w:pPr>
            <w:r>
              <w:rPr>
                <w:rFonts w:hAnsi="宋体"/>
                <w:b/>
                <w:bCs/>
                <w:sz w:val="21"/>
                <w:szCs w:val="21"/>
                <w:highlight w:val="none"/>
              </w:rPr>
              <w:t>考核内容</w:t>
            </w:r>
          </w:p>
        </w:tc>
        <w:tc>
          <w:tcPr>
            <w:tcW w:w="461" w:type="dxa"/>
            <w:tcBorders>
              <w:top w:val="single" w:color="000000" w:sz="4" w:space="0"/>
              <w:left w:val="single" w:color="000000" w:sz="4" w:space="0"/>
              <w:bottom w:val="single" w:color="000000" w:sz="4" w:space="0"/>
              <w:right w:val="single" w:color="000000" w:sz="4" w:space="0"/>
            </w:tcBorders>
            <w:vAlign w:val="center"/>
          </w:tcPr>
          <w:p w14:paraId="0F1F8A59">
            <w:pPr>
              <w:pStyle w:val="2"/>
              <w:adjustRightInd w:val="0"/>
              <w:snapToGrid w:val="0"/>
              <w:spacing w:after="0"/>
              <w:ind w:firstLine="0" w:firstLineChars="0"/>
              <w:rPr>
                <w:rFonts w:hint="eastAsia" w:hAnsi="宋体"/>
                <w:b/>
                <w:bCs/>
                <w:sz w:val="21"/>
                <w:szCs w:val="21"/>
                <w:highlight w:val="none"/>
              </w:rPr>
            </w:pPr>
            <w:r>
              <w:rPr>
                <w:rFonts w:hAnsi="宋体"/>
                <w:b/>
                <w:bCs/>
                <w:sz w:val="21"/>
                <w:szCs w:val="21"/>
                <w:highlight w:val="none"/>
              </w:rPr>
              <w:t>满分</w:t>
            </w:r>
          </w:p>
        </w:tc>
      </w:tr>
      <w:tr w14:paraId="4A04E951">
        <w:tblPrEx>
          <w:tblCellMar>
            <w:top w:w="0" w:type="dxa"/>
            <w:left w:w="108" w:type="dxa"/>
            <w:bottom w:w="0" w:type="dxa"/>
            <w:right w:w="108" w:type="dxa"/>
          </w:tblCellMar>
        </w:tblPrEx>
        <w:trPr>
          <w:trHeight w:val="480" w:hRule="atLeast"/>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72A772D2">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1</w:t>
            </w:r>
          </w:p>
        </w:tc>
        <w:tc>
          <w:tcPr>
            <w:tcW w:w="661" w:type="dxa"/>
            <w:vMerge w:val="restart"/>
            <w:tcBorders>
              <w:top w:val="single" w:color="000000" w:sz="4" w:space="0"/>
              <w:left w:val="single" w:color="000000" w:sz="4" w:space="0"/>
              <w:bottom w:val="single" w:color="000000" w:sz="4" w:space="0"/>
              <w:right w:val="single" w:color="000000" w:sz="4" w:space="0"/>
            </w:tcBorders>
            <w:vAlign w:val="center"/>
          </w:tcPr>
          <w:p w14:paraId="1CECDDC6">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团队人员考核</w:t>
            </w:r>
          </w:p>
        </w:tc>
        <w:tc>
          <w:tcPr>
            <w:tcW w:w="762" w:type="dxa"/>
            <w:tcBorders>
              <w:top w:val="single" w:color="000000" w:sz="4" w:space="0"/>
              <w:left w:val="single" w:color="000000" w:sz="4" w:space="0"/>
              <w:bottom w:val="single" w:color="000000" w:sz="4" w:space="0"/>
              <w:right w:val="single" w:color="000000" w:sz="4" w:space="0"/>
            </w:tcBorders>
            <w:vAlign w:val="center"/>
          </w:tcPr>
          <w:p w14:paraId="4604B598">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人员岗位设置</w:t>
            </w:r>
          </w:p>
        </w:tc>
        <w:tc>
          <w:tcPr>
            <w:tcW w:w="5774" w:type="dxa"/>
            <w:tcBorders>
              <w:top w:val="single" w:color="000000" w:sz="4" w:space="0"/>
              <w:left w:val="single" w:color="000000" w:sz="4" w:space="0"/>
              <w:bottom w:val="single" w:color="000000" w:sz="4" w:space="0"/>
              <w:right w:val="single" w:color="000000" w:sz="4" w:space="0"/>
            </w:tcBorders>
            <w:vAlign w:val="center"/>
          </w:tcPr>
          <w:p w14:paraId="3DB758B1">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符合合同人数要求与资质要求，不满足要求人数与资质要求，每发现一次扣4分；如不整改属重大违约，终止合同；</w:t>
            </w:r>
          </w:p>
        </w:tc>
        <w:tc>
          <w:tcPr>
            <w:tcW w:w="461" w:type="dxa"/>
            <w:vMerge w:val="restart"/>
            <w:tcBorders>
              <w:top w:val="single" w:color="000000" w:sz="4" w:space="0"/>
              <w:left w:val="single" w:color="000000" w:sz="4" w:space="0"/>
              <w:bottom w:val="single" w:color="000000" w:sz="4" w:space="0"/>
              <w:right w:val="single" w:color="000000" w:sz="4" w:space="0"/>
            </w:tcBorders>
            <w:vAlign w:val="center"/>
          </w:tcPr>
          <w:p w14:paraId="3DD25B4A">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15</w:t>
            </w:r>
          </w:p>
        </w:tc>
      </w:tr>
      <w:tr w14:paraId="7BF6E333">
        <w:tblPrEx>
          <w:tblCellMar>
            <w:top w:w="0" w:type="dxa"/>
            <w:left w:w="108" w:type="dxa"/>
            <w:bottom w:w="0" w:type="dxa"/>
            <w:right w:w="108" w:type="dxa"/>
          </w:tblCellMar>
        </w:tblPrEx>
        <w:trPr>
          <w:trHeight w:val="720" w:hRule="atLeast"/>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3977B48C">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2</w:t>
            </w:r>
          </w:p>
        </w:tc>
        <w:tc>
          <w:tcPr>
            <w:tcW w:w="661" w:type="dxa"/>
            <w:vMerge w:val="continue"/>
            <w:tcBorders>
              <w:top w:val="single" w:color="000000" w:sz="4" w:space="0"/>
              <w:left w:val="single" w:color="000000" w:sz="4" w:space="0"/>
              <w:bottom w:val="single" w:color="000000" w:sz="4" w:space="0"/>
              <w:right w:val="single" w:color="000000" w:sz="4" w:space="0"/>
            </w:tcBorders>
            <w:vAlign w:val="center"/>
          </w:tcPr>
          <w:p w14:paraId="40563CD2">
            <w:pPr>
              <w:pStyle w:val="2"/>
              <w:adjustRightInd w:val="0"/>
              <w:snapToGrid w:val="0"/>
              <w:spacing w:after="0"/>
              <w:ind w:firstLine="0" w:firstLineChars="0"/>
              <w:rPr>
                <w:rFonts w:hint="eastAsia" w:hAnsi="宋体"/>
                <w:sz w:val="21"/>
                <w:szCs w:val="21"/>
                <w:highlight w:val="none"/>
              </w:rPr>
            </w:pPr>
          </w:p>
        </w:tc>
        <w:tc>
          <w:tcPr>
            <w:tcW w:w="762" w:type="dxa"/>
            <w:tcBorders>
              <w:top w:val="single" w:color="000000" w:sz="4" w:space="0"/>
              <w:left w:val="single" w:color="000000" w:sz="4" w:space="0"/>
              <w:bottom w:val="single" w:color="000000" w:sz="4" w:space="0"/>
              <w:right w:val="single" w:color="000000" w:sz="4" w:space="0"/>
            </w:tcBorders>
            <w:vAlign w:val="center"/>
          </w:tcPr>
          <w:p w14:paraId="47681596">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人员稳定性</w:t>
            </w:r>
          </w:p>
        </w:tc>
        <w:tc>
          <w:tcPr>
            <w:tcW w:w="5774" w:type="dxa"/>
            <w:tcBorders>
              <w:top w:val="single" w:color="000000" w:sz="4" w:space="0"/>
              <w:left w:val="single" w:color="000000" w:sz="4" w:space="0"/>
              <w:bottom w:val="single" w:color="000000" w:sz="4" w:space="0"/>
              <w:right w:val="single" w:color="000000" w:sz="4" w:space="0"/>
            </w:tcBorders>
            <w:vAlign w:val="center"/>
          </w:tcPr>
          <w:p w14:paraId="7F10F866">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服务团队人员在服务期间未经业主单位许可出现离职更换，属于现场服务人员的，在月度考核结果中每发现一次扣4分，属于其他服务人员的，在月度考核结果中每发现一次扣2分；</w:t>
            </w:r>
          </w:p>
        </w:tc>
        <w:tc>
          <w:tcPr>
            <w:tcW w:w="461" w:type="dxa"/>
            <w:vMerge w:val="continue"/>
            <w:tcBorders>
              <w:top w:val="single" w:color="000000" w:sz="4" w:space="0"/>
              <w:left w:val="single" w:color="000000" w:sz="4" w:space="0"/>
              <w:bottom w:val="single" w:color="000000" w:sz="4" w:space="0"/>
              <w:right w:val="single" w:color="000000" w:sz="4" w:space="0"/>
            </w:tcBorders>
            <w:vAlign w:val="center"/>
          </w:tcPr>
          <w:p w14:paraId="49166A40">
            <w:pPr>
              <w:pStyle w:val="2"/>
              <w:adjustRightInd w:val="0"/>
              <w:snapToGrid w:val="0"/>
              <w:spacing w:after="0"/>
              <w:ind w:firstLine="0" w:firstLineChars="0"/>
              <w:rPr>
                <w:rFonts w:hint="eastAsia" w:hAnsi="宋体"/>
                <w:sz w:val="21"/>
                <w:szCs w:val="21"/>
                <w:highlight w:val="none"/>
              </w:rPr>
            </w:pPr>
          </w:p>
        </w:tc>
      </w:tr>
      <w:tr w14:paraId="0805D745">
        <w:tblPrEx>
          <w:tblCellMar>
            <w:top w:w="0" w:type="dxa"/>
            <w:left w:w="108" w:type="dxa"/>
            <w:bottom w:w="0" w:type="dxa"/>
            <w:right w:w="108" w:type="dxa"/>
          </w:tblCellMar>
        </w:tblPrEx>
        <w:trPr>
          <w:trHeight w:val="480" w:hRule="atLeast"/>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49772672">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3</w:t>
            </w:r>
          </w:p>
        </w:tc>
        <w:tc>
          <w:tcPr>
            <w:tcW w:w="661" w:type="dxa"/>
            <w:vMerge w:val="continue"/>
            <w:tcBorders>
              <w:top w:val="single" w:color="000000" w:sz="4" w:space="0"/>
              <w:left w:val="single" w:color="000000" w:sz="4" w:space="0"/>
              <w:bottom w:val="single" w:color="000000" w:sz="4" w:space="0"/>
              <w:right w:val="single" w:color="000000" w:sz="4" w:space="0"/>
            </w:tcBorders>
            <w:vAlign w:val="center"/>
          </w:tcPr>
          <w:p w14:paraId="7B0AB442">
            <w:pPr>
              <w:pStyle w:val="2"/>
              <w:adjustRightInd w:val="0"/>
              <w:snapToGrid w:val="0"/>
              <w:spacing w:after="0"/>
              <w:ind w:firstLine="0" w:firstLineChars="0"/>
              <w:rPr>
                <w:rFonts w:hint="eastAsia" w:hAnsi="宋体"/>
                <w:sz w:val="21"/>
                <w:szCs w:val="21"/>
                <w:highlight w:val="none"/>
              </w:rPr>
            </w:pPr>
          </w:p>
        </w:tc>
        <w:tc>
          <w:tcPr>
            <w:tcW w:w="762" w:type="dxa"/>
            <w:tcBorders>
              <w:top w:val="single" w:color="000000" w:sz="4" w:space="0"/>
              <w:left w:val="single" w:color="000000" w:sz="4" w:space="0"/>
              <w:bottom w:val="single" w:color="000000" w:sz="4" w:space="0"/>
              <w:right w:val="single" w:color="000000" w:sz="4" w:space="0"/>
            </w:tcBorders>
            <w:vAlign w:val="center"/>
          </w:tcPr>
          <w:p w14:paraId="64B247CD">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人员业务水平</w:t>
            </w:r>
          </w:p>
        </w:tc>
        <w:tc>
          <w:tcPr>
            <w:tcW w:w="5774" w:type="dxa"/>
            <w:tcBorders>
              <w:top w:val="single" w:color="000000" w:sz="4" w:space="0"/>
              <w:left w:val="single" w:color="000000" w:sz="4" w:space="0"/>
              <w:bottom w:val="single" w:color="000000" w:sz="4" w:space="0"/>
              <w:right w:val="single" w:color="000000" w:sz="4" w:space="0"/>
            </w:tcBorders>
            <w:vAlign w:val="center"/>
          </w:tcPr>
          <w:p w14:paraId="26797F2E">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考核工程师对业务的熟悉程度、相关知识掌握程度、运维项目保密工作等。出现误操作事件每人次扣4分；</w:t>
            </w:r>
          </w:p>
        </w:tc>
        <w:tc>
          <w:tcPr>
            <w:tcW w:w="461" w:type="dxa"/>
            <w:vMerge w:val="continue"/>
            <w:tcBorders>
              <w:top w:val="single" w:color="000000" w:sz="4" w:space="0"/>
              <w:left w:val="single" w:color="000000" w:sz="4" w:space="0"/>
              <w:bottom w:val="single" w:color="000000" w:sz="4" w:space="0"/>
              <w:right w:val="single" w:color="000000" w:sz="4" w:space="0"/>
            </w:tcBorders>
            <w:vAlign w:val="center"/>
          </w:tcPr>
          <w:p w14:paraId="1E10DD48">
            <w:pPr>
              <w:pStyle w:val="2"/>
              <w:adjustRightInd w:val="0"/>
              <w:snapToGrid w:val="0"/>
              <w:spacing w:after="0"/>
              <w:ind w:firstLine="0" w:firstLineChars="0"/>
              <w:rPr>
                <w:rFonts w:hint="eastAsia" w:hAnsi="宋体"/>
                <w:sz w:val="21"/>
                <w:szCs w:val="21"/>
                <w:highlight w:val="none"/>
              </w:rPr>
            </w:pPr>
          </w:p>
        </w:tc>
      </w:tr>
      <w:tr w14:paraId="2BEFB05B">
        <w:tblPrEx>
          <w:tblCellMar>
            <w:top w:w="0" w:type="dxa"/>
            <w:left w:w="108" w:type="dxa"/>
            <w:bottom w:w="0" w:type="dxa"/>
            <w:right w:w="108" w:type="dxa"/>
          </w:tblCellMar>
        </w:tblPrEx>
        <w:trPr>
          <w:trHeight w:val="240" w:hRule="atLeast"/>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632029D0">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4</w:t>
            </w:r>
          </w:p>
        </w:tc>
        <w:tc>
          <w:tcPr>
            <w:tcW w:w="661" w:type="dxa"/>
            <w:tcBorders>
              <w:top w:val="single" w:color="000000" w:sz="4" w:space="0"/>
              <w:left w:val="single" w:color="000000" w:sz="4" w:space="0"/>
              <w:bottom w:val="single" w:color="000000" w:sz="4" w:space="0"/>
              <w:right w:val="single" w:color="000000" w:sz="4" w:space="0"/>
            </w:tcBorders>
            <w:vAlign w:val="center"/>
          </w:tcPr>
          <w:p w14:paraId="63F0EFCB">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满意度考核</w:t>
            </w:r>
          </w:p>
        </w:tc>
        <w:tc>
          <w:tcPr>
            <w:tcW w:w="762" w:type="dxa"/>
            <w:tcBorders>
              <w:top w:val="single" w:color="000000" w:sz="4" w:space="0"/>
              <w:left w:val="single" w:color="000000" w:sz="4" w:space="0"/>
              <w:bottom w:val="single" w:color="000000" w:sz="4" w:space="0"/>
              <w:right w:val="single" w:color="000000" w:sz="4" w:space="0"/>
            </w:tcBorders>
            <w:vAlign w:val="center"/>
          </w:tcPr>
          <w:p w14:paraId="2D2C39C8">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运维服务满意度</w:t>
            </w:r>
          </w:p>
        </w:tc>
        <w:tc>
          <w:tcPr>
            <w:tcW w:w="5774" w:type="dxa"/>
            <w:tcBorders>
              <w:top w:val="single" w:color="000000" w:sz="4" w:space="0"/>
              <w:left w:val="single" w:color="000000" w:sz="4" w:space="0"/>
              <w:bottom w:val="single" w:color="000000" w:sz="4" w:space="0"/>
              <w:right w:val="single" w:color="000000" w:sz="4" w:space="0"/>
            </w:tcBorders>
            <w:vAlign w:val="center"/>
          </w:tcPr>
          <w:p w14:paraId="14B16AE0">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牵头业务部门满意度</w:t>
            </w:r>
          </w:p>
        </w:tc>
        <w:tc>
          <w:tcPr>
            <w:tcW w:w="461" w:type="dxa"/>
            <w:tcBorders>
              <w:top w:val="single" w:color="000000" w:sz="4" w:space="0"/>
              <w:left w:val="single" w:color="000000" w:sz="4" w:space="0"/>
              <w:bottom w:val="single" w:color="000000" w:sz="4" w:space="0"/>
              <w:right w:val="single" w:color="000000" w:sz="4" w:space="0"/>
            </w:tcBorders>
            <w:vAlign w:val="center"/>
          </w:tcPr>
          <w:p w14:paraId="755DD635">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20</w:t>
            </w:r>
          </w:p>
        </w:tc>
      </w:tr>
      <w:tr w14:paraId="25F27F6F">
        <w:tblPrEx>
          <w:tblCellMar>
            <w:top w:w="0" w:type="dxa"/>
            <w:left w:w="108" w:type="dxa"/>
            <w:bottom w:w="0" w:type="dxa"/>
            <w:right w:w="108" w:type="dxa"/>
          </w:tblCellMar>
        </w:tblPrEx>
        <w:trPr>
          <w:trHeight w:val="480" w:hRule="atLeast"/>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254D6BB3">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5</w:t>
            </w:r>
          </w:p>
        </w:tc>
        <w:tc>
          <w:tcPr>
            <w:tcW w:w="661" w:type="dxa"/>
            <w:vMerge w:val="restart"/>
            <w:tcBorders>
              <w:top w:val="single" w:color="000000" w:sz="4" w:space="0"/>
              <w:left w:val="single" w:color="000000" w:sz="4" w:space="0"/>
              <w:bottom w:val="single" w:color="000000" w:sz="4" w:space="0"/>
              <w:right w:val="single" w:color="000000" w:sz="4" w:space="0"/>
            </w:tcBorders>
            <w:vAlign w:val="center"/>
          </w:tcPr>
          <w:p w14:paraId="2629874C">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日常维护考核</w:t>
            </w:r>
          </w:p>
        </w:tc>
        <w:tc>
          <w:tcPr>
            <w:tcW w:w="762" w:type="dxa"/>
            <w:tcBorders>
              <w:top w:val="single" w:color="000000" w:sz="4" w:space="0"/>
              <w:left w:val="single" w:color="000000" w:sz="4" w:space="0"/>
              <w:bottom w:val="single" w:color="000000" w:sz="4" w:space="0"/>
              <w:right w:val="single" w:color="000000" w:sz="4" w:space="0"/>
            </w:tcBorders>
            <w:vAlign w:val="center"/>
          </w:tcPr>
          <w:p w14:paraId="22383D36">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巡检和应急支持</w:t>
            </w:r>
          </w:p>
        </w:tc>
        <w:tc>
          <w:tcPr>
            <w:tcW w:w="5774" w:type="dxa"/>
            <w:tcBorders>
              <w:top w:val="single" w:color="000000" w:sz="4" w:space="0"/>
              <w:left w:val="single" w:color="000000" w:sz="4" w:space="0"/>
              <w:bottom w:val="single" w:color="000000" w:sz="4" w:space="0"/>
              <w:right w:val="single" w:color="000000" w:sz="4" w:space="0"/>
            </w:tcBorders>
            <w:vAlign w:val="center"/>
          </w:tcPr>
          <w:p w14:paraId="629108D9">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按要求完成日常运维任务，未按时进行巡检的，每次扣3分；未按要求响应支持应急和处理事件的，每次扣5分；</w:t>
            </w:r>
          </w:p>
        </w:tc>
        <w:tc>
          <w:tcPr>
            <w:tcW w:w="461" w:type="dxa"/>
            <w:vMerge w:val="restart"/>
            <w:tcBorders>
              <w:top w:val="single" w:color="000000" w:sz="4" w:space="0"/>
              <w:left w:val="single" w:color="000000" w:sz="4" w:space="0"/>
              <w:bottom w:val="single" w:color="000000" w:sz="4" w:space="0"/>
              <w:right w:val="single" w:color="000000" w:sz="4" w:space="0"/>
            </w:tcBorders>
            <w:vAlign w:val="center"/>
          </w:tcPr>
          <w:p w14:paraId="710D4A91">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20</w:t>
            </w:r>
          </w:p>
        </w:tc>
      </w:tr>
      <w:tr w14:paraId="6AD1B354">
        <w:tblPrEx>
          <w:tblCellMar>
            <w:top w:w="0" w:type="dxa"/>
            <w:left w:w="108" w:type="dxa"/>
            <w:bottom w:w="0" w:type="dxa"/>
            <w:right w:w="108" w:type="dxa"/>
          </w:tblCellMar>
        </w:tblPrEx>
        <w:trPr>
          <w:trHeight w:val="480" w:hRule="atLeast"/>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630F8862">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6</w:t>
            </w:r>
          </w:p>
        </w:tc>
        <w:tc>
          <w:tcPr>
            <w:tcW w:w="661" w:type="dxa"/>
            <w:vMerge w:val="continue"/>
            <w:tcBorders>
              <w:top w:val="single" w:color="000000" w:sz="4" w:space="0"/>
              <w:left w:val="single" w:color="000000" w:sz="4" w:space="0"/>
              <w:bottom w:val="single" w:color="000000" w:sz="4" w:space="0"/>
              <w:right w:val="single" w:color="000000" w:sz="4" w:space="0"/>
            </w:tcBorders>
            <w:vAlign w:val="center"/>
          </w:tcPr>
          <w:p w14:paraId="65F0073E">
            <w:pPr>
              <w:pStyle w:val="2"/>
              <w:adjustRightInd w:val="0"/>
              <w:snapToGrid w:val="0"/>
              <w:spacing w:after="0"/>
              <w:ind w:firstLine="0" w:firstLineChars="0"/>
              <w:rPr>
                <w:rFonts w:hint="eastAsia" w:hAnsi="宋体"/>
                <w:sz w:val="21"/>
                <w:szCs w:val="21"/>
                <w:highlight w:val="none"/>
              </w:rPr>
            </w:pPr>
          </w:p>
        </w:tc>
        <w:tc>
          <w:tcPr>
            <w:tcW w:w="762" w:type="dxa"/>
            <w:tcBorders>
              <w:top w:val="single" w:color="000000" w:sz="4" w:space="0"/>
              <w:left w:val="single" w:color="000000" w:sz="4" w:space="0"/>
              <w:bottom w:val="single" w:color="000000" w:sz="4" w:space="0"/>
              <w:right w:val="single" w:color="000000" w:sz="4" w:space="0"/>
            </w:tcBorders>
            <w:vAlign w:val="center"/>
          </w:tcPr>
          <w:p w14:paraId="4452C817">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软硬件升级</w:t>
            </w:r>
          </w:p>
        </w:tc>
        <w:tc>
          <w:tcPr>
            <w:tcW w:w="5774" w:type="dxa"/>
            <w:tcBorders>
              <w:top w:val="single" w:color="000000" w:sz="4" w:space="0"/>
              <w:left w:val="single" w:color="000000" w:sz="4" w:space="0"/>
              <w:bottom w:val="single" w:color="000000" w:sz="4" w:space="0"/>
              <w:right w:val="single" w:color="000000" w:sz="4" w:space="0"/>
            </w:tcBorders>
            <w:vAlign w:val="center"/>
          </w:tcPr>
          <w:p w14:paraId="36D2E9C8">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升级前没有事先向业主单位申请或沟通而造成不良影响的，每次扣2分；</w:t>
            </w:r>
          </w:p>
        </w:tc>
        <w:tc>
          <w:tcPr>
            <w:tcW w:w="461" w:type="dxa"/>
            <w:vMerge w:val="continue"/>
            <w:tcBorders>
              <w:top w:val="single" w:color="000000" w:sz="4" w:space="0"/>
              <w:left w:val="single" w:color="000000" w:sz="4" w:space="0"/>
              <w:bottom w:val="single" w:color="000000" w:sz="4" w:space="0"/>
              <w:right w:val="single" w:color="000000" w:sz="4" w:space="0"/>
            </w:tcBorders>
            <w:vAlign w:val="center"/>
          </w:tcPr>
          <w:p w14:paraId="545F65D0">
            <w:pPr>
              <w:pStyle w:val="2"/>
              <w:adjustRightInd w:val="0"/>
              <w:snapToGrid w:val="0"/>
              <w:spacing w:after="0"/>
              <w:ind w:firstLine="0" w:firstLineChars="0"/>
              <w:rPr>
                <w:rFonts w:hint="eastAsia" w:hAnsi="宋体"/>
                <w:sz w:val="21"/>
                <w:szCs w:val="21"/>
                <w:highlight w:val="none"/>
              </w:rPr>
            </w:pPr>
          </w:p>
        </w:tc>
      </w:tr>
      <w:tr w14:paraId="26529958">
        <w:tblPrEx>
          <w:tblCellMar>
            <w:top w:w="0" w:type="dxa"/>
            <w:left w:w="108" w:type="dxa"/>
            <w:bottom w:w="0" w:type="dxa"/>
            <w:right w:w="108" w:type="dxa"/>
          </w:tblCellMar>
        </w:tblPrEx>
        <w:trPr>
          <w:trHeight w:val="720" w:hRule="atLeast"/>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09D98465">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7</w:t>
            </w:r>
          </w:p>
        </w:tc>
        <w:tc>
          <w:tcPr>
            <w:tcW w:w="661" w:type="dxa"/>
            <w:vMerge w:val="continue"/>
            <w:tcBorders>
              <w:top w:val="single" w:color="000000" w:sz="4" w:space="0"/>
              <w:left w:val="single" w:color="000000" w:sz="4" w:space="0"/>
              <w:bottom w:val="single" w:color="000000" w:sz="4" w:space="0"/>
              <w:right w:val="single" w:color="000000" w:sz="4" w:space="0"/>
            </w:tcBorders>
            <w:vAlign w:val="center"/>
          </w:tcPr>
          <w:p w14:paraId="78B8D94D">
            <w:pPr>
              <w:pStyle w:val="2"/>
              <w:adjustRightInd w:val="0"/>
              <w:snapToGrid w:val="0"/>
              <w:spacing w:after="0"/>
              <w:ind w:firstLine="0" w:firstLineChars="0"/>
              <w:rPr>
                <w:rFonts w:hint="eastAsia" w:hAnsi="宋体"/>
                <w:sz w:val="21"/>
                <w:szCs w:val="21"/>
                <w:highlight w:val="none"/>
              </w:rPr>
            </w:pPr>
          </w:p>
        </w:tc>
        <w:tc>
          <w:tcPr>
            <w:tcW w:w="762" w:type="dxa"/>
            <w:tcBorders>
              <w:top w:val="single" w:color="000000" w:sz="4" w:space="0"/>
              <w:left w:val="single" w:color="000000" w:sz="4" w:space="0"/>
              <w:bottom w:val="single" w:color="000000" w:sz="4" w:space="0"/>
              <w:right w:val="single" w:color="000000" w:sz="4" w:space="0"/>
            </w:tcBorders>
            <w:vAlign w:val="center"/>
          </w:tcPr>
          <w:p w14:paraId="66754B2B">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故障处理</w:t>
            </w:r>
          </w:p>
        </w:tc>
        <w:tc>
          <w:tcPr>
            <w:tcW w:w="5774" w:type="dxa"/>
            <w:tcBorders>
              <w:top w:val="single" w:color="000000" w:sz="4" w:space="0"/>
              <w:left w:val="single" w:color="000000" w:sz="4" w:space="0"/>
              <w:bottom w:val="single" w:color="000000" w:sz="4" w:space="0"/>
              <w:right w:val="single" w:color="000000" w:sz="4" w:space="0"/>
            </w:tcBorders>
            <w:vAlign w:val="center"/>
          </w:tcPr>
          <w:p w14:paraId="3CD1958D">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出现故障后未按故障正确的处理流程操作导致重大损失或造成恶劣影响的，每次扣15分；故障报告未在一周内提交给业主单位的，每次扣5分；</w:t>
            </w:r>
          </w:p>
        </w:tc>
        <w:tc>
          <w:tcPr>
            <w:tcW w:w="461" w:type="dxa"/>
            <w:vMerge w:val="continue"/>
            <w:tcBorders>
              <w:top w:val="single" w:color="000000" w:sz="4" w:space="0"/>
              <w:left w:val="single" w:color="000000" w:sz="4" w:space="0"/>
              <w:bottom w:val="single" w:color="000000" w:sz="4" w:space="0"/>
              <w:right w:val="single" w:color="000000" w:sz="4" w:space="0"/>
            </w:tcBorders>
            <w:vAlign w:val="center"/>
          </w:tcPr>
          <w:p w14:paraId="4F630F66">
            <w:pPr>
              <w:pStyle w:val="2"/>
              <w:adjustRightInd w:val="0"/>
              <w:snapToGrid w:val="0"/>
              <w:spacing w:after="0"/>
              <w:ind w:firstLine="0" w:firstLineChars="0"/>
              <w:rPr>
                <w:rFonts w:hint="eastAsia" w:hAnsi="宋体"/>
                <w:sz w:val="21"/>
                <w:szCs w:val="21"/>
                <w:highlight w:val="none"/>
              </w:rPr>
            </w:pPr>
          </w:p>
        </w:tc>
      </w:tr>
      <w:tr w14:paraId="7D6422A8">
        <w:tblPrEx>
          <w:tblCellMar>
            <w:top w:w="0" w:type="dxa"/>
            <w:left w:w="108" w:type="dxa"/>
            <w:bottom w:w="0" w:type="dxa"/>
            <w:right w:w="108" w:type="dxa"/>
          </w:tblCellMar>
        </w:tblPrEx>
        <w:trPr>
          <w:trHeight w:val="480" w:hRule="atLeast"/>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49D17DEA">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8</w:t>
            </w:r>
          </w:p>
        </w:tc>
        <w:tc>
          <w:tcPr>
            <w:tcW w:w="661" w:type="dxa"/>
            <w:vMerge w:val="continue"/>
            <w:tcBorders>
              <w:top w:val="single" w:color="000000" w:sz="4" w:space="0"/>
              <w:left w:val="single" w:color="000000" w:sz="4" w:space="0"/>
              <w:bottom w:val="single" w:color="000000" w:sz="4" w:space="0"/>
              <w:right w:val="single" w:color="000000" w:sz="4" w:space="0"/>
            </w:tcBorders>
            <w:vAlign w:val="center"/>
          </w:tcPr>
          <w:p w14:paraId="04D855A6">
            <w:pPr>
              <w:pStyle w:val="2"/>
              <w:adjustRightInd w:val="0"/>
              <w:snapToGrid w:val="0"/>
              <w:spacing w:after="0"/>
              <w:ind w:firstLine="0" w:firstLineChars="0"/>
              <w:rPr>
                <w:rFonts w:hint="eastAsia" w:hAnsi="宋体"/>
                <w:sz w:val="21"/>
                <w:szCs w:val="21"/>
                <w:highlight w:val="none"/>
              </w:rPr>
            </w:pPr>
          </w:p>
        </w:tc>
        <w:tc>
          <w:tcPr>
            <w:tcW w:w="762" w:type="dxa"/>
            <w:tcBorders>
              <w:top w:val="single" w:color="000000" w:sz="4" w:space="0"/>
              <w:left w:val="single" w:color="000000" w:sz="4" w:space="0"/>
              <w:bottom w:val="single" w:color="000000" w:sz="4" w:space="0"/>
              <w:right w:val="single" w:color="000000" w:sz="4" w:space="0"/>
            </w:tcBorders>
            <w:vAlign w:val="center"/>
          </w:tcPr>
          <w:p w14:paraId="7A5A7A66">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合作处理</w:t>
            </w:r>
          </w:p>
        </w:tc>
        <w:tc>
          <w:tcPr>
            <w:tcW w:w="5774" w:type="dxa"/>
            <w:tcBorders>
              <w:top w:val="single" w:color="000000" w:sz="4" w:space="0"/>
              <w:left w:val="single" w:color="000000" w:sz="4" w:space="0"/>
              <w:bottom w:val="single" w:color="000000" w:sz="4" w:space="0"/>
              <w:right w:val="single" w:color="000000" w:sz="4" w:space="0"/>
            </w:tcBorders>
            <w:vAlign w:val="center"/>
          </w:tcPr>
          <w:p w14:paraId="7C1684A0">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根据问题情况与其他厂商联合进行故障排查，问题处理，拖延或推诿问题解决每次扣5分。</w:t>
            </w:r>
          </w:p>
        </w:tc>
        <w:tc>
          <w:tcPr>
            <w:tcW w:w="461" w:type="dxa"/>
            <w:vMerge w:val="continue"/>
            <w:tcBorders>
              <w:top w:val="single" w:color="000000" w:sz="4" w:space="0"/>
              <w:left w:val="single" w:color="000000" w:sz="4" w:space="0"/>
              <w:bottom w:val="single" w:color="000000" w:sz="4" w:space="0"/>
              <w:right w:val="single" w:color="000000" w:sz="4" w:space="0"/>
            </w:tcBorders>
            <w:vAlign w:val="center"/>
          </w:tcPr>
          <w:p w14:paraId="06EAEBC9">
            <w:pPr>
              <w:pStyle w:val="2"/>
              <w:adjustRightInd w:val="0"/>
              <w:snapToGrid w:val="0"/>
              <w:spacing w:after="0"/>
              <w:ind w:firstLine="0" w:firstLineChars="0"/>
              <w:rPr>
                <w:rFonts w:hint="eastAsia" w:hAnsi="宋体"/>
                <w:sz w:val="21"/>
                <w:szCs w:val="21"/>
                <w:highlight w:val="none"/>
              </w:rPr>
            </w:pPr>
          </w:p>
        </w:tc>
      </w:tr>
      <w:tr w14:paraId="0BC16F12">
        <w:tblPrEx>
          <w:tblCellMar>
            <w:top w:w="0" w:type="dxa"/>
            <w:left w:w="108" w:type="dxa"/>
            <w:bottom w:w="0" w:type="dxa"/>
            <w:right w:w="108" w:type="dxa"/>
          </w:tblCellMar>
        </w:tblPrEx>
        <w:trPr>
          <w:trHeight w:val="480" w:hRule="atLeast"/>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0592806B">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9</w:t>
            </w:r>
          </w:p>
        </w:tc>
        <w:tc>
          <w:tcPr>
            <w:tcW w:w="661" w:type="dxa"/>
            <w:vMerge w:val="continue"/>
            <w:tcBorders>
              <w:top w:val="single" w:color="000000" w:sz="4" w:space="0"/>
              <w:left w:val="single" w:color="000000" w:sz="4" w:space="0"/>
              <w:bottom w:val="single" w:color="000000" w:sz="4" w:space="0"/>
              <w:right w:val="single" w:color="000000" w:sz="4" w:space="0"/>
            </w:tcBorders>
            <w:vAlign w:val="center"/>
          </w:tcPr>
          <w:p w14:paraId="6055463C">
            <w:pPr>
              <w:pStyle w:val="2"/>
              <w:adjustRightInd w:val="0"/>
              <w:snapToGrid w:val="0"/>
              <w:spacing w:after="0"/>
              <w:ind w:firstLine="0" w:firstLineChars="0"/>
              <w:rPr>
                <w:rFonts w:hint="eastAsia" w:hAnsi="宋体"/>
                <w:sz w:val="21"/>
                <w:szCs w:val="21"/>
                <w:highlight w:val="none"/>
              </w:rPr>
            </w:pPr>
          </w:p>
        </w:tc>
        <w:tc>
          <w:tcPr>
            <w:tcW w:w="762" w:type="dxa"/>
            <w:tcBorders>
              <w:top w:val="single" w:color="000000" w:sz="4" w:space="0"/>
              <w:left w:val="single" w:color="000000" w:sz="4" w:space="0"/>
              <w:bottom w:val="single" w:color="000000" w:sz="4" w:space="0"/>
              <w:right w:val="single" w:color="000000" w:sz="4" w:space="0"/>
            </w:tcBorders>
            <w:vAlign w:val="center"/>
          </w:tcPr>
          <w:p w14:paraId="427462EF">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监控管理</w:t>
            </w:r>
          </w:p>
        </w:tc>
        <w:tc>
          <w:tcPr>
            <w:tcW w:w="5774" w:type="dxa"/>
            <w:tcBorders>
              <w:top w:val="single" w:color="000000" w:sz="4" w:space="0"/>
              <w:left w:val="single" w:color="000000" w:sz="4" w:space="0"/>
              <w:bottom w:val="single" w:color="000000" w:sz="4" w:space="0"/>
              <w:right w:val="single" w:color="000000" w:sz="4" w:space="0"/>
            </w:tcBorders>
            <w:vAlign w:val="center"/>
          </w:tcPr>
          <w:p w14:paraId="06043D53">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监控产生的告警信息未按时处理的，扣2分/次，由此产生恶劣影响的，每次扣10分；</w:t>
            </w:r>
          </w:p>
        </w:tc>
        <w:tc>
          <w:tcPr>
            <w:tcW w:w="461" w:type="dxa"/>
            <w:vMerge w:val="continue"/>
            <w:tcBorders>
              <w:top w:val="single" w:color="000000" w:sz="4" w:space="0"/>
              <w:left w:val="single" w:color="000000" w:sz="4" w:space="0"/>
              <w:bottom w:val="single" w:color="000000" w:sz="4" w:space="0"/>
              <w:right w:val="single" w:color="000000" w:sz="4" w:space="0"/>
            </w:tcBorders>
            <w:vAlign w:val="center"/>
          </w:tcPr>
          <w:p w14:paraId="6BB14C1A">
            <w:pPr>
              <w:pStyle w:val="2"/>
              <w:adjustRightInd w:val="0"/>
              <w:snapToGrid w:val="0"/>
              <w:spacing w:after="0"/>
              <w:ind w:firstLine="0" w:firstLineChars="0"/>
              <w:rPr>
                <w:rFonts w:hint="eastAsia" w:hAnsi="宋体"/>
                <w:sz w:val="21"/>
                <w:szCs w:val="21"/>
                <w:highlight w:val="none"/>
              </w:rPr>
            </w:pPr>
          </w:p>
        </w:tc>
      </w:tr>
      <w:tr w14:paraId="3A99AE0F">
        <w:tblPrEx>
          <w:tblCellMar>
            <w:top w:w="0" w:type="dxa"/>
            <w:left w:w="108" w:type="dxa"/>
            <w:bottom w:w="0" w:type="dxa"/>
            <w:right w:w="108" w:type="dxa"/>
          </w:tblCellMar>
        </w:tblPrEx>
        <w:trPr>
          <w:trHeight w:val="240" w:hRule="atLeast"/>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16CEAF21">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10</w:t>
            </w:r>
          </w:p>
        </w:tc>
        <w:tc>
          <w:tcPr>
            <w:tcW w:w="661" w:type="dxa"/>
            <w:vMerge w:val="continue"/>
            <w:tcBorders>
              <w:top w:val="single" w:color="000000" w:sz="4" w:space="0"/>
              <w:left w:val="single" w:color="000000" w:sz="4" w:space="0"/>
              <w:bottom w:val="single" w:color="000000" w:sz="4" w:space="0"/>
              <w:right w:val="single" w:color="000000" w:sz="4" w:space="0"/>
            </w:tcBorders>
            <w:vAlign w:val="center"/>
          </w:tcPr>
          <w:p w14:paraId="12213133">
            <w:pPr>
              <w:pStyle w:val="2"/>
              <w:adjustRightInd w:val="0"/>
              <w:snapToGrid w:val="0"/>
              <w:spacing w:after="0"/>
              <w:ind w:firstLine="0" w:firstLineChars="0"/>
              <w:rPr>
                <w:rFonts w:hint="eastAsia" w:hAnsi="宋体"/>
                <w:sz w:val="21"/>
                <w:szCs w:val="21"/>
                <w:highlight w:val="none"/>
              </w:rPr>
            </w:pPr>
          </w:p>
        </w:tc>
        <w:tc>
          <w:tcPr>
            <w:tcW w:w="762" w:type="dxa"/>
            <w:tcBorders>
              <w:top w:val="single" w:color="000000" w:sz="4" w:space="0"/>
              <w:left w:val="single" w:color="000000" w:sz="4" w:space="0"/>
              <w:bottom w:val="single" w:color="000000" w:sz="4" w:space="0"/>
              <w:right w:val="single" w:color="000000" w:sz="4" w:space="0"/>
            </w:tcBorders>
            <w:vAlign w:val="center"/>
          </w:tcPr>
          <w:p w14:paraId="1E692B73">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安全管理</w:t>
            </w:r>
          </w:p>
        </w:tc>
        <w:tc>
          <w:tcPr>
            <w:tcW w:w="5774" w:type="dxa"/>
            <w:tcBorders>
              <w:top w:val="single" w:color="000000" w:sz="4" w:space="0"/>
              <w:left w:val="single" w:color="000000" w:sz="4" w:space="0"/>
              <w:bottom w:val="single" w:color="000000" w:sz="4" w:space="0"/>
              <w:right w:val="single" w:color="000000" w:sz="4" w:space="0"/>
            </w:tcBorders>
            <w:vAlign w:val="center"/>
          </w:tcPr>
          <w:p w14:paraId="43B49DEA">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违反安全管理制度，人为造成严重、重大故障的，每次扣15分；</w:t>
            </w:r>
          </w:p>
        </w:tc>
        <w:tc>
          <w:tcPr>
            <w:tcW w:w="461" w:type="dxa"/>
            <w:vMerge w:val="continue"/>
            <w:tcBorders>
              <w:top w:val="single" w:color="000000" w:sz="4" w:space="0"/>
              <w:left w:val="single" w:color="000000" w:sz="4" w:space="0"/>
              <w:bottom w:val="single" w:color="000000" w:sz="4" w:space="0"/>
              <w:right w:val="single" w:color="000000" w:sz="4" w:space="0"/>
            </w:tcBorders>
            <w:vAlign w:val="center"/>
          </w:tcPr>
          <w:p w14:paraId="031AEA43">
            <w:pPr>
              <w:pStyle w:val="2"/>
              <w:adjustRightInd w:val="0"/>
              <w:snapToGrid w:val="0"/>
              <w:spacing w:after="0"/>
              <w:ind w:firstLine="0" w:firstLineChars="0"/>
              <w:rPr>
                <w:rFonts w:hint="eastAsia" w:hAnsi="宋体"/>
                <w:sz w:val="21"/>
                <w:szCs w:val="21"/>
                <w:highlight w:val="none"/>
              </w:rPr>
            </w:pPr>
          </w:p>
        </w:tc>
      </w:tr>
      <w:tr w14:paraId="6181A8FB">
        <w:tblPrEx>
          <w:tblCellMar>
            <w:top w:w="0" w:type="dxa"/>
            <w:left w:w="108" w:type="dxa"/>
            <w:bottom w:w="0" w:type="dxa"/>
            <w:right w:w="108" w:type="dxa"/>
          </w:tblCellMar>
        </w:tblPrEx>
        <w:trPr>
          <w:trHeight w:val="480" w:hRule="atLeast"/>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34B74540">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11</w:t>
            </w:r>
          </w:p>
        </w:tc>
        <w:tc>
          <w:tcPr>
            <w:tcW w:w="661" w:type="dxa"/>
            <w:vMerge w:val="continue"/>
            <w:tcBorders>
              <w:top w:val="single" w:color="000000" w:sz="4" w:space="0"/>
              <w:left w:val="single" w:color="000000" w:sz="4" w:space="0"/>
              <w:bottom w:val="single" w:color="000000" w:sz="4" w:space="0"/>
              <w:right w:val="single" w:color="000000" w:sz="4" w:space="0"/>
            </w:tcBorders>
            <w:vAlign w:val="center"/>
          </w:tcPr>
          <w:p w14:paraId="75E883E2">
            <w:pPr>
              <w:pStyle w:val="2"/>
              <w:adjustRightInd w:val="0"/>
              <w:snapToGrid w:val="0"/>
              <w:spacing w:after="0"/>
              <w:ind w:firstLine="0" w:firstLineChars="0"/>
              <w:rPr>
                <w:rFonts w:hint="eastAsia" w:hAnsi="宋体"/>
                <w:sz w:val="21"/>
                <w:szCs w:val="21"/>
                <w:highlight w:val="none"/>
              </w:rPr>
            </w:pPr>
          </w:p>
        </w:tc>
        <w:tc>
          <w:tcPr>
            <w:tcW w:w="762" w:type="dxa"/>
            <w:tcBorders>
              <w:top w:val="single" w:color="000000" w:sz="4" w:space="0"/>
              <w:left w:val="single" w:color="000000" w:sz="4" w:space="0"/>
              <w:bottom w:val="single" w:color="000000" w:sz="4" w:space="0"/>
              <w:right w:val="single" w:color="000000" w:sz="4" w:space="0"/>
            </w:tcBorders>
            <w:vAlign w:val="center"/>
          </w:tcPr>
          <w:p w14:paraId="74187AEC">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保密管理</w:t>
            </w:r>
          </w:p>
        </w:tc>
        <w:tc>
          <w:tcPr>
            <w:tcW w:w="5774" w:type="dxa"/>
            <w:tcBorders>
              <w:top w:val="single" w:color="000000" w:sz="4" w:space="0"/>
              <w:left w:val="single" w:color="000000" w:sz="4" w:space="0"/>
              <w:bottom w:val="single" w:color="000000" w:sz="4" w:space="0"/>
              <w:right w:val="single" w:color="000000" w:sz="4" w:space="0"/>
            </w:tcBorders>
            <w:vAlign w:val="center"/>
          </w:tcPr>
          <w:p w14:paraId="6A309975">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违反保密管理制度，人为造成严重、重大损失的，视为重大违约，终止合同；</w:t>
            </w:r>
          </w:p>
        </w:tc>
        <w:tc>
          <w:tcPr>
            <w:tcW w:w="461" w:type="dxa"/>
            <w:vMerge w:val="continue"/>
            <w:tcBorders>
              <w:top w:val="single" w:color="000000" w:sz="4" w:space="0"/>
              <w:left w:val="single" w:color="000000" w:sz="4" w:space="0"/>
              <w:bottom w:val="single" w:color="000000" w:sz="4" w:space="0"/>
              <w:right w:val="single" w:color="000000" w:sz="4" w:space="0"/>
            </w:tcBorders>
            <w:vAlign w:val="center"/>
          </w:tcPr>
          <w:p w14:paraId="657C02BB">
            <w:pPr>
              <w:pStyle w:val="2"/>
              <w:adjustRightInd w:val="0"/>
              <w:snapToGrid w:val="0"/>
              <w:spacing w:after="0"/>
              <w:ind w:firstLine="0" w:firstLineChars="0"/>
              <w:rPr>
                <w:rFonts w:hint="eastAsia" w:hAnsi="宋体"/>
                <w:sz w:val="21"/>
                <w:szCs w:val="21"/>
                <w:highlight w:val="none"/>
              </w:rPr>
            </w:pPr>
          </w:p>
        </w:tc>
      </w:tr>
      <w:tr w14:paraId="43BE4BF0">
        <w:tblPrEx>
          <w:tblCellMar>
            <w:top w:w="0" w:type="dxa"/>
            <w:left w:w="108" w:type="dxa"/>
            <w:bottom w:w="0" w:type="dxa"/>
            <w:right w:w="108" w:type="dxa"/>
          </w:tblCellMar>
        </w:tblPrEx>
        <w:trPr>
          <w:trHeight w:val="240" w:hRule="atLeast"/>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463C9859">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12</w:t>
            </w:r>
          </w:p>
        </w:tc>
        <w:tc>
          <w:tcPr>
            <w:tcW w:w="661" w:type="dxa"/>
            <w:vMerge w:val="continue"/>
            <w:tcBorders>
              <w:top w:val="single" w:color="000000" w:sz="4" w:space="0"/>
              <w:left w:val="single" w:color="000000" w:sz="4" w:space="0"/>
              <w:bottom w:val="single" w:color="000000" w:sz="4" w:space="0"/>
              <w:right w:val="single" w:color="000000" w:sz="4" w:space="0"/>
            </w:tcBorders>
            <w:vAlign w:val="center"/>
          </w:tcPr>
          <w:p w14:paraId="1DAD6F24">
            <w:pPr>
              <w:pStyle w:val="2"/>
              <w:adjustRightInd w:val="0"/>
              <w:snapToGrid w:val="0"/>
              <w:spacing w:after="0"/>
              <w:ind w:firstLine="0" w:firstLineChars="0"/>
              <w:rPr>
                <w:rFonts w:hint="eastAsia" w:hAnsi="宋体"/>
                <w:sz w:val="21"/>
                <w:szCs w:val="21"/>
                <w:highlight w:val="none"/>
              </w:rPr>
            </w:pPr>
          </w:p>
        </w:tc>
        <w:tc>
          <w:tcPr>
            <w:tcW w:w="762" w:type="dxa"/>
            <w:tcBorders>
              <w:top w:val="single" w:color="000000" w:sz="4" w:space="0"/>
              <w:left w:val="single" w:color="000000" w:sz="4" w:space="0"/>
              <w:bottom w:val="single" w:color="000000" w:sz="4" w:space="0"/>
              <w:right w:val="single" w:color="000000" w:sz="4" w:space="0"/>
            </w:tcBorders>
            <w:vAlign w:val="center"/>
          </w:tcPr>
          <w:p w14:paraId="218D85A2">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任务管理</w:t>
            </w:r>
          </w:p>
        </w:tc>
        <w:tc>
          <w:tcPr>
            <w:tcW w:w="5774" w:type="dxa"/>
            <w:tcBorders>
              <w:top w:val="single" w:color="000000" w:sz="4" w:space="0"/>
              <w:left w:val="single" w:color="000000" w:sz="4" w:space="0"/>
              <w:bottom w:val="single" w:color="000000" w:sz="4" w:space="0"/>
              <w:right w:val="single" w:color="000000" w:sz="4" w:space="0"/>
            </w:tcBorders>
            <w:vAlign w:val="center"/>
          </w:tcPr>
          <w:p w14:paraId="4D4C4B40">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未按时完成其他交办的维护任务的，每个扣2分；</w:t>
            </w:r>
          </w:p>
        </w:tc>
        <w:tc>
          <w:tcPr>
            <w:tcW w:w="461" w:type="dxa"/>
            <w:vMerge w:val="continue"/>
            <w:tcBorders>
              <w:top w:val="single" w:color="000000" w:sz="4" w:space="0"/>
              <w:left w:val="single" w:color="000000" w:sz="4" w:space="0"/>
              <w:bottom w:val="single" w:color="000000" w:sz="4" w:space="0"/>
              <w:right w:val="single" w:color="000000" w:sz="4" w:space="0"/>
            </w:tcBorders>
            <w:vAlign w:val="center"/>
          </w:tcPr>
          <w:p w14:paraId="02EFC752">
            <w:pPr>
              <w:pStyle w:val="2"/>
              <w:adjustRightInd w:val="0"/>
              <w:snapToGrid w:val="0"/>
              <w:spacing w:after="0"/>
              <w:ind w:firstLine="0" w:firstLineChars="0"/>
              <w:rPr>
                <w:rFonts w:hint="eastAsia" w:hAnsi="宋体"/>
                <w:sz w:val="21"/>
                <w:szCs w:val="21"/>
                <w:highlight w:val="none"/>
              </w:rPr>
            </w:pPr>
          </w:p>
        </w:tc>
      </w:tr>
      <w:tr w14:paraId="249AB4F1">
        <w:tblPrEx>
          <w:tblCellMar>
            <w:top w:w="0" w:type="dxa"/>
            <w:left w:w="108" w:type="dxa"/>
            <w:bottom w:w="0" w:type="dxa"/>
            <w:right w:w="108" w:type="dxa"/>
          </w:tblCellMar>
        </w:tblPrEx>
        <w:trPr>
          <w:trHeight w:val="240" w:hRule="atLeast"/>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7674040A">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13</w:t>
            </w:r>
          </w:p>
        </w:tc>
        <w:tc>
          <w:tcPr>
            <w:tcW w:w="661" w:type="dxa"/>
            <w:vMerge w:val="restart"/>
            <w:tcBorders>
              <w:top w:val="single" w:color="000000" w:sz="4" w:space="0"/>
              <w:left w:val="single" w:color="000000" w:sz="4" w:space="0"/>
              <w:bottom w:val="single" w:color="000000" w:sz="4" w:space="0"/>
              <w:right w:val="single" w:color="000000" w:sz="4" w:space="0"/>
            </w:tcBorders>
            <w:vAlign w:val="center"/>
          </w:tcPr>
          <w:p w14:paraId="5BCBD9E9">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运行质量考核</w:t>
            </w:r>
          </w:p>
        </w:tc>
        <w:tc>
          <w:tcPr>
            <w:tcW w:w="762" w:type="dxa"/>
            <w:vMerge w:val="restart"/>
            <w:tcBorders>
              <w:top w:val="single" w:color="000000" w:sz="4" w:space="0"/>
              <w:left w:val="single" w:color="000000" w:sz="4" w:space="0"/>
              <w:right w:val="single" w:color="000000" w:sz="4" w:space="0"/>
            </w:tcBorders>
            <w:vAlign w:val="center"/>
          </w:tcPr>
          <w:p w14:paraId="3673973D">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总体可用性</w:t>
            </w:r>
          </w:p>
        </w:tc>
        <w:tc>
          <w:tcPr>
            <w:tcW w:w="5774" w:type="dxa"/>
            <w:tcBorders>
              <w:top w:val="single" w:color="000000" w:sz="4" w:space="0"/>
              <w:left w:val="single" w:color="000000" w:sz="4" w:space="0"/>
              <w:bottom w:val="single" w:color="000000" w:sz="4" w:space="0"/>
              <w:right w:val="single" w:color="000000" w:sz="4" w:space="0"/>
            </w:tcBorders>
            <w:vAlign w:val="center"/>
          </w:tcPr>
          <w:p w14:paraId="0B7DBF9A">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出现故障每次扣2分；</w:t>
            </w:r>
          </w:p>
        </w:tc>
        <w:tc>
          <w:tcPr>
            <w:tcW w:w="461" w:type="dxa"/>
            <w:vMerge w:val="restart"/>
            <w:tcBorders>
              <w:top w:val="single" w:color="000000" w:sz="4" w:space="0"/>
              <w:left w:val="single" w:color="000000" w:sz="4" w:space="0"/>
              <w:bottom w:val="single" w:color="000000" w:sz="4" w:space="0"/>
              <w:right w:val="single" w:color="000000" w:sz="4" w:space="0"/>
            </w:tcBorders>
            <w:vAlign w:val="center"/>
          </w:tcPr>
          <w:p w14:paraId="722C3283">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10</w:t>
            </w:r>
          </w:p>
        </w:tc>
      </w:tr>
      <w:tr w14:paraId="0456DFAB">
        <w:tblPrEx>
          <w:tblCellMar>
            <w:top w:w="0" w:type="dxa"/>
            <w:left w:w="108" w:type="dxa"/>
            <w:bottom w:w="0" w:type="dxa"/>
            <w:right w:w="108" w:type="dxa"/>
          </w:tblCellMar>
        </w:tblPrEx>
        <w:trPr>
          <w:trHeight w:val="720" w:hRule="atLeast"/>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5E1C4403">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14</w:t>
            </w:r>
          </w:p>
        </w:tc>
        <w:tc>
          <w:tcPr>
            <w:tcW w:w="661" w:type="dxa"/>
            <w:vMerge w:val="continue"/>
            <w:tcBorders>
              <w:top w:val="single" w:color="000000" w:sz="4" w:space="0"/>
              <w:left w:val="single" w:color="000000" w:sz="4" w:space="0"/>
              <w:bottom w:val="single" w:color="000000" w:sz="4" w:space="0"/>
              <w:right w:val="single" w:color="000000" w:sz="4" w:space="0"/>
            </w:tcBorders>
            <w:vAlign w:val="center"/>
          </w:tcPr>
          <w:p w14:paraId="7D6A0559">
            <w:pPr>
              <w:pStyle w:val="2"/>
              <w:adjustRightInd w:val="0"/>
              <w:snapToGrid w:val="0"/>
              <w:spacing w:after="0"/>
              <w:ind w:firstLine="0" w:firstLineChars="0"/>
              <w:rPr>
                <w:rFonts w:hint="eastAsia" w:hAnsi="宋体"/>
                <w:sz w:val="21"/>
                <w:szCs w:val="21"/>
                <w:highlight w:val="none"/>
              </w:rPr>
            </w:pPr>
          </w:p>
        </w:tc>
        <w:tc>
          <w:tcPr>
            <w:tcW w:w="762" w:type="dxa"/>
            <w:vMerge w:val="continue"/>
            <w:tcBorders>
              <w:left w:val="single" w:color="000000" w:sz="4" w:space="0"/>
              <w:right w:val="single" w:color="000000" w:sz="4" w:space="0"/>
            </w:tcBorders>
            <w:vAlign w:val="center"/>
          </w:tcPr>
          <w:p w14:paraId="675C1480">
            <w:pPr>
              <w:pStyle w:val="2"/>
              <w:adjustRightInd w:val="0"/>
              <w:snapToGrid w:val="0"/>
              <w:spacing w:after="0"/>
              <w:ind w:firstLine="0" w:firstLineChars="0"/>
              <w:rPr>
                <w:rFonts w:hint="eastAsia" w:hAnsi="宋体"/>
                <w:sz w:val="21"/>
                <w:szCs w:val="21"/>
                <w:highlight w:val="none"/>
              </w:rPr>
            </w:pPr>
          </w:p>
        </w:tc>
        <w:tc>
          <w:tcPr>
            <w:tcW w:w="5774" w:type="dxa"/>
            <w:tcBorders>
              <w:top w:val="single" w:color="000000" w:sz="4" w:space="0"/>
              <w:left w:val="single" w:color="000000" w:sz="4" w:space="0"/>
              <w:bottom w:val="single" w:color="000000" w:sz="4" w:space="0"/>
              <w:right w:val="single" w:color="000000" w:sz="4" w:space="0"/>
            </w:tcBorders>
            <w:vAlign w:val="center"/>
          </w:tcPr>
          <w:p w14:paraId="528B655D">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软件要求&gt;99%（每月不可用时间累计＜7小时），每超过0.5小时扣2分。此项不包括因网络、硬件问题造成的故障及有计划的系统升级、维护时间；</w:t>
            </w:r>
          </w:p>
        </w:tc>
        <w:tc>
          <w:tcPr>
            <w:tcW w:w="461" w:type="dxa"/>
            <w:vMerge w:val="continue"/>
            <w:tcBorders>
              <w:top w:val="single" w:color="000000" w:sz="4" w:space="0"/>
              <w:left w:val="single" w:color="000000" w:sz="4" w:space="0"/>
              <w:bottom w:val="single" w:color="000000" w:sz="4" w:space="0"/>
              <w:right w:val="single" w:color="000000" w:sz="4" w:space="0"/>
            </w:tcBorders>
            <w:vAlign w:val="center"/>
          </w:tcPr>
          <w:p w14:paraId="48BC8C15">
            <w:pPr>
              <w:pStyle w:val="2"/>
              <w:adjustRightInd w:val="0"/>
              <w:snapToGrid w:val="0"/>
              <w:spacing w:after="0"/>
              <w:ind w:firstLine="0" w:firstLineChars="0"/>
              <w:rPr>
                <w:rFonts w:hint="eastAsia" w:hAnsi="宋体"/>
                <w:sz w:val="21"/>
                <w:szCs w:val="21"/>
                <w:highlight w:val="none"/>
              </w:rPr>
            </w:pPr>
          </w:p>
        </w:tc>
      </w:tr>
      <w:tr w14:paraId="3C81FFC4">
        <w:tblPrEx>
          <w:tblCellMar>
            <w:top w:w="0" w:type="dxa"/>
            <w:left w:w="108" w:type="dxa"/>
            <w:bottom w:w="0" w:type="dxa"/>
            <w:right w:w="108" w:type="dxa"/>
          </w:tblCellMar>
        </w:tblPrEx>
        <w:trPr>
          <w:trHeight w:val="567" w:hRule="atLeast"/>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13CF5507">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15</w:t>
            </w:r>
          </w:p>
        </w:tc>
        <w:tc>
          <w:tcPr>
            <w:tcW w:w="661" w:type="dxa"/>
            <w:vMerge w:val="continue"/>
            <w:tcBorders>
              <w:top w:val="single" w:color="000000" w:sz="4" w:space="0"/>
              <w:left w:val="single" w:color="000000" w:sz="4" w:space="0"/>
              <w:bottom w:val="single" w:color="000000" w:sz="4" w:space="0"/>
              <w:right w:val="single" w:color="000000" w:sz="4" w:space="0"/>
            </w:tcBorders>
            <w:vAlign w:val="center"/>
          </w:tcPr>
          <w:p w14:paraId="13FD9FF9">
            <w:pPr>
              <w:pStyle w:val="2"/>
              <w:adjustRightInd w:val="0"/>
              <w:snapToGrid w:val="0"/>
              <w:spacing w:after="0"/>
              <w:ind w:firstLine="0" w:firstLineChars="0"/>
              <w:rPr>
                <w:rFonts w:hint="eastAsia" w:hAnsi="宋体"/>
                <w:sz w:val="21"/>
                <w:szCs w:val="21"/>
                <w:highlight w:val="none"/>
              </w:rPr>
            </w:pPr>
          </w:p>
        </w:tc>
        <w:tc>
          <w:tcPr>
            <w:tcW w:w="762" w:type="dxa"/>
            <w:vMerge w:val="continue"/>
            <w:tcBorders>
              <w:left w:val="single" w:color="000000" w:sz="4" w:space="0"/>
              <w:bottom w:val="single" w:color="000000" w:sz="4" w:space="0"/>
              <w:right w:val="single" w:color="000000" w:sz="4" w:space="0"/>
            </w:tcBorders>
            <w:vAlign w:val="center"/>
          </w:tcPr>
          <w:p w14:paraId="03EED04E">
            <w:pPr>
              <w:pStyle w:val="2"/>
              <w:adjustRightInd w:val="0"/>
              <w:snapToGrid w:val="0"/>
              <w:spacing w:after="0"/>
              <w:ind w:firstLine="0" w:firstLineChars="0"/>
              <w:rPr>
                <w:rFonts w:hint="eastAsia" w:hAnsi="宋体"/>
                <w:sz w:val="21"/>
                <w:szCs w:val="21"/>
                <w:highlight w:val="none"/>
              </w:rPr>
            </w:pPr>
          </w:p>
        </w:tc>
        <w:tc>
          <w:tcPr>
            <w:tcW w:w="5774" w:type="dxa"/>
            <w:tcBorders>
              <w:top w:val="single" w:color="000000" w:sz="4" w:space="0"/>
              <w:left w:val="single" w:color="000000" w:sz="4" w:space="0"/>
              <w:bottom w:val="single" w:color="000000" w:sz="4" w:space="0"/>
              <w:right w:val="single" w:color="000000" w:sz="4" w:space="0"/>
            </w:tcBorders>
            <w:vAlign w:val="center"/>
          </w:tcPr>
          <w:p w14:paraId="7BB9E054">
            <w:pPr>
              <w:pStyle w:val="2"/>
              <w:adjustRightInd w:val="0"/>
              <w:snapToGrid w:val="0"/>
              <w:spacing w:after="0"/>
              <w:ind w:firstLine="0" w:firstLineChars="0"/>
              <w:rPr>
                <w:rFonts w:hint="eastAsia" w:hAnsi="宋体"/>
                <w:sz w:val="21"/>
                <w:szCs w:val="21"/>
                <w:highlight w:val="none"/>
              </w:rPr>
            </w:pPr>
            <w:r>
              <w:rPr>
                <w:rFonts w:hint="eastAsia" w:hAnsi="宋体"/>
                <w:sz w:val="21"/>
                <w:szCs w:val="21"/>
                <w:highlight w:val="none"/>
              </w:rPr>
              <w:t>硬件要求&gt;99%（每月不可用时间累计＜7小时），每超过0.5小时扣2分；</w:t>
            </w:r>
          </w:p>
        </w:tc>
        <w:tc>
          <w:tcPr>
            <w:tcW w:w="461" w:type="dxa"/>
            <w:vMerge w:val="continue"/>
            <w:tcBorders>
              <w:top w:val="single" w:color="000000" w:sz="4" w:space="0"/>
              <w:left w:val="single" w:color="000000" w:sz="4" w:space="0"/>
              <w:bottom w:val="single" w:color="000000" w:sz="4" w:space="0"/>
              <w:right w:val="single" w:color="000000" w:sz="4" w:space="0"/>
            </w:tcBorders>
            <w:vAlign w:val="center"/>
          </w:tcPr>
          <w:p w14:paraId="24DFE5DC">
            <w:pPr>
              <w:pStyle w:val="2"/>
              <w:adjustRightInd w:val="0"/>
              <w:snapToGrid w:val="0"/>
              <w:spacing w:after="0"/>
              <w:ind w:firstLine="0" w:firstLineChars="0"/>
              <w:rPr>
                <w:rFonts w:hint="eastAsia" w:hAnsi="宋体"/>
                <w:sz w:val="21"/>
                <w:szCs w:val="21"/>
                <w:highlight w:val="none"/>
              </w:rPr>
            </w:pPr>
          </w:p>
        </w:tc>
      </w:tr>
      <w:tr w14:paraId="4ED796FB">
        <w:tblPrEx>
          <w:tblCellMar>
            <w:top w:w="0" w:type="dxa"/>
            <w:left w:w="108" w:type="dxa"/>
            <w:bottom w:w="0" w:type="dxa"/>
            <w:right w:w="108" w:type="dxa"/>
          </w:tblCellMar>
        </w:tblPrEx>
        <w:trPr>
          <w:trHeight w:val="480" w:hRule="atLeast"/>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623DC9AF">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1</w:t>
            </w:r>
            <w:r>
              <w:rPr>
                <w:rFonts w:hint="eastAsia" w:hAnsi="宋体"/>
                <w:sz w:val="21"/>
                <w:szCs w:val="21"/>
                <w:highlight w:val="none"/>
              </w:rPr>
              <w:t>6</w:t>
            </w:r>
          </w:p>
        </w:tc>
        <w:tc>
          <w:tcPr>
            <w:tcW w:w="661" w:type="dxa"/>
            <w:tcBorders>
              <w:top w:val="single" w:color="000000" w:sz="4" w:space="0"/>
              <w:left w:val="single" w:color="000000" w:sz="4" w:space="0"/>
              <w:bottom w:val="single" w:color="000000" w:sz="4" w:space="0"/>
              <w:right w:val="single" w:color="000000" w:sz="4" w:space="0"/>
            </w:tcBorders>
            <w:vAlign w:val="center"/>
          </w:tcPr>
          <w:p w14:paraId="776F235A">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产出物考核</w:t>
            </w:r>
          </w:p>
        </w:tc>
        <w:tc>
          <w:tcPr>
            <w:tcW w:w="762" w:type="dxa"/>
            <w:tcBorders>
              <w:top w:val="single" w:color="000000" w:sz="4" w:space="0"/>
              <w:left w:val="single" w:color="000000" w:sz="4" w:space="0"/>
              <w:bottom w:val="single" w:color="000000" w:sz="4" w:space="0"/>
              <w:right w:val="single" w:color="000000" w:sz="4" w:space="0"/>
            </w:tcBorders>
            <w:vAlign w:val="center"/>
          </w:tcPr>
          <w:p w14:paraId="7DAC194B">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提交报告情况</w:t>
            </w:r>
          </w:p>
        </w:tc>
        <w:tc>
          <w:tcPr>
            <w:tcW w:w="5774" w:type="dxa"/>
            <w:tcBorders>
              <w:top w:val="single" w:color="000000" w:sz="4" w:space="0"/>
              <w:left w:val="single" w:color="000000" w:sz="4" w:space="0"/>
              <w:bottom w:val="single" w:color="000000" w:sz="4" w:space="0"/>
              <w:right w:val="single" w:color="000000" w:sz="4" w:space="0"/>
            </w:tcBorders>
            <w:vAlign w:val="center"/>
          </w:tcPr>
          <w:p w14:paraId="4E535E23">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包括季报、月报、周报、日报、专题报告、评估方案等，未按要求提交每次扣1分；</w:t>
            </w:r>
          </w:p>
        </w:tc>
        <w:tc>
          <w:tcPr>
            <w:tcW w:w="461" w:type="dxa"/>
            <w:tcBorders>
              <w:top w:val="single" w:color="000000" w:sz="4" w:space="0"/>
              <w:left w:val="single" w:color="000000" w:sz="4" w:space="0"/>
              <w:bottom w:val="single" w:color="000000" w:sz="4" w:space="0"/>
              <w:right w:val="single" w:color="000000" w:sz="4" w:space="0"/>
            </w:tcBorders>
            <w:vAlign w:val="center"/>
          </w:tcPr>
          <w:p w14:paraId="6F4F4359">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5</w:t>
            </w:r>
          </w:p>
        </w:tc>
      </w:tr>
      <w:tr w14:paraId="37BC4BD6">
        <w:tblPrEx>
          <w:tblCellMar>
            <w:top w:w="0" w:type="dxa"/>
            <w:left w:w="108" w:type="dxa"/>
            <w:bottom w:w="0" w:type="dxa"/>
            <w:right w:w="108" w:type="dxa"/>
          </w:tblCellMar>
        </w:tblPrEx>
        <w:trPr>
          <w:trHeight w:val="480" w:hRule="atLeast"/>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3FC7F985">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1</w:t>
            </w:r>
            <w:r>
              <w:rPr>
                <w:rFonts w:hint="eastAsia" w:hAnsi="宋体"/>
                <w:sz w:val="21"/>
                <w:szCs w:val="21"/>
                <w:highlight w:val="none"/>
              </w:rPr>
              <w:t>7</w:t>
            </w:r>
          </w:p>
        </w:tc>
        <w:tc>
          <w:tcPr>
            <w:tcW w:w="661" w:type="dxa"/>
            <w:vMerge w:val="restart"/>
            <w:tcBorders>
              <w:top w:val="single" w:color="000000" w:sz="4" w:space="0"/>
              <w:left w:val="single" w:color="000000" w:sz="4" w:space="0"/>
              <w:bottom w:val="single" w:color="000000" w:sz="4" w:space="0"/>
              <w:right w:val="single" w:color="000000" w:sz="4" w:space="0"/>
            </w:tcBorders>
            <w:vAlign w:val="center"/>
          </w:tcPr>
          <w:p w14:paraId="75BC3117">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响应效率质量考核</w:t>
            </w:r>
          </w:p>
        </w:tc>
        <w:tc>
          <w:tcPr>
            <w:tcW w:w="762" w:type="dxa"/>
            <w:tcBorders>
              <w:top w:val="single" w:color="000000" w:sz="4" w:space="0"/>
              <w:left w:val="single" w:color="000000" w:sz="4" w:space="0"/>
              <w:bottom w:val="single" w:color="000000" w:sz="4" w:space="0"/>
              <w:right w:val="single" w:color="000000" w:sz="4" w:space="0"/>
            </w:tcBorders>
            <w:vAlign w:val="center"/>
          </w:tcPr>
          <w:p w14:paraId="4FB42E06">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事件响应时间</w:t>
            </w:r>
          </w:p>
        </w:tc>
        <w:tc>
          <w:tcPr>
            <w:tcW w:w="5774" w:type="dxa"/>
            <w:tcBorders>
              <w:top w:val="single" w:color="000000" w:sz="4" w:space="0"/>
              <w:left w:val="single" w:color="000000" w:sz="4" w:space="0"/>
              <w:bottom w:val="single" w:color="000000" w:sz="4" w:space="0"/>
              <w:right w:val="single" w:color="000000" w:sz="4" w:space="0"/>
            </w:tcBorders>
            <w:vAlign w:val="center"/>
          </w:tcPr>
          <w:p w14:paraId="4E5680F5">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重大故障10分钟内响应，一般故障30分钟内响应。超时响应每次扣2分，超时1小时以上每次扣5分；</w:t>
            </w:r>
          </w:p>
        </w:tc>
        <w:tc>
          <w:tcPr>
            <w:tcW w:w="461" w:type="dxa"/>
            <w:vMerge w:val="restart"/>
            <w:tcBorders>
              <w:top w:val="single" w:color="000000" w:sz="4" w:space="0"/>
              <w:left w:val="single" w:color="000000" w:sz="4" w:space="0"/>
              <w:bottom w:val="single" w:color="000000" w:sz="4" w:space="0"/>
              <w:right w:val="single" w:color="000000" w:sz="4" w:space="0"/>
            </w:tcBorders>
            <w:vAlign w:val="center"/>
          </w:tcPr>
          <w:p w14:paraId="679E1C9B">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15</w:t>
            </w:r>
          </w:p>
        </w:tc>
      </w:tr>
      <w:tr w14:paraId="2DB7440E">
        <w:tblPrEx>
          <w:tblCellMar>
            <w:top w:w="0" w:type="dxa"/>
            <w:left w:w="108" w:type="dxa"/>
            <w:bottom w:w="0" w:type="dxa"/>
            <w:right w:w="108" w:type="dxa"/>
          </w:tblCellMar>
        </w:tblPrEx>
        <w:trPr>
          <w:trHeight w:val="480" w:hRule="atLeast"/>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4DB62F4D">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1</w:t>
            </w:r>
            <w:r>
              <w:rPr>
                <w:rFonts w:hint="eastAsia" w:hAnsi="宋体"/>
                <w:sz w:val="21"/>
                <w:szCs w:val="21"/>
                <w:highlight w:val="none"/>
              </w:rPr>
              <w:t>8</w:t>
            </w:r>
          </w:p>
        </w:tc>
        <w:tc>
          <w:tcPr>
            <w:tcW w:w="661" w:type="dxa"/>
            <w:vMerge w:val="continue"/>
            <w:tcBorders>
              <w:top w:val="single" w:color="000000" w:sz="4" w:space="0"/>
              <w:left w:val="single" w:color="000000" w:sz="4" w:space="0"/>
              <w:bottom w:val="single" w:color="000000" w:sz="4" w:space="0"/>
              <w:right w:val="single" w:color="000000" w:sz="4" w:space="0"/>
            </w:tcBorders>
            <w:vAlign w:val="center"/>
          </w:tcPr>
          <w:p w14:paraId="61417FA7">
            <w:pPr>
              <w:pStyle w:val="2"/>
              <w:adjustRightInd w:val="0"/>
              <w:snapToGrid w:val="0"/>
              <w:spacing w:after="0"/>
              <w:ind w:firstLine="0" w:firstLineChars="0"/>
              <w:rPr>
                <w:rFonts w:hint="eastAsia" w:hAnsi="宋体"/>
                <w:sz w:val="21"/>
                <w:szCs w:val="21"/>
                <w:highlight w:val="none"/>
              </w:rPr>
            </w:pPr>
          </w:p>
        </w:tc>
        <w:tc>
          <w:tcPr>
            <w:tcW w:w="762" w:type="dxa"/>
            <w:tcBorders>
              <w:top w:val="single" w:color="000000" w:sz="4" w:space="0"/>
              <w:left w:val="single" w:color="000000" w:sz="4" w:space="0"/>
              <w:bottom w:val="single" w:color="000000" w:sz="4" w:space="0"/>
              <w:right w:val="single" w:color="000000" w:sz="4" w:space="0"/>
            </w:tcBorders>
            <w:vAlign w:val="center"/>
          </w:tcPr>
          <w:p w14:paraId="28CB0BFA">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事件处理时间</w:t>
            </w:r>
          </w:p>
        </w:tc>
        <w:tc>
          <w:tcPr>
            <w:tcW w:w="5774" w:type="dxa"/>
            <w:tcBorders>
              <w:top w:val="single" w:color="000000" w:sz="4" w:space="0"/>
              <w:left w:val="single" w:color="000000" w:sz="4" w:space="0"/>
              <w:bottom w:val="single" w:color="000000" w:sz="4" w:space="0"/>
              <w:right w:val="single" w:color="000000" w:sz="4" w:space="0"/>
            </w:tcBorders>
            <w:vAlign w:val="center"/>
          </w:tcPr>
          <w:p w14:paraId="1097354A">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重大故障2小时内处置完毕，一般故障0.5小时内闭环解决。故障超时未修复，每超时1小时扣2分；</w:t>
            </w:r>
          </w:p>
        </w:tc>
        <w:tc>
          <w:tcPr>
            <w:tcW w:w="461" w:type="dxa"/>
            <w:vMerge w:val="continue"/>
            <w:tcBorders>
              <w:top w:val="single" w:color="000000" w:sz="4" w:space="0"/>
              <w:left w:val="single" w:color="000000" w:sz="4" w:space="0"/>
              <w:bottom w:val="single" w:color="000000" w:sz="4" w:space="0"/>
              <w:right w:val="single" w:color="000000" w:sz="4" w:space="0"/>
            </w:tcBorders>
            <w:vAlign w:val="center"/>
          </w:tcPr>
          <w:p w14:paraId="13E40598">
            <w:pPr>
              <w:pStyle w:val="2"/>
              <w:adjustRightInd w:val="0"/>
              <w:snapToGrid w:val="0"/>
              <w:spacing w:after="0"/>
              <w:ind w:firstLine="0" w:firstLineChars="0"/>
              <w:rPr>
                <w:rFonts w:hint="eastAsia" w:hAnsi="宋体"/>
                <w:sz w:val="21"/>
                <w:szCs w:val="21"/>
                <w:highlight w:val="none"/>
              </w:rPr>
            </w:pPr>
          </w:p>
        </w:tc>
      </w:tr>
      <w:tr w14:paraId="316F7CE0">
        <w:tblPrEx>
          <w:tblCellMar>
            <w:top w:w="0" w:type="dxa"/>
            <w:left w:w="108" w:type="dxa"/>
            <w:bottom w:w="0" w:type="dxa"/>
            <w:right w:w="108" w:type="dxa"/>
          </w:tblCellMar>
        </w:tblPrEx>
        <w:trPr>
          <w:trHeight w:val="480" w:hRule="atLeast"/>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6ABA8A86">
            <w:pPr>
              <w:pStyle w:val="2"/>
              <w:adjustRightInd w:val="0"/>
              <w:snapToGrid w:val="0"/>
              <w:spacing w:after="0"/>
              <w:ind w:firstLine="0" w:firstLineChars="0"/>
              <w:rPr>
                <w:rFonts w:hint="eastAsia" w:hAnsi="宋体"/>
                <w:sz w:val="21"/>
                <w:szCs w:val="21"/>
                <w:highlight w:val="none"/>
              </w:rPr>
            </w:pPr>
            <w:r>
              <w:rPr>
                <w:rFonts w:hint="eastAsia" w:hAnsi="宋体"/>
                <w:sz w:val="21"/>
                <w:szCs w:val="21"/>
                <w:highlight w:val="none"/>
              </w:rPr>
              <w:t>19</w:t>
            </w:r>
          </w:p>
        </w:tc>
        <w:tc>
          <w:tcPr>
            <w:tcW w:w="661" w:type="dxa"/>
            <w:vMerge w:val="continue"/>
            <w:tcBorders>
              <w:top w:val="single" w:color="000000" w:sz="4" w:space="0"/>
              <w:left w:val="single" w:color="000000" w:sz="4" w:space="0"/>
              <w:bottom w:val="single" w:color="000000" w:sz="4" w:space="0"/>
              <w:right w:val="single" w:color="000000" w:sz="4" w:space="0"/>
            </w:tcBorders>
            <w:vAlign w:val="center"/>
          </w:tcPr>
          <w:p w14:paraId="116134CA">
            <w:pPr>
              <w:pStyle w:val="2"/>
              <w:adjustRightInd w:val="0"/>
              <w:snapToGrid w:val="0"/>
              <w:spacing w:after="0"/>
              <w:ind w:firstLine="0" w:firstLineChars="0"/>
              <w:rPr>
                <w:rFonts w:hint="eastAsia" w:hAnsi="宋体"/>
                <w:sz w:val="21"/>
                <w:szCs w:val="21"/>
                <w:highlight w:val="none"/>
              </w:rPr>
            </w:pPr>
          </w:p>
        </w:tc>
        <w:tc>
          <w:tcPr>
            <w:tcW w:w="762" w:type="dxa"/>
            <w:tcBorders>
              <w:top w:val="single" w:color="000000" w:sz="4" w:space="0"/>
              <w:left w:val="single" w:color="000000" w:sz="4" w:space="0"/>
              <w:bottom w:val="single" w:color="000000" w:sz="4" w:space="0"/>
              <w:right w:val="single" w:color="000000" w:sz="4" w:space="0"/>
            </w:tcBorders>
            <w:vAlign w:val="center"/>
          </w:tcPr>
          <w:p w14:paraId="5932D165">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事件完成与归档</w:t>
            </w:r>
          </w:p>
        </w:tc>
        <w:tc>
          <w:tcPr>
            <w:tcW w:w="5774" w:type="dxa"/>
            <w:tcBorders>
              <w:top w:val="single" w:color="000000" w:sz="4" w:space="0"/>
              <w:left w:val="single" w:color="000000" w:sz="4" w:space="0"/>
              <w:bottom w:val="single" w:color="000000" w:sz="4" w:space="0"/>
              <w:right w:val="single" w:color="000000" w:sz="4" w:space="0"/>
            </w:tcBorders>
            <w:vAlign w:val="center"/>
          </w:tcPr>
          <w:p w14:paraId="0D97E962">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处置完成后及时反馈，出现漏登记、无复盘、无归档情况，每次扣1分；</w:t>
            </w:r>
          </w:p>
        </w:tc>
        <w:tc>
          <w:tcPr>
            <w:tcW w:w="461" w:type="dxa"/>
            <w:vMerge w:val="continue"/>
            <w:tcBorders>
              <w:top w:val="single" w:color="000000" w:sz="4" w:space="0"/>
              <w:left w:val="single" w:color="000000" w:sz="4" w:space="0"/>
              <w:bottom w:val="single" w:color="000000" w:sz="4" w:space="0"/>
              <w:right w:val="single" w:color="000000" w:sz="4" w:space="0"/>
            </w:tcBorders>
            <w:vAlign w:val="center"/>
          </w:tcPr>
          <w:p w14:paraId="17E11857">
            <w:pPr>
              <w:pStyle w:val="2"/>
              <w:adjustRightInd w:val="0"/>
              <w:snapToGrid w:val="0"/>
              <w:spacing w:after="0"/>
              <w:ind w:firstLine="0" w:firstLineChars="0"/>
              <w:rPr>
                <w:rFonts w:hint="eastAsia" w:hAnsi="宋体"/>
                <w:sz w:val="21"/>
                <w:szCs w:val="21"/>
                <w:highlight w:val="none"/>
              </w:rPr>
            </w:pPr>
          </w:p>
        </w:tc>
      </w:tr>
      <w:tr w14:paraId="2138BFD3">
        <w:tblPrEx>
          <w:tblCellMar>
            <w:top w:w="0" w:type="dxa"/>
            <w:left w:w="108" w:type="dxa"/>
            <w:bottom w:w="0" w:type="dxa"/>
            <w:right w:w="108" w:type="dxa"/>
          </w:tblCellMar>
        </w:tblPrEx>
        <w:trPr>
          <w:trHeight w:val="240" w:hRule="atLeast"/>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1D166ADA">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2</w:t>
            </w:r>
            <w:r>
              <w:rPr>
                <w:rFonts w:hint="eastAsia" w:hAnsi="宋体"/>
                <w:sz w:val="21"/>
                <w:szCs w:val="21"/>
                <w:highlight w:val="none"/>
              </w:rPr>
              <w:t>0</w:t>
            </w:r>
          </w:p>
        </w:tc>
        <w:tc>
          <w:tcPr>
            <w:tcW w:w="661" w:type="dxa"/>
            <w:vMerge w:val="restart"/>
            <w:tcBorders>
              <w:top w:val="single" w:color="000000" w:sz="4" w:space="0"/>
              <w:left w:val="single" w:color="000000" w:sz="4" w:space="0"/>
              <w:bottom w:val="single" w:color="000000" w:sz="4" w:space="0"/>
              <w:right w:val="single" w:color="000000" w:sz="4" w:space="0"/>
            </w:tcBorders>
            <w:vAlign w:val="center"/>
          </w:tcPr>
          <w:p w14:paraId="000DFFFF">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其他服务</w:t>
            </w:r>
          </w:p>
        </w:tc>
        <w:tc>
          <w:tcPr>
            <w:tcW w:w="762" w:type="dxa"/>
            <w:vMerge w:val="restart"/>
            <w:tcBorders>
              <w:top w:val="single" w:color="000000" w:sz="4" w:space="0"/>
              <w:left w:val="single" w:color="000000" w:sz="4" w:space="0"/>
              <w:right w:val="single" w:color="000000" w:sz="4" w:space="0"/>
            </w:tcBorders>
            <w:vAlign w:val="center"/>
          </w:tcPr>
          <w:p w14:paraId="34228219">
            <w:pPr>
              <w:pStyle w:val="2"/>
              <w:adjustRightInd w:val="0"/>
              <w:snapToGrid w:val="0"/>
              <w:spacing w:after="0"/>
              <w:ind w:firstLine="0" w:firstLineChars="0"/>
              <w:rPr>
                <w:rFonts w:hint="eastAsia" w:hAnsi="宋体"/>
                <w:sz w:val="21"/>
                <w:szCs w:val="21"/>
                <w:highlight w:val="none"/>
              </w:rPr>
            </w:pPr>
            <w:r>
              <w:rPr>
                <w:rFonts w:hint="eastAsia" w:hAnsi="宋体"/>
                <w:sz w:val="21"/>
                <w:szCs w:val="21"/>
                <w:highlight w:val="none"/>
              </w:rPr>
              <w:t>备件服务</w:t>
            </w:r>
          </w:p>
        </w:tc>
        <w:tc>
          <w:tcPr>
            <w:tcW w:w="5774" w:type="dxa"/>
            <w:tcBorders>
              <w:top w:val="single" w:color="000000" w:sz="4" w:space="0"/>
              <w:left w:val="single" w:color="000000" w:sz="4" w:space="0"/>
              <w:bottom w:val="single" w:color="000000" w:sz="4" w:space="0"/>
              <w:right w:val="single" w:color="000000" w:sz="4" w:space="0"/>
            </w:tcBorders>
            <w:vAlign w:val="center"/>
          </w:tcPr>
          <w:p w14:paraId="2AE5D639">
            <w:pPr>
              <w:pStyle w:val="2"/>
              <w:adjustRightInd w:val="0"/>
              <w:snapToGrid w:val="0"/>
              <w:spacing w:after="0"/>
              <w:ind w:firstLine="0" w:firstLineChars="0"/>
              <w:rPr>
                <w:rFonts w:hint="eastAsia" w:hAnsi="宋体"/>
                <w:sz w:val="21"/>
                <w:szCs w:val="21"/>
                <w:highlight w:val="none"/>
              </w:rPr>
            </w:pPr>
            <w:r>
              <w:rPr>
                <w:rFonts w:hint="eastAsia" w:hAnsi="宋体"/>
                <w:sz w:val="21"/>
                <w:szCs w:val="21"/>
                <w:highlight w:val="none"/>
              </w:rPr>
              <w:t>在接到业主需求无法在短时间内对设备完成修复的，应马上提供备件更换，超出业主规定时间更换备件的，每次扣3分；</w:t>
            </w:r>
          </w:p>
        </w:tc>
        <w:tc>
          <w:tcPr>
            <w:tcW w:w="461" w:type="dxa"/>
            <w:vMerge w:val="restart"/>
            <w:tcBorders>
              <w:top w:val="single" w:color="000000" w:sz="4" w:space="0"/>
              <w:left w:val="single" w:color="000000" w:sz="4" w:space="0"/>
              <w:bottom w:val="single" w:color="000000" w:sz="4" w:space="0"/>
              <w:right w:val="single" w:color="000000" w:sz="4" w:space="0"/>
            </w:tcBorders>
            <w:vAlign w:val="center"/>
          </w:tcPr>
          <w:p w14:paraId="4E58015A">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15</w:t>
            </w:r>
          </w:p>
        </w:tc>
      </w:tr>
      <w:tr w14:paraId="47B3F9F5">
        <w:tblPrEx>
          <w:tblCellMar>
            <w:top w:w="0" w:type="dxa"/>
            <w:left w:w="108" w:type="dxa"/>
            <w:bottom w:w="0" w:type="dxa"/>
            <w:right w:w="108" w:type="dxa"/>
          </w:tblCellMar>
        </w:tblPrEx>
        <w:trPr>
          <w:trHeight w:val="480" w:hRule="atLeast"/>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1923CB3C">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2</w:t>
            </w:r>
            <w:r>
              <w:rPr>
                <w:rFonts w:hint="eastAsia" w:hAnsi="宋体"/>
                <w:sz w:val="21"/>
                <w:szCs w:val="21"/>
                <w:highlight w:val="none"/>
              </w:rPr>
              <w:t>1</w:t>
            </w:r>
          </w:p>
        </w:tc>
        <w:tc>
          <w:tcPr>
            <w:tcW w:w="661" w:type="dxa"/>
            <w:vMerge w:val="continue"/>
            <w:tcBorders>
              <w:top w:val="single" w:color="000000" w:sz="4" w:space="0"/>
              <w:left w:val="single" w:color="000000" w:sz="4" w:space="0"/>
              <w:bottom w:val="single" w:color="000000" w:sz="4" w:space="0"/>
              <w:right w:val="single" w:color="000000" w:sz="4" w:space="0"/>
            </w:tcBorders>
            <w:vAlign w:val="center"/>
          </w:tcPr>
          <w:p w14:paraId="0D387E83">
            <w:pPr>
              <w:pStyle w:val="2"/>
              <w:adjustRightInd w:val="0"/>
              <w:snapToGrid w:val="0"/>
              <w:spacing w:after="0"/>
              <w:ind w:firstLine="0" w:firstLineChars="0"/>
              <w:rPr>
                <w:rFonts w:hint="eastAsia" w:hAnsi="宋体"/>
                <w:sz w:val="21"/>
                <w:szCs w:val="21"/>
                <w:highlight w:val="none"/>
              </w:rPr>
            </w:pPr>
          </w:p>
        </w:tc>
        <w:tc>
          <w:tcPr>
            <w:tcW w:w="762" w:type="dxa"/>
            <w:vMerge w:val="continue"/>
            <w:tcBorders>
              <w:left w:val="single" w:color="000000" w:sz="4" w:space="0"/>
              <w:bottom w:val="single" w:color="000000" w:sz="4" w:space="0"/>
              <w:right w:val="single" w:color="000000" w:sz="4" w:space="0"/>
            </w:tcBorders>
            <w:vAlign w:val="center"/>
          </w:tcPr>
          <w:p w14:paraId="4B5A2687">
            <w:pPr>
              <w:pStyle w:val="2"/>
              <w:adjustRightInd w:val="0"/>
              <w:snapToGrid w:val="0"/>
              <w:spacing w:after="0"/>
              <w:ind w:firstLine="0" w:firstLineChars="0"/>
              <w:rPr>
                <w:rFonts w:hint="eastAsia" w:hAnsi="宋体"/>
                <w:sz w:val="21"/>
                <w:szCs w:val="21"/>
                <w:highlight w:val="none"/>
              </w:rPr>
            </w:pPr>
          </w:p>
        </w:tc>
        <w:tc>
          <w:tcPr>
            <w:tcW w:w="5774" w:type="dxa"/>
            <w:tcBorders>
              <w:top w:val="single" w:color="000000" w:sz="4" w:space="0"/>
              <w:left w:val="single" w:color="000000" w:sz="4" w:space="0"/>
              <w:bottom w:val="single" w:color="000000" w:sz="4" w:space="0"/>
              <w:right w:val="single" w:color="000000" w:sz="4" w:space="0"/>
            </w:tcBorders>
            <w:vAlign w:val="center"/>
          </w:tcPr>
          <w:p w14:paraId="5C84F90F">
            <w:pPr>
              <w:pStyle w:val="2"/>
              <w:adjustRightInd w:val="0"/>
              <w:snapToGrid w:val="0"/>
              <w:spacing w:after="0"/>
              <w:ind w:firstLine="0" w:firstLineChars="0"/>
              <w:rPr>
                <w:rFonts w:hint="eastAsia" w:hAnsi="宋体"/>
                <w:sz w:val="21"/>
                <w:szCs w:val="21"/>
                <w:highlight w:val="none"/>
              </w:rPr>
            </w:pPr>
            <w:r>
              <w:rPr>
                <w:rFonts w:hint="eastAsia" w:hAnsi="宋体"/>
                <w:sz w:val="21"/>
                <w:szCs w:val="21"/>
                <w:highlight w:val="none"/>
              </w:rPr>
              <w:t>因运维单位未按时更换备件造成重大事故的，每次扣15分；</w:t>
            </w:r>
          </w:p>
        </w:tc>
        <w:tc>
          <w:tcPr>
            <w:tcW w:w="461" w:type="dxa"/>
            <w:vMerge w:val="continue"/>
            <w:tcBorders>
              <w:top w:val="single" w:color="000000" w:sz="4" w:space="0"/>
              <w:left w:val="single" w:color="000000" w:sz="4" w:space="0"/>
              <w:bottom w:val="single" w:color="000000" w:sz="4" w:space="0"/>
              <w:right w:val="single" w:color="000000" w:sz="4" w:space="0"/>
            </w:tcBorders>
            <w:vAlign w:val="center"/>
          </w:tcPr>
          <w:p w14:paraId="7453A37D">
            <w:pPr>
              <w:pStyle w:val="2"/>
              <w:adjustRightInd w:val="0"/>
              <w:snapToGrid w:val="0"/>
              <w:spacing w:after="0"/>
              <w:ind w:firstLine="0" w:firstLineChars="0"/>
              <w:rPr>
                <w:rFonts w:hint="eastAsia" w:hAnsi="宋体"/>
                <w:sz w:val="21"/>
                <w:szCs w:val="21"/>
                <w:highlight w:val="none"/>
              </w:rPr>
            </w:pPr>
          </w:p>
        </w:tc>
      </w:tr>
      <w:tr w14:paraId="6F6E1BB1">
        <w:tblPrEx>
          <w:tblCellMar>
            <w:top w:w="0" w:type="dxa"/>
            <w:left w:w="108" w:type="dxa"/>
            <w:bottom w:w="0" w:type="dxa"/>
            <w:right w:w="108" w:type="dxa"/>
          </w:tblCellMar>
        </w:tblPrEx>
        <w:trPr>
          <w:trHeight w:val="720" w:hRule="atLeast"/>
          <w:jc w:val="center"/>
        </w:trPr>
        <w:tc>
          <w:tcPr>
            <w:tcW w:w="638" w:type="dxa"/>
            <w:tcBorders>
              <w:top w:val="single" w:color="000000" w:sz="4" w:space="0"/>
              <w:left w:val="single" w:color="000000" w:sz="4" w:space="0"/>
              <w:bottom w:val="single" w:color="000000" w:sz="4" w:space="0"/>
              <w:right w:val="single" w:color="000000" w:sz="4" w:space="0"/>
            </w:tcBorders>
            <w:noWrap/>
            <w:vAlign w:val="center"/>
          </w:tcPr>
          <w:p w14:paraId="5E88F61B">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2</w:t>
            </w:r>
            <w:r>
              <w:rPr>
                <w:rFonts w:hint="eastAsia" w:hAnsi="宋体"/>
                <w:sz w:val="21"/>
                <w:szCs w:val="21"/>
                <w:highlight w:val="none"/>
              </w:rPr>
              <w:t>2</w:t>
            </w:r>
          </w:p>
        </w:tc>
        <w:tc>
          <w:tcPr>
            <w:tcW w:w="661" w:type="dxa"/>
            <w:vMerge w:val="continue"/>
            <w:tcBorders>
              <w:top w:val="single" w:color="000000" w:sz="4" w:space="0"/>
              <w:left w:val="single" w:color="000000" w:sz="4" w:space="0"/>
              <w:bottom w:val="single" w:color="000000" w:sz="4" w:space="0"/>
              <w:right w:val="single" w:color="000000" w:sz="4" w:space="0"/>
            </w:tcBorders>
            <w:vAlign w:val="center"/>
          </w:tcPr>
          <w:p w14:paraId="47565C4D">
            <w:pPr>
              <w:pStyle w:val="2"/>
              <w:adjustRightInd w:val="0"/>
              <w:snapToGrid w:val="0"/>
              <w:spacing w:after="0"/>
              <w:ind w:firstLine="0" w:firstLineChars="0"/>
              <w:rPr>
                <w:rFonts w:hint="eastAsia" w:hAnsi="宋体"/>
                <w:sz w:val="21"/>
                <w:szCs w:val="21"/>
                <w:highlight w:val="none"/>
              </w:rPr>
            </w:pPr>
          </w:p>
        </w:tc>
        <w:tc>
          <w:tcPr>
            <w:tcW w:w="762" w:type="dxa"/>
            <w:tcBorders>
              <w:top w:val="single" w:color="000000" w:sz="4" w:space="0"/>
              <w:left w:val="single" w:color="000000" w:sz="4" w:space="0"/>
              <w:bottom w:val="single" w:color="000000" w:sz="4" w:space="0"/>
              <w:right w:val="single" w:color="000000" w:sz="4" w:space="0"/>
            </w:tcBorders>
            <w:vAlign w:val="center"/>
          </w:tcPr>
          <w:p w14:paraId="571FBE6D">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安全保障</w:t>
            </w:r>
          </w:p>
        </w:tc>
        <w:tc>
          <w:tcPr>
            <w:tcW w:w="5774" w:type="dxa"/>
            <w:tcBorders>
              <w:top w:val="single" w:color="000000" w:sz="4" w:space="0"/>
              <w:left w:val="single" w:color="000000" w:sz="4" w:space="0"/>
              <w:bottom w:val="single" w:color="000000" w:sz="4" w:space="0"/>
              <w:right w:val="single" w:color="000000" w:sz="4" w:space="0"/>
            </w:tcBorders>
            <w:vAlign w:val="center"/>
          </w:tcPr>
          <w:p w14:paraId="77D94E3C">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定期开展安全巡检、漏洞扫描、系统备份、恢复演练、等保测评或自查，高危、中危漏洞修复率100%，无特殊情况下高风险未修复每个扣5分，中低危每个扣3分，未提交说明文件按规扣分；</w:t>
            </w:r>
          </w:p>
        </w:tc>
        <w:tc>
          <w:tcPr>
            <w:tcW w:w="461" w:type="dxa"/>
            <w:vMerge w:val="continue"/>
            <w:tcBorders>
              <w:top w:val="single" w:color="000000" w:sz="4" w:space="0"/>
              <w:left w:val="single" w:color="000000" w:sz="4" w:space="0"/>
              <w:bottom w:val="single" w:color="000000" w:sz="4" w:space="0"/>
              <w:right w:val="single" w:color="000000" w:sz="4" w:space="0"/>
            </w:tcBorders>
            <w:vAlign w:val="center"/>
          </w:tcPr>
          <w:p w14:paraId="669B508D">
            <w:pPr>
              <w:pStyle w:val="2"/>
              <w:adjustRightInd w:val="0"/>
              <w:snapToGrid w:val="0"/>
              <w:spacing w:after="0"/>
              <w:ind w:firstLine="0" w:firstLineChars="0"/>
              <w:rPr>
                <w:rFonts w:hint="eastAsia" w:hAnsi="宋体"/>
                <w:sz w:val="21"/>
                <w:szCs w:val="21"/>
                <w:highlight w:val="none"/>
              </w:rPr>
            </w:pPr>
          </w:p>
        </w:tc>
      </w:tr>
      <w:tr w14:paraId="352A0F4D">
        <w:tblPrEx>
          <w:tblCellMar>
            <w:top w:w="0" w:type="dxa"/>
            <w:left w:w="108" w:type="dxa"/>
            <w:bottom w:w="0" w:type="dxa"/>
            <w:right w:w="108" w:type="dxa"/>
          </w:tblCellMar>
        </w:tblPrEx>
        <w:trPr>
          <w:trHeight w:val="600" w:hRule="atLeast"/>
          <w:jc w:val="center"/>
        </w:trPr>
        <w:tc>
          <w:tcPr>
            <w:tcW w:w="638" w:type="dxa"/>
            <w:tcBorders>
              <w:top w:val="nil"/>
              <w:left w:val="single" w:color="000000" w:sz="4" w:space="0"/>
              <w:bottom w:val="nil"/>
              <w:right w:val="single" w:color="000000" w:sz="4" w:space="0"/>
            </w:tcBorders>
            <w:vAlign w:val="center"/>
          </w:tcPr>
          <w:p w14:paraId="6E2959C6">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2</w:t>
            </w:r>
            <w:r>
              <w:rPr>
                <w:rFonts w:hint="eastAsia" w:hAnsi="宋体"/>
                <w:sz w:val="21"/>
                <w:szCs w:val="21"/>
                <w:highlight w:val="none"/>
              </w:rPr>
              <w:t>3</w:t>
            </w:r>
          </w:p>
        </w:tc>
        <w:tc>
          <w:tcPr>
            <w:tcW w:w="661" w:type="dxa"/>
            <w:tcBorders>
              <w:top w:val="nil"/>
              <w:left w:val="single" w:color="000000" w:sz="4" w:space="0"/>
              <w:bottom w:val="single" w:color="000000" w:sz="4" w:space="0"/>
              <w:right w:val="single" w:color="000000" w:sz="4" w:space="0"/>
            </w:tcBorders>
            <w:vAlign w:val="center"/>
          </w:tcPr>
          <w:p w14:paraId="4365E02A">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加分项</w:t>
            </w:r>
          </w:p>
        </w:tc>
        <w:tc>
          <w:tcPr>
            <w:tcW w:w="762" w:type="dxa"/>
            <w:tcBorders>
              <w:top w:val="nil"/>
              <w:left w:val="single" w:color="000000" w:sz="4" w:space="0"/>
              <w:bottom w:val="single" w:color="000000" w:sz="4" w:space="0"/>
              <w:right w:val="single" w:color="000000" w:sz="4" w:space="0"/>
            </w:tcBorders>
            <w:vAlign w:val="center"/>
          </w:tcPr>
          <w:p w14:paraId="36558001">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完成合同外任务</w:t>
            </w:r>
          </w:p>
        </w:tc>
        <w:tc>
          <w:tcPr>
            <w:tcW w:w="5774" w:type="dxa"/>
            <w:tcBorders>
              <w:top w:val="nil"/>
              <w:left w:val="single" w:color="000000" w:sz="4" w:space="0"/>
              <w:bottom w:val="single" w:color="000000" w:sz="4" w:space="0"/>
              <w:right w:val="single" w:color="000000" w:sz="4" w:space="0"/>
            </w:tcBorders>
            <w:vAlign w:val="center"/>
          </w:tcPr>
          <w:p w14:paraId="091C6A8D">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承接在合同范围外，完成国家医保局或自治区医保局布置工作，每一次加5分。</w:t>
            </w:r>
          </w:p>
        </w:tc>
        <w:tc>
          <w:tcPr>
            <w:tcW w:w="461" w:type="dxa"/>
            <w:tcBorders>
              <w:top w:val="nil"/>
              <w:left w:val="single" w:color="000000" w:sz="4" w:space="0"/>
              <w:bottom w:val="single" w:color="000000" w:sz="4" w:space="0"/>
              <w:right w:val="single" w:color="000000" w:sz="4" w:space="0"/>
            </w:tcBorders>
            <w:vAlign w:val="center"/>
          </w:tcPr>
          <w:p w14:paraId="223061F1">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10</w:t>
            </w:r>
          </w:p>
        </w:tc>
      </w:tr>
      <w:tr w14:paraId="0D1AC384">
        <w:tblPrEx>
          <w:tblCellMar>
            <w:top w:w="0" w:type="dxa"/>
            <w:left w:w="108" w:type="dxa"/>
            <w:bottom w:w="0" w:type="dxa"/>
            <w:right w:w="108" w:type="dxa"/>
          </w:tblCellMar>
        </w:tblPrEx>
        <w:trPr>
          <w:trHeight w:val="1000" w:hRule="atLeast"/>
          <w:jc w:val="center"/>
        </w:trPr>
        <w:tc>
          <w:tcPr>
            <w:tcW w:w="8296" w:type="dxa"/>
            <w:gridSpan w:val="5"/>
            <w:tcBorders>
              <w:top w:val="nil"/>
              <w:left w:val="nil"/>
              <w:bottom w:val="nil"/>
              <w:right w:val="nil"/>
            </w:tcBorders>
            <w:vAlign w:val="center"/>
          </w:tcPr>
          <w:p w14:paraId="2999D205">
            <w:pPr>
              <w:pStyle w:val="2"/>
              <w:adjustRightInd w:val="0"/>
              <w:snapToGrid w:val="0"/>
              <w:spacing w:after="0"/>
              <w:ind w:firstLine="0" w:firstLineChars="0"/>
              <w:rPr>
                <w:rFonts w:hint="eastAsia" w:hAnsi="宋体"/>
                <w:sz w:val="21"/>
                <w:szCs w:val="21"/>
                <w:highlight w:val="none"/>
              </w:rPr>
            </w:pPr>
            <w:r>
              <w:rPr>
                <w:rFonts w:hAnsi="宋体"/>
                <w:sz w:val="21"/>
                <w:szCs w:val="21"/>
                <w:highlight w:val="none"/>
              </w:rPr>
              <w:t>注：1.因不可抗力（如地震、台风）导致故障处置延迟的，经考核小组审核后，不纳入扣分；2.运维人员对考核结果有异议的，需在结果公示后 3 个工作日内提交书面申诉，考核小组 5 个工作日内复核并反馈结果，确保考核公正性。</w:t>
            </w:r>
          </w:p>
        </w:tc>
      </w:tr>
    </w:tbl>
    <w:p w14:paraId="56CB4D2F">
      <w:pPr>
        <w:pStyle w:val="2"/>
        <w:spacing w:after="0"/>
        <w:ind w:firstLine="0" w:firstLineChars="0"/>
        <w:rPr>
          <w:rFonts w:hint="eastAsia" w:ascii="宋体" w:hAnsi="宋体"/>
          <w:sz w:val="24"/>
          <w:highlight w:val="none"/>
        </w:rPr>
      </w:pPr>
    </w:p>
    <w:p w14:paraId="505CE0AF">
      <w:pPr>
        <w:rPr>
          <w:highlight w:val="none"/>
        </w:rPr>
      </w:pPr>
      <w:bookmarkStart w:id="127" w:name="_GoBack"/>
      <w:bookmarkEnd w:id="127"/>
    </w:p>
    <w:sectPr>
      <w:pgSz w:w="11906" w:h="16838"/>
      <w:pgMar w:top="1440" w:right="1080" w:bottom="1440" w:left="1080"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embedRegular r:id="rId1" w:fontKey="{131F8156-C709-4B87-9D4D-AB30F56112B5}"/>
  </w:font>
  <w:font w:name="宋体">
    <w:panose1 w:val="02010600030101010101"/>
    <w:charset w:val="34"/>
    <w:family w:val="auto"/>
    <w:pitch w:val="default"/>
    <w:sig w:usb0="00000203" w:usb1="288F0000" w:usb2="00000006" w:usb3="00000000" w:csb0="00040001" w:csb1="00000000"/>
    <w:embedRegular r:id="rId2" w:fontKey="{01B3301A-01BE-4C66-ADD3-ECE768047434}"/>
  </w:font>
  <w:font w:name="Wingdings">
    <w:panose1 w:val="05000000000000000000"/>
    <w:charset w:val="02"/>
    <w:family w:val="auto"/>
    <w:pitch w:val="default"/>
    <w:sig w:usb0="00000000" w:usb1="00000000" w:usb2="00000000" w:usb3="00000000" w:csb0="80000000" w:csb1="00000000"/>
    <w:embedRegular r:id="rId3" w:fontKey="{5140BA8C-020E-4FB9-8E65-7784A2F1F280}"/>
  </w:font>
  <w:font w:name="Arial">
    <w:panose1 w:val="020B0604020202020204"/>
    <w:charset w:val="01"/>
    <w:family w:val="swiss"/>
    <w:pitch w:val="default"/>
    <w:sig w:usb0="E0002EFF" w:usb1="C000785B" w:usb2="00000009" w:usb3="00000000" w:csb0="400001FF" w:csb1="FFFF0000"/>
    <w:embedRegular r:id="rId4" w:fontKey="{81DE49A4-950D-496B-A386-A5FA141E4B5F}"/>
  </w:font>
  <w:font w:name="黑体">
    <w:panose1 w:val="02010609060101010101"/>
    <w:charset w:val="86"/>
    <w:family w:val="auto"/>
    <w:pitch w:val="default"/>
    <w:sig w:usb0="800002BF" w:usb1="38CF7CFA" w:usb2="00000016" w:usb3="00000000" w:csb0="00040001" w:csb1="00000000"/>
    <w:embedRegular r:id="rId5" w:fontKey="{BA1C61EF-0874-42BB-A264-D420BF8C1CA9}"/>
  </w:font>
  <w:font w:name="Courier New">
    <w:panose1 w:val="02070309020205020404"/>
    <w:charset w:val="01"/>
    <w:family w:val="modern"/>
    <w:pitch w:val="default"/>
    <w:sig w:usb0="E0002EFF" w:usb1="C0007843" w:usb2="00000009" w:usb3="00000000" w:csb0="400001FF" w:csb1="FFFF0000"/>
    <w:embedRegular r:id="rId6" w:fontKey="{BCE597D0-E54C-4768-A2E1-325B525F4C8D}"/>
  </w:font>
  <w:font w:name="Symbol">
    <w:panose1 w:val="05050102010706020507"/>
    <w:charset w:val="02"/>
    <w:family w:val="roman"/>
    <w:pitch w:val="default"/>
    <w:sig w:usb0="00000000" w:usb1="00000000" w:usb2="00000000" w:usb3="00000000" w:csb0="80000000" w:csb1="00000000"/>
    <w:embedRegular r:id="rId7" w:fontKey="{850484CB-0268-4833-B549-DA49328B1FD0}"/>
  </w:font>
  <w:font w:name="Calibri">
    <w:panose1 w:val="020F0502020204030204"/>
    <w:charset w:val="00"/>
    <w:family w:val="swiss"/>
    <w:pitch w:val="default"/>
    <w:sig w:usb0="E4002EFF" w:usb1="C000247B" w:usb2="00000009" w:usb3="00000000" w:csb0="200001FF" w:csb1="00000000"/>
    <w:embedRegular r:id="rId8" w:fontKey="{754BE501-D82A-43D1-8145-7B1E490DC7D6}"/>
  </w:font>
  <w:font w:name="Calibri Light">
    <w:panose1 w:val="020F0302020204030204"/>
    <w:charset w:val="00"/>
    <w:family w:val="swiss"/>
    <w:pitch w:val="default"/>
    <w:sig w:usb0="E4002EFF" w:usb1="C000247B" w:usb2="00000009" w:usb3="00000000" w:csb0="200001FF" w:csb1="00000000"/>
    <w:embedRegular r:id="rId9" w:fontKey="{DEE73662-3443-42F5-9907-A8AB19F72EED}"/>
  </w:font>
  <w:font w:name="仿宋_GB2312">
    <w:panose1 w:val="02010609030101010101"/>
    <w:charset w:val="86"/>
    <w:family w:val="modern"/>
    <w:pitch w:val="default"/>
    <w:sig w:usb0="00000001" w:usb1="080E0000" w:usb2="00000000" w:usb3="00000000" w:csb0="00040000" w:csb1="00000000"/>
    <w:embedRegular r:id="rId10" w:fontKey="{4487E000-FF7E-4AFF-A4F9-12A9341A5B15}"/>
  </w:font>
  <w:font w:name="等线 Light">
    <w:panose1 w:val="02010600030101010101"/>
    <w:charset w:val="86"/>
    <w:family w:val="auto"/>
    <w:pitch w:val="default"/>
    <w:sig w:usb0="A00002BF" w:usb1="38CF7CFA" w:usb2="00000016" w:usb3="00000000" w:csb0="0004000F" w:csb1="00000000"/>
  </w:font>
  <w:font w:name="AGaramond">
    <w:altName w:val="宋体"/>
    <w:panose1 w:val="00000000000000000000"/>
    <w:charset w:val="86"/>
    <w:family w:val="roman"/>
    <w:pitch w:val="default"/>
    <w:sig w:usb0="00000000" w:usb1="00000000" w:usb2="00000010" w:usb3="00000000" w:csb0="00040000" w:csb1="00000000"/>
  </w:font>
  <w:font w:name="华文新魏">
    <w:panose1 w:val="02010800040101010101"/>
    <w:charset w:val="86"/>
    <w:family w:val="auto"/>
    <w:pitch w:val="default"/>
    <w:sig w:usb0="00000001" w:usb1="080F0000" w:usb2="00000000" w:usb3="00000000" w:csb0="00040000" w:csb1="00000000"/>
    <w:embedRegular r:id="rId11" w:fontKey="{178CEA5B-89D8-4E20-85B2-863D3280BF21}"/>
  </w:font>
  <w:font w:name="仿宋">
    <w:panose1 w:val="02010609060101010101"/>
    <w:charset w:val="86"/>
    <w:family w:val="modern"/>
    <w:pitch w:val="default"/>
    <w:sig w:usb0="800002BF" w:usb1="38CF7CFA" w:usb2="00000016" w:usb3="00000000" w:csb0="00040001" w:csb1="00000000"/>
    <w:embedRegular r:id="rId12" w:fontKey="{29494A2B-3213-4404-BCFD-13F3DD2E7B5A}"/>
  </w:font>
  <w:font w:name="Segoe UI Symbol">
    <w:panose1 w:val="020B0502040204020203"/>
    <w:charset w:val="00"/>
    <w:family w:val="swiss"/>
    <w:pitch w:val="default"/>
    <w:sig w:usb0="800001E3" w:usb1="1200FFEF" w:usb2="00040000" w:usb3="04000000" w:csb0="00000001" w:csb1="40000000"/>
    <w:embedRegular r:id="rId13" w:fontKey="{CFAC2CB1-C44B-4DDA-8B7E-5BF5285544EF}"/>
  </w:font>
  <w:font w:name="新宋体">
    <w:panose1 w:val="02010609030101010101"/>
    <w:charset w:val="86"/>
    <w:family w:val="modern"/>
    <w:pitch w:val="default"/>
    <w:sig w:usb0="00000203" w:usb1="288F0000" w:usb2="00000006" w:usb3="00000000" w:csb0="00040001" w:csb1="00000000"/>
    <w:embedRegular r:id="rId14" w:fontKey="{4E465EF1-D9A0-41B0-8695-7BE681C08731}"/>
  </w:font>
  <w:font w:name="微软雅黑">
    <w:panose1 w:val="020B0503020204020204"/>
    <w:charset w:val="86"/>
    <w:family w:val="swiss"/>
    <w:pitch w:val="default"/>
    <w:sig w:usb0="80000287" w:usb1="2ACF3C50" w:usb2="00000016" w:usb3="00000000" w:csb0="0004001F" w:csb1="00000000"/>
    <w:embedRegular r:id="rId15" w:fontKey="{D291BBA7-34C1-4F60-8B9F-F9292A5929ED}"/>
  </w:font>
  <w:font w:name="___WRD_EMBED_SUB_45">
    <w:altName w:val="宋体"/>
    <w:panose1 w:val="00000000000000000000"/>
    <w:charset w:val="86"/>
    <w:family w:val="modern"/>
    <w:pitch w:val="default"/>
    <w:sig w:usb0="00000000" w:usb1="00000000" w:usb2="00000000" w:usb3="00000000" w:csb0="00040000" w:csb1="00000000"/>
    <w:embedRegular r:id="rId16" w:fontKey="{350072BC-AE95-4962-A357-135E6F370155}"/>
  </w:font>
  <w:font w:name="Wingdings 2">
    <w:panose1 w:val="05020102010507070707"/>
    <w:charset w:val="02"/>
    <w:family w:val="roman"/>
    <w:pitch w:val="default"/>
    <w:sig w:usb0="00000000" w:usb1="00000000" w:usb2="00000000" w:usb3="00000000" w:csb0="80000000" w:csb1="00000000"/>
    <w:embedRegular r:id="rId17" w:fontKey="{434A48C5-F103-4DB7-A116-FA3D7C1C8B8A}"/>
  </w:font>
  <w:font w:name="Tahoma">
    <w:panose1 w:val="020B0604030504040204"/>
    <w:charset w:val="00"/>
    <w:family w:val="auto"/>
    <w:pitch w:val="default"/>
    <w:sig w:usb0="E1002EFF" w:usb1="C000605B" w:usb2="00000029" w:usb3="00000000" w:csb0="200101FF" w:csb1="20280000"/>
    <w:embedRegular r:id="rId18" w:fontKey="{C0A68319-47F1-4468-9427-B7FA70038BE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1FF9B">
    <w:pPr>
      <w:pStyle w:val="16"/>
      <w:tabs>
        <w:tab w:val="center" w:pos="4439"/>
        <w:tab w:val="clear" w:pos="4153"/>
      </w:tabs>
      <w:jc w:val="both"/>
    </w:pPr>
  </w:p>
  <w:p w14:paraId="5F67C562">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D4709">
    <w:pPr>
      <w:pStyle w:val="16"/>
      <w:tabs>
        <w:tab w:val="center" w:pos="4439"/>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53035"/>
              <wp:effectExtent l="0" t="0" r="0" b="0"/>
              <wp:wrapNone/>
              <wp:docPr id="4" name="文本框 5124"/>
              <wp:cNvGraphicFramePr/>
              <a:graphic xmlns:a="http://schemas.openxmlformats.org/drawingml/2006/main">
                <a:graphicData uri="http://schemas.microsoft.com/office/word/2010/wordprocessingShape">
                  <wps:wsp>
                    <wps:cNvSpPr txBox="1"/>
                    <wps:spPr>
                      <a:xfrm>
                        <a:off x="0" y="0"/>
                        <a:ext cx="114935" cy="153035"/>
                      </a:xfrm>
                      <a:prstGeom prst="rect">
                        <a:avLst/>
                      </a:prstGeom>
                      <a:noFill/>
                      <a:ln>
                        <a:noFill/>
                      </a:ln>
                      <a:effectLst/>
                    </wps:spPr>
                    <wps:txbx>
                      <w:txbxContent>
                        <w:p w14:paraId="36A04B09"/>
                      </w:txbxContent>
                    </wps:txbx>
                    <wps:bodyPr wrap="none" lIns="0" tIns="0" rIns="0" bIns="0" anchor="t" anchorCtr="0">
                      <a:spAutoFit/>
                    </wps:bodyPr>
                  </wps:wsp>
                </a:graphicData>
              </a:graphic>
            </wp:anchor>
          </w:drawing>
        </mc:Choice>
        <mc:Fallback>
          <w:pict>
            <v:shape id="文本框 5124" o:spid="_x0000_s1026" o:spt="202" type="#_x0000_t202" style="position:absolute;left:0pt;margin-top:0pt;height:12.05pt;width:9.05pt;mso-position-horizontal:center;mso-position-horizontal-relative:margin;mso-wrap-style:none;z-index:251659264;mso-width-relative:page;mso-height-relative:page;" filled="f" stroked="f" coordsize="21600,21600" o:gfxdata="UEsDBAoAAAAAAIdO4kAAAAAAAAAAAAAAAAAEAAAAZHJzL1BLAwQUAAAACACHTuJACQVPmtAAAAAD&#10;AQAADwAAAGRycy9kb3ducmV2LnhtbE2PwWrDMBBE74X8g9hCb43sUFrjWM4hkEtvTUuht421sUyl&#10;lZEUx/77Kr20l4Vhhpm3zW52VkwU4uBZQbkuQBB3Xg/cK/h4PzxWIGJC1mg9k4KFIuza1V2DtfZX&#10;fqPpmHqRSzjWqMCkNNZSxs6Qw7j2I3H2zj44TFmGXuqA11zurNwUxbN0OHBeMDjS3lD3fbw4BS/z&#10;p6cx0p6+zlMXzLBU9nVR6uG+LLYgEs3pLww3/IwObWY6+QvrKKyC/Ej6vTevKkGcFGyeSpBtI/+z&#10;tz9QSwMEFAAAAAgAh07iQFk8yHLbAQAAtQMAAA4AAABkcnMvZTJvRG9jLnhtbK1TQW7bMBC8B+gf&#10;CN5rSY5dpILloK2RokDRFEj7AJqiLAIklyBpS/5A+4Oeeuk97/I7uqQkp0kuOfRCLZfL2Z3haHXd&#10;a0UOwnkJpqLFLKdEGA61NLuKfv928/qKEh+YqZkCIyp6FJ5er19drDpbijm0oGrhCIIYX3a2om0I&#10;tswyz1uhmZ+BFQYPG3CaBdy6XVY71iG6Vtk8z99kHbjaOuDCe8xuhkM6IrqXAELTSC42wPdamDCg&#10;OqFYQEq+ldbTdZq2aQQPt03jRSCqosg0pBWbYLyNa7ZesXLnmG0lH0dgLxnhCSfNpMGmZ6gNC4zs&#10;nXwGpSV34KEJMw46G4gkRZBFkT/R5q5lViQuKLW3Z9H9/4PlXw5fHZF1RReUGKbxwU+/fp5+35/+&#10;/CDLYr6ICnXWl1h4Z7E09O+hR99MeY/JSLxvnI5fpETwHPU9nvUVfSA8XioWby+XlHA8KpaXOcaI&#10;nj1cts6HjwI0iUFFHT5fUpUdPvswlE4lsZeBG6lUekJlHiUQc8iI5IHxduQxzBuj0G/7kdwW6iNy&#10;69AHFTVoe0rUJ4MyR8tMgZuC7RQww1tAMwVKhvBDSNaKo3j7bh9wvjR2bDf0QLpxg6+ZiI/Oi3b5&#10;d5+qHv629V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AJBU+a0AAAAAMBAAAPAAAAAAAAAAEAIAAA&#10;ACIAAABkcnMvZG93bnJldi54bWxQSwECFAAUAAAACACHTuJAWTzIctsBAAC1AwAADgAAAAAAAAAB&#10;ACAAAAAfAQAAZHJzL2Uyb0RvYy54bWxQSwUGAAAAAAYABgBZAQAAbAUAAAAA&#10;">
              <v:fill on="f" focussize="0,0"/>
              <v:stroke on="f"/>
              <v:imagedata o:title=""/>
              <o:lock v:ext="edit" aspectratio="f"/>
              <v:textbox inset="0mm,0mm,0mm,0mm" style="mso-fit-shape-to-text:t;">
                <w:txbxContent>
                  <w:p w14:paraId="36A04B09"/>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DAB36">
    <w:pPr>
      <w:pStyle w:val="16"/>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14ADAB">
                          <w:pPr>
                            <w:pStyle w:val="1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5B14ADAB">
                    <w:pPr>
                      <w:pStyle w:val="16"/>
                    </w:pPr>
                    <w:r>
                      <w:fldChar w:fldCharType="begin"/>
                    </w:r>
                    <w:r>
                      <w:instrText xml:space="preserve"> PAGE  \* MERGEFORMAT </w:instrText>
                    </w:r>
                    <w:r>
                      <w:fldChar w:fldCharType="separate"/>
                    </w:r>
                    <w:r>
                      <w:t>2</w:t>
                    </w:r>
                    <w:r>
                      <w:fldChar w:fldCharType="end"/>
                    </w:r>
                  </w:p>
                </w:txbxContent>
              </v:textbox>
            </v:shape>
          </w:pict>
        </mc:Fallback>
      </mc:AlternateContent>
    </w:r>
  </w:p>
  <w:p w14:paraId="08AE0512">
    <w:pPr>
      <w:pStyle w:val="1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1FA5B">
    <w:pPr>
      <w:pStyle w:val="16"/>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52DED8">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3C52DED8">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742BA">
    <w:pPr>
      <w:pStyle w:val="1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9DECF">
    <w:pPr>
      <w:pStyle w:val="17"/>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ECB586"/>
    <w:multiLevelType w:val="singleLevel"/>
    <w:tmpl w:val="8EECB586"/>
    <w:lvl w:ilvl="0" w:tentative="0">
      <w:start w:val="1"/>
      <w:numFmt w:val="decimal"/>
      <w:suff w:val="nothing"/>
      <w:lvlText w:val="（%1）"/>
      <w:lvlJc w:val="left"/>
      <w:pPr>
        <w:tabs>
          <w:tab w:val="left" w:pos="0"/>
        </w:tabs>
        <w:ind w:left="425" w:hanging="425"/>
      </w:pPr>
      <w:rPr>
        <w:rFonts w:hint="default"/>
      </w:rPr>
    </w:lvl>
  </w:abstractNum>
  <w:abstractNum w:abstractNumId="1">
    <w:nsid w:val="ACFAECAC"/>
    <w:multiLevelType w:val="singleLevel"/>
    <w:tmpl w:val="ACFAECAC"/>
    <w:lvl w:ilvl="0" w:tentative="0">
      <w:start w:val="1"/>
      <w:numFmt w:val="decimal"/>
      <w:suff w:val="nothing"/>
      <w:lvlText w:val="%1）"/>
      <w:lvlJc w:val="left"/>
      <w:pPr>
        <w:tabs>
          <w:tab w:val="left" w:pos="0"/>
        </w:tabs>
        <w:ind w:left="0" w:firstLine="0"/>
      </w:pPr>
      <w:rPr>
        <w:rFonts w:hint="default"/>
      </w:rPr>
    </w:lvl>
  </w:abstractNum>
  <w:abstractNum w:abstractNumId="2">
    <w:nsid w:val="AE900376"/>
    <w:multiLevelType w:val="singleLevel"/>
    <w:tmpl w:val="AE900376"/>
    <w:lvl w:ilvl="0" w:tentative="0">
      <w:start w:val="1"/>
      <w:numFmt w:val="decimal"/>
      <w:suff w:val="nothing"/>
      <w:lvlText w:val="（%1）"/>
      <w:lvlJc w:val="left"/>
      <w:pPr>
        <w:tabs>
          <w:tab w:val="left" w:pos="0"/>
        </w:tabs>
        <w:ind w:left="425" w:hanging="425"/>
      </w:pPr>
      <w:rPr>
        <w:rFonts w:hint="default"/>
      </w:rPr>
    </w:lvl>
  </w:abstractNum>
  <w:abstractNum w:abstractNumId="3">
    <w:nsid w:val="CD60863C"/>
    <w:multiLevelType w:val="singleLevel"/>
    <w:tmpl w:val="CD60863C"/>
    <w:lvl w:ilvl="0" w:tentative="0">
      <w:start w:val="1"/>
      <w:numFmt w:val="decimal"/>
      <w:suff w:val="nothing"/>
      <w:lvlText w:val="%1）"/>
      <w:lvlJc w:val="left"/>
      <w:pPr>
        <w:tabs>
          <w:tab w:val="left" w:pos="0"/>
        </w:tabs>
        <w:ind w:left="0" w:firstLine="0"/>
      </w:pPr>
      <w:rPr>
        <w:rFonts w:hint="default"/>
      </w:rPr>
    </w:lvl>
  </w:abstractNum>
  <w:abstractNum w:abstractNumId="4">
    <w:nsid w:val="D4561A5B"/>
    <w:multiLevelType w:val="singleLevel"/>
    <w:tmpl w:val="D4561A5B"/>
    <w:lvl w:ilvl="0" w:tentative="0">
      <w:start w:val="1"/>
      <w:numFmt w:val="decimal"/>
      <w:suff w:val="nothing"/>
      <w:lvlText w:val="%1）"/>
      <w:lvlJc w:val="left"/>
      <w:pPr>
        <w:tabs>
          <w:tab w:val="left" w:pos="0"/>
        </w:tabs>
        <w:ind w:left="0" w:firstLine="0"/>
      </w:pPr>
      <w:rPr>
        <w:rFonts w:hint="default"/>
      </w:rPr>
    </w:lvl>
  </w:abstractNum>
  <w:abstractNum w:abstractNumId="5">
    <w:nsid w:val="DF479DE4"/>
    <w:multiLevelType w:val="singleLevel"/>
    <w:tmpl w:val="DF479DE4"/>
    <w:lvl w:ilvl="0" w:tentative="0">
      <w:start w:val="2"/>
      <w:numFmt w:val="chineseCounting"/>
      <w:suff w:val="nothing"/>
      <w:lvlText w:val="%1、"/>
      <w:lvlJc w:val="left"/>
      <w:rPr>
        <w:rFonts w:hint="eastAsia"/>
      </w:rPr>
    </w:lvl>
  </w:abstractNum>
  <w:abstractNum w:abstractNumId="6">
    <w:nsid w:val="E60ADE74"/>
    <w:multiLevelType w:val="singleLevel"/>
    <w:tmpl w:val="E60ADE74"/>
    <w:lvl w:ilvl="0" w:tentative="0">
      <w:start w:val="1"/>
      <w:numFmt w:val="decimal"/>
      <w:pStyle w:val="8"/>
      <w:lvlText w:val="%1."/>
      <w:lvlJc w:val="left"/>
      <w:pPr>
        <w:tabs>
          <w:tab w:val="left" w:pos="360"/>
        </w:tabs>
        <w:ind w:left="360" w:hanging="360"/>
      </w:pPr>
    </w:lvl>
  </w:abstractNum>
  <w:abstractNum w:abstractNumId="7">
    <w:nsid w:val="FC650CDE"/>
    <w:multiLevelType w:val="singleLevel"/>
    <w:tmpl w:val="FC650CDE"/>
    <w:lvl w:ilvl="0" w:tentative="0">
      <w:start w:val="1"/>
      <w:numFmt w:val="decimal"/>
      <w:suff w:val="nothing"/>
      <w:lvlText w:val="%1）"/>
      <w:lvlJc w:val="left"/>
      <w:pPr>
        <w:tabs>
          <w:tab w:val="left" w:pos="0"/>
        </w:tabs>
        <w:ind w:left="0" w:firstLine="0"/>
      </w:pPr>
      <w:rPr>
        <w:rFonts w:hint="default"/>
      </w:rPr>
    </w:lvl>
  </w:abstractNum>
  <w:abstractNum w:abstractNumId="8">
    <w:nsid w:val="FFFEFB80"/>
    <w:multiLevelType w:val="singleLevel"/>
    <w:tmpl w:val="FFFEFB80"/>
    <w:lvl w:ilvl="0" w:tentative="0">
      <w:start w:val="11"/>
      <w:numFmt w:val="chineseCounting"/>
      <w:suff w:val="nothing"/>
      <w:lvlText w:val="%1、"/>
      <w:lvlJc w:val="left"/>
      <w:rPr>
        <w:rFonts w:hint="eastAsia"/>
      </w:rPr>
    </w:lvl>
  </w:abstractNum>
  <w:abstractNum w:abstractNumId="9">
    <w:nsid w:val="062441FF"/>
    <w:multiLevelType w:val="singleLevel"/>
    <w:tmpl w:val="062441FF"/>
    <w:lvl w:ilvl="0" w:tentative="0">
      <w:start w:val="1"/>
      <w:numFmt w:val="decimal"/>
      <w:suff w:val="nothing"/>
      <w:lvlText w:val="（%1）"/>
      <w:lvlJc w:val="left"/>
      <w:pPr>
        <w:tabs>
          <w:tab w:val="left" w:pos="0"/>
        </w:tabs>
        <w:ind w:left="425" w:hanging="425"/>
      </w:pPr>
      <w:rPr>
        <w:rFonts w:hint="default"/>
      </w:rPr>
    </w:lvl>
  </w:abstractNum>
  <w:abstractNum w:abstractNumId="10">
    <w:nsid w:val="2B94BD40"/>
    <w:multiLevelType w:val="singleLevel"/>
    <w:tmpl w:val="2B94BD40"/>
    <w:lvl w:ilvl="0" w:tentative="0">
      <w:start w:val="1"/>
      <w:numFmt w:val="decimal"/>
      <w:suff w:val="nothing"/>
      <w:lvlText w:val="（%1）"/>
      <w:lvlJc w:val="left"/>
      <w:pPr>
        <w:tabs>
          <w:tab w:val="left" w:pos="0"/>
        </w:tabs>
      </w:pPr>
      <w:rPr>
        <w:rFonts w:hint="default"/>
      </w:rPr>
    </w:lvl>
  </w:abstractNum>
  <w:abstractNum w:abstractNumId="11">
    <w:nsid w:val="36232064"/>
    <w:multiLevelType w:val="multilevel"/>
    <w:tmpl w:val="36232064"/>
    <w:lvl w:ilvl="0" w:tentative="0">
      <w:start w:val="1"/>
      <w:numFmt w:val="chineseCountingThousand"/>
      <w:pStyle w:val="34"/>
      <w:lvlText w:val="%1、"/>
      <w:lvlJc w:val="left"/>
      <w:pPr>
        <w:ind w:left="2820" w:hanging="440"/>
      </w:pPr>
      <w:rPr>
        <w:rFonts w:hint="default" w:cs="Times New Roman"/>
      </w:rPr>
    </w:lvl>
    <w:lvl w:ilvl="1" w:tentative="0">
      <w:start w:val="1"/>
      <w:numFmt w:val="lowerLetter"/>
      <w:lvlText w:val="%2)"/>
      <w:lvlJc w:val="left"/>
      <w:pPr>
        <w:ind w:left="3260" w:hanging="440"/>
      </w:pPr>
      <w:rPr>
        <w:rFonts w:hint="default" w:cs="Times New Roman"/>
      </w:rPr>
    </w:lvl>
    <w:lvl w:ilvl="2" w:tentative="0">
      <w:start w:val="1"/>
      <w:numFmt w:val="lowerRoman"/>
      <w:lvlText w:val="%3."/>
      <w:lvlJc w:val="right"/>
      <w:pPr>
        <w:ind w:left="3700" w:hanging="440"/>
      </w:pPr>
      <w:rPr>
        <w:rFonts w:hint="default" w:cs="Times New Roman"/>
      </w:rPr>
    </w:lvl>
    <w:lvl w:ilvl="3" w:tentative="0">
      <w:start w:val="1"/>
      <w:numFmt w:val="decimal"/>
      <w:lvlText w:val="%4."/>
      <w:lvlJc w:val="left"/>
      <w:pPr>
        <w:ind w:left="4140" w:hanging="440"/>
      </w:pPr>
      <w:rPr>
        <w:rFonts w:hint="default" w:cs="Times New Roman"/>
      </w:rPr>
    </w:lvl>
    <w:lvl w:ilvl="4" w:tentative="0">
      <w:start w:val="1"/>
      <w:numFmt w:val="lowerLetter"/>
      <w:lvlText w:val="%5)"/>
      <w:lvlJc w:val="left"/>
      <w:pPr>
        <w:ind w:left="4580" w:hanging="440"/>
      </w:pPr>
      <w:rPr>
        <w:rFonts w:hint="default" w:cs="Times New Roman"/>
      </w:rPr>
    </w:lvl>
    <w:lvl w:ilvl="5" w:tentative="0">
      <w:start w:val="1"/>
      <w:numFmt w:val="lowerRoman"/>
      <w:lvlText w:val="%6."/>
      <w:lvlJc w:val="right"/>
      <w:pPr>
        <w:ind w:left="5020" w:hanging="440"/>
      </w:pPr>
      <w:rPr>
        <w:rFonts w:hint="default" w:cs="Times New Roman"/>
      </w:rPr>
    </w:lvl>
    <w:lvl w:ilvl="6" w:tentative="0">
      <w:start w:val="1"/>
      <w:numFmt w:val="decimal"/>
      <w:lvlText w:val="%7."/>
      <w:lvlJc w:val="left"/>
      <w:pPr>
        <w:ind w:left="5460" w:hanging="440"/>
      </w:pPr>
      <w:rPr>
        <w:rFonts w:hint="default" w:cs="Times New Roman"/>
      </w:rPr>
    </w:lvl>
    <w:lvl w:ilvl="7" w:tentative="0">
      <w:start w:val="1"/>
      <w:numFmt w:val="lowerLetter"/>
      <w:lvlText w:val="%8)"/>
      <w:lvlJc w:val="left"/>
      <w:pPr>
        <w:ind w:left="5900" w:hanging="440"/>
      </w:pPr>
      <w:rPr>
        <w:rFonts w:hint="default" w:cs="Times New Roman"/>
      </w:rPr>
    </w:lvl>
    <w:lvl w:ilvl="8" w:tentative="0">
      <w:start w:val="1"/>
      <w:numFmt w:val="lowerRoman"/>
      <w:lvlText w:val="%9."/>
      <w:lvlJc w:val="right"/>
      <w:pPr>
        <w:ind w:left="6340" w:hanging="440"/>
      </w:pPr>
      <w:rPr>
        <w:rFonts w:hint="default" w:cs="Times New Roman"/>
      </w:rPr>
    </w:lvl>
  </w:abstractNum>
  <w:abstractNum w:abstractNumId="12">
    <w:nsid w:val="4B249CBB"/>
    <w:multiLevelType w:val="singleLevel"/>
    <w:tmpl w:val="4B249CBB"/>
    <w:lvl w:ilvl="0" w:tentative="0">
      <w:start w:val="1"/>
      <w:numFmt w:val="decimal"/>
      <w:suff w:val="nothing"/>
      <w:lvlText w:val="（%1）"/>
      <w:lvlJc w:val="left"/>
      <w:pPr>
        <w:tabs>
          <w:tab w:val="left" w:pos="0"/>
        </w:tabs>
        <w:ind w:left="425" w:hanging="425"/>
      </w:pPr>
      <w:rPr>
        <w:rFonts w:hint="default"/>
      </w:rPr>
    </w:lvl>
  </w:abstractNum>
  <w:num w:numId="1">
    <w:abstractNumId w:val="6"/>
  </w:num>
  <w:num w:numId="2">
    <w:abstractNumId w:val="11"/>
  </w:num>
  <w:num w:numId="3">
    <w:abstractNumId w:val="10"/>
  </w:num>
  <w:num w:numId="4">
    <w:abstractNumId w:val="12"/>
  </w:num>
  <w:num w:numId="5">
    <w:abstractNumId w:val="0"/>
  </w:num>
  <w:num w:numId="6">
    <w:abstractNumId w:val="3"/>
  </w:num>
  <w:num w:numId="7">
    <w:abstractNumId w:val="7"/>
  </w:num>
  <w:num w:numId="8">
    <w:abstractNumId w:val="1"/>
  </w:num>
  <w:num w:numId="9">
    <w:abstractNumId w:val="4"/>
  </w:num>
  <w:num w:numId="10">
    <w:abstractNumId w:val="9"/>
  </w:num>
  <w:num w:numId="11">
    <w:abstractNumId w:val="2"/>
  </w:num>
  <w:num w:numId="12">
    <w:abstractNumId w:val="5"/>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E3Y2MwMGM3Y2U2MjI1YWY0Yjc2ZTUwYWVhZjM1MDMifQ=="/>
  </w:docVars>
  <w:rsids>
    <w:rsidRoot w:val="33E55DF6"/>
    <w:rsid w:val="000210D1"/>
    <w:rsid w:val="0004690C"/>
    <w:rsid w:val="00091613"/>
    <w:rsid w:val="00276709"/>
    <w:rsid w:val="002C061A"/>
    <w:rsid w:val="003151E8"/>
    <w:rsid w:val="00376CC1"/>
    <w:rsid w:val="003F0436"/>
    <w:rsid w:val="003F280E"/>
    <w:rsid w:val="003F51D8"/>
    <w:rsid w:val="005B74BA"/>
    <w:rsid w:val="00621E3B"/>
    <w:rsid w:val="0072132B"/>
    <w:rsid w:val="00777B7A"/>
    <w:rsid w:val="008162E0"/>
    <w:rsid w:val="009551AF"/>
    <w:rsid w:val="009A3887"/>
    <w:rsid w:val="009C52A1"/>
    <w:rsid w:val="00A22B30"/>
    <w:rsid w:val="00A2781B"/>
    <w:rsid w:val="00A5376B"/>
    <w:rsid w:val="00A70608"/>
    <w:rsid w:val="00AF5822"/>
    <w:rsid w:val="00B50B55"/>
    <w:rsid w:val="00B672E3"/>
    <w:rsid w:val="00B706A6"/>
    <w:rsid w:val="00B91BF8"/>
    <w:rsid w:val="00B9358D"/>
    <w:rsid w:val="00C36FB9"/>
    <w:rsid w:val="00D018CE"/>
    <w:rsid w:val="00DE7680"/>
    <w:rsid w:val="00E10047"/>
    <w:rsid w:val="00E40DF7"/>
    <w:rsid w:val="00EC7A16"/>
    <w:rsid w:val="00F16D7E"/>
    <w:rsid w:val="05A268A2"/>
    <w:rsid w:val="068C21A9"/>
    <w:rsid w:val="092F6BA7"/>
    <w:rsid w:val="099C2525"/>
    <w:rsid w:val="0A0B63FA"/>
    <w:rsid w:val="0B0102B8"/>
    <w:rsid w:val="0B483747"/>
    <w:rsid w:val="0C2D336A"/>
    <w:rsid w:val="0D0B32DD"/>
    <w:rsid w:val="0E84491B"/>
    <w:rsid w:val="0EA578A0"/>
    <w:rsid w:val="0F7C6D60"/>
    <w:rsid w:val="0FC803F4"/>
    <w:rsid w:val="10F35EC9"/>
    <w:rsid w:val="11567DDC"/>
    <w:rsid w:val="121045D7"/>
    <w:rsid w:val="12E84200"/>
    <w:rsid w:val="1367781A"/>
    <w:rsid w:val="1594066F"/>
    <w:rsid w:val="171D6425"/>
    <w:rsid w:val="18335DE5"/>
    <w:rsid w:val="18DA5CA5"/>
    <w:rsid w:val="191A16BA"/>
    <w:rsid w:val="194A1770"/>
    <w:rsid w:val="1BD14CC5"/>
    <w:rsid w:val="20D109C9"/>
    <w:rsid w:val="22C205C9"/>
    <w:rsid w:val="25902C01"/>
    <w:rsid w:val="271008F1"/>
    <w:rsid w:val="284B4FA2"/>
    <w:rsid w:val="28AB26BB"/>
    <w:rsid w:val="2BAD6332"/>
    <w:rsid w:val="2BBF5C96"/>
    <w:rsid w:val="2CDB786E"/>
    <w:rsid w:val="30AB0546"/>
    <w:rsid w:val="31AD0696"/>
    <w:rsid w:val="325B2382"/>
    <w:rsid w:val="32F0649D"/>
    <w:rsid w:val="334A2505"/>
    <w:rsid w:val="33E55DF6"/>
    <w:rsid w:val="33FD5869"/>
    <w:rsid w:val="34120D39"/>
    <w:rsid w:val="350364CF"/>
    <w:rsid w:val="369E0EF6"/>
    <w:rsid w:val="36BF21EA"/>
    <w:rsid w:val="38D124FD"/>
    <w:rsid w:val="392A44DD"/>
    <w:rsid w:val="39B8088E"/>
    <w:rsid w:val="3CE04016"/>
    <w:rsid w:val="3F7D3D9E"/>
    <w:rsid w:val="42E61C5A"/>
    <w:rsid w:val="432A5FEB"/>
    <w:rsid w:val="43CB23A9"/>
    <w:rsid w:val="459E47A7"/>
    <w:rsid w:val="493F7DD0"/>
    <w:rsid w:val="49464F44"/>
    <w:rsid w:val="4ECC264C"/>
    <w:rsid w:val="4F460DE2"/>
    <w:rsid w:val="5040471E"/>
    <w:rsid w:val="50E56BC4"/>
    <w:rsid w:val="51256F94"/>
    <w:rsid w:val="51C07B1A"/>
    <w:rsid w:val="52236349"/>
    <w:rsid w:val="52AF0D4E"/>
    <w:rsid w:val="53E00DAE"/>
    <w:rsid w:val="54B84D18"/>
    <w:rsid w:val="54CD56B1"/>
    <w:rsid w:val="55177E63"/>
    <w:rsid w:val="5A276988"/>
    <w:rsid w:val="5AA24261"/>
    <w:rsid w:val="5BC8419B"/>
    <w:rsid w:val="5CBB0910"/>
    <w:rsid w:val="5D6D42EB"/>
    <w:rsid w:val="5DFB2606"/>
    <w:rsid w:val="610E43FE"/>
    <w:rsid w:val="636447A9"/>
    <w:rsid w:val="647D077C"/>
    <w:rsid w:val="651568FC"/>
    <w:rsid w:val="66F525EC"/>
    <w:rsid w:val="66FE2F91"/>
    <w:rsid w:val="68190914"/>
    <w:rsid w:val="68356714"/>
    <w:rsid w:val="6B956D7A"/>
    <w:rsid w:val="6C9B0944"/>
    <w:rsid w:val="6D342910"/>
    <w:rsid w:val="6D997745"/>
    <w:rsid w:val="6E764AEE"/>
    <w:rsid w:val="6ED0066B"/>
    <w:rsid w:val="73F85105"/>
    <w:rsid w:val="76C378D9"/>
    <w:rsid w:val="77B84C6C"/>
    <w:rsid w:val="783D7F9D"/>
    <w:rsid w:val="797C64A0"/>
    <w:rsid w:val="7B9C7D53"/>
    <w:rsid w:val="7BCE4A5E"/>
    <w:rsid w:val="7BF63E27"/>
    <w:rsid w:val="7C3C6A63"/>
    <w:rsid w:val="7E2117BD"/>
    <w:rsid w:val="7F0F5A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name="Body Text First Indent"/>
    <w:lsdException w:qFormat="1" w:uiPriority="99" w:semiHidden="0" w:name="Body Text First Indent 2"/>
    <w:lsdException w:unhideWhenUsed="0" w:uiPriority="0" w:semiHidden="0" w:name="Note Heading"/>
    <w:lsdException w:unhideWhenUsed="0" w:uiPriority="0"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5">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unhideWhenUsed/>
    <w:qFormat/>
    <w:uiPriority w:val="0"/>
    <w:pPr>
      <w:keepNext/>
      <w:keepLines/>
      <w:spacing w:before="260" w:after="260" w:line="416" w:lineRule="auto"/>
      <w:outlineLvl w:val="2"/>
    </w:pPr>
    <w:rPr>
      <w:rFonts w:eastAsia="黑体"/>
      <w:bCs/>
      <w:sz w:val="32"/>
      <w:szCs w:val="32"/>
    </w:rPr>
  </w:style>
  <w:style w:type="paragraph" w:styleId="7">
    <w:name w:val="heading 4"/>
    <w:basedOn w:val="1"/>
    <w:next w:val="1"/>
    <w:qFormat/>
    <w:uiPriority w:val="9"/>
    <w:pPr>
      <w:tabs>
        <w:tab w:val="left" w:pos="2155"/>
      </w:tabs>
      <w:adjustRightInd w:val="0"/>
      <w:spacing w:before="120" w:line="360" w:lineRule="auto"/>
      <w:ind w:left="2155" w:hanging="1078"/>
      <w:textAlignment w:val="baseline"/>
      <w:outlineLvl w:val="3"/>
    </w:pPr>
    <w:rPr>
      <w:rFonts w:ascii="Arial" w:eastAsia="黑体"/>
      <w:kern w:val="0"/>
      <w:sz w:val="28"/>
      <w:szCs w:val="20"/>
    </w:rPr>
  </w:style>
  <w:style w:type="character" w:default="1" w:styleId="25">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semiHidden/>
    <w:unhideWhenUsed/>
    <w:qFormat/>
    <w:uiPriority w:val="0"/>
    <w:pPr>
      <w:spacing w:line="360" w:lineRule="auto"/>
      <w:ind w:firstLine="420" w:firstLineChars="100"/>
    </w:pPr>
    <w:rPr>
      <w:rFonts w:cstheme="minorBidi"/>
      <w:sz w:val="28"/>
    </w:rPr>
  </w:style>
  <w:style w:type="paragraph" w:styleId="3">
    <w:name w:val="Body Text"/>
    <w:basedOn w:val="1"/>
    <w:next w:val="2"/>
    <w:unhideWhenUsed/>
    <w:qFormat/>
    <w:uiPriority w:val="0"/>
    <w:pPr>
      <w:spacing w:after="120"/>
    </w:pPr>
  </w:style>
  <w:style w:type="paragraph" w:styleId="8">
    <w:name w:val="List Number"/>
    <w:basedOn w:val="1"/>
    <w:qFormat/>
    <w:uiPriority w:val="0"/>
    <w:pPr>
      <w:numPr>
        <w:ilvl w:val="0"/>
        <w:numId w:val="1"/>
      </w:numPr>
    </w:pPr>
  </w:style>
  <w:style w:type="paragraph" w:styleId="9">
    <w:name w:val="Normal Indent"/>
    <w:basedOn w:val="1"/>
    <w:qFormat/>
    <w:uiPriority w:val="0"/>
    <w:pPr>
      <w:ind w:firstLine="420"/>
    </w:pPr>
    <w:rPr>
      <w:szCs w:val="20"/>
    </w:rPr>
  </w:style>
  <w:style w:type="paragraph" w:styleId="10">
    <w:name w:val="caption"/>
    <w:basedOn w:val="1"/>
    <w:next w:val="1"/>
    <w:semiHidden/>
    <w:unhideWhenUsed/>
    <w:qFormat/>
    <w:uiPriority w:val="35"/>
    <w:pPr>
      <w:spacing w:line="360" w:lineRule="auto"/>
      <w:jc w:val="center"/>
    </w:pPr>
    <w:rPr>
      <w:rFonts w:eastAsia="黑体" w:asciiTheme="majorHAnsi" w:hAnsiTheme="majorHAnsi" w:cstheme="majorBidi"/>
      <w:sz w:val="20"/>
      <w:szCs w:val="20"/>
    </w:rPr>
  </w:style>
  <w:style w:type="paragraph" w:styleId="11">
    <w:name w:val="annotation text"/>
    <w:basedOn w:val="1"/>
    <w:link w:val="37"/>
    <w:qFormat/>
    <w:uiPriority w:val="0"/>
    <w:pPr>
      <w:jc w:val="left"/>
    </w:pPr>
  </w:style>
  <w:style w:type="paragraph" w:styleId="12">
    <w:name w:val="Body Text 3"/>
    <w:basedOn w:val="1"/>
    <w:unhideWhenUsed/>
    <w:qFormat/>
    <w:uiPriority w:val="99"/>
    <w:pPr>
      <w:spacing w:after="120"/>
    </w:pPr>
    <w:rPr>
      <w:sz w:val="16"/>
      <w:szCs w:val="16"/>
    </w:rPr>
  </w:style>
  <w:style w:type="paragraph" w:styleId="13">
    <w:name w:val="Body Text Indent"/>
    <w:basedOn w:val="1"/>
    <w:qFormat/>
    <w:uiPriority w:val="0"/>
    <w:pPr>
      <w:ind w:firstLine="830" w:firstLineChars="352"/>
    </w:pPr>
    <w:rPr>
      <w:rFonts w:ascii="仿宋_GB2312" w:eastAsia="仿宋_GB2312"/>
      <w:kern w:val="0"/>
      <w:sz w:val="32"/>
      <w:szCs w:val="20"/>
    </w:rPr>
  </w:style>
  <w:style w:type="paragraph" w:styleId="14">
    <w:name w:val="List 2"/>
    <w:basedOn w:val="1"/>
    <w:unhideWhenUsed/>
    <w:qFormat/>
    <w:uiPriority w:val="99"/>
    <w:pPr>
      <w:ind w:left="100" w:leftChars="200" w:hanging="200" w:hangingChars="200"/>
      <w:contextualSpacing/>
    </w:pPr>
  </w:style>
  <w:style w:type="paragraph" w:styleId="15">
    <w:name w:val="Plain Text"/>
    <w:basedOn w:val="1"/>
    <w:qFormat/>
    <w:uiPriority w:val="0"/>
    <w:rPr>
      <w:rFonts w:ascii="宋体" w:hAnsi="Courier New"/>
      <w:kern w:val="0"/>
      <w:sz w:val="20"/>
      <w:szCs w:val="21"/>
    </w:rPr>
  </w:style>
  <w:style w:type="paragraph" w:styleId="16">
    <w:name w:val="footer"/>
    <w:basedOn w:val="1"/>
    <w:unhideWhenUsed/>
    <w:qFormat/>
    <w:uiPriority w:val="99"/>
    <w:pPr>
      <w:tabs>
        <w:tab w:val="center" w:pos="4153"/>
        <w:tab w:val="right" w:pos="8306"/>
      </w:tabs>
      <w:snapToGrid w:val="0"/>
      <w:jc w:val="left"/>
    </w:pPr>
    <w:rPr>
      <w:kern w:val="0"/>
      <w:sz w:val="18"/>
      <w:szCs w:val="18"/>
    </w:rPr>
  </w:style>
  <w:style w:type="paragraph" w:styleId="17">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8">
    <w:name w:val="toc 1"/>
    <w:basedOn w:val="1"/>
    <w:next w:val="1"/>
    <w:unhideWhenUsed/>
    <w:qFormat/>
    <w:uiPriority w:val="39"/>
  </w:style>
  <w:style w:type="paragraph" w:styleId="19">
    <w:name w:val="List"/>
    <w:basedOn w:val="1"/>
    <w:qFormat/>
    <w:uiPriority w:val="0"/>
    <w:pPr>
      <w:ind w:left="200" w:hanging="200" w:hangingChars="200"/>
    </w:pPr>
    <w:rPr>
      <w:sz w:val="28"/>
    </w:rPr>
  </w:style>
  <w:style w:type="paragraph" w:styleId="20">
    <w:name w:val="toc 2"/>
    <w:basedOn w:val="1"/>
    <w:next w:val="1"/>
    <w:unhideWhenUsed/>
    <w:qFormat/>
    <w:uiPriority w:val="39"/>
    <w:pPr>
      <w:tabs>
        <w:tab w:val="right" w:leader="dot" w:pos="8296"/>
      </w:tabs>
      <w:ind w:left="420" w:leftChars="200"/>
    </w:pPr>
  </w:style>
  <w:style w:type="paragraph" w:styleId="21">
    <w:name w:val="Title"/>
    <w:basedOn w:val="1"/>
    <w:next w:val="1"/>
    <w:qFormat/>
    <w:uiPriority w:val="0"/>
    <w:pPr>
      <w:spacing w:before="240" w:after="60"/>
      <w:jc w:val="center"/>
      <w:outlineLvl w:val="0"/>
    </w:pPr>
    <w:rPr>
      <w:rFonts w:eastAsia="黑体" w:asciiTheme="majorHAnsi" w:hAnsiTheme="majorHAnsi" w:cstheme="majorBidi"/>
      <w:b/>
      <w:bCs/>
      <w:sz w:val="32"/>
      <w:szCs w:val="32"/>
    </w:rPr>
  </w:style>
  <w:style w:type="paragraph" w:styleId="22">
    <w:name w:val="annotation subject"/>
    <w:basedOn w:val="11"/>
    <w:next w:val="11"/>
    <w:link w:val="38"/>
    <w:qFormat/>
    <w:uiPriority w:val="0"/>
    <w:rPr>
      <w:b/>
      <w:bCs/>
    </w:rPr>
  </w:style>
  <w:style w:type="paragraph" w:styleId="23">
    <w:name w:val="Body Text First Indent 2"/>
    <w:basedOn w:val="1"/>
    <w:next w:val="2"/>
    <w:unhideWhenUsed/>
    <w:qFormat/>
    <w:uiPriority w:val="99"/>
    <w:pPr>
      <w:spacing w:after="120"/>
      <w:ind w:left="420" w:leftChars="200" w:firstLine="420" w:firstLineChars="200"/>
    </w:pPr>
  </w:style>
  <w:style w:type="character" w:styleId="26">
    <w:name w:val="Strong"/>
    <w:basedOn w:val="25"/>
    <w:qFormat/>
    <w:uiPriority w:val="0"/>
    <w:rPr>
      <w:b/>
    </w:rPr>
  </w:style>
  <w:style w:type="character" w:styleId="27">
    <w:name w:val="Hyperlink"/>
    <w:unhideWhenUsed/>
    <w:qFormat/>
    <w:uiPriority w:val="99"/>
    <w:rPr>
      <w:color w:val="0000FF"/>
      <w:u w:val="single"/>
    </w:rPr>
  </w:style>
  <w:style w:type="character" w:styleId="28">
    <w:name w:val="annotation reference"/>
    <w:basedOn w:val="25"/>
    <w:qFormat/>
    <w:uiPriority w:val="0"/>
    <w:rPr>
      <w:sz w:val="21"/>
      <w:szCs w:val="21"/>
    </w:rPr>
  </w:style>
  <w:style w:type="character" w:customStyle="1" w:styleId="29">
    <w:name w:val="标题 1 字符"/>
    <w:basedOn w:val="25"/>
    <w:link w:val="4"/>
    <w:qFormat/>
    <w:uiPriority w:val="0"/>
    <w:rPr>
      <w:b/>
      <w:bCs/>
      <w:kern w:val="44"/>
      <w:sz w:val="44"/>
      <w:szCs w:val="44"/>
    </w:rPr>
  </w:style>
  <w:style w:type="paragraph" w:customStyle="1" w:styleId="30">
    <w:name w:val="正文2"/>
    <w:basedOn w:val="1"/>
    <w:qFormat/>
    <w:uiPriority w:val="0"/>
    <w:pPr>
      <w:adjustRightInd w:val="0"/>
      <w:spacing w:before="156" w:line="360" w:lineRule="auto"/>
      <w:ind w:firstLine="510" w:firstLineChars="200"/>
    </w:pPr>
    <w:rPr>
      <w:sz w:val="24"/>
      <w:szCs w:val="20"/>
    </w:rPr>
  </w:style>
  <w:style w:type="paragraph" w:styleId="31">
    <w:name w:val="List Paragraph"/>
    <w:basedOn w:val="1"/>
    <w:qFormat/>
    <w:uiPriority w:val="99"/>
    <w:pPr>
      <w:ind w:firstLine="420" w:firstLineChars="200"/>
    </w:pPr>
  </w:style>
  <w:style w:type="paragraph" w:customStyle="1" w:styleId="32">
    <w:name w:val="Table Text"/>
    <w:basedOn w:val="1"/>
    <w:semiHidden/>
    <w:qFormat/>
    <w:uiPriority w:val="0"/>
    <w:rPr>
      <w:rFonts w:ascii="宋体" w:hAnsi="宋体" w:cs="宋体"/>
      <w:sz w:val="20"/>
      <w:szCs w:val="20"/>
      <w:lang w:eastAsia="en-US"/>
    </w:rPr>
  </w:style>
  <w:style w:type="paragraph" w:customStyle="1" w:styleId="33">
    <w:name w:val="段"/>
    <w:next w:val="1"/>
    <w:qFormat/>
    <w:uiPriority w:val="99"/>
    <w:pPr>
      <w:autoSpaceDE w:val="0"/>
      <w:autoSpaceDN w:val="0"/>
      <w:adjustRightInd w:val="0"/>
      <w:snapToGrid w:val="0"/>
      <w:spacing w:line="360" w:lineRule="auto"/>
      <w:ind w:firstLine="200" w:firstLineChars="200"/>
      <w:jc w:val="both"/>
    </w:pPr>
    <w:rPr>
      <w:rFonts w:ascii="宋体" w:hAnsiTheme="minorHAnsi" w:eastAsiaTheme="minorEastAsia" w:cstheme="minorBidi"/>
      <w:sz w:val="24"/>
      <w:szCs w:val="22"/>
      <w:lang w:val="en-US" w:eastAsia="zh-CN" w:bidi="ar-SA"/>
    </w:rPr>
  </w:style>
  <w:style w:type="paragraph" w:customStyle="1" w:styleId="34">
    <w:name w:val="标题 31"/>
    <w:basedOn w:val="1"/>
    <w:next w:val="1"/>
    <w:unhideWhenUsed/>
    <w:qFormat/>
    <w:uiPriority w:val="9"/>
    <w:pPr>
      <w:keepNext/>
      <w:keepLines/>
      <w:numPr>
        <w:ilvl w:val="0"/>
        <w:numId w:val="2"/>
      </w:numPr>
      <w:spacing w:before="120" w:after="120"/>
      <w:ind w:left="0" w:firstLine="0"/>
      <w:outlineLvl w:val="2"/>
    </w:pPr>
    <w:rPr>
      <w:rFonts w:hint="eastAsia" w:ascii="等线 Light" w:hAnsi="等线 Light" w:eastAsia="黑体"/>
      <w:sz w:val="32"/>
      <w:szCs w:val="32"/>
    </w:rPr>
  </w:style>
  <w:style w:type="paragraph" w:customStyle="1" w:styleId="35">
    <w:name w:val="Default"/>
    <w:unhideWhenUsed/>
    <w:qFormat/>
    <w:uiPriority w:val="0"/>
    <w:pPr>
      <w:widowControl w:val="0"/>
      <w:autoSpaceDE w:val="0"/>
      <w:autoSpaceDN w:val="0"/>
      <w:adjustRightInd w:val="0"/>
    </w:pPr>
    <w:rPr>
      <w:rFonts w:hint="eastAsia" w:ascii="AGaramond" w:hAnsi="AGaramond" w:eastAsia="AGaramond" w:cs="Times New Roman"/>
      <w:color w:val="000000"/>
      <w:sz w:val="24"/>
      <w:lang w:val="en-US" w:eastAsia="zh-CN" w:bidi="ar-SA"/>
    </w:rPr>
  </w:style>
  <w:style w:type="paragraph" w:customStyle="1" w:styleId="36">
    <w:name w:val="修订1"/>
    <w:hidden/>
    <w:unhideWhenUsed/>
    <w:qFormat/>
    <w:uiPriority w:val="99"/>
    <w:rPr>
      <w:rFonts w:ascii="Times New Roman" w:hAnsi="Times New Roman" w:eastAsia="宋体" w:cs="Times New Roman"/>
      <w:kern w:val="2"/>
      <w:sz w:val="21"/>
      <w:szCs w:val="24"/>
      <w:lang w:val="en-US" w:eastAsia="zh-CN" w:bidi="ar-SA"/>
    </w:rPr>
  </w:style>
  <w:style w:type="character" w:customStyle="1" w:styleId="37">
    <w:name w:val="批注文字 字符"/>
    <w:basedOn w:val="25"/>
    <w:link w:val="11"/>
    <w:qFormat/>
    <w:uiPriority w:val="0"/>
    <w:rPr>
      <w:kern w:val="2"/>
      <w:sz w:val="21"/>
      <w:szCs w:val="24"/>
    </w:rPr>
  </w:style>
  <w:style w:type="character" w:customStyle="1" w:styleId="38">
    <w:name w:val="批注主题 字符"/>
    <w:basedOn w:val="37"/>
    <w:link w:val="22"/>
    <w:qFormat/>
    <w:uiPriority w:val="0"/>
    <w:rPr>
      <w:b/>
      <w:bCs/>
      <w:kern w:val="2"/>
      <w:sz w:val="21"/>
      <w:szCs w:val="24"/>
    </w:rPr>
  </w:style>
  <w:style w:type="paragraph" w:customStyle="1" w:styleId="39">
    <w:name w:val="p15"/>
    <w:basedOn w:val="1"/>
    <w:qFormat/>
    <w:uiPriority w:val="0"/>
    <w:pPr>
      <w:widowControl/>
    </w:pPr>
    <w:rPr>
      <w:rFonts w:ascii="宋体" w:hAnsi="宋体" w:cs="宋体"/>
      <w:kern w:val="0"/>
      <w:szCs w:val="21"/>
    </w:rPr>
  </w:style>
  <w:style w:type="paragraph" w:customStyle="1" w:styleId="40">
    <w:name w:val="0正文"/>
    <w:qFormat/>
    <w:uiPriority w:val="0"/>
    <w:pPr>
      <w:widowControl w:val="0"/>
      <w:spacing w:line="360" w:lineRule="auto"/>
      <w:ind w:firstLine="200" w:firstLineChars="200"/>
    </w:pPr>
    <w:rPr>
      <w:rFonts w:ascii="Calibri" w:hAnsi="Calibri" w:eastAsia="宋体" w:cs="Times New Roman"/>
      <w:sz w:val="24"/>
      <w:szCs w:val="22"/>
      <w:lang w:val="en-US" w:eastAsia="zh-CN" w:bidi="ar-SA"/>
    </w:rPr>
  </w:style>
  <w:style w:type="paragraph" w:customStyle="1" w:styleId="41">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42">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8" Type="http://schemas.openxmlformats.org/officeDocument/2006/relationships/font" Target="fonts/font18.odttf"/><Relationship Id="rId17" Type="http://schemas.openxmlformats.org/officeDocument/2006/relationships/font" Target="fonts/font17.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85</Pages>
  <Words>50405</Words>
  <Characters>52541</Characters>
  <Lines>401</Lines>
  <Paragraphs>113</Paragraphs>
  <TotalTime>32</TotalTime>
  <ScaleCrop>false</ScaleCrop>
  <LinksUpToDate>false</LinksUpToDate>
  <CharactersWithSpaces>53788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2026-07-06T15:13:00Z</dcterms:created>
  <dc:creator>陆</dc:creator>
  <cp:lastModifiedBy>小陆</cp:lastModifiedBy>
  <dcterms:modified xsi:type="dcterms:W3CDTF">2026-08-13T03:25:28Z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942F80A2A24F4EA996F21280F6AFEADD_13</vt:lpwstr>
  </property>
  <property fmtid="{D5CDD505-2E9C-101B-9397-08002B2CF9AE}" pid="4" name="KSOTemplateDocerSaveRecord">
    <vt:lpwstr>eyJoZGlkIjoiMDQxNzI3MmRmZTYzOGU0YjlmMTRiZjUwNzQ3MDgwODMiLCJ1c2VySWQiOiIyNTY3ODQ3NjUifQ==</vt:lpwstr>
  </property>
</Properties>
</file>